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rPr>
      </w:pPr>
      <w:r>
        <w:rPr>
          <w:rFonts w:hint="eastAsia" w:hAnsi="宋体" w:cs="宋体"/>
          <w:b/>
          <w:bCs/>
          <w:kern w:val="2"/>
          <w:sz w:val="48"/>
          <w:szCs w:val="48"/>
          <w:highlight w:val="none"/>
        </w:rPr>
        <w:t>东莞市水务集团有限公司OA系统信息安全加固</w:t>
      </w:r>
      <w:r>
        <w:rPr>
          <w:rFonts w:hint="eastAsia" w:hAnsi="宋体" w:cs="宋体"/>
          <w:b/>
          <w:bCs/>
          <w:kern w:val="2"/>
          <w:sz w:val="48"/>
          <w:szCs w:val="48"/>
          <w:highlight w:val="none"/>
          <w:lang w:val="en-US" w:eastAsia="zh-CN"/>
        </w:rPr>
        <w:t>服务</w:t>
      </w:r>
      <w:r>
        <w:rPr>
          <w:rFonts w:hint="eastAsia" w:hAnsi="宋体" w:cs="宋体"/>
          <w:b/>
          <w:bCs/>
          <w:kern w:val="2"/>
          <w:sz w:val="48"/>
          <w:szCs w:val="48"/>
          <w:highlight w:val="none"/>
        </w:rPr>
        <w:t>项目</w:t>
      </w: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lang w:val="zh-CN"/>
        </w:rPr>
        <w:t>询价文件</w:t>
      </w: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jc w:val="center"/>
        <w:rPr>
          <w:rFonts w:hAnsi="宋体" w:cs="宋体"/>
          <w:b/>
          <w:bCs/>
          <w:sz w:val="32"/>
          <w:szCs w:val="32"/>
          <w:highlight w:val="none"/>
        </w:rPr>
      </w:pPr>
      <w:bookmarkStart w:id="0" w:name="_Hlk26971294"/>
      <w:r>
        <w:rPr>
          <w:rFonts w:hint="eastAsia" w:hAnsi="宋体" w:cs="宋体"/>
          <w:b/>
          <w:bCs/>
          <w:spacing w:val="28"/>
          <w:sz w:val="32"/>
          <w:szCs w:val="32"/>
          <w:highlight w:val="none"/>
        </w:rPr>
        <w:t>东莞市水务集团有限公司</w:t>
      </w:r>
    </w:p>
    <w:bookmarkEnd w:id="0"/>
    <w:p>
      <w:pPr>
        <w:spacing w:after="156" w:line="360" w:lineRule="auto"/>
        <w:jc w:val="center"/>
        <w:rPr>
          <w:rFonts w:hAnsi="宋体" w:cs="宋体"/>
          <w:b/>
          <w:bCs/>
          <w:kern w:val="2"/>
          <w:sz w:val="32"/>
          <w:szCs w:val="32"/>
          <w:highlight w:val="none"/>
          <w:lang w:val="zh-CN"/>
        </w:rPr>
        <w:sectPr>
          <w:footerReference r:id="rId3" w:type="default"/>
          <w:pgSz w:w="11906" w:h="16838"/>
          <w:pgMar w:top="1440" w:right="1800" w:bottom="1440" w:left="1800" w:header="851" w:footer="992" w:gutter="0"/>
          <w:cols w:space="0" w:num="1"/>
          <w:docGrid w:type="lines" w:linePitch="332" w:charSpace="0"/>
        </w:sectPr>
      </w:pPr>
      <w:r>
        <w:rPr>
          <w:rFonts w:hint="eastAsia" w:hAnsi="宋体" w:cs="宋体"/>
          <w:b/>
          <w:bCs/>
          <w:kern w:val="2"/>
          <w:sz w:val="32"/>
          <w:szCs w:val="32"/>
          <w:highlight w:val="none"/>
          <w:lang w:val="zh-CN"/>
        </w:rPr>
        <w:t>202</w:t>
      </w:r>
      <w:r>
        <w:rPr>
          <w:rFonts w:hint="eastAsia" w:hAnsi="宋体" w:cs="宋体"/>
          <w:b/>
          <w:bCs/>
          <w:kern w:val="2"/>
          <w:sz w:val="32"/>
          <w:szCs w:val="32"/>
          <w:highlight w:val="none"/>
        </w:rPr>
        <w:t>4</w:t>
      </w:r>
      <w:r>
        <w:rPr>
          <w:rFonts w:hint="eastAsia" w:hAnsi="宋体" w:cs="宋体"/>
          <w:b/>
          <w:bCs/>
          <w:kern w:val="2"/>
          <w:sz w:val="32"/>
          <w:szCs w:val="32"/>
          <w:highlight w:val="none"/>
          <w:lang w:val="zh-CN"/>
        </w:rPr>
        <w:t>年</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en-US" w:eastAsia="zh-CN"/>
        </w:rPr>
        <w:t>11</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zh-CN"/>
        </w:rPr>
        <w:t>月</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en-US" w:eastAsia="zh-CN"/>
        </w:rPr>
        <w:t>15</w:t>
      </w:r>
      <w:r>
        <w:rPr>
          <w:rFonts w:hint="eastAsia" w:hAnsi="宋体" w:cs="宋体"/>
          <w:b/>
          <w:bCs/>
          <w:kern w:val="2"/>
          <w:sz w:val="32"/>
          <w:szCs w:val="32"/>
          <w:highlight w:val="none"/>
        </w:rPr>
        <w:t xml:space="preserve"> </w:t>
      </w:r>
      <w:r>
        <w:rPr>
          <w:rFonts w:hint="eastAsia" w:hAnsi="宋体" w:cs="宋体"/>
          <w:b/>
          <w:bCs/>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pPr>
            <w:pStyle w:val="21"/>
            <w:spacing w:before="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   录</w:t>
          </w:r>
        </w:p>
        <w:p>
          <w:pPr>
            <w:pStyle w:val="12"/>
            <w:rPr>
              <w:rFonts w:hAnsi="宋体" w:cs="宋体"/>
              <w:kern w:val="2"/>
              <w:sz w:val="22"/>
              <w:highlight w:val="none"/>
            </w:rPr>
          </w:pPr>
          <w:r>
            <w:rPr>
              <w:rFonts w:hint="eastAsia" w:hAnsi="宋体" w:cs="宋体"/>
              <w:sz w:val="40"/>
              <w:szCs w:val="40"/>
              <w:highlight w:val="none"/>
            </w:rPr>
            <w:fldChar w:fldCharType="begin"/>
          </w:r>
          <w:r>
            <w:rPr>
              <w:rFonts w:hint="eastAsia" w:hAnsi="宋体" w:cs="宋体"/>
              <w:sz w:val="40"/>
              <w:szCs w:val="40"/>
              <w:highlight w:val="none"/>
            </w:rPr>
            <w:instrText xml:space="preserve"> TOC \o "1-3" \h \z \u </w:instrText>
          </w:r>
          <w:r>
            <w:rPr>
              <w:rFonts w:hint="eastAsia" w:hAnsi="宋体" w:cs="宋体"/>
              <w:sz w:val="40"/>
              <w:szCs w:val="40"/>
              <w:highlight w:val="none"/>
            </w:rPr>
            <w:fldChar w:fldCharType="separate"/>
          </w:r>
          <w:r>
            <w:rPr>
              <w:highlight w:val="none"/>
            </w:rPr>
            <w:fldChar w:fldCharType="begin"/>
          </w:r>
          <w:r>
            <w:rPr>
              <w:highlight w:val="none"/>
            </w:rPr>
            <w:instrText xml:space="preserve"> HYPERLINK \l "_Toc29476690" </w:instrText>
          </w:r>
          <w:r>
            <w:rPr>
              <w:highlight w:val="none"/>
            </w:rPr>
            <w:fldChar w:fldCharType="separate"/>
          </w:r>
          <w:r>
            <w:rPr>
              <w:rStyle w:val="19"/>
              <w:rFonts w:hint="eastAsia" w:hAnsi="宋体" w:cs="宋体"/>
              <w:color w:val="auto"/>
              <w:sz w:val="28"/>
              <w:szCs w:val="28"/>
              <w:highlight w:val="none"/>
            </w:rPr>
            <w:t>第一章 询价邀请函</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_Toc29476690 \h </w:instrText>
          </w:r>
          <w:r>
            <w:rPr>
              <w:rFonts w:hint="eastAsia" w:hAnsi="宋体" w:cs="宋体"/>
              <w:sz w:val="28"/>
              <w:szCs w:val="28"/>
              <w:highlight w:val="none"/>
            </w:rPr>
            <w:fldChar w:fldCharType="separate"/>
          </w:r>
          <w:r>
            <w:rPr>
              <w:rFonts w:hint="eastAsia" w:hAnsi="宋体" w:cs="宋体"/>
              <w:sz w:val="28"/>
              <w:szCs w:val="28"/>
              <w:highlight w:val="none"/>
            </w:rPr>
            <w:t>3</w:t>
          </w:r>
          <w:r>
            <w:rPr>
              <w:rFonts w:hint="eastAsia" w:hAnsi="宋体" w:cs="宋体"/>
              <w:sz w:val="28"/>
              <w:szCs w:val="28"/>
              <w:highlight w:val="none"/>
            </w:rPr>
            <w:fldChar w:fldCharType="end"/>
          </w:r>
          <w:r>
            <w:rPr>
              <w:rFonts w:hint="eastAsia" w:hAnsi="宋体" w:cs="宋体"/>
              <w:sz w:val="28"/>
              <w:szCs w:val="28"/>
              <w:highlight w:val="none"/>
            </w:rPr>
            <w:fldChar w:fldCharType="end"/>
          </w:r>
        </w:p>
        <w:p>
          <w:pPr>
            <w:pStyle w:val="12"/>
            <w:rPr>
              <w:rFonts w:hAnsi="宋体" w:cs="宋体"/>
              <w:kern w:val="2"/>
              <w:sz w:val="22"/>
              <w:highlight w:val="none"/>
            </w:rPr>
          </w:pPr>
          <w:r>
            <w:rPr>
              <w:highlight w:val="none"/>
            </w:rPr>
            <w:fldChar w:fldCharType="begin"/>
          </w:r>
          <w:r>
            <w:rPr>
              <w:highlight w:val="none"/>
            </w:rPr>
            <w:instrText xml:space="preserve"> HYPERLINK \l "_Toc29476691" </w:instrText>
          </w:r>
          <w:r>
            <w:rPr>
              <w:highlight w:val="none"/>
            </w:rPr>
            <w:fldChar w:fldCharType="separate"/>
          </w:r>
          <w:r>
            <w:rPr>
              <w:rStyle w:val="19"/>
              <w:rFonts w:hint="eastAsia" w:hAnsi="宋体" w:cs="宋体"/>
              <w:color w:val="auto"/>
              <w:sz w:val="28"/>
              <w:szCs w:val="28"/>
              <w:highlight w:val="none"/>
            </w:rPr>
            <w:t>第二章 用户需求</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_Toc29476691 \h </w:instrText>
          </w:r>
          <w:r>
            <w:rPr>
              <w:rFonts w:hint="eastAsia" w:hAnsi="宋体" w:cs="宋体"/>
              <w:sz w:val="28"/>
              <w:szCs w:val="28"/>
              <w:highlight w:val="none"/>
            </w:rPr>
            <w:fldChar w:fldCharType="separate"/>
          </w:r>
          <w:r>
            <w:rPr>
              <w:rFonts w:hint="eastAsia" w:hAnsi="宋体" w:cs="宋体"/>
              <w:sz w:val="28"/>
              <w:szCs w:val="28"/>
              <w:highlight w:val="none"/>
            </w:rPr>
            <w:t>4</w:t>
          </w:r>
          <w:r>
            <w:rPr>
              <w:rFonts w:hint="eastAsia" w:hAnsi="宋体" w:cs="宋体"/>
              <w:sz w:val="28"/>
              <w:szCs w:val="28"/>
              <w:highlight w:val="none"/>
            </w:rPr>
            <w:fldChar w:fldCharType="end"/>
          </w:r>
          <w:r>
            <w:rPr>
              <w:rFonts w:hint="eastAsia" w:hAnsi="宋体" w:cs="宋体"/>
              <w:sz w:val="28"/>
              <w:szCs w:val="28"/>
              <w:highlight w:val="none"/>
            </w:rPr>
            <w:fldChar w:fldCharType="end"/>
          </w:r>
        </w:p>
        <w:p>
          <w:pPr>
            <w:pStyle w:val="12"/>
            <w:rPr>
              <w:rFonts w:hAnsi="宋体" w:cs="宋体"/>
              <w:kern w:val="2"/>
              <w:sz w:val="22"/>
              <w:highlight w:val="none"/>
            </w:rPr>
          </w:pPr>
          <w:r>
            <w:rPr>
              <w:highlight w:val="none"/>
            </w:rPr>
            <w:fldChar w:fldCharType="begin"/>
          </w:r>
          <w:r>
            <w:rPr>
              <w:highlight w:val="none"/>
            </w:rPr>
            <w:instrText xml:space="preserve"> HYPERLINK \l "_Toc29476692" </w:instrText>
          </w:r>
          <w:r>
            <w:rPr>
              <w:highlight w:val="none"/>
            </w:rPr>
            <w:fldChar w:fldCharType="separate"/>
          </w:r>
          <w:r>
            <w:rPr>
              <w:rStyle w:val="19"/>
              <w:rFonts w:hint="eastAsia" w:hAnsi="宋体" w:cs="宋体"/>
              <w:color w:val="auto"/>
              <w:sz w:val="28"/>
              <w:szCs w:val="28"/>
              <w:highlight w:val="none"/>
            </w:rPr>
            <w:t>第三章 合同条款</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_Toc29476692 \h </w:instrText>
          </w:r>
          <w:r>
            <w:rPr>
              <w:rFonts w:hint="eastAsia" w:hAnsi="宋体" w:cs="宋体"/>
              <w:sz w:val="28"/>
              <w:szCs w:val="28"/>
              <w:highlight w:val="none"/>
            </w:rPr>
            <w:fldChar w:fldCharType="separate"/>
          </w:r>
          <w:r>
            <w:rPr>
              <w:rFonts w:hint="eastAsia" w:hAnsi="宋体" w:cs="宋体"/>
              <w:sz w:val="28"/>
              <w:szCs w:val="28"/>
              <w:highlight w:val="none"/>
            </w:rPr>
            <w:t>5</w:t>
          </w:r>
          <w:r>
            <w:rPr>
              <w:rFonts w:hint="eastAsia" w:hAnsi="宋体" w:cs="宋体"/>
              <w:sz w:val="28"/>
              <w:szCs w:val="28"/>
              <w:highlight w:val="none"/>
            </w:rPr>
            <w:fldChar w:fldCharType="end"/>
          </w:r>
          <w:r>
            <w:rPr>
              <w:rFonts w:hint="eastAsia" w:hAnsi="宋体" w:cs="宋体"/>
              <w:sz w:val="28"/>
              <w:szCs w:val="28"/>
              <w:highlight w:val="none"/>
            </w:rPr>
            <w:fldChar w:fldCharType="end"/>
          </w:r>
        </w:p>
        <w:p>
          <w:pPr>
            <w:pStyle w:val="12"/>
            <w:rPr>
              <w:rFonts w:hAnsi="宋体" w:cs="宋体"/>
              <w:kern w:val="2"/>
              <w:sz w:val="22"/>
              <w:highlight w:val="none"/>
            </w:rPr>
          </w:pPr>
          <w:r>
            <w:rPr>
              <w:highlight w:val="none"/>
            </w:rPr>
            <w:fldChar w:fldCharType="begin"/>
          </w:r>
          <w:r>
            <w:rPr>
              <w:highlight w:val="none"/>
            </w:rPr>
            <w:instrText xml:space="preserve"> HYPERLINK \l "_Toc29476707" </w:instrText>
          </w:r>
          <w:r>
            <w:rPr>
              <w:highlight w:val="none"/>
            </w:rPr>
            <w:fldChar w:fldCharType="separate"/>
          </w:r>
          <w:r>
            <w:rPr>
              <w:rStyle w:val="19"/>
              <w:rFonts w:hint="eastAsia" w:hAnsi="宋体" w:cs="宋体"/>
              <w:color w:val="auto"/>
              <w:sz w:val="28"/>
              <w:szCs w:val="28"/>
              <w:highlight w:val="none"/>
            </w:rPr>
            <w:t>第四章 报价须知</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_Toc29476707 \h </w:instrText>
          </w:r>
          <w:r>
            <w:rPr>
              <w:rFonts w:hint="eastAsia" w:hAnsi="宋体" w:cs="宋体"/>
              <w:sz w:val="28"/>
              <w:szCs w:val="28"/>
              <w:highlight w:val="none"/>
            </w:rPr>
            <w:fldChar w:fldCharType="separate"/>
          </w:r>
          <w:r>
            <w:rPr>
              <w:rFonts w:hint="eastAsia" w:hAnsi="宋体" w:cs="宋体"/>
              <w:sz w:val="28"/>
              <w:szCs w:val="28"/>
              <w:highlight w:val="none"/>
            </w:rPr>
            <w:t>6</w:t>
          </w:r>
          <w:r>
            <w:rPr>
              <w:rFonts w:hint="eastAsia" w:hAnsi="宋体" w:cs="宋体"/>
              <w:sz w:val="28"/>
              <w:szCs w:val="28"/>
              <w:highlight w:val="none"/>
            </w:rPr>
            <w:fldChar w:fldCharType="end"/>
          </w:r>
          <w:r>
            <w:rPr>
              <w:rFonts w:hint="eastAsia" w:hAnsi="宋体" w:cs="宋体"/>
              <w:sz w:val="28"/>
              <w:szCs w:val="28"/>
              <w:highlight w:val="none"/>
            </w:rPr>
            <w:fldChar w:fldCharType="end"/>
          </w:r>
        </w:p>
        <w:p>
          <w:pPr>
            <w:pStyle w:val="12"/>
            <w:rPr>
              <w:rFonts w:hAnsi="宋体" w:cs="宋体"/>
              <w:kern w:val="2"/>
              <w:sz w:val="22"/>
              <w:highlight w:val="none"/>
            </w:rPr>
          </w:pPr>
          <w:r>
            <w:rPr>
              <w:highlight w:val="none"/>
            </w:rPr>
            <w:fldChar w:fldCharType="begin"/>
          </w:r>
          <w:r>
            <w:rPr>
              <w:highlight w:val="none"/>
            </w:rPr>
            <w:instrText xml:space="preserve"> HYPERLINK \l "_Toc29476708" </w:instrText>
          </w:r>
          <w:r>
            <w:rPr>
              <w:highlight w:val="none"/>
            </w:rPr>
            <w:fldChar w:fldCharType="separate"/>
          </w:r>
          <w:r>
            <w:rPr>
              <w:rStyle w:val="19"/>
              <w:rFonts w:hint="eastAsia" w:hAnsi="宋体" w:cs="宋体"/>
              <w:color w:val="auto"/>
              <w:sz w:val="28"/>
              <w:szCs w:val="28"/>
              <w:highlight w:val="none"/>
            </w:rPr>
            <w:t>第五章 报价文件（格式）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_Toc29476708 \h </w:instrText>
          </w:r>
          <w:r>
            <w:rPr>
              <w:rFonts w:hint="eastAsia" w:hAnsi="宋体" w:cs="宋体"/>
              <w:sz w:val="28"/>
              <w:szCs w:val="28"/>
              <w:highlight w:val="none"/>
            </w:rPr>
            <w:fldChar w:fldCharType="separate"/>
          </w:r>
          <w:r>
            <w:rPr>
              <w:rFonts w:hint="eastAsia" w:hAnsi="宋体" w:cs="宋体"/>
              <w:sz w:val="28"/>
              <w:szCs w:val="28"/>
              <w:highlight w:val="none"/>
            </w:rPr>
            <w:t>8</w:t>
          </w:r>
          <w:r>
            <w:rPr>
              <w:rFonts w:hint="eastAsia" w:hAnsi="宋体" w:cs="宋体"/>
              <w:sz w:val="28"/>
              <w:szCs w:val="28"/>
              <w:highlight w:val="none"/>
            </w:rPr>
            <w:fldChar w:fldCharType="end"/>
          </w:r>
          <w:r>
            <w:rPr>
              <w:rFonts w:hint="eastAsia" w:hAnsi="宋体" w:cs="宋体"/>
              <w:sz w:val="28"/>
              <w:szCs w:val="28"/>
              <w:highlight w:val="none"/>
            </w:rPr>
            <w:fldChar w:fldCharType="end"/>
          </w:r>
        </w:p>
        <w:p>
          <w:pPr>
            <w:spacing w:line="360" w:lineRule="auto"/>
            <w:rPr>
              <w:rFonts w:hAnsi="宋体" w:cs="宋体"/>
              <w:sz w:val="32"/>
              <w:szCs w:val="32"/>
              <w:highlight w:val="none"/>
            </w:rPr>
          </w:pPr>
          <w:r>
            <w:rPr>
              <w:rFonts w:hint="eastAsia" w:hAnsi="宋体" w:cs="宋体"/>
              <w:sz w:val="40"/>
              <w:szCs w:val="40"/>
              <w:highlight w:val="none"/>
              <w:lang w:val="zh-CN"/>
            </w:rPr>
            <w:fldChar w:fldCharType="end"/>
          </w:r>
        </w:p>
      </w:sdtContent>
    </w:sdt>
    <w:p>
      <w:pPr>
        <w:spacing w:after="156" w:line="360" w:lineRule="auto"/>
        <w:jc w:val="center"/>
        <w:rPr>
          <w:rFonts w:hAnsi="宋体" w:cs="宋体"/>
          <w:b/>
          <w:bCs/>
          <w:spacing w:val="28"/>
          <w:sz w:val="32"/>
          <w:szCs w:val="32"/>
          <w:highlight w:val="none"/>
        </w:rPr>
      </w:pPr>
    </w:p>
    <w:p>
      <w:pPr>
        <w:spacing w:line="360" w:lineRule="auto"/>
        <w:rPr>
          <w:rFonts w:hAnsi="宋体" w:cs="宋体"/>
          <w:highlight w:val="none"/>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b w:val="0"/>
          <w:bCs w:val="0"/>
          <w:szCs w:val="32"/>
          <w:highlight w:val="none"/>
        </w:rPr>
      </w:pPr>
      <w:bookmarkStart w:id="1" w:name="_Toc29476690"/>
      <w:r>
        <w:rPr>
          <w:rFonts w:hint="eastAsia" w:hAnsi="宋体" w:cs="宋体"/>
          <w:szCs w:val="32"/>
          <w:highlight w:val="none"/>
        </w:rPr>
        <w:t>第一章 询价邀请函</w:t>
      </w:r>
      <w:bookmarkEnd w:id="1"/>
    </w:p>
    <w:p>
      <w:pPr>
        <w:spacing w:line="460" w:lineRule="exact"/>
        <w:rPr>
          <w:rFonts w:hAnsi="宋体" w:cs="宋体"/>
          <w:highlight w:val="none"/>
        </w:rPr>
      </w:pPr>
      <w:r>
        <w:rPr>
          <w:rFonts w:hint="eastAsia" w:hAnsi="宋体" w:cs="宋体"/>
          <w:highlight w:val="none"/>
        </w:rPr>
        <w:t>各供应商：</w:t>
      </w:r>
    </w:p>
    <w:p>
      <w:pPr>
        <w:spacing w:line="460" w:lineRule="exact"/>
        <w:ind w:firstLine="480" w:firstLineChars="200"/>
        <w:rPr>
          <w:rFonts w:hAnsi="宋体" w:cs="宋体"/>
          <w:highlight w:val="none"/>
        </w:rPr>
      </w:pPr>
      <w:r>
        <w:rPr>
          <w:rFonts w:hint="eastAsia" w:hAnsi="宋体" w:cs="宋体"/>
          <w:highlight w:val="none"/>
        </w:rPr>
        <w:t>我公司的</w:t>
      </w:r>
      <w:r>
        <w:rPr>
          <w:rFonts w:hint="eastAsia" w:hAnsi="宋体" w:cs="宋体"/>
          <w:highlight w:val="none"/>
          <w:u w:val="single"/>
        </w:rPr>
        <w:t>“</w:t>
      </w:r>
      <w:r>
        <w:rPr>
          <w:rFonts w:hint="eastAsia" w:hAnsi="宋体" w:cs="宋体"/>
          <w:highlight w:val="none"/>
          <w:u w:val="single"/>
          <w:lang w:eastAsia="zh-CN"/>
        </w:rPr>
        <w:t>东莞市水务集团有限公司OA系统信息安全加固服务项目</w:t>
      </w:r>
      <w:r>
        <w:rPr>
          <w:rFonts w:hint="eastAsia" w:hAnsi="宋体" w:cs="宋体"/>
          <w:highlight w:val="none"/>
          <w:u w:val="single"/>
        </w:rPr>
        <w:t>”</w:t>
      </w:r>
      <w:r>
        <w:rPr>
          <w:rFonts w:hint="eastAsia" w:hAnsi="宋体" w:cs="宋体"/>
          <w:highlight w:val="none"/>
        </w:rPr>
        <w:t>正式开展，现邀请贵司参与本项目的询价采购。具体采购信息如下：</w:t>
      </w:r>
    </w:p>
    <w:p>
      <w:pPr>
        <w:numPr>
          <w:ilvl w:val="0"/>
          <w:numId w:val="3"/>
        </w:numPr>
        <w:spacing w:line="460" w:lineRule="exact"/>
        <w:rPr>
          <w:rFonts w:hAnsi="宋体" w:cs="宋体"/>
          <w:highlight w:val="none"/>
        </w:rPr>
      </w:pPr>
      <w:r>
        <w:rPr>
          <w:rFonts w:hint="eastAsia" w:hAnsi="宋体" w:cs="宋体"/>
          <w:highlight w:val="none"/>
        </w:rPr>
        <w:t>采购项目名称：</w:t>
      </w:r>
      <w:r>
        <w:rPr>
          <w:rFonts w:hint="eastAsia" w:hAnsi="宋体" w:cs="宋体"/>
          <w:highlight w:val="none"/>
          <w:lang w:eastAsia="zh-CN"/>
        </w:rPr>
        <w:t>东莞市水务集团有限公司OA系统信息安全加固服务项目</w:t>
      </w:r>
    </w:p>
    <w:p>
      <w:pPr>
        <w:numPr>
          <w:ilvl w:val="0"/>
          <w:numId w:val="3"/>
        </w:numPr>
        <w:spacing w:line="460" w:lineRule="exact"/>
        <w:rPr>
          <w:rFonts w:hAnsi="宋体" w:cs="宋体"/>
          <w:highlight w:val="none"/>
        </w:rPr>
      </w:pPr>
      <w:r>
        <w:rPr>
          <w:rFonts w:hint="eastAsia" w:hAnsi="宋体" w:cs="宋体"/>
          <w:highlight w:val="none"/>
        </w:rPr>
        <w:t>采购预算：不含税最高限价为344,484.55元。</w:t>
      </w:r>
    </w:p>
    <w:p>
      <w:pPr>
        <w:numPr>
          <w:ilvl w:val="0"/>
          <w:numId w:val="3"/>
        </w:numPr>
        <w:spacing w:line="460" w:lineRule="exact"/>
        <w:rPr>
          <w:rFonts w:hAnsi="宋体" w:cs="宋体"/>
          <w:highlight w:val="none"/>
        </w:rPr>
      </w:pPr>
      <w:r>
        <w:rPr>
          <w:rFonts w:hint="eastAsia" w:hAnsi="宋体" w:cs="宋体"/>
          <w:highlight w:val="none"/>
        </w:rPr>
        <w:t>采购内容：东莞市水务集团有限公司OA系统信息安全加固服务（具体详见用户需求书）</w:t>
      </w:r>
    </w:p>
    <w:p>
      <w:pPr>
        <w:numPr>
          <w:ilvl w:val="0"/>
          <w:numId w:val="3"/>
        </w:numPr>
        <w:spacing w:line="460" w:lineRule="exact"/>
        <w:rPr>
          <w:rFonts w:hAnsi="宋体" w:cs="宋体"/>
          <w:highlight w:val="none"/>
        </w:rPr>
      </w:pPr>
      <w:r>
        <w:rPr>
          <w:rFonts w:hint="eastAsia" w:hAnsi="宋体" w:cs="宋体"/>
          <w:highlight w:val="none"/>
        </w:rPr>
        <w:t>资质要求</w:t>
      </w:r>
    </w:p>
    <w:p>
      <w:pPr>
        <w:spacing w:line="460" w:lineRule="exact"/>
        <w:ind w:firstLine="424" w:firstLineChars="177"/>
        <w:rPr>
          <w:rFonts w:hAnsi="宋体" w:cs="宋体"/>
          <w:highlight w:val="none"/>
        </w:rPr>
      </w:pPr>
      <w:r>
        <w:rPr>
          <w:rFonts w:hint="eastAsia" w:hAnsi="宋体" w:cs="宋体"/>
          <w:highlight w:val="none"/>
        </w:rPr>
        <w:t>1.在中华人民共和国境内登记注册、合法存续、正常经营且具有独立承担民事责任能力的法人或其他组织。</w:t>
      </w:r>
    </w:p>
    <w:p>
      <w:pPr>
        <w:spacing w:line="460" w:lineRule="exact"/>
        <w:ind w:firstLine="424" w:firstLineChars="177"/>
        <w:rPr>
          <w:rFonts w:hAnsi="宋体" w:cs="宋体"/>
          <w:highlight w:val="none"/>
        </w:rPr>
      </w:pPr>
      <w:r>
        <w:rPr>
          <w:rFonts w:hint="eastAsia" w:hAnsi="宋体" w:cs="宋体"/>
          <w:highlight w:val="none"/>
        </w:rPr>
        <w:t>2.报价人应具备致远办公系统A8+产品服务原厂证明或授权代理资质。</w:t>
      </w:r>
    </w:p>
    <w:p>
      <w:pPr>
        <w:numPr>
          <w:ilvl w:val="0"/>
          <w:numId w:val="3"/>
        </w:numPr>
        <w:spacing w:line="460" w:lineRule="exact"/>
        <w:rPr>
          <w:rFonts w:hAnsi="宋体" w:cs="宋体"/>
          <w:highlight w:val="none"/>
        </w:rPr>
      </w:pPr>
      <w:r>
        <w:rPr>
          <w:rFonts w:hint="eastAsia" w:hAnsi="宋体" w:cs="宋体"/>
          <w:highlight w:val="none"/>
        </w:rPr>
        <w:t>成交原则：从实质性满足采购需求的供应商中，按不含税价最低成交原则确定成交供应商。</w:t>
      </w:r>
    </w:p>
    <w:p>
      <w:pPr>
        <w:numPr>
          <w:ilvl w:val="0"/>
          <w:numId w:val="3"/>
        </w:numPr>
        <w:spacing w:line="460" w:lineRule="exact"/>
        <w:rPr>
          <w:rFonts w:hAnsi="宋体" w:cs="宋体"/>
          <w:highlight w:val="none"/>
        </w:rPr>
      </w:pPr>
      <w:r>
        <w:rPr>
          <w:rFonts w:hint="eastAsia" w:hAnsi="宋体" w:cs="宋体"/>
          <w:highlight w:val="none"/>
        </w:rPr>
        <w:t>报价文件递交截止时间：</w:t>
      </w:r>
      <w:bookmarkStart w:id="2" w:name="_Hlk27138379"/>
      <w:r>
        <w:rPr>
          <w:rFonts w:hint="eastAsia" w:hAnsi="宋体" w:cs="宋体"/>
          <w:highlight w:val="none"/>
        </w:rPr>
        <w:t xml:space="preserve">2024年 </w:t>
      </w:r>
      <w:r>
        <w:rPr>
          <w:rFonts w:hint="eastAsia" w:hAnsi="宋体" w:cs="宋体"/>
          <w:highlight w:val="none"/>
          <w:lang w:val="en-US" w:eastAsia="zh-CN"/>
        </w:rPr>
        <w:t>11</w:t>
      </w:r>
      <w:r>
        <w:rPr>
          <w:rFonts w:hint="eastAsia" w:hAnsi="宋体" w:cs="宋体"/>
          <w:highlight w:val="none"/>
        </w:rPr>
        <w:t xml:space="preserve"> 月 </w:t>
      </w:r>
      <w:r>
        <w:rPr>
          <w:rFonts w:hint="eastAsia" w:hAnsi="宋体" w:cs="宋体"/>
          <w:highlight w:val="none"/>
          <w:lang w:val="en-US" w:eastAsia="zh-CN"/>
        </w:rPr>
        <w:t>21</w:t>
      </w:r>
      <w:r>
        <w:rPr>
          <w:rFonts w:hint="eastAsia" w:hAnsi="宋体" w:cs="宋体"/>
          <w:highlight w:val="none"/>
        </w:rPr>
        <w:t xml:space="preserve"> 日10时00分</w:t>
      </w:r>
      <w:bookmarkEnd w:id="2"/>
      <w:r>
        <w:rPr>
          <w:rFonts w:hint="eastAsia" w:hAnsi="宋体" w:cs="宋体"/>
          <w:highlight w:val="none"/>
        </w:rPr>
        <w:t>。</w:t>
      </w:r>
    </w:p>
    <w:p>
      <w:pPr>
        <w:numPr>
          <w:ilvl w:val="0"/>
          <w:numId w:val="3"/>
        </w:numPr>
        <w:spacing w:line="460" w:lineRule="exact"/>
        <w:rPr>
          <w:rFonts w:hAnsi="宋体" w:cs="宋体"/>
          <w:highlight w:val="none"/>
        </w:rPr>
      </w:pPr>
      <w:r>
        <w:rPr>
          <w:rFonts w:hint="eastAsia" w:hAnsi="宋体" w:cs="宋体"/>
          <w:highlight w:val="none"/>
        </w:rPr>
        <w:t>报价文件递交地点：东莞市东城街道育华路1号东莞市水务集团有限公司。</w:t>
      </w:r>
    </w:p>
    <w:p>
      <w:pPr>
        <w:numPr>
          <w:ilvl w:val="0"/>
          <w:numId w:val="3"/>
        </w:numPr>
        <w:spacing w:line="460" w:lineRule="exact"/>
        <w:rPr>
          <w:rFonts w:hAnsi="宋体" w:cs="宋体"/>
          <w:highlight w:val="none"/>
        </w:rPr>
      </w:pPr>
      <w:r>
        <w:rPr>
          <w:rFonts w:hint="eastAsia" w:hAnsi="宋体" w:cs="宋体"/>
          <w:highlight w:val="none"/>
        </w:rPr>
        <w:t xml:space="preserve">报价文件开封时间：2024年 </w:t>
      </w:r>
      <w:r>
        <w:rPr>
          <w:rFonts w:hint="eastAsia" w:hAnsi="宋体" w:cs="宋体"/>
          <w:highlight w:val="none"/>
          <w:lang w:val="en-US" w:eastAsia="zh-CN"/>
        </w:rPr>
        <w:t>11</w:t>
      </w:r>
      <w:r>
        <w:rPr>
          <w:rFonts w:hint="eastAsia" w:hAnsi="宋体" w:cs="宋体"/>
          <w:highlight w:val="none"/>
        </w:rPr>
        <w:t xml:space="preserve"> 月 </w:t>
      </w:r>
      <w:r>
        <w:rPr>
          <w:rFonts w:hint="eastAsia" w:hAnsi="宋体" w:cs="宋体"/>
          <w:highlight w:val="none"/>
          <w:lang w:val="en-US" w:eastAsia="zh-CN"/>
        </w:rPr>
        <w:t>21</w:t>
      </w:r>
      <w:r>
        <w:rPr>
          <w:rFonts w:hint="eastAsia" w:hAnsi="宋体" w:cs="宋体"/>
          <w:highlight w:val="none"/>
        </w:rPr>
        <w:t xml:space="preserve"> 日10时00分。</w:t>
      </w:r>
    </w:p>
    <w:p>
      <w:pPr>
        <w:numPr>
          <w:ilvl w:val="0"/>
          <w:numId w:val="3"/>
        </w:numPr>
        <w:spacing w:line="460" w:lineRule="exact"/>
        <w:rPr>
          <w:rFonts w:hAnsi="宋体" w:cs="宋体"/>
          <w:highlight w:val="none"/>
        </w:rPr>
      </w:pPr>
      <w:r>
        <w:rPr>
          <w:rFonts w:hint="eastAsia" w:hAnsi="宋体" w:cs="宋体"/>
          <w:highlight w:val="none"/>
        </w:rPr>
        <w:t>开封地点：东莞市水务集团有限公司会议室。</w:t>
      </w:r>
    </w:p>
    <w:p>
      <w:pPr>
        <w:numPr>
          <w:ilvl w:val="0"/>
          <w:numId w:val="3"/>
        </w:numPr>
        <w:spacing w:line="460" w:lineRule="exact"/>
        <w:rPr>
          <w:rFonts w:hAnsi="宋体" w:cs="宋体"/>
          <w:highlight w:val="none"/>
        </w:rPr>
      </w:pPr>
      <w:r>
        <w:rPr>
          <w:rFonts w:hint="eastAsia" w:hAnsi="宋体" w:cs="宋体"/>
          <w:highlight w:val="none"/>
        </w:rPr>
        <w:t>采购人联系方式：</w:t>
      </w:r>
    </w:p>
    <w:p>
      <w:pPr>
        <w:spacing w:line="460" w:lineRule="exact"/>
        <w:ind w:left="566" w:leftChars="236" w:firstLine="285"/>
        <w:rPr>
          <w:rFonts w:hAnsi="宋体" w:cs="宋体"/>
          <w:highlight w:val="none"/>
        </w:rPr>
      </w:pPr>
      <w:bookmarkStart w:id="3" w:name="_Hlk27138405"/>
      <w:r>
        <w:rPr>
          <w:rFonts w:hint="eastAsia" w:hAnsi="宋体" w:cs="宋体"/>
          <w:highlight w:val="none"/>
        </w:rPr>
        <w:t>采购联系人：程先生</w:t>
      </w:r>
    </w:p>
    <w:p>
      <w:pPr>
        <w:spacing w:line="460" w:lineRule="exact"/>
        <w:ind w:left="566" w:leftChars="236" w:firstLine="285"/>
        <w:rPr>
          <w:rFonts w:hAnsi="宋体" w:cs="宋体"/>
          <w:highlight w:val="none"/>
        </w:rPr>
      </w:pPr>
      <w:r>
        <w:rPr>
          <w:rFonts w:hint="eastAsia" w:hAnsi="宋体" w:cs="宋体"/>
          <w:highlight w:val="none"/>
        </w:rPr>
        <w:t>联系电话：0769-28823251</w:t>
      </w:r>
    </w:p>
    <w:p>
      <w:pPr>
        <w:spacing w:line="460" w:lineRule="exact"/>
        <w:ind w:left="566" w:leftChars="236" w:firstLine="285"/>
        <w:rPr>
          <w:rFonts w:hAnsi="宋体" w:cs="宋体"/>
          <w:highlight w:val="none"/>
        </w:rPr>
      </w:pPr>
      <w:r>
        <w:rPr>
          <w:rFonts w:hint="eastAsia" w:hAnsi="宋体" w:cs="宋体"/>
          <w:highlight w:val="none"/>
        </w:rPr>
        <w:t>联系地址：广东省东莞市东城街道育华路1号</w:t>
      </w:r>
    </w:p>
    <w:bookmarkEnd w:id="3"/>
    <w:p>
      <w:pPr>
        <w:spacing w:line="460" w:lineRule="exact"/>
        <w:rPr>
          <w:rFonts w:hAnsi="宋体" w:cs="宋体"/>
          <w:highlight w:val="none"/>
        </w:rPr>
      </w:pPr>
    </w:p>
    <w:p>
      <w:pPr>
        <w:tabs>
          <w:tab w:val="left" w:pos="10103"/>
        </w:tabs>
        <w:spacing w:line="460" w:lineRule="exact"/>
        <w:ind w:right="139" w:rightChars="58"/>
        <w:jc w:val="right"/>
        <w:rPr>
          <w:rFonts w:hAnsi="宋体" w:cs="宋体"/>
          <w:highlight w:val="none"/>
        </w:rPr>
      </w:pPr>
      <w:bookmarkStart w:id="52" w:name="_GoBack"/>
      <w:bookmarkEnd w:id="52"/>
      <w:bookmarkStart w:id="4" w:name="_Hlk27138410"/>
      <w:r>
        <w:rPr>
          <w:rFonts w:hint="eastAsia" w:hAnsi="宋体" w:cs="宋体"/>
          <w:highlight w:val="none"/>
        </w:rPr>
        <w:t>东莞市水务集团有限公司</w:t>
      </w:r>
    </w:p>
    <w:p>
      <w:pPr>
        <w:wordWrap w:val="0"/>
        <w:spacing w:line="460" w:lineRule="exact"/>
        <w:jc w:val="right"/>
        <w:rPr>
          <w:rFonts w:hAnsi="宋体" w:cs="宋体"/>
          <w:highlight w:val="none"/>
        </w:rPr>
      </w:pPr>
      <w:r>
        <w:rPr>
          <w:rFonts w:hint="eastAsia" w:hAnsi="宋体" w:cs="宋体"/>
          <w:highlight w:val="none"/>
        </w:rPr>
        <w:t xml:space="preserve">2024年 </w:t>
      </w:r>
      <w:r>
        <w:rPr>
          <w:rFonts w:hint="eastAsia" w:hAnsi="宋体" w:cs="宋体"/>
          <w:highlight w:val="none"/>
          <w:lang w:val="en-US" w:eastAsia="zh-CN"/>
        </w:rPr>
        <w:t>11</w:t>
      </w:r>
      <w:r>
        <w:rPr>
          <w:rFonts w:hint="eastAsia" w:hAnsi="宋体" w:cs="宋体"/>
          <w:highlight w:val="none"/>
        </w:rPr>
        <w:t xml:space="preserve"> 月 </w:t>
      </w:r>
      <w:r>
        <w:rPr>
          <w:rFonts w:hint="eastAsia" w:hAnsi="宋体" w:cs="宋体"/>
          <w:highlight w:val="none"/>
          <w:lang w:val="en-US" w:eastAsia="zh-CN"/>
        </w:rPr>
        <w:t>15</w:t>
      </w:r>
      <w:r>
        <w:rPr>
          <w:rFonts w:hint="eastAsia" w:hAnsi="宋体" w:cs="宋体"/>
          <w:highlight w:val="none"/>
        </w:rPr>
        <w:t xml:space="preserve"> 日     </w:t>
      </w:r>
    </w:p>
    <w:bookmarkEnd w:id="4"/>
    <w:p>
      <w:pPr>
        <w:spacing w:line="360" w:lineRule="auto"/>
        <w:ind w:firstLine="5822" w:firstLineChars="2426"/>
        <w:rPr>
          <w:rFonts w:hAnsi="宋体" w:cs="宋体"/>
          <w:highlight w:val="none"/>
        </w:rPr>
      </w:pPr>
    </w:p>
    <w:p>
      <w:pPr>
        <w:spacing w:line="360" w:lineRule="auto"/>
        <w:rPr>
          <w:rFonts w:hAnsi="宋体" w:cs="宋体"/>
          <w:highlight w:val="none"/>
        </w:rPr>
        <w:sectPr>
          <w:pgSz w:w="11906" w:h="16838"/>
          <w:pgMar w:top="1440" w:right="1803" w:bottom="1440" w:left="1803" w:header="851" w:footer="992" w:gutter="0"/>
          <w:cols w:space="0" w:num="1"/>
          <w:docGrid w:type="lines" w:linePitch="332" w:charSpace="0"/>
        </w:sectPr>
      </w:pPr>
    </w:p>
    <w:p>
      <w:pPr>
        <w:pStyle w:val="3"/>
        <w:spacing w:before="0" w:after="0"/>
        <w:jc w:val="center"/>
        <w:rPr>
          <w:rFonts w:hAnsi="宋体" w:cs="宋体"/>
          <w:szCs w:val="32"/>
          <w:highlight w:val="none"/>
        </w:rPr>
      </w:pPr>
      <w:bookmarkStart w:id="5" w:name="_Toc29476691"/>
      <w:r>
        <w:rPr>
          <w:rFonts w:hint="eastAsia" w:hAnsi="宋体" w:cs="宋体"/>
          <w:szCs w:val="32"/>
          <w:highlight w:val="none"/>
        </w:rPr>
        <w:t>第二章 用户需求</w:t>
      </w:r>
      <w:bookmarkEnd w:id="5"/>
    </w:p>
    <w:p>
      <w:pPr>
        <w:pStyle w:val="24"/>
        <w:autoSpaceDE/>
        <w:autoSpaceDN/>
        <w:adjustRightInd/>
        <w:spacing w:before="0" w:beforeLines="0" w:after="0" w:afterLines="0" w:line="360" w:lineRule="auto"/>
        <w:ind w:firstLine="482"/>
        <w:rPr>
          <w:rFonts w:ascii="宋体" w:hAnsi="宋体"/>
          <w:b/>
          <w:bCs/>
          <w:sz w:val="24"/>
          <w:szCs w:val="24"/>
          <w:highlight w:val="none"/>
        </w:rPr>
      </w:pPr>
      <w:bookmarkStart w:id="6" w:name="_Toc447044476"/>
      <w:bookmarkStart w:id="7" w:name="_Toc15653"/>
      <w:bookmarkStart w:id="8" w:name="_Toc447045087"/>
      <w:bookmarkStart w:id="9" w:name="_Toc447044600"/>
      <w:r>
        <w:rPr>
          <w:rFonts w:hint="eastAsia" w:ascii="宋体" w:hAnsi="宋体"/>
          <w:b/>
          <w:bCs/>
          <w:sz w:val="24"/>
          <w:szCs w:val="24"/>
          <w:highlight w:val="none"/>
        </w:rPr>
        <w:t>一、项目背景</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近年来，随着国家对信息安全的日益重视，安全可靠的信息基础设施建设已成为国家战略的重要组成部分。国家层面对安全可靠的操作系统和数据库技术给予了大力支持，推动了这一领域的成熟发展。这些系统具备自主可控、安全可靠、性能优越的特点，能够兼容传统应用和数据库的迁移，确保数据的安全和系统的稳定运行。在广州、深圳等水务行业，安全可靠环境改造已逐步开展并取得显著成果，为其他行业提供了宝贵的经验。</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集团自引入OA系统以来，极大地提高了工作效率，优化了业务流程，实现了信息资源的共享和高效利用。然而，随着集团业务的不断扩展和信息量的快速增长，现有的OA系统在处理能力、安全性和可靠性等方面逐渐暴露出不足，现计划进行OA系统的迁移升级，以满足未来发展的需求。</w:t>
      </w: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二、项目目标</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（一）保障企业信息安全可控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完成OA系统安全可控的运行环境和数据库迁移工作，迁移将严格遵守国家信息安全相关法规与标准，确保系统数据的保密性、完整性和可用性，防范信息泄露与非法侵入；通过采用国内安全可控的技术与设备，增强系统自主可控能力，降低外部技术制裁与依赖风险，从而保障集团信息安全的可靠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（二）系统功能与性能提升</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对现有OA系统进行升级，将引入更先进的信息化技术，升级OA版本、丰富系统功能，优化系统部署方式，以满足集团日益复杂的办公需求，确保在高并发场景下系统仍能稳定运行，减少因系统性能瓶颈导致的工作延误，提高集团整体运行效率。</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（三）满足业务发展需求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以业务用户为中心，添加或完善新功能模块，优化用户体验，使系统更加灵活，高效、流畅的工作流程，降低用户使用难度，提升用户满意度，为用户带来更加流畅、高效的工作体验。</w:t>
      </w:r>
    </w:p>
    <w:p>
      <w:pPr>
        <w:pStyle w:val="24"/>
        <w:autoSpaceDE/>
        <w:autoSpaceDN/>
        <w:adjustRightInd/>
        <w:spacing w:before="0" w:beforeLines="0" w:after="0" w:afterLines="0" w:line="360" w:lineRule="auto"/>
        <w:ind w:firstLine="482"/>
        <w:rPr>
          <w:rFonts w:ascii="宋体" w:hAnsi="宋体"/>
          <w:b/>
          <w:bCs/>
          <w:sz w:val="24"/>
          <w:szCs w:val="24"/>
          <w:highlight w:val="none"/>
        </w:rPr>
      </w:pP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三、项目现状及必要性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（一）项目现状</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1.OA系统现状</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集团的OA系统自2019年10月上线以来，在原有基础上增加了多个业务系统，使用用户从原来300个增加到9100个，平均在线用户数约为2200人，系统负载超出正常运行的范围，因此系统资源性能经常会达到瓶颈而遭遇服务中断，这种频繁的中断严重影响了业务的连续性和效率；另外，随着OA系统业务功能的不断拓展与深化，现行系统在业务功能需求和用户体验上逐渐呈现不足。</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具体信息如下：</w:t>
      </w:r>
    </w:p>
    <w:p>
      <w:pPr>
        <w:widowControl/>
        <w:numPr>
          <w:ilvl w:val="255"/>
          <w:numId w:val="0"/>
        </w:numPr>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表1 </w:t>
      </w:r>
      <w:r>
        <w:rPr>
          <w:rFonts w:ascii="仿宋_GB2312" w:hAnsi="仿宋_GB2312" w:eastAsia="仿宋_GB2312" w:cs="仿宋_GB2312"/>
          <w:b/>
          <w:bCs/>
          <w:sz w:val="28"/>
          <w:szCs w:val="28"/>
          <w:highlight w:val="none"/>
        </w:rPr>
        <w:t>OA系统服务器信息表</w:t>
      </w:r>
    </w:p>
    <w:tbl>
      <w:tblPr>
        <w:tblStyle w:val="1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52"/>
        <w:gridCol w:w="3383"/>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tblHeader/>
          <w:jc w:val="center"/>
        </w:trPr>
        <w:tc>
          <w:tcPr>
            <w:tcW w:w="1752" w:type="dxa"/>
            <w:shd w:val="clear" w:color="auto" w:fill="DCE9F9"/>
            <w:tcMar>
              <w:top w:w="75" w:type="dxa"/>
              <w:left w:w="120" w:type="dxa"/>
              <w:bottom w:w="75" w:type="dxa"/>
              <w:right w:w="120" w:type="dxa"/>
            </w:tcMar>
            <w:vAlign w:val="center"/>
          </w:tcPr>
          <w:p>
            <w:pPr>
              <w:widowControl/>
              <w:jc w:val="center"/>
              <w:rPr>
                <w:rFonts w:asciiTheme="minorEastAsia" w:hAnsiTheme="minorEastAsia" w:eastAsiaTheme="minorEastAsia" w:cstheme="minorEastAsia"/>
                <w:b/>
                <w:bCs/>
                <w:spacing w:val="8"/>
                <w:sz w:val="21"/>
                <w:szCs w:val="21"/>
                <w:highlight w:val="none"/>
              </w:rPr>
            </w:pPr>
            <w:r>
              <w:rPr>
                <w:rFonts w:hint="eastAsia" w:asciiTheme="minorEastAsia" w:hAnsiTheme="minorEastAsia" w:eastAsiaTheme="minorEastAsia" w:cstheme="minorEastAsia"/>
                <w:b/>
                <w:bCs/>
                <w:spacing w:val="8"/>
                <w:sz w:val="21"/>
                <w:szCs w:val="21"/>
                <w:highlight w:val="none"/>
                <w:lang w:bidi="ar"/>
              </w:rPr>
              <w:t>服务器类型</w:t>
            </w:r>
          </w:p>
        </w:tc>
        <w:tc>
          <w:tcPr>
            <w:tcW w:w="3383" w:type="dxa"/>
            <w:shd w:val="clear" w:color="auto" w:fill="DCE9F9"/>
            <w:tcMar>
              <w:top w:w="75" w:type="dxa"/>
              <w:left w:w="120" w:type="dxa"/>
              <w:bottom w:w="75" w:type="dxa"/>
              <w:right w:w="120" w:type="dxa"/>
            </w:tcMar>
            <w:vAlign w:val="center"/>
          </w:tcPr>
          <w:p>
            <w:pPr>
              <w:widowControl/>
              <w:jc w:val="center"/>
              <w:rPr>
                <w:rFonts w:asciiTheme="minorEastAsia" w:hAnsiTheme="minorEastAsia" w:eastAsiaTheme="minorEastAsia" w:cstheme="minorEastAsia"/>
                <w:b/>
                <w:bCs/>
                <w:spacing w:val="8"/>
                <w:sz w:val="21"/>
                <w:szCs w:val="21"/>
                <w:highlight w:val="none"/>
              </w:rPr>
            </w:pPr>
            <w:r>
              <w:rPr>
                <w:rFonts w:hint="eastAsia" w:asciiTheme="minorEastAsia" w:hAnsiTheme="minorEastAsia" w:eastAsiaTheme="minorEastAsia" w:cstheme="minorEastAsia"/>
                <w:b/>
                <w:bCs/>
                <w:spacing w:val="8"/>
                <w:sz w:val="21"/>
                <w:szCs w:val="21"/>
                <w:highlight w:val="none"/>
                <w:lang w:bidi="ar"/>
              </w:rPr>
              <w:t>OA数据库</w:t>
            </w:r>
          </w:p>
        </w:tc>
        <w:tc>
          <w:tcPr>
            <w:tcW w:w="0" w:type="auto"/>
            <w:shd w:val="clear" w:color="auto" w:fill="DCE9F9"/>
            <w:tcMar>
              <w:top w:w="75" w:type="dxa"/>
              <w:left w:w="120" w:type="dxa"/>
              <w:bottom w:w="75" w:type="dxa"/>
              <w:right w:w="120" w:type="dxa"/>
            </w:tcMar>
            <w:vAlign w:val="center"/>
          </w:tcPr>
          <w:p>
            <w:pPr>
              <w:widowControl/>
              <w:jc w:val="center"/>
              <w:rPr>
                <w:rFonts w:asciiTheme="minorEastAsia" w:hAnsiTheme="minorEastAsia" w:eastAsiaTheme="minorEastAsia" w:cstheme="minorEastAsia"/>
                <w:b/>
                <w:bCs/>
                <w:spacing w:val="8"/>
                <w:sz w:val="21"/>
                <w:szCs w:val="21"/>
                <w:highlight w:val="none"/>
              </w:rPr>
            </w:pPr>
            <w:r>
              <w:rPr>
                <w:rFonts w:hint="eastAsia" w:asciiTheme="minorEastAsia" w:hAnsiTheme="minorEastAsia" w:eastAsiaTheme="minorEastAsia" w:cstheme="minorEastAsia"/>
                <w:b/>
                <w:bCs/>
                <w:spacing w:val="8"/>
                <w:sz w:val="21"/>
                <w:szCs w:val="21"/>
                <w:highlight w:val="none"/>
                <w:lang w:bidi="ar"/>
              </w:rPr>
              <w:t>OA应用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服务器型号</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Lenove X3650 M5</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Lenove X3650 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内存</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64G</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CPU数量及规格</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E5-2640v4 2.4GHz*2</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E5-2640v4 2.4GHz*2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硬盘数量及规格</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SAS/2TB*4</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SAS/2TB*4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操作系统</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Windows Server2012 r2 Standard</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Windows Server2012 r2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运行模式</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单机（非集群）</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lang w:bidi="ar"/>
              </w:rPr>
              <w:t>单机（非集群）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752"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lang w:bidi="ar"/>
              </w:rPr>
            </w:pPr>
            <w:r>
              <w:rPr>
                <w:rFonts w:hint="eastAsia" w:asciiTheme="minorEastAsia" w:hAnsiTheme="minorEastAsia" w:eastAsiaTheme="minorEastAsia" w:cstheme="minorEastAsia"/>
                <w:spacing w:val="8"/>
                <w:sz w:val="21"/>
                <w:szCs w:val="21"/>
                <w:highlight w:val="none"/>
                <w:lang w:bidi="ar"/>
              </w:rPr>
              <w:t>版本</w:t>
            </w:r>
          </w:p>
        </w:tc>
        <w:tc>
          <w:tcPr>
            <w:tcW w:w="3383" w:type="dxa"/>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lang w:bidi="ar"/>
              </w:rPr>
            </w:pPr>
            <w:r>
              <w:rPr>
                <w:rFonts w:hint="eastAsia" w:asciiTheme="minorEastAsia" w:hAnsiTheme="minorEastAsia" w:eastAsiaTheme="minorEastAsia" w:cstheme="minorEastAsia"/>
                <w:spacing w:val="8"/>
                <w:sz w:val="21"/>
                <w:szCs w:val="21"/>
                <w:highlight w:val="none"/>
                <w:lang w:bidi="ar"/>
              </w:rPr>
              <w:t>Oracle 11g</w:t>
            </w:r>
          </w:p>
        </w:tc>
        <w:tc>
          <w:tcPr>
            <w:tcW w:w="0" w:type="auto"/>
            <w:shd w:val="clear" w:color="auto" w:fill="auto"/>
            <w:tcMar>
              <w:top w:w="75" w:type="dxa"/>
              <w:left w:w="120" w:type="dxa"/>
              <w:bottom w:w="75" w:type="dxa"/>
              <w:right w:w="120" w:type="dxa"/>
            </w:tcMar>
            <w:vAlign w:val="center"/>
          </w:tcPr>
          <w:p>
            <w:pPr>
              <w:widowControl/>
              <w:jc w:val="center"/>
              <w:rPr>
                <w:rFonts w:asciiTheme="minorEastAsia" w:hAnsiTheme="minorEastAsia" w:eastAsiaTheme="minorEastAsia" w:cstheme="minorEastAsia"/>
                <w:spacing w:val="8"/>
                <w:sz w:val="21"/>
                <w:szCs w:val="21"/>
                <w:highlight w:val="none"/>
                <w:lang w:bidi="ar"/>
              </w:rPr>
            </w:pPr>
            <w:r>
              <w:rPr>
                <w:rFonts w:hint="eastAsia" w:asciiTheme="minorEastAsia" w:hAnsiTheme="minorEastAsia" w:eastAsiaTheme="minorEastAsia" w:cstheme="minorEastAsia"/>
                <w:spacing w:val="8"/>
                <w:sz w:val="21"/>
                <w:szCs w:val="21"/>
                <w:highlight w:val="none"/>
                <w:lang w:bidi="ar"/>
              </w:rPr>
              <w:t>致远A8+集团版V8.1SP1</w:t>
            </w:r>
          </w:p>
        </w:tc>
      </w:tr>
    </w:tbl>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2.IT基础设施现状</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集团本部建有IT设备机房、虎门临时数据中心和正在筹备建设芦花坑水厂数据中心。当前临时数据中心已以集群方式部署了通过安全可靠测评的人大金仓数据库管理系统；并且正在筹备建设芦花坑水厂数据中心将以提供安全可靠的IT基础设施资源。</w:t>
      </w:r>
    </w:p>
    <w:p>
      <w:pPr>
        <w:pStyle w:val="24"/>
        <w:autoSpaceDE/>
        <w:autoSpaceDN/>
        <w:adjustRightInd/>
        <w:spacing w:before="0" w:beforeLines="0" w:after="0" w:afterLines="0" w:line="360" w:lineRule="auto"/>
        <w:ind w:firstLine="482"/>
        <w:rPr>
          <w:rFonts w:ascii="宋体" w:hAnsi="宋体"/>
          <w:b/>
          <w:bCs/>
          <w:sz w:val="24"/>
          <w:szCs w:val="24"/>
          <w:highlight w:val="none"/>
        </w:rPr>
      </w:pP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（二）项目必要性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在信息技术迅猛发展的今天，集团面临着日益严峻的信息安全挑战。原有的OA系统可能无法满足当前的安全需求，存在潜在的数据泄露和非法访问风险。通过迁移升级到符合国家安全可靠标准的系统，可以有效提高数据的安全性和系统的防护能力，确保集团信息资产的安全可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伴随集团业务的持续扩展，现有的OA系统可能在功能和性能上无法满足日益增长的需求。系统功能的增强可以提高业务处理的效率，减少人为错误，优化用户体验。性能的提升则意味着更快的响应时间和更高的处理能力，能够支持更多并发用户和更大数据量的处理。通过迁移升级，可以引入新技术和架构，使得系统更加稳定、可扩展和易于维护。</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3.随着集团规模的扩大和业务复杂度的提高，对系统的要求也越来越高。新的业务需求渐显。为了保持竞争力，这就要求OA系统能够提供新的功能模块以适应这些变化。</w:t>
      </w: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四、项目内容</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（一）系统升级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1.版本升级：OA系统现版本致远A8+集团版V8.1SP1，升级后确保OA系统兼容已通过国家安全可靠测评的芯片、操作系统和数据库软件，符合国家安全可靠的标准。</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（二）系统迁移服务</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1.迁移到虎门临时数据中心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（1）应用迁移：将应用从当前集团本部迁移到虎门临时数据中心。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（2）数据迁移：包括数据库数据迁移和文件数据迁移，当前OA系统的数据库数据要从原Oracle 11g数据库迁移到人大金仓KingbaseES V8数据库；文件迁移，要求从集团原NAS盘迁移到新的文件存储环境中。</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（3）集群部署：为了提高系统的可靠性和高可用性，需要在虎门临时数据中心实施集群部署。这包括配置3个服务器形成一个集群，共同执行任务和分担负载。</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2.迁移到符合安全可靠测评设备环境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（1）应用迁移：第二阶段的应用迁移涉及到将应用从虎门临时数据中心迁移到符合安全可靠测评设备环境。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（2）数据迁移：数据迁移，要求将数据库从虎门临时数据中心迁移到符合安全可靠测评设备环境；文件迁移，要求从虎门临时数据中心迁移到符合安全可靠测评设备环境。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（3）集群优化：在符合安全可靠测评设备环境进一步完善和优化集群部署。根据新数据中心的硬件和网络环境，调整集群配置，实现更高的服务可用性和灾难恢复能力。</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（三）系统优化</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1.在线文档插件升级：在线文档插件升级，改进用户在线预览文档和编辑文档的操作方式，提升Web端和移动端的兼容性和集成性，优化文档在线操作的体验。</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2.移动端零信任集成：在移动端集成深信服零信任网络访问功能，实现安全的内外网访问，保护移动用户的内部资源访问安全。</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3.统一认证集成：OA系统与集团在建的统一认证平台集成，实现用户在通过OA门户单点登录后（包括移动端或电脑端），访问其他系统时应无需再次输入认证信息，实现无缝切换的体验。</w:t>
      </w:r>
    </w:p>
    <w:p>
      <w:pPr>
        <w:pStyle w:val="24"/>
        <w:autoSpaceDE/>
        <w:autoSpaceDN/>
        <w:adjustRightInd/>
        <w:spacing w:before="0" w:beforeLines="0" w:after="0" w:afterLines="0" w:line="360" w:lineRule="auto"/>
        <w:ind w:firstLine="480"/>
        <w:rPr>
          <w:rFonts w:ascii="宋体" w:hAnsi="宋体"/>
          <w:sz w:val="24"/>
          <w:szCs w:val="24"/>
          <w:highlight w:val="none"/>
        </w:rPr>
      </w:pP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（四）项目内容清单</w:t>
      </w:r>
    </w:p>
    <w:tbl>
      <w:tblPr>
        <w:tblStyle w:val="16"/>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54"/>
        <w:gridCol w:w="1767"/>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4" w:type="dxa"/>
            <w:shd w:val="clear" w:color="auto" w:fill="BDD6EE" w:themeFill="accent1" w:themeFillTint="66"/>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序号</w:t>
            </w:r>
          </w:p>
        </w:tc>
        <w:tc>
          <w:tcPr>
            <w:tcW w:w="1254" w:type="dxa"/>
            <w:shd w:val="clear" w:color="auto" w:fill="BDD6EE" w:themeFill="accent1" w:themeFillTint="66"/>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分类</w:t>
            </w:r>
          </w:p>
        </w:tc>
        <w:tc>
          <w:tcPr>
            <w:tcW w:w="1767" w:type="dxa"/>
            <w:shd w:val="clear" w:color="auto" w:fill="BDD6EE" w:themeFill="accent1" w:themeFillTint="66"/>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内容</w:t>
            </w:r>
          </w:p>
        </w:tc>
        <w:tc>
          <w:tcPr>
            <w:tcW w:w="4436" w:type="dxa"/>
            <w:shd w:val="clear" w:color="auto" w:fill="BDD6EE" w:themeFill="accent1" w:themeFillTint="66"/>
            <w:vAlign w:val="center"/>
          </w:tcPr>
          <w:p>
            <w:pPr>
              <w:tabs>
                <w:tab w:val="right" w:pos="9120"/>
              </w:tabs>
              <w:ind w:right="38"/>
              <w:jc w:val="center"/>
              <w:rPr>
                <w:rFonts w:ascii="仿宋" w:hAnsi="仿宋" w:eastAsia="仿宋" w:cs="仿宋"/>
                <w:b/>
                <w:bCs/>
                <w:kern w:val="2"/>
                <w:highlight w:val="none"/>
              </w:rPr>
            </w:pPr>
            <w:r>
              <w:rPr>
                <w:rFonts w:hint="eastAsia" w:ascii="仿宋" w:hAnsi="仿宋" w:eastAsia="仿宋" w:cs="仿宋"/>
                <w:b/>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1</w:t>
            </w:r>
          </w:p>
        </w:tc>
        <w:tc>
          <w:tcPr>
            <w:tcW w:w="1254" w:type="dxa"/>
            <w:vMerge w:val="restart"/>
            <w:vAlign w:val="center"/>
          </w:tcPr>
          <w:p>
            <w:pPr>
              <w:widowControl/>
              <w:jc w:val="center"/>
              <w:textAlignment w:val="center"/>
              <w:rPr>
                <w:rFonts w:ascii="仿宋" w:hAnsi="仿宋" w:eastAsia="仿宋" w:cs="仿宋"/>
                <w:color w:val="000000"/>
                <w:highlight w:val="none"/>
              </w:rPr>
            </w:pPr>
            <w:r>
              <w:rPr>
                <w:rFonts w:hint="eastAsia" w:ascii="仿宋" w:hAnsi="仿宋" w:eastAsia="仿宋" w:cs="仿宋"/>
                <w:highlight w:val="none"/>
              </w:rPr>
              <w:t>系统升级</w:t>
            </w: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版本升级</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致远A8+集团版V8.1SP1升级到兼容已通过国家安全可靠测评的芯片、操作系统和数据库软件的最新版本。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2</w:t>
            </w:r>
          </w:p>
        </w:tc>
        <w:tc>
          <w:tcPr>
            <w:tcW w:w="1254" w:type="dxa"/>
            <w:vMerge w:val="restart"/>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系统迁移服务</w:t>
            </w: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迁移到虎门临时数据中心</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1.应用迁移：将应用从当前集团本部迁移到虎门临时数据中心。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2.数据迁移：将当前OA系统的数据（Oracle11g数据库数据和文件数据）迁移到虎门临时数据中心人大金仓数据库。</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3.集群部署：实施3个服务器集群部署。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3</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迁移到符合安全可靠测评设备环境</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1.应用迁移：将应用从虎门临时数据中心应用环境迁移到符合安全可靠测评设备环境。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2.数据迁移：将虎门临时数据中心的数据（包括数据库数据和文件数据）迁移到符合安全可靠测评设备环境。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3.集群部署：实施3个服务器集群部署。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4</w:t>
            </w:r>
          </w:p>
        </w:tc>
        <w:tc>
          <w:tcPr>
            <w:tcW w:w="1254" w:type="dxa"/>
            <w:vMerge w:val="restart"/>
            <w:vAlign w:val="center"/>
          </w:tcPr>
          <w:p>
            <w:pPr>
              <w:widowControl/>
              <w:jc w:val="center"/>
              <w:textAlignment w:val="center"/>
              <w:rPr>
                <w:rFonts w:ascii="仿宋" w:hAnsi="仿宋" w:eastAsia="仿宋" w:cs="仿宋"/>
                <w:highlight w:val="none"/>
              </w:rPr>
            </w:pPr>
            <w:r>
              <w:rPr>
                <w:rFonts w:hint="eastAsia" w:ascii="仿宋" w:hAnsi="仿宋" w:eastAsia="仿宋" w:cs="仿宋"/>
                <w:color w:val="000000"/>
                <w:highlight w:val="none"/>
              </w:rPr>
              <w:t>系统优化</w:t>
            </w: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在线文档插件</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改进用户在线预览文档和编辑文档的操作方式，提升Web端和移动端的兼容性和集成性，优化文档在线操作的体验。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5</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移动端零信任集成</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在移动端集成深信服零信任网络访问功能。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6</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统一认证集成</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与集团在建的统一认证平台集成，实现用户在通过OA门户单点登录后（包括移动端或电脑端），访问其他系统时应无需再次输入认证信息。</w:t>
            </w:r>
          </w:p>
        </w:tc>
      </w:tr>
    </w:tbl>
    <w:p>
      <w:pPr>
        <w:pStyle w:val="24"/>
        <w:autoSpaceDE/>
        <w:autoSpaceDN/>
        <w:adjustRightInd/>
        <w:spacing w:before="0" w:beforeLines="0" w:after="0" w:afterLines="0" w:line="360" w:lineRule="auto"/>
        <w:ind w:firstLine="482"/>
        <w:rPr>
          <w:rFonts w:ascii="宋体" w:hAnsi="宋体"/>
          <w:b/>
          <w:bCs/>
          <w:sz w:val="24"/>
          <w:szCs w:val="24"/>
          <w:highlight w:val="none"/>
        </w:rPr>
      </w:pP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五、项目要求</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系统升级要求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1.系统升级所涉及的软件，必须提供系统原厂的标准适配服务授权，提供原厂授权书或相关证明。</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2.系统升级要求保留原系统中的功能和原使用中的业务功能模块不受影响。</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3.系统升级后保障所有应用服务的稳定性和安全性，性能的优化响应速度、并发处理能力等，确保升级能够带来性能上的提升或至少保持现有水平。</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数据迁移要求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1．在迁移工作开始之前，供应商需建立一个详细的迁移计划，包括时间表、资源分配、关键里程碑、沟通计划和风险管理策略。迁移计划经采购人确认，再开展实施工作。</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2．数据在迁移之前应对当前数据库进行完整备份，以防万一需要恢复数据时使用。</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3．数据迁移完成后应进行全面的测试来验证数据的完整性，数据的完整性和一致性应达到99.99%。</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4．确保在整个迁移过程中，保障业务受影响最小。通过合理的迁移时间和快速的故障恢复策略，保障业务连续性。</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5．OA系统应用集群部署要求，实现访问负载均衡、故障转移机制和自动恢复策略。确保系统服务的持续可用性和数据的一致性。在部署完成后进行全面的功能测试，确保每个服务都能按照预期工作。</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系统优化要求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1．在线文档插件要求：支持服务端安装文档插件（客户端免安装），用户在Web端和移动端可在线打开文档进行编辑，并保留用户编辑痕迹。支持格式包括Word、WPS文字、Excel、WPS表格。</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2．移动端零信任集成要求：OA系统的移动端集成深信服零信任网络访问功能，即OA系统移动端登录时自动完成深信服零信任网络登录验证，解决用户在移动端先登录零信任网络再登录OA的复杂操作。</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统一认证集成要求：实现系统用户在通过OA门户单点登录后（包括移动端或电脑端），访问其他系统时应自动登录，无需再次输入认证信息。根据甲方要求，通过接入甲方统一认证系统或OA系统配置完成认证集成。</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项目培训要求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1．按照采购人的要求，对系统管理人员、使用操作人员等相关人员进行免费现场培训和不少于两次的集中培训，培训时间和期限由集团根据需要确定。</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项目进度要求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1．系统升级、迁移到虎门临时数据中心：自合同签订之日起60天内完成测试并上线试运行。</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2．系统迁移到符合安全可靠测评设备环境：供应商接到采购人通知后，30天内完成迁移、测试并上线试运行。</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3．系统优化：（1）在线文档插件和移动端零信任集成，与本项目进度要求第1项同时完成。（2）统一认证集成，接到采购人通知后15个工作日内完成。</w:t>
      </w:r>
    </w:p>
    <w:p>
      <w:pPr>
        <w:pStyle w:val="24"/>
        <w:numPr>
          <w:ilvl w:val="0"/>
          <w:numId w:val="4"/>
        </w:numPr>
        <w:autoSpaceDE/>
        <w:autoSpaceDN/>
        <w:adjustRightInd/>
        <w:spacing w:before="0" w:beforeLines="0" w:after="0" w:afterLines="0" w:line="360" w:lineRule="auto"/>
        <w:ind w:firstLineChars="0"/>
        <w:rPr>
          <w:rFonts w:ascii="宋体" w:hAnsi="宋体"/>
          <w:sz w:val="24"/>
          <w:szCs w:val="24"/>
          <w:highlight w:val="none"/>
        </w:rPr>
      </w:pPr>
      <w:r>
        <w:rPr>
          <w:rFonts w:hint="eastAsia" w:ascii="宋体" w:hAnsi="宋体"/>
          <w:sz w:val="24"/>
          <w:szCs w:val="24"/>
          <w:highlight w:val="none"/>
        </w:rPr>
        <w:t>项目交付要求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1．安装包及配置文件</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（1）完整性：提供包含所有必要的文件和组件的安装包，确保安装包无缺失，可以支持无人值守的安装模式。</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（2）配置指南：附带详细的配置文件和安装指南，说明每项配置的作用和修改方法，确保甲方团队能够根据实际环境自行调整配置。</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（3）许可证明：附带软件使用和修改所需的所有版权和许可证明，确保甲方在使用过程中不会因版权问题遇到法律风险。</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2．用户文档</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（1）易用性：用户手册应清晰描述系统的功能使用流程，包括文本说明及图示，易于用户学习和参考。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（2）全面性：除了用户操作手册外，还需要提供操作培训资料、系统维护和故障排除等相关文档，提供尽可能全面的信息供用户参考。</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3．维护指南，详细介绍系统的日常维护工作指南和常见问题处理方法，包括系统监控、备份、恢复等操作指南。</w:t>
      </w: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六、项目验收及售后要求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（一）验收要求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系统升级、迁移到当前虎门临时数据中心，正式运行30日后，可以向采购人申请系统升级验收。供应商提交运行期间监测报告（详见附件一）。监测报告各项运行指标无异常，经采购人确认后，由采购人出具《OA系统升级迁移验收报告》。</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系统迁移符合安全可靠测评设备环境：OA系统全套运行环境迁移至符合安全可靠测评设备环境正式运行15天后，供应商提交运行期间监测报告（详见附件一）。监测报告各项运行指标无异常，经采购人确认后，由采购人出具《OA系统迁移符合安全可靠测评设备环境验收报告》。</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3．系统优化验收：优化的功能在试运行期满，期间使用人员发现的问题和提出的功能优化要求完成调整，供应商可以向采购人申请系统优化的验收，经采购人确认后，由采购人出具《OA系统优化验收报告》。</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（二）售后要求</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供应商提供为期一年的质保服务（OA系统现有运维服务合同到期日期为2025年5月25日，如果项目三份验收报告的最后验收日期在此日期之前，质保期需在此日期基础上延长，否则从最后验收日期起算），系统维护的范围包括：系统优化和升级、系统的正常运行和数据维护；对系统使用中暴露出的缺陷和问题进行必要的调整；每个季度对客户产品和系统使用情况的定期回访。</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2．服务响应要求：供应商需向采购人提供本地化服务，须向采购人提供7×24小时电话支持、远程服务，并按要求确保在0.5小时内响应，2小时内到达现场。</w:t>
      </w:r>
    </w:p>
    <w:p>
      <w:pPr>
        <w:pStyle w:val="24"/>
        <w:autoSpaceDE/>
        <w:autoSpaceDN/>
        <w:adjustRightInd/>
        <w:spacing w:before="0" w:beforeLines="0" w:after="0" w:afterLines="0" w:line="360" w:lineRule="auto"/>
        <w:ind w:firstLine="482"/>
        <w:rPr>
          <w:rFonts w:ascii="宋体" w:hAnsi="宋体"/>
          <w:b/>
          <w:bCs/>
          <w:sz w:val="24"/>
          <w:szCs w:val="24"/>
          <w:highlight w:val="none"/>
        </w:rPr>
      </w:pPr>
      <w:r>
        <w:rPr>
          <w:rFonts w:hint="eastAsia" w:ascii="宋体" w:hAnsi="宋体"/>
          <w:b/>
          <w:bCs/>
          <w:sz w:val="24"/>
          <w:szCs w:val="24"/>
          <w:highlight w:val="none"/>
        </w:rPr>
        <w:t>七、项目报价及付款方式</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一）本项目总费用为不含税总价，包括但不限于合理利润、开发费、安装调试费，系统集成费、第三方商业软件费、培训费、电子设备费、人工费、驻点办公食宿及水电等费用、管理费、交通费、通讯费、加班费以及供应商销项税额以外的税费等服务范围内所有应预见和不可预见费用及完成服务内容所需的一切费用。供应商须了解项目情况、各类费用以及风险情况，合同签订后，不再另行增加任何费用。</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二）依法计得并根据本合同约定确定的销项税额由采购人承担。在本合同履行过程中，税收政策变动导致增值税税率调整，依法应调整销项税额的，依法调整；但因供应商未按合同约定完成服务，未根据合同约定提供合法、完整的请款资料等原因导致销项税额增加的，相应损失由供应商承担。</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（三）本项目付款分为四个阶段：</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1．采购人出具《OA系统升级迁移验收报告》后，供应商向采购人申请支付合同价的50%及对应税额。</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2．采购人出具《OA系统迁移符合安全可靠测评设备环境验收报告》后，供应商向采购人申请支付合同价的25%及对应税额。</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3．采购人出具《OA系统优化验收报告》后，供应商向采购人申请支付合同价的20%及对应税额。</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4．剩余5%的合同价及对应税额作为质保金，质保期届满后，供应商向采购人申请支付质保金。系统无质量问题、供应商无违约行为且按照本合同约定提供质保服务的，采购人将质保金无息支付给供应商。如质保期内供应商未能按合同约定提供质保服务的，在质保期满后由采购人根据供应商实际履行质保服务情况与供应商结算质保。</w:t>
      </w:r>
    </w:p>
    <w:p>
      <w:pPr>
        <w:pStyle w:val="24"/>
        <w:autoSpaceDE/>
        <w:autoSpaceDN/>
        <w:adjustRightInd/>
        <w:spacing w:before="0" w:beforeLines="0" w:after="0" w:afterLines="0" w:line="360" w:lineRule="auto"/>
        <w:ind w:firstLine="480"/>
        <w:rPr>
          <w:rFonts w:ascii="宋体" w:hAnsi="宋体"/>
          <w:sz w:val="24"/>
          <w:szCs w:val="24"/>
          <w:highlight w:val="none"/>
        </w:rPr>
      </w:pPr>
      <w:r>
        <w:rPr>
          <w:rFonts w:hint="eastAsia" w:ascii="宋体" w:hAnsi="宋体"/>
          <w:sz w:val="24"/>
          <w:szCs w:val="24"/>
          <w:highlight w:val="none"/>
        </w:rPr>
        <w:t>供应商每次请款需向采购人提交请款报告及合法、请款金额等额、有效的增值税专用发票，采购人在收到前述材料后20个工作日完成款项支付工作。</w:t>
      </w:r>
    </w:p>
    <w:p>
      <w:pPr>
        <w:pStyle w:val="24"/>
        <w:autoSpaceDE/>
        <w:autoSpaceDN/>
        <w:adjustRightInd/>
        <w:spacing w:before="0" w:beforeLines="0" w:after="0" w:afterLines="0" w:line="600" w:lineRule="exact"/>
        <w:ind w:firstLine="0" w:firstLineChars="0"/>
        <w:rPr>
          <w:rFonts w:ascii="Times New Roman" w:hAnsi="Times New Roman" w:eastAsia="仿宋_GB2312"/>
          <w:sz w:val="32"/>
          <w:szCs w:val="32"/>
          <w:highlight w:val="none"/>
        </w:rPr>
      </w:pPr>
    </w:p>
    <w:bookmarkEnd w:id="6"/>
    <w:bookmarkEnd w:id="7"/>
    <w:bookmarkEnd w:id="8"/>
    <w:bookmarkEnd w:id="9"/>
    <w:p>
      <w:pPr>
        <w:widowControl/>
        <w:spacing w:line="360" w:lineRule="auto"/>
        <w:rPr>
          <w:rFonts w:hAnsi="宋体" w:cs="宋体"/>
          <w:highlight w:val="none"/>
        </w:rPr>
      </w:pPr>
    </w:p>
    <w:p>
      <w:pPr>
        <w:widowControl/>
        <w:spacing w:line="360" w:lineRule="auto"/>
        <w:rPr>
          <w:rFonts w:hAnsi="宋体" w:cs="宋体"/>
          <w:highlight w:val="none"/>
        </w:rPr>
      </w:pPr>
    </w:p>
    <w:p>
      <w:pPr>
        <w:widowControl/>
        <w:spacing w:line="360" w:lineRule="auto"/>
        <w:rPr>
          <w:rFonts w:hAnsi="宋体" w:cs="宋体"/>
          <w:highlight w:val="none"/>
        </w:rPr>
      </w:pPr>
    </w:p>
    <w:p>
      <w:pPr>
        <w:spacing w:line="360" w:lineRule="auto"/>
        <w:jc w:val="center"/>
        <w:outlineLvl w:val="0"/>
        <w:rPr>
          <w:rFonts w:ascii="黑体" w:hAnsi="黑体" w:eastAsia="黑体" w:cs="黑体"/>
          <w:sz w:val="40"/>
          <w:szCs w:val="40"/>
          <w:highlight w:val="none"/>
        </w:rPr>
      </w:pPr>
      <w:bookmarkStart w:id="10" w:name="_Toc18353"/>
      <w:r>
        <w:rPr>
          <w:rFonts w:hint="eastAsia" w:ascii="黑体" w:hAnsi="黑体" w:eastAsia="黑体" w:cs="黑体"/>
          <w:sz w:val="40"/>
          <w:szCs w:val="40"/>
          <w:highlight w:val="none"/>
        </w:rPr>
        <w:t>附件一OA系统运行情况监测报告</w:t>
      </w:r>
      <w:bookmarkEnd w:id="10"/>
    </w:p>
    <w:p>
      <w:pPr>
        <w:pStyle w:val="13"/>
        <w:widowControl/>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概述</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报告目的与范围</w:t>
      </w:r>
    </w:p>
    <w:p>
      <w:pPr>
        <w:widowControl/>
        <w:spacing w:line="360" w:lineRule="auto"/>
        <w:ind w:left="240" w:leftChars="100"/>
        <w:rPr>
          <w:rFonts w:hAnsi="宋体" w:cs="宋体"/>
          <w:highlight w:val="none"/>
        </w:rPr>
      </w:pPr>
      <w:r>
        <w:rPr>
          <w:rFonts w:hint="eastAsia" w:hAnsi="宋体" w:cs="宋体"/>
          <w:spacing w:val="6"/>
          <w:highlight w:val="none"/>
        </w:rPr>
        <w:t>监测时间周期</w:t>
      </w:r>
    </w:p>
    <w:p>
      <w:pPr>
        <w:widowControl/>
        <w:spacing w:line="360" w:lineRule="auto"/>
        <w:ind w:left="240" w:leftChars="100"/>
        <w:rPr>
          <w:rFonts w:hAnsi="宋体" w:cs="宋体"/>
          <w:highlight w:val="none"/>
        </w:rPr>
      </w:pPr>
      <w:r>
        <w:rPr>
          <w:rFonts w:hint="eastAsia" w:hAnsi="宋体" w:cs="宋体"/>
          <w:spacing w:val="6"/>
          <w:highlight w:val="none"/>
        </w:rPr>
        <w:t>监测工具和技术</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系统性能</w:t>
      </w:r>
      <w:r>
        <w:rPr>
          <w:rFonts w:hint="eastAsia" w:hAnsi="宋体" w:cs="宋体"/>
          <w:spacing w:val="6"/>
          <w:highlight w:val="none"/>
        </w:rPr>
        <w:t>：</w:t>
      </w:r>
    </w:p>
    <w:p>
      <w:pPr>
        <w:widowControl/>
        <w:spacing w:line="360" w:lineRule="auto"/>
        <w:ind w:left="240" w:leftChars="100"/>
        <w:rPr>
          <w:rFonts w:hAnsi="宋体" w:cs="宋体"/>
          <w:highlight w:val="none"/>
        </w:rPr>
      </w:pPr>
      <w:r>
        <w:rPr>
          <w:rFonts w:hint="eastAsia" w:hAnsi="宋体" w:cs="宋体"/>
          <w:spacing w:val="6"/>
          <w:highlight w:val="none"/>
        </w:rPr>
        <w:t>响应时间：用户请求的平均响应时间</w:t>
      </w:r>
    </w:p>
    <w:p>
      <w:pPr>
        <w:widowControl/>
        <w:spacing w:line="360" w:lineRule="auto"/>
        <w:ind w:left="240" w:leftChars="100"/>
        <w:rPr>
          <w:rFonts w:hAnsi="宋体" w:cs="宋体"/>
          <w:highlight w:val="none"/>
        </w:rPr>
      </w:pPr>
      <w:r>
        <w:rPr>
          <w:rFonts w:hint="eastAsia" w:hAnsi="宋体" w:cs="宋体"/>
          <w:spacing w:val="6"/>
          <w:highlight w:val="none"/>
        </w:rPr>
        <w:t>吞吐量：系统每秒能处理的事务数量</w:t>
      </w:r>
    </w:p>
    <w:p>
      <w:pPr>
        <w:widowControl/>
        <w:spacing w:line="360" w:lineRule="auto"/>
        <w:ind w:left="240" w:leftChars="100"/>
        <w:rPr>
          <w:rFonts w:hAnsi="宋体" w:cs="宋体"/>
          <w:highlight w:val="none"/>
        </w:rPr>
      </w:pPr>
      <w:r>
        <w:rPr>
          <w:rFonts w:hint="eastAsia" w:hAnsi="宋体" w:cs="宋体"/>
          <w:spacing w:val="6"/>
          <w:highlight w:val="none"/>
        </w:rPr>
        <w:t>CPU使用率：处理器资源的占用情况</w:t>
      </w:r>
    </w:p>
    <w:p>
      <w:pPr>
        <w:widowControl/>
        <w:spacing w:line="360" w:lineRule="auto"/>
        <w:ind w:left="240" w:leftChars="100"/>
        <w:rPr>
          <w:rFonts w:hAnsi="宋体" w:cs="宋体"/>
          <w:highlight w:val="none"/>
        </w:rPr>
      </w:pPr>
      <w:r>
        <w:rPr>
          <w:rFonts w:hint="eastAsia" w:hAnsi="宋体" w:cs="宋体"/>
          <w:spacing w:val="6"/>
          <w:highlight w:val="none"/>
        </w:rPr>
        <w:t>内存使用率：内存资源的占用情况</w:t>
      </w:r>
    </w:p>
    <w:p>
      <w:pPr>
        <w:widowControl/>
        <w:spacing w:line="360" w:lineRule="auto"/>
        <w:ind w:left="240" w:leftChars="100"/>
        <w:rPr>
          <w:rFonts w:hAnsi="宋体" w:cs="宋体"/>
          <w:highlight w:val="none"/>
        </w:rPr>
      </w:pPr>
      <w:r>
        <w:rPr>
          <w:rFonts w:hint="eastAsia" w:hAnsi="宋体" w:cs="宋体"/>
          <w:spacing w:val="6"/>
          <w:highlight w:val="none"/>
        </w:rPr>
        <w:t>存储空间：硬盘等存储设备的使用情况</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稳定性与可靠性</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长时间运行测试结果：系统连续运行时的表现</w:t>
      </w:r>
    </w:p>
    <w:p>
      <w:pPr>
        <w:widowControl/>
        <w:spacing w:line="360" w:lineRule="auto"/>
        <w:ind w:left="240" w:leftChars="100"/>
        <w:rPr>
          <w:rFonts w:hAnsi="宋体" w:cs="宋体"/>
          <w:spacing w:val="6"/>
          <w:highlight w:val="none"/>
        </w:rPr>
      </w:pPr>
      <w:r>
        <w:rPr>
          <w:rFonts w:hint="eastAsia" w:hAnsi="宋体" w:cs="宋体"/>
          <w:spacing w:val="6"/>
          <w:highlight w:val="none"/>
        </w:rPr>
        <w:t>高负载测试结果：在高并发情况下系统的处理能力</w:t>
      </w:r>
    </w:p>
    <w:p>
      <w:pPr>
        <w:widowControl/>
        <w:spacing w:line="360" w:lineRule="auto"/>
        <w:ind w:left="240" w:leftChars="100"/>
        <w:rPr>
          <w:rFonts w:hAnsi="宋体" w:cs="宋体"/>
          <w:spacing w:val="6"/>
          <w:highlight w:val="none"/>
        </w:rPr>
      </w:pPr>
      <w:r>
        <w:rPr>
          <w:rFonts w:hint="eastAsia" w:hAnsi="宋体" w:cs="宋体"/>
          <w:spacing w:val="6"/>
          <w:highlight w:val="none"/>
        </w:rPr>
        <w:t>故障恢复时间：发生故障时系统恢复到正常工作状态所需的时间</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安全性检查</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安全漏洞扫描结果</w:t>
      </w:r>
    </w:p>
    <w:p>
      <w:pPr>
        <w:widowControl/>
        <w:spacing w:line="360" w:lineRule="auto"/>
        <w:ind w:left="240" w:leftChars="100"/>
        <w:rPr>
          <w:rFonts w:hAnsi="宋体" w:cs="宋体"/>
          <w:spacing w:val="6"/>
          <w:highlight w:val="none"/>
        </w:rPr>
      </w:pPr>
      <w:r>
        <w:rPr>
          <w:rFonts w:hint="eastAsia" w:hAnsi="宋体" w:cs="宋体"/>
          <w:spacing w:val="6"/>
          <w:highlight w:val="none"/>
        </w:rPr>
        <w:t>非法访问尝试记录</w:t>
      </w:r>
    </w:p>
    <w:p>
      <w:pPr>
        <w:widowControl/>
        <w:spacing w:line="360" w:lineRule="auto"/>
        <w:ind w:left="240" w:leftChars="100"/>
        <w:rPr>
          <w:rFonts w:hAnsi="宋体" w:cs="宋体"/>
          <w:spacing w:val="6"/>
          <w:highlight w:val="none"/>
        </w:rPr>
      </w:pPr>
      <w:r>
        <w:rPr>
          <w:rFonts w:hint="eastAsia" w:hAnsi="宋体" w:cs="宋体"/>
          <w:spacing w:val="6"/>
          <w:highlight w:val="none"/>
        </w:rPr>
        <w:t>数据加密和备份策略执行情况</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优化建议</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基于监测结果提出的改进措施</w:t>
      </w:r>
    </w:p>
    <w:p>
      <w:pPr>
        <w:widowControl/>
        <w:spacing w:line="360" w:lineRule="auto"/>
        <w:ind w:left="240" w:leftChars="100"/>
        <w:rPr>
          <w:rFonts w:hAnsi="宋体" w:cs="宋体"/>
          <w:spacing w:val="6"/>
          <w:highlight w:val="none"/>
        </w:rPr>
      </w:pPr>
      <w:r>
        <w:rPr>
          <w:rFonts w:hint="eastAsia" w:hAnsi="宋体" w:cs="宋体"/>
          <w:spacing w:val="6"/>
          <w:highlight w:val="none"/>
        </w:rPr>
        <w:t>预计优化效果和实施时间表</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结论</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系统是否满足既定的性能标准</w:t>
      </w:r>
    </w:p>
    <w:p>
      <w:pPr>
        <w:widowControl/>
        <w:spacing w:line="360" w:lineRule="auto"/>
        <w:ind w:left="240" w:leftChars="100"/>
        <w:rPr>
          <w:rFonts w:hAnsi="宋体" w:cs="宋体"/>
          <w:spacing w:val="6"/>
          <w:highlight w:val="none"/>
        </w:rPr>
      </w:pPr>
      <w:r>
        <w:rPr>
          <w:rFonts w:hint="eastAsia" w:hAnsi="宋体" w:cs="宋体"/>
          <w:spacing w:val="6"/>
          <w:highlight w:val="none"/>
        </w:rPr>
        <w:t>是否存在需要立即解决的问题</w:t>
      </w:r>
    </w:p>
    <w:p>
      <w:pPr>
        <w:pStyle w:val="13"/>
        <w:numPr>
          <w:ilvl w:val="0"/>
          <w:numId w:val="5"/>
        </w:numPr>
        <w:spacing w:beforeAutospacing="0" w:afterAutospacing="0" w:line="360" w:lineRule="auto"/>
        <w:ind w:left="0"/>
        <w:rPr>
          <w:rFonts w:hAnsi="宋体" w:cs="宋体"/>
          <w:highlight w:val="none"/>
        </w:rPr>
      </w:pPr>
      <w:r>
        <w:rPr>
          <w:rStyle w:val="18"/>
          <w:rFonts w:hint="eastAsia" w:hAnsi="宋体" w:cs="宋体"/>
          <w:bCs/>
          <w:spacing w:val="6"/>
          <w:highlight w:val="none"/>
        </w:rPr>
        <w:t>附件</w:t>
      </w:r>
      <w:r>
        <w:rPr>
          <w:rFonts w:hint="eastAsia" w:hAnsi="宋体" w:cs="宋体"/>
          <w:spacing w:val="6"/>
          <w:highlight w:val="none"/>
        </w:rPr>
        <w:t>：</w:t>
      </w:r>
    </w:p>
    <w:p>
      <w:pPr>
        <w:widowControl/>
        <w:spacing w:line="360" w:lineRule="auto"/>
        <w:ind w:left="240" w:leftChars="100"/>
        <w:rPr>
          <w:rFonts w:hAnsi="宋体" w:cs="宋体"/>
          <w:spacing w:val="6"/>
          <w:highlight w:val="none"/>
        </w:rPr>
      </w:pPr>
      <w:r>
        <w:rPr>
          <w:rFonts w:hint="eastAsia" w:hAnsi="宋体" w:cs="宋体"/>
          <w:spacing w:val="6"/>
          <w:highlight w:val="none"/>
        </w:rPr>
        <w:t>监测数据图表</w:t>
      </w:r>
    </w:p>
    <w:p>
      <w:pPr>
        <w:widowControl/>
        <w:spacing w:line="360" w:lineRule="auto"/>
        <w:ind w:left="240" w:leftChars="100"/>
        <w:rPr>
          <w:rFonts w:hAnsi="宋体" w:cs="宋体"/>
          <w:spacing w:val="6"/>
          <w:highlight w:val="none"/>
        </w:rPr>
      </w:pPr>
      <w:r>
        <w:rPr>
          <w:rFonts w:hint="eastAsia" w:hAnsi="宋体" w:cs="宋体"/>
          <w:spacing w:val="6"/>
          <w:highlight w:val="none"/>
        </w:rPr>
        <w:t>日志文件摘要</w:t>
      </w:r>
    </w:p>
    <w:p>
      <w:pPr>
        <w:widowControl/>
        <w:spacing w:line="360" w:lineRule="auto"/>
        <w:ind w:left="240" w:leftChars="100"/>
        <w:rPr>
          <w:rFonts w:hAnsi="宋体" w:cs="宋体"/>
          <w:spacing w:val="6"/>
          <w:sz w:val="21"/>
          <w:szCs w:val="21"/>
          <w:highlight w:val="none"/>
        </w:rPr>
      </w:pPr>
      <w:r>
        <w:rPr>
          <w:rFonts w:hint="eastAsia" w:hAnsi="宋体" w:cs="宋体"/>
          <w:spacing w:val="6"/>
          <w:sz w:val="21"/>
          <w:szCs w:val="21"/>
          <w:highlight w:val="none"/>
        </w:rPr>
        <w:t>相关技术文档引用</w:t>
      </w:r>
    </w:p>
    <w:p>
      <w:pPr>
        <w:widowControl/>
        <w:spacing w:line="360" w:lineRule="auto"/>
        <w:rPr>
          <w:rFonts w:hAnsi="宋体" w:cs="宋体"/>
          <w:highlight w:val="none"/>
        </w:rPr>
      </w:pPr>
    </w:p>
    <w:p>
      <w:pPr>
        <w:widowControl/>
        <w:spacing w:line="360" w:lineRule="auto"/>
        <w:rPr>
          <w:rFonts w:hAnsi="宋体" w:cs="宋体"/>
          <w:highlight w:val="none"/>
        </w:rPr>
      </w:pPr>
      <w:r>
        <w:rPr>
          <w:rFonts w:hint="eastAsia" w:hAnsi="宋体" w:cs="宋体"/>
          <w:highlight w:val="none"/>
        </w:rPr>
        <w:br w:type="page"/>
      </w:r>
    </w:p>
    <w:p>
      <w:pPr>
        <w:pStyle w:val="3"/>
        <w:spacing w:before="0" w:after="0"/>
        <w:jc w:val="center"/>
        <w:rPr>
          <w:rFonts w:hAnsi="宋体" w:cs="宋体"/>
          <w:szCs w:val="32"/>
          <w:highlight w:val="none"/>
        </w:rPr>
      </w:pPr>
      <w:bookmarkStart w:id="11" w:name="_Toc27990830"/>
      <w:bookmarkStart w:id="12" w:name="_Toc29476692"/>
      <w:r>
        <w:rPr>
          <w:rFonts w:hint="eastAsia" w:hAnsi="宋体" w:cs="宋体"/>
          <w:szCs w:val="32"/>
          <w:highlight w:val="none"/>
        </w:rPr>
        <w:t>第三章 合同条款</w:t>
      </w:r>
      <w:bookmarkEnd w:id="11"/>
      <w:bookmarkEnd w:id="12"/>
    </w:p>
    <w:p>
      <w:pPr>
        <w:wordWrap w:val="0"/>
        <w:spacing w:line="360" w:lineRule="auto"/>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合同编号：</w:t>
      </w:r>
      <w:r>
        <w:rPr>
          <w:color w:val="000000" w:themeColor="text1"/>
          <w:highlight w:val="none"/>
          <w14:textFill>
            <w14:solidFill>
              <w14:schemeClr w14:val="tx1"/>
            </w14:solidFill>
          </w14:textFill>
        </w:rPr>
        <w:t xml:space="preserve">     </w:t>
      </w:r>
    </w:p>
    <w:p>
      <w:pPr>
        <w:spacing w:line="360" w:lineRule="auto"/>
        <w:jc w:val="cente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spacing w:line="840" w:lineRule="exact"/>
        <w:rPr>
          <w:color w:val="000000" w:themeColor="text1"/>
          <w:highlight w:val="none"/>
          <w14:textFill>
            <w14:solidFill>
              <w14:schemeClr w14:val="tx1"/>
            </w14:solidFill>
          </w14:textFill>
        </w:rPr>
      </w:pPr>
    </w:p>
    <w:p>
      <w:pPr>
        <w:spacing w:line="480" w:lineRule="auto"/>
        <w:ind w:left="-142" w:leftChars="-59"/>
        <w:jc w:val="center"/>
        <w:rPr>
          <w:rFonts w:ascii="Times New Roman"/>
          <w:b/>
          <w:sz w:val="44"/>
          <w:szCs w:val="44"/>
          <w:highlight w:val="none"/>
        </w:rPr>
      </w:pPr>
      <w:r>
        <w:rPr>
          <w:rFonts w:hint="eastAsia" w:ascii="Times New Roman"/>
          <w:b/>
          <w:sz w:val="44"/>
          <w:szCs w:val="44"/>
          <w:highlight w:val="none"/>
        </w:rPr>
        <w:t>东莞市水务集团有限公司</w:t>
      </w:r>
    </w:p>
    <w:p>
      <w:pPr>
        <w:spacing w:line="480" w:lineRule="auto"/>
        <w:ind w:left="-142" w:leftChars="-59"/>
        <w:jc w:val="center"/>
        <w:rPr>
          <w:rFonts w:ascii="Times New Roman"/>
          <w:b/>
          <w:sz w:val="44"/>
          <w:szCs w:val="44"/>
          <w:highlight w:val="none"/>
        </w:rPr>
      </w:pPr>
      <w:r>
        <w:rPr>
          <w:rFonts w:hint="eastAsia" w:ascii="Times New Roman"/>
          <w:b/>
          <w:sz w:val="44"/>
          <w:szCs w:val="44"/>
          <w:highlight w:val="none"/>
        </w:rPr>
        <w:t>OA系统信息安全加固项目合同</w:t>
      </w:r>
    </w:p>
    <w:p>
      <w:pPr>
        <w:spacing w:line="360" w:lineRule="auto"/>
        <w:rPr>
          <w:rFonts w:ascii="Times New Roman"/>
          <w:highlight w:val="none"/>
        </w:rPr>
      </w:pPr>
    </w:p>
    <w:p>
      <w:pPr>
        <w:spacing w:line="360" w:lineRule="auto"/>
        <w:rPr>
          <w:rFonts w:ascii="Times New Roman"/>
          <w:highlight w:val="none"/>
        </w:rPr>
      </w:pPr>
    </w:p>
    <w:p>
      <w:pPr>
        <w:spacing w:line="360" w:lineRule="auto"/>
        <w:rPr>
          <w:rFonts w:ascii="Times New Roman"/>
          <w:highlight w:val="none"/>
        </w:rPr>
      </w:pPr>
    </w:p>
    <w:p>
      <w:pPr>
        <w:spacing w:line="360" w:lineRule="auto"/>
        <w:jc w:val="center"/>
        <w:rPr>
          <w:rFonts w:ascii="Times New Roman"/>
          <w:highlight w:val="none"/>
        </w:rPr>
      </w:pPr>
    </w:p>
    <w:p>
      <w:pPr>
        <w:spacing w:line="360" w:lineRule="auto"/>
        <w:jc w:val="center"/>
        <w:rPr>
          <w:rFonts w:ascii="Times New Roman"/>
          <w:highlight w:val="none"/>
        </w:rPr>
      </w:pPr>
    </w:p>
    <w:p>
      <w:pPr>
        <w:spacing w:line="360" w:lineRule="auto"/>
        <w:jc w:val="center"/>
        <w:rPr>
          <w:rFonts w:ascii="Times New Roman"/>
          <w:highlight w:val="none"/>
        </w:rPr>
      </w:pPr>
    </w:p>
    <w:p>
      <w:pPr>
        <w:spacing w:line="360" w:lineRule="auto"/>
        <w:rPr>
          <w:rFonts w:ascii="Times New Roman"/>
          <w:highlight w:val="none"/>
        </w:rPr>
      </w:pPr>
    </w:p>
    <w:p>
      <w:pPr>
        <w:spacing w:line="360" w:lineRule="auto"/>
        <w:jc w:val="center"/>
        <w:rPr>
          <w:rFonts w:ascii="Times New Roman"/>
          <w:highlight w:val="none"/>
        </w:rPr>
      </w:pPr>
    </w:p>
    <w:p>
      <w:pPr>
        <w:spacing w:line="360" w:lineRule="auto"/>
        <w:rPr>
          <w:rFonts w:ascii="Times New Roman"/>
          <w:highlight w:val="none"/>
        </w:rPr>
      </w:pPr>
      <w:r>
        <w:rPr>
          <w:rFonts w:hint="eastAsia" w:ascii="Times New Roman"/>
          <w:sz w:val="30"/>
          <w:szCs w:val="30"/>
          <w:highlight w:val="none"/>
        </w:rPr>
        <w:t xml:space="preserve">                             </w:t>
      </w:r>
    </w:p>
    <w:p>
      <w:pPr>
        <w:spacing w:line="360" w:lineRule="auto"/>
        <w:rPr>
          <w:rFonts w:ascii="Times New Roman"/>
          <w:highlight w:val="none"/>
        </w:rPr>
      </w:pPr>
    </w:p>
    <w:p>
      <w:pPr>
        <w:spacing w:line="360" w:lineRule="auto"/>
        <w:ind w:firstLine="1800" w:firstLineChars="600"/>
        <w:rPr>
          <w:rFonts w:ascii="Times New Roman"/>
          <w:b/>
          <w:bCs/>
          <w:sz w:val="30"/>
          <w:szCs w:val="30"/>
          <w:highlight w:val="none"/>
          <w:u w:val="single"/>
        </w:rPr>
      </w:pPr>
      <w:r>
        <w:rPr>
          <w:rFonts w:hint="eastAsia" w:ascii="Times New Roman"/>
          <w:sz w:val="30"/>
          <w:szCs w:val="30"/>
          <w:highlight w:val="none"/>
        </w:rPr>
        <w:t>甲方：</w:t>
      </w:r>
      <w:r>
        <w:rPr>
          <w:rFonts w:hint="eastAsia" w:ascii="Times New Roman"/>
          <w:sz w:val="30"/>
          <w:szCs w:val="30"/>
          <w:highlight w:val="none"/>
          <w:u w:val="single"/>
        </w:rPr>
        <w:t xml:space="preserve">                               </w:t>
      </w:r>
    </w:p>
    <w:p>
      <w:pPr>
        <w:spacing w:line="360" w:lineRule="auto"/>
        <w:ind w:firstLine="1800" w:firstLineChars="600"/>
        <w:rPr>
          <w:rFonts w:ascii="Times New Roman"/>
          <w:sz w:val="30"/>
          <w:szCs w:val="30"/>
          <w:highlight w:val="none"/>
        </w:rPr>
      </w:pPr>
    </w:p>
    <w:p>
      <w:pPr>
        <w:spacing w:line="360" w:lineRule="auto"/>
        <w:ind w:firstLine="1800" w:firstLineChars="600"/>
        <w:rPr>
          <w:rFonts w:ascii="Times New Roman"/>
          <w:sz w:val="30"/>
          <w:szCs w:val="30"/>
          <w:highlight w:val="none"/>
        </w:rPr>
      </w:pPr>
      <w:r>
        <w:rPr>
          <w:rFonts w:hint="eastAsia" w:ascii="Times New Roman"/>
          <w:sz w:val="30"/>
          <w:szCs w:val="30"/>
          <w:highlight w:val="none"/>
        </w:rPr>
        <w:t>乙方：</w:t>
      </w:r>
      <w:r>
        <w:rPr>
          <w:rFonts w:ascii="Times New Roman"/>
          <w:color w:val="000000"/>
          <w:sz w:val="30"/>
          <w:szCs w:val="30"/>
          <w:highlight w:val="none"/>
        </w:rPr>
        <w:t xml:space="preserve"> </w:t>
      </w:r>
      <w:r>
        <w:rPr>
          <w:rFonts w:ascii="Times New Roman"/>
          <w:color w:val="000000"/>
          <w:sz w:val="30"/>
          <w:szCs w:val="30"/>
          <w:highlight w:val="none"/>
          <w:u w:val="single"/>
        </w:rPr>
        <w:t xml:space="preserve">     </w:t>
      </w:r>
      <w:r>
        <w:rPr>
          <w:rFonts w:hint="eastAsia" w:ascii="Times New Roman"/>
          <w:color w:val="000000"/>
          <w:sz w:val="30"/>
          <w:szCs w:val="30"/>
          <w:highlight w:val="none"/>
          <w:u w:val="single"/>
        </w:rPr>
        <w:t xml:space="preserve">                         </w:t>
      </w:r>
      <w:r>
        <w:rPr>
          <w:rFonts w:ascii="Times New Roman"/>
          <w:color w:val="000000"/>
          <w:sz w:val="30"/>
          <w:szCs w:val="30"/>
          <w:highlight w:val="none"/>
          <w:u w:val="single"/>
        </w:rPr>
        <w:t xml:space="preserve"> </w:t>
      </w:r>
    </w:p>
    <w:p>
      <w:pPr>
        <w:spacing w:line="360" w:lineRule="auto"/>
        <w:rPr>
          <w:rFonts w:ascii="Times New Roman"/>
          <w:sz w:val="30"/>
          <w:szCs w:val="30"/>
          <w:highlight w:val="none"/>
          <w:u w:val="single"/>
        </w:rPr>
      </w:pPr>
    </w:p>
    <w:p>
      <w:pPr>
        <w:spacing w:line="360" w:lineRule="auto"/>
        <w:ind w:firstLine="1800" w:firstLineChars="600"/>
        <w:rPr>
          <w:rFonts w:ascii="Times New Roman"/>
          <w:highlight w:val="none"/>
        </w:rPr>
      </w:pPr>
      <w:r>
        <w:rPr>
          <w:rFonts w:hint="eastAsia" w:ascii="Times New Roman"/>
          <w:sz w:val="30"/>
          <w:szCs w:val="30"/>
          <w:highlight w:val="none"/>
        </w:rPr>
        <w:t>签订日期：</w:t>
      </w:r>
      <w:r>
        <w:rPr>
          <w:rFonts w:ascii="Times New Roman"/>
          <w:highlight w:val="none"/>
        </w:rPr>
        <w:t xml:space="preserve"> </w:t>
      </w:r>
      <w:r>
        <w:rPr>
          <w:rFonts w:ascii="Times New Roman"/>
          <w:highlight w:val="none"/>
        </w:rPr>
        <w:br w:type="page"/>
      </w:r>
      <w:r>
        <w:rPr>
          <w:rFonts w:hint="eastAsia" w:ascii="Times New Roman"/>
          <w:b/>
          <w:bCs/>
          <w:highlight w:val="none"/>
        </w:rPr>
        <w:t>甲</w:t>
      </w:r>
      <w:r>
        <w:rPr>
          <w:rFonts w:hint="eastAsia" w:ascii="Times New Roman"/>
          <w:b/>
          <w:highlight w:val="none"/>
        </w:rPr>
        <w:t>方：</w:t>
      </w:r>
      <w:r>
        <w:rPr>
          <w:rFonts w:hint="eastAsia" w:ascii="Times New Roman"/>
          <w:highlight w:val="none"/>
          <w:u w:val="single"/>
        </w:rPr>
        <w:t>东莞市水务集团有限公司</w:t>
      </w:r>
    </w:p>
    <w:p>
      <w:pPr>
        <w:spacing w:line="360" w:lineRule="auto"/>
        <w:rPr>
          <w:rFonts w:ascii="Times New Roman"/>
          <w:highlight w:val="none"/>
        </w:rPr>
      </w:pPr>
      <w:r>
        <w:rPr>
          <w:rFonts w:hint="eastAsia" w:ascii="Times New Roman"/>
          <w:highlight w:val="none"/>
        </w:rPr>
        <w:t>地址：</w:t>
      </w:r>
      <w:r>
        <w:rPr>
          <w:rFonts w:hint="eastAsia" w:ascii="Times New Roman"/>
          <w:highlight w:val="none"/>
          <w:u w:val="single"/>
        </w:rPr>
        <w:t xml:space="preserve">东莞市东城街道育华路1号 </w:t>
      </w:r>
      <w:r>
        <w:rPr>
          <w:rFonts w:hint="eastAsia" w:ascii="Times New Roman"/>
          <w:highlight w:val="none"/>
        </w:rPr>
        <w:t xml:space="preserve"> </w:t>
      </w:r>
    </w:p>
    <w:p>
      <w:pPr>
        <w:spacing w:line="360" w:lineRule="auto"/>
        <w:rPr>
          <w:rFonts w:ascii="Times New Roman"/>
          <w:color w:val="000000"/>
          <w:highlight w:val="none"/>
        </w:rPr>
      </w:pPr>
      <w:r>
        <w:rPr>
          <w:rFonts w:hint="eastAsia" w:ascii="Times New Roman"/>
          <w:b/>
          <w:color w:val="000000"/>
          <w:highlight w:val="none"/>
        </w:rPr>
        <w:t>乙方：</w:t>
      </w:r>
      <w:r>
        <w:rPr>
          <w:rFonts w:hint="eastAsia" w:ascii="Times New Roman"/>
          <w:bCs/>
          <w:color w:val="000000"/>
          <w:highlight w:val="none"/>
          <w:u w:val="single"/>
        </w:rPr>
        <w:t xml:space="preserve">                                              </w:t>
      </w:r>
    </w:p>
    <w:p>
      <w:pPr>
        <w:spacing w:line="360" w:lineRule="auto"/>
        <w:rPr>
          <w:rFonts w:ascii="Times New Roman"/>
          <w:color w:val="000000"/>
          <w:highlight w:val="none"/>
          <w:u w:val="single"/>
        </w:rPr>
      </w:pPr>
      <w:r>
        <w:rPr>
          <w:rFonts w:hint="eastAsia" w:ascii="Times New Roman"/>
          <w:color w:val="000000"/>
          <w:highlight w:val="none"/>
        </w:rPr>
        <w:t>地址：</w:t>
      </w:r>
      <w:r>
        <w:rPr>
          <w:rFonts w:hint="eastAsia" w:ascii="Times New Roman"/>
          <w:color w:val="000000"/>
          <w:highlight w:val="none"/>
          <w:u w:val="single"/>
        </w:rPr>
        <w:t xml:space="preserve">                                              </w:t>
      </w:r>
    </w:p>
    <w:p>
      <w:pPr>
        <w:spacing w:line="360" w:lineRule="auto"/>
        <w:ind w:firstLine="480" w:firstLineChars="200"/>
        <w:rPr>
          <w:rFonts w:ascii="Times New Roman"/>
          <w:highlight w:val="none"/>
        </w:rPr>
      </w:pPr>
    </w:p>
    <w:p>
      <w:pPr>
        <w:spacing w:line="360" w:lineRule="auto"/>
        <w:ind w:firstLine="480" w:firstLineChars="200"/>
        <w:rPr>
          <w:rFonts w:ascii="Times New Roman"/>
          <w:highlight w:val="none"/>
        </w:rPr>
      </w:pPr>
      <w:r>
        <w:rPr>
          <w:rFonts w:hint="eastAsia" w:ascii="Times New Roman"/>
          <w:highlight w:val="none"/>
        </w:rPr>
        <w:t>经甲方询价采购，现确定甲方向乙方采购</w:t>
      </w:r>
      <w:r>
        <w:rPr>
          <w:rFonts w:hint="eastAsia" w:ascii="Times New Roman"/>
          <w:highlight w:val="none"/>
          <w:u w:val="single"/>
        </w:rPr>
        <w:t>OA系统信息安全加固服务</w:t>
      </w:r>
      <w:r>
        <w:rPr>
          <w:rFonts w:hint="eastAsia" w:ascii="Times New Roman"/>
          <w:highlight w:val="none"/>
        </w:rPr>
        <w:t>。根据《中华人民共和国民法典》等法律、法规的规定，经双方平等协商，双方就</w:t>
      </w:r>
      <w:r>
        <w:rPr>
          <w:rFonts w:hint="eastAsia" w:ascii="Times New Roman"/>
          <w:highlight w:val="none"/>
          <w:u w:val="single"/>
        </w:rPr>
        <w:t>OA系统信息安全加固服务</w:t>
      </w:r>
      <w:r>
        <w:rPr>
          <w:rFonts w:hint="eastAsia" w:ascii="Times New Roman"/>
          <w:highlight w:val="none"/>
        </w:rPr>
        <w:t>（以下称</w:t>
      </w:r>
      <w:r>
        <w:rPr>
          <w:rFonts w:ascii="Times New Roman"/>
          <w:highlight w:val="none"/>
        </w:rPr>
        <w:t>“</w:t>
      </w:r>
      <w:r>
        <w:rPr>
          <w:rFonts w:hint="eastAsia" w:ascii="Times New Roman"/>
          <w:highlight w:val="none"/>
        </w:rPr>
        <w:t>服务</w:t>
      </w:r>
      <w:r>
        <w:rPr>
          <w:rFonts w:ascii="Times New Roman"/>
          <w:highlight w:val="none"/>
        </w:rPr>
        <w:t>”</w:t>
      </w:r>
      <w:r>
        <w:rPr>
          <w:rFonts w:hint="eastAsia" w:ascii="Times New Roman"/>
          <w:highlight w:val="none"/>
        </w:rPr>
        <w:t>）采购事宜，签订本合同。</w:t>
      </w:r>
    </w:p>
    <w:p>
      <w:pPr>
        <w:spacing w:line="360" w:lineRule="auto"/>
        <w:ind w:firstLine="480" w:firstLineChars="200"/>
        <w:rPr>
          <w:rFonts w:ascii="Times New Roman"/>
          <w:highlight w:val="none"/>
        </w:rPr>
      </w:pPr>
    </w:p>
    <w:p>
      <w:pPr>
        <w:autoSpaceDE/>
        <w:autoSpaceDN/>
        <w:adjustRightInd/>
        <w:spacing w:line="360" w:lineRule="auto"/>
        <w:ind w:left="-2" w:leftChars="-1" w:firstLine="2"/>
        <w:jc w:val="both"/>
        <w:outlineLvl w:val="1"/>
        <w:rPr>
          <w:rFonts w:ascii="Times New Roman"/>
          <w:b/>
          <w:highlight w:val="none"/>
        </w:rPr>
      </w:pPr>
      <w:bookmarkStart w:id="13" w:name="_Toc27495478"/>
      <w:r>
        <w:rPr>
          <w:rFonts w:hint="eastAsia" w:ascii="Times New Roman"/>
          <w:b/>
          <w:highlight w:val="none"/>
        </w:rPr>
        <w:t>第一条 采购服务清单</w:t>
      </w:r>
      <w:bookmarkEnd w:id="13"/>
    </w:p>
    <w:p>
      <w:pPr>
        <w:spacing w:line="360" w:lineRule="auto"/>
        <w:ind w:firstLine="480" w:firstLineChars="200"/>
        <w:rPr>
          <w:rFonts w:ascii="Times New Roman"/>
          <w:highlight w:val="none"/>
        </w:rPr>
      </w:pPr>
      <w:r>
        <w:rPr>
          <w:rFonts w:hint="eastAsia" w:ascii="Times New Roman"/>
          <w:highlight w:val="none"/>
        </w:rPr>
        <w:t>服务内容为对甲方</w:t>
      </w:r>
      <w:r>
        <w:rPr>
          <w:rFonts w:hint="eastAsia" w:ascii="Times New Roman"/>
          <w:highlight w:val="none"/>
          <w:u w:val="single"/>
        </w:rPr>
        <w:t>OA系统（致远A8+集团版V8.1SP1）</w:t>
      </w:r>
      <w:r>
        <w:rPr>
          <w:rFonts w:hint="eastAsia" w:ascii="Times New Roman"/>
          <w:highlight w:val="none"/>
        </w:rPr>
        <w:t>进行信息安全加固工作，主要工作包括以下内容：</w:t>
      </w:r>
    </w:p>
    <w:p>
      <w:pPr>
        <w:spacing w:line="360" w:lineRule="auto"/>
        <w:ind w:firstLine="482" w:firstLineChars="200"/>
        <w:rPr>
          <w:rFonts w:ascii="Times New Roman"/>
          <w:b/>
          <w:bCs/>
          <w:highlight w:val="none"/>
        </w:rPr>
      </w:pPr>
      <w:r>
        <w:rPr>
          <w:rFonts w:hint="eastAsia" w:ascii="Times New Roman"/>
          <w:b/>
          <w:bCs/>
          <w:highlight w:val="none"/>
        </w:rPr>
        <w:t>（一）系统升级</w:t>
      </w:r>
    </w:p>
    <w:p>
      <w:pPr>
        <w:spacing w:line="360" w:lineRule="auto"/>
        <w:ind w:firstLine="480" w:firstLineChars="200"/>
        <w:rPr>
          <w:rFonts w:ascii="Times New Roman"/>
          <w:highlight w:val="none"/>
        </w:rPr>
      </w:pPr>
      <w:r>
        <w:rPr>
          <w:rFonts w:hint="eastAsia" w:ascii="Times New Roman"/>
          <w:highlight w:val="none"/>
        </w:rPr>
        <w:t>版本升级：OA系统现版本致远A8+集团版V8.1SP1，升级后确保OA系统兼容已通过国家安全可靠测评的芯片、操作系统和数据库软件，符合国家安全可靠的标准。</w:t>
      </w:r>
    </w:p>
    <w:p>
      <w:pPr>
        <w:spacing w:line="360" w:lineRule="auto"/>
        <w:ind w:firstLine="482" w:firstLineChars="200"/>
        <w:rPr>
          <w:rFonts w:ascii="Times New Roman"/>
          <w:b/>
          <w:bCs/>
          <w:highlight w:val="none"/>
        </w:rPr>
      </w:pPr>
      <w:r>
        <w:rPr>
          <w:rFonts w:hint="eastAsia" w:ascii="Times New Roman"/>
          <w:b/>
          <w:bCs/>
          <w:highlight w:val="none"/>
        </w:rPr>
        <w:t>（二）系统迁移服务</w:t>
      </w:r>
    </w:p>
    <w:p>
      <w:pPr>
        <w:spacing w:line="360" w:lineRule="auto"/>
        <w:ind w:firstLine="480" w:firstLineChars="200"/>
        <w:rPr>
          <w:rFonts w:ascii="Times New Roman"/>
          <w:highlight w:val="none"/>
        </w:rPr>
      </w:pPr>
      <w:r>
        <w:rPr>
          <w:rFonts w:hint="eastAsia" w:ascii="Times New Roman"/>
          <w:highlight w:val="none"/>
        </w:rPr>
        <w:t>1、迁移到虎门临时数据中心</w:t>
      </w:r>
    </w:p>
    <w:p>
      <w:pPr>
        <w:spacing w:line="360" w:lineRule="auto"/>
        <w:ind w:firstLine="480" w:firstLineChars="200"/>
        <w:rPr>
          <w:rFonts w:ascii="Times New Roman"/>
          <w:highlight w:val="none"/>
        </w:rPr>
      </w:pPr>
      <w:r>
        <w:rPr>
          <w:rFonts w:hint="eastAsia" w:ascii="Times New Roman"/>
          <w:highlight w:val="none"/>
        </w:rPr>
        <w:t>（1）应用迁移：将应用从甲方当前集团本部迁移到虎门临时数据中心。</w:t>
      </w:r>
    </w:p>
    <w:p>
      <w:pPr>
        <w:spacing w:line="360" w:lineRule="auto"/>
        <w:ind w:firstLine="480" w:firstLineChars="200"/>
        <w:rPr>
          <w:rFonts w:ascii="Times New Roman"/>
          <w:highlight w:val="none"/>
        </w:rPr>
      </w:pPr>
      <w:r>
        <w:rPr>
          <w:rFonts w:hint="eastAsia" w:ascii="Times New Roman"/>
          <w:highlight w:val="none"/>
        </w:rPr>
        <w:t>（2）数据迁移：包括数据库数据迁移和文件数据迁移，当前OA系统的数据库数据要从原Oracle 11g数据库迁移到人大金仓KingbaseES V8数据库；文件迁移，要求从甲方集团原NAS盘迁移到新的文件存储环境中。</w:t>
      </w:r>
    </w:p>
    <w:p>
      <w:pPr>
        <w:spacing w:line="360" w:lineRule="auto"/>
        <w:ind w:firstLine="480" w:firstLineChars="200"/>
        <w:rPr>
          <w:rFonts w:ascii="Times New Roman"/>
          <w:highlight w:val="none"/>
        </w:rPr>
      </w:pPr>
      <w:r>
        <w:rPr>
          <w:rFonts w:hint="eastAsia" w:ascii="Times New Roman"/>
          <w:highlight w:val="none"/>
        </w:rPr>
        <w:t>（3）集群部署：为了提高系统的可靠性和高可用性，需要在虎门临时数据中心实施OA系统集群部署，包括配置3个服务器形成一个集群，共同执行任务和分担负载。</w:t>
      </w:r>
    </w:p>
    <w:p>
      <w:pPr>
        <w:spacing w:line="360" w:lineRule="auto"/>
        <w:ind w:firstLine="480" w:firstLineChars="200"/>
        <w:rPr>
          <w:rFonts w:ascii="Times New Roman"/>
          <w:highlight w:val="none"/>
        </w:rPr>
      </w:pPr>
      <w:r>
        <w:rPr>
          <w:rFonts w:hint="eastAsia" w:ascii="Times New Roman"/>
          <w:highlight w:val="none"/>
        </w:rPr>
        <w:t>2、迁移到符合安全可靠测评设备环境</w:t>
      </w:r>
    </w:p>
    <w:p>
      <w:pPr>
        <w:spacing w:line="360" w:lineRule="auto"/>
        <w:ind w:firstLine="480" w:firstLineChars="200"/>
        <w:rPr>
          <w:rFonts w:ascii="Times New Roman"/>
          <w:highlight w:val="none"/>
        </w:rPr>
      </w:pPr>
      <w:r>
        <w:rPr>
          <w:rFonts w:hint="eastAsia" w:ascii="Times New Roman"/>
          <w:highlight w:val="none"/>
        </w:rPr>
        <w:t>（1）应用迁移：第二阶段的应用迁移涉及到将应用从虎门临时数据中心迁移到符合安全可靠测评设备环境。</w:t>
      </w:r>
    </w:p>
    <w:p>
      <w:pPr>
        <w:spacing w:line="360" w:lineRule="auto"/>
        <w:ind w:firstLine="480" w:firstLineChars="200"/>
        <w:rPr>
          <w:rFonts w:ascii="Times New Roman"/>
          <w:highlight w:val="none"/>
        </w:rPr>
      </w:pPr>
      <w:r>
        <w:rPr>
          <w:rFonts w:hint="eastAsia" w:ascii="Times New Roman"/>
          <w:highlight w:val="none"/>
        </w:rPr>
        <w:t>（2）数据迁移：数据迁移，要求将数据库从虎门临时数据中心迁移到符合安全可靠测评设备环境；文件迁移，要求从虎门临时数据中心迁移到符合安全可靠测评设备环境。</w:t>
      </w:r>
    </w:p>
    <w:p>
      <w:pPr>
        <w:spacing w:line="360" w:lineRule="auto"/>
        <w:ind w:firstLine="480" w:firstLineChars="200"/>
        <w:rPr>
          <w:rFonts w:ascii="Times New Roman"/>
          <w:highlight w:val="none"/>
        </w:rPr>
      </w:pPr>
      <w:r>
        <w:rPr>
          <w:rFonts w:hint="eastAsia" w:ascii="Times New Roman"/>
          <w:highlight w:val="none"/>
        </w:rPr>
        <w:t>（3）集群优化：在符合安全可靠测评设备环境进一步完善和优化集群部署。根据新数据中心的硬件和网络环境，调整集群配置，实现更高的服务可用性和灾难恢复能力。</w:t>
      </w:r>
    </w:p>
    <w:p>
      <w:pPr>
        <w:spacing w:line="360" w:lineRule="auto"/>
        <w:ind w:firstLine="482" w:firstLineChars="200"/>
        <w:rPr>
          <w:rFonts w:ascii="Times New Roman"/>
          <w:b/>
          <w:bCs/>
          <w:highlight w:val="none"/>
        </w:rPr>
      </w:pPr>
      <w:r>
        <w:rPr>
          <w:rFonts w:hint="eastAsia" w:ascii="Times New Roman"/>
          <w:b/>
          <w:bCs/>
          <w:highlight w:val="none"/>
        </w:rPr>
        <w:t>（三）系统优化</w:t>
      </w:r>
    </w:p>
    <w:p>
      <w:pPr>
        <w:spacing w:line="360" w:lineRule="auto"/>
        <w:ind w:firstLine="480" w:firstLineChars="200"/>
        <w:rPr>
          <w:rFonts w:ascii="Times New Roman"/>
          <w:highlight w:val="none"/>
        </w:rPr>
      </w:pPr>
      <w:r>
        <w:rPr>
          <w:rFonts w:hint="eastAsia" w:ascii="Times New Roman"/>
          <w:highlight w:val="none"/>
        </w:rPr>
        <w:t>1、在线文档插件升级：在线文档插件升级，改进用户在线预览文档和编辑文档的操作方式，提升Web端和移动端的兼容性和集成性，优化文档在线操作的体验。</w:t>
      </w:r>
    </w:p>
    <w:p>
      <w:pPr>
        <w:spacing w:line="360" w:lineRule="auto"/>
        <w:ind w:firstLine="480" w:firstLineChars="200"/>
        <w:rPr>
          <w:rFonts w:ascii="Times New Roman"/>
          <w:highlight w:val="none"/>
        </w:rPr>
      </w:pPr>
      <w:r>
        <w:rPr>
          <w:rFonts w:hint="eastAsia" w:ascii="Times New Roman"/>
          <w:highlight w:val="none"/>
        </w:rPr>
        <w:t>2、移动端零信任集成：在移动端集成深信服零信任网络访问功能，实现安全的内外网访问，保护移动用户的内部资源访问安全。</w:t>
      </w:r>
    </w:p>
    <w:p>
      <w:pPr>
        <w:spacing w:line="360" w:lineRule="auto"/>
        <w:ind w:firstLine="480" w:firstLineChars="200"/>
        <w:rPr>
          <w:rFonts w:ascii="Times New Roman"/>
          <w:highlight w:val="none"/>
        </w:rPr>
      </w:pPr>
      <w:r>
        <w:rPr>
          <w:rFonts w:hint="eastAsia" w:ascii="Times New Roman"/>
          <w:highlight w:val="none"/>
        </w:rPr>
        <w:t>3、统一认证集成：实现用户在通过OA门户单点登录后（包括移动端或电脑端），访问其他系统时应无需再次输入认证信息，实现无缝切换的体验。</w:t>
      </w:r>
    </w:p>
    <w:p>
      <w:pPr>
        <w:spacing w:line="360" w:lineRule="auto"/>
        <w:ind w:firstLine="482" w:firstLineChars="200"/>
        <w:rPr>
          <w:rFonts w:ascii="Times New Roman"/>
          <w:b/>
          <w:bCs/>
          <w:highlight w:val="none"/>
        </w:rPr>
      </w:pPr>
      <w:r>
        <w:rPr>
          <w:rFonts w:hint="eastAsia" w:ascii="Times New Roman"/>
          <w:b/>
          <w:bCs/>
          <w:highlight w:val="none"/>
        </w:rPr>
        <w:t>（四）项目内容清单</w:t>
      </w:r>
    </w:p>
    <w:tbl>
      <w:tblPr>
        <w:tblStyle w:val="16"/>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54"/>
        <w:gridCol w:w="1767"/>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4" w:type="dxa"/>
            <w:shd w:val="clear" w:color="auto" w:fill="F1F1F1" w:themeFill="background1" w:themeFillShade="F2"/>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序号</w:t>
            </w:r>
          </w:p>
        </w:tc>
        <w:tc>
          <w:tcPr>
            <w:tcW w:w="1254" w:type="dxa"/>
            <w:shd w:val="clear" w:color="auto" w:fill="F1F1F1" w:themeFill="background1" w:themeFillShade="F2"/>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分类</w:t>
            </w:r>
          </w:p>
        </w:tc>
        <w:tc>
          <w:tcPr>
            <w:tcW w:w="1767" w:type="dxa"/>
            <w:shd w:val="clear" w:color="auto" w:fill="F1F1F1" w:themeFill="background1" w:themeFillShade="F2"/>
            <w:vAlign w:val="center"/>
          </w:tcPr>
          <w:p>
            <w:pPr>
              <w:tabs>
                <w:tab w:val="right" w:pos="9120"/>
              </w:tabs>
              <w:ind w:right="38"/>
              <w:jc w:val="center"/>
              <w:rPr>
                <w:rFonts w:ascii="仿宋" w:hAnsi="仿宋" w:eastAsia="仿宋" w:cs="仿宋"/>
                <w:b/>
                <w:bCs/>
                <w:highlight w:val="none"/>
              </w:rPr>
            </w:pPr>
            <w:r>
              <w:rPr>
                <w:rFonts w:hint="eastAsia" w:ascii="仿宋" w:hAnsi="仿宋" w:eastAsia="仿宋" w:cs="仿宋"/>
                <w:b/>
                <w:bCs/>
                <w:highlight w:val="none"/>
              </w:rPr>
              <w:t>内容</w:t>
            </w:r>
          </w:p>
        </w:tc>
        <w:tc>
          <w:tcPr>
            <w:tcW w:w="4436" w:type="dxa"/>
            <w:shd w:val="clear" w:color="auto" w:fill="F1F1F1" w:themeFill="background1" w:themeFillShade="F2"/>
            <w:vAlign w:val="center"/>
          </w:tcPr>
          <w:p>
            <w:pPr>
              <w:tabs>
                <w:tab w:val="right" w:pos="9120"/>
              </w:tabs>
              <w:ind w:right="38"/>
              <w:jc w:val="center"/>
              <w:rPr>
                <w:rFonts w:ascii="仿宋" w:hAnsi="仿宋" w:eastAsia="仿宋" w:cs="仿宋"/>
                <w:b/>
                <w:bCs/>
                <w:kern w:val="2"/>
                <w:highlight w:val="none"/>
              </w:rPr>
            </w:pPr>
            <w:r>
              <w:rPr>
                <w:rFonts w:hint="eastAsia" w:ascii="仿宋" w:hAnsi="仿宋" w:eastAsia="仿宋" w:cs="仿宋"/>
                <w:b/>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1</w:t>
            </w:r>
          </w:p>
        </w:tc>
        <w:tc>
          <w:tcPr>
            <w:tcW w:w="1254" w:type="dxa"/>
            <w:vMerge w:val="restart"/>
            <w:vAlign w:val="center"/>
          </w:tcPr>
          <w:p>
            <w:pPr>
              <w:widowControl/>
              <w:jc w:val="center"/>
              <w:textAlignment w:val="center"/>
              <w:rPr>
                <w:rFonts w:ascii="仿宋" w:hAnsi="仿宋" w:eastAsia="仿宋" w:cs="仿宋"/>
                <w:color w:val="000000"/>
                <w:highlight w:val="none"/>
              </w:rPr>
            </w:pPr>
            <w:r>
              <w:rPr>
                <w:rFonts w:hint="eastAsia" w:ascii="仿宋" w:hAnsi="仿宋" w:eastAsia="仿宋" w:cs="仿宋"/>
                <w:highlight w:val="none"/>
              </w:rPr>
              <w:t>系统升级</w:t>
            </w: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版本升级</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致远A8+集团版V8.1SP1升级到兼容已通过国家安全可靠测评的芯片、操作系统和数据库软件的最新版本。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2</w:t>
            </w:r>
          </w:p>
        </w:tc>
        <w:tc>
          <w:tcPr>
            <w:tcW w:w="1254" w:type="dxa"/>
            <w:vMerge w:val="restart"/>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系统迁移服务</w:t>
            </w: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迁移到虎门临时数据中心</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1.应用迁移：将应用从当前集团本部迁移到虎门临时数据中心。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2.数据迁移：将当前OA系统的数据（Oracle11g数据库数据和文件数据）迁移到迁移到虎门临时数据中心人大金仓数据库。</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3.集群部署：实施3个服务器集群部署。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3</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highlight w:val="none"/>
              </w:rPr>
            </w:pPr>
            <w:r>
              <w:rPr>
                <w:rFonts w:hint="eastAsia" w:ascii="仿宋" w:hAnsi="仿宋" w:eastAsia="仿宋" w:cs="仿宋"/>
                <w:highlight w:val="none"/>
              </w:rPr>
              <w:t>迁移到符合安全可靠测评设备环境</w:t>
            </w:r>
          </w:p>
        </w:tc>
        <w:tc>
          <w:tcPr>
            <w:tcW w:w="4436" w:type="dxa"/>
            <w:vAlign w:val="center"/>
          </w:tcPr>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1.应用迁移：将应用从虎门临时数据中心迁移到符合安全可靠测评设备环境。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2.数据迁移：将虎门临时数据中心的数据（包括数据库数据和文件数据）迁移到符合安全可靠测评设备环境。</w:t>
            </w:r>
          </w:p>
          <w:p>
            <w:pPr>
              <w:tabs>
                <w:tab w:val="right" w:pos="9120"/>
              </w:tabs>
              <w:autoSpaceDE/>
              <w:autoSpaceDN/>
              <w:adjustRightInd/>
              <w:ind w:right="38"/>
              <w:rPr>
                <w:rFonts w:ascii="仿宋" w:hAnsi="仿宋" w:eastAsia="仿宋" w:cs="仿宋"/>
                <w:highlight w:val="none"/>
              </w:rPr>
            </w:pPr>
            <w:r>
              <w:rPr>
                <w:rFonts w:hint="eastAsia" w:ascii="仿宋" w:hAnsi="仿宋" w:eastAsia="仿宋" w:cs="仿宋"/>
                <w:highlight w:val="none"/>
              </w:rPr>
              <w:t>3.集群部署：实施3个服务器集群部署。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4</w:t>
            </w:r>
          </w:p>
        </w:tc>
        <w:tc>
          <w:tcPr>
            <w:tcW w:w="1254" w:type="dxa"/>
            <w:vMerge w:val="restart"/>
            <w:vAlign w:val="center"/>
          </w:tcPr>
          <w:p>
            <w:pPr>
              <w:widowControl/>
              <w:jc w:val="center"/>
              <w:textAlignment w:val="center"/>
              <w:rPr>
                <w:rFonts w:ascii="仿宋" w:hAnsi="仿宋" w:eastAsia="仿宋" w:cs="仿宋"/>
                <w:highlight w:val="none"/>
              </w:rPr>
            </w:pPr>
            <w:r>
              <w:rPr>
                <w:rFonts w:hint="eastAsia" w:ascii="仿宋" w:hAnsi="仿宋" w:eastAsia="仿宋" w:cs="仿宋"/>
                <w:color w:val="000000"/>
                <w:highlight w:val="none"/>
              </w:rPr>
              <w:t>系统优化</w:t>
            </w: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在线文档插件</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改进用户在线预览文档和编辑文档的操作方式，提升Web端和移动端的兼容性和集成性，优化文档在线操作的体验。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5</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移动端零信任集成</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在移动端集成深信服零信任网络访问功能。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tabs>
                <w:tab w:val="right" w:pos="9120"/>
              </w:tabs>
              <w:ind w:right="38"/>
              <w:jc w:val="center"/>
              <w:rPr>
                <w:rFonts w:ascii="仿宋" w:hAnsi="仿宋" w:eastAsia="仿宋" w:cs="仿宋"/>
                <w:color w:val="000000"/>
                <w:highlight w:val="none"/>
                <w:lang w:bidi="ar"/>
              </w:rPr>
            </w:pPr>
            <w:r>
              <w:rPr>
                <w:rFonts w:hint="eastAsia" w:ascii="仿宋" w:hAnsi="仿宋" w:eastAsia="仿宋" w:cs="仿宋"/>
                <w:color w:val="000000"/>
                <w:highlight w:val="none"/>
                <w:lang w:bidi="ar"/>
              </w:rPr>
              <w:t>6</w:t>
            </w:r>
          </w:p>
        </w:tc>
        <w:tc>
          <w:tcPr>
            <w:tcW w:w="1254" w:type="dxa"/>
            <w:vMerge w:val="continue"/>
            <w:vAlign w:val="center"/>
          </w:tcPr>
          <w:p>
            <w:pPr>
              <w:widowControl/>
              <w:jc w:val="center"/>
              <w:textAlignment w:val="center"/>
              <w:rPr>
                <w:rFonts w:ascii="仿宋" w:hAnsi="仿宋" w:eastAsia="仿宋" w:cs="仿宋"/>
                <w:highlight w:val="none"/>
              </w:rPr>
            </w:pPr>
          </w:p>
        </w:tc>
        <w:tc>
          <w:tcPr>
            <w:tcW w:w="1767" w:type="dxa"/>
            <w:vAlign w:val="center"/>
          </w:tcPr>
          <w:p>
            <w:pPr>
              <w:widowControl/>
              <w:jc w:val="center"/>
              <w:textAlignment w:val="center"/>
              <w:rPr>
                <w:rFonts w:ascii="仿宋" w:hAnsi="仿宋" w:eastAsia="仿宋" w:cs="仿宋"/>
                <w:kern w:val="2"/>
                <w:highlight w:val="none"/>
              </w:rPr>
            </w:pPr>
            <w:r>
              <w:rPr>
                <w:rFonts w:hint="eastAsia" w:ascii="仿宋" w:hAnsi="仿宋" w:eastAsia="仿宋" w:cs="仿宋"/>
                <w:highlight w:val="none"/>
              </w:rPr>
              <w:t>统一认证集成</w:t>
            </w:r>
          </w:p>
        </w:tc>
        <w:tc>
          <w:tcPr>
            <w:tcW w:w="4436" w:type="dxa"/>
            <w:vAlign w:val="center"/>
          </w:tcPr>
          <w:p>
            <w:pPr>
              <w:tabs>
                <w:tab w:val="right" w:pos="9120"/>
              </w:tabs>
              <w:ind w:right="38"/>
              <w:rPr>
                <w:rFonts w:ascii="仿宋" w:hAnsi="仿宋" w:eastAsia="仿宋" w:cs="仿宋"/>
                <w:highlight w:val="none"/>
              </w:rPr>
            </w:pPr>
            <w:r>
              <w:rPr>
                <w:rFonts w:hint="eastAsia" w:ascii="仿宋" w:hAnsi="仿宋" w:eastAsia="仿宋" w:cs="仿宋"/>
                <w:highlight w:val="none"/>
              </w:rPr>
              <w:t>实现用户在通过OA门户单点登录后（包括移动端或电脑端），访问其他系统时应无需再次输入认证信息。</w:t>
            </w:r>
          </w:p>
        </w:tc>
      </w:tr>
    </w:tbl>
    <w:p>
      <w:pPr>
        <w:spacing w:line="360" w:lineRule="auto"/>
        <w:ind w:firstLine="480" w:firstLineChars="200"/>
        <w:rPr>
          <w:rFonts w:ascii="Times New Roman"/>
          <w:highlight w:val="none"/>
        </w:rPr>
      </w:pPr>
    </w:p>
    <w:p>
      <w:pPr>
        <w:autoSpaceDE/>
        <w:autoSpaceDN/>
        <w:adjustRightInd/>
        <w:spacing w:line="360" w:lineRule="auto"/>
        <w:jc w:val="both"/>
        <w:outlineLvl w:val="1"/>
        <w:rPr>
          <w:rFonts w:ascii="Times New Roman"/>
          <w:b/>
          <w:highlight w:val="none"/>
        </w:rPr>
      </w:pPr>
      <w:bookmarkStart w:id="14" w:name="_Toc27495480"/>
      <w:r>
        <w:rPr>
          <w:rFonts w:hint="eastAsia" w:ascii="Times New Roman"/>
          <w:b/>
          <w:highlight w:val="none"/>
        </w:rPr>
        <w:t xml:space="preserve">第二条 </w:t>
      </w:r>
      <w:bookmarkEnd w:id="14"/>
      <w:r>
        <w:rPr>
          <w:rFonts w:hint="eastAsia" w:ascii="Times New Roman"/>
          <w:b/>
          <w:highlight w:val="none"/>
        </w:rPr>
        <w:t>服务要求</w:t>
      </w:r>
    </w:p>
    <w:p>
      <w:pPr>
        <w:spacing w:line="360" w:lineRule="auto"/>
        <w:ind w:firstLine="482" w:firstLineChars="200"/>
        <w:rPr>
          <w:rFonts w:ascii="Times New Roman"/>
          <w:b/>
          <w:bCs/>
          <w:highlight w:val="none"/>
        </w:rPr>
      </w:pPr>
      <w:bookmarkStart w:id="15" w:name="_Toc6166"/>
      <w:bookmarkStart w:id="16" w:name="_Toc15884"/>
      <w:bookmarkStart w:id="17" w:name="_Toc24756"/>
      <w:bookmarkStart w:id="18" w:name="_Toc20917"/>
      <w:bookmarkStart w:id="19" w:name="_Toc2875"/>
      <w:r>
        <w:rPr>
          <w:rFonts w:hint="eastAsia" w:ascii="Times New Roman"/>
          <w:b/>
          <w:bCs/>
          <w:highlight w:val="none"/>
        </w:rPr>
        <w:t>（一）系统升级要求</w:t>
      </w:r>
      <w:bookmarkEnd w:id="15"/>
      <w:bookmarkEnd w:id="16"/>
      <w:bookmarkEnd w:id="17"/>
      <w:bookmarkEnd w:id="18"/>
    </w:p>
    <w:p>
      <w:pPr>
        <w:widowControl/>
        <w:numPr>
          <w:ilvl w:val="255"/>
          <w:numId w:val="0"/>
        </w:numPr>
        <w:spacing w:line="360" w:lineRule="auto"/>
        <w:ind w:firstLine="480" w:firstLineChars="200"/>
        <w:rPr>
          <w:rFonts w:ascii="Times New Roman"/>
          <w:highlight w:val="none"/>
          <w:lang w:bidi="ar"/>
        </w:rPr>
      </w:pPr>
      <w:r>
        <w:rPr>
          <w:rFonts w:hint="eastAsia" w:ascii="Times New Roman"/>
          <w:highlight w:val="none"/>
          <w:lang w:bidi="ar"/>
        </w:rPr>
        <w:t>1、系统升级所涉及的软件，乙方必须提供原厂的标准适配服务，取得原厂授权书或相关证明。</w:t>
      </w:r>
    </w:p>
    <w:p>
      <w:pPr>
        <w:widowControl/>
        <w:numPr>
          <w:ilvl w:val="255"/>
          <w:numId w:val="0"/>
        </w:numPr>
        <w:spacing w:line="360" w:lineRule="auto"/>
        <w:ind w:firstLine="480" w:firstLineChars="200"/>
        <w:rPr>
          <w:rFonts w:ascii="Times New Roman"/>
          <w:highlight w:val="none"/>
          <w:lang w:bidi="ar"/>
        </w:rPr>
      </w:pPr>
      <w:r>
        <w:rPr>
          <w:rFonts w:hint="eastAsia" w:ascii="Times New Roman"/>
          <w:highlight w:val="none"/>
          <w:lang w:bidi="ar"/>
        </w:rPr>
        <w:t>2、系统升级要求保留原系统中的功能和原使用中的业务功能模块不受影响。</w:t>
      </w:r>
    </w:p>
    <w:p>
      <w:pPr>
        <w:widowControl/>
        <w:numPr>
          <w:ilvl w:val="255"/>
          <w:numId w:val="0"/>
        </w:numPr>
        <w:spacing w:line="360" w:lineRule="auto"/>
        <w:ind w:firstLine="480" w:firstLineChars="200"/>
        <w:rPr>
          <w:rFonts w:ascii="Times New Roman"/>
          <w:highlight w:val="none"/>
          <w:lang w:bidi="ar"/>
        </w:rPr>
      </w:pPr>
      <w:r>
        <w:rPr>
          <w:rFonts w:hint="eastAsia" w:ascii="Times New Roman"/>
          <w:highlight w:val="none"/>
          <w:lang w:bidi="ar"/>
        </w:rPr>
        <w:t>3、系统升级后保障所有应用服务的稳定性和安全性，性能的优化响应速度、并发处理能力等。</w:t>
      </w:r>
    </w:p>
    <w:p>
      <w:pPr>
        <w:widowControl/>
        <w:numPr>
          <w:ilvl w:val="255"/>
          <w:numId w:val="0"/>
        </w:numPr>
        <w:spacing w:line="360" w:lineRule="auto"/>
        <w:ind w:firstLine="480" w:firstLineChars="200"/>
        <w:rPr>
          <w:rFonts w:ascii="Times New Roman"/>
          <w:highlight w:val="none"/>
          <w:lang w:bidi="ar"/>
        </w:rPr>
      </w:pPr>
      <w:r>
        <w:rPr>
          <w:rFonts w:hint="eastAsia" w:ascii="Times New Roman"/>
          <w:highlight w:val="none"/>
          <w:lang w:bidi="ar"/>
        </w:rPr>
        <w:t>4、系统升级后数据结构必须与迁移后的数据兼容，系统中各项功能的数据必须完整且正确。</w:t>
      </w:r>
    </w:p>
    <w:p>
      <w:pPr>
        <w:spacing w:line="360" w:lineRule="auto"/>
        <w:ind w:firstLine="482" w:firstLineChars="200"/>
        <w:rPr>
          <w:rFonts w:ascii="Times New Roman"/>
          <w:b/>
          <w:bCs/>
          <w:highlight w:val="none"/>
        </w:rPr>
      </w:pPr>
      <w:bookmarkStart w:id="20" w:name="_Toc6930"/>
      <w:bookmarkStart w:id="21" w:name="_Toc32445"/>
      <w:bookmarkStart w:id="22" w:name="_Toc26843"/>
      <w:bookmarkStart w:id="23" w:name="_Toc3036"/>
      <w:r>
        <w:rPr>
          <w:rFonts w:hint="eastAsia" w:ascii="Times New Roman"/>
          <w:b/>
          <w:bCs/>
          <w:highlight w:val="none"/>
        </w:rPr>
        <w:t>（二）数据迁移要求</w:t>
      </w:r>
      <w:bookmarkEnd w:id="19"/>
      <w:bookmarkEnd w:id="20"/>
      <w:bookmarkEnd w:id="21"/>
      <w:bookmarkEnd w:id="22"/>
      <w:bookmarkEnd w:id="23"/>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1、在迁移工作开始之前，乙方需建立一个详细的迁移计划，包括时间表、资源分配、关键里程碑、沟通计划和风险管理策略。迁移计划经甲方确认，再开展实施工作。</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2、数据在迁移之前应对当前数据库进行完整备份，以防万一需要恢复数据时使用。</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3、数据迁移完成后应进行全面的测试来验证数据的完整性，数据的完整性和一致性应达到99.99%。</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4、确保在整个迁移过程中，保障业务受影响最小。通过合理的迁移时间和快速的故障恢复策略，保障业务连续性。</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5、OA系统应用集群部署要求，实现访问负载均衡、故障转移机制和自动恢复策略。确保系统服务的持续可用性和数据的一致性。在部署完成后进行全面的功能测试，确保每个服务都能按照预期工作。</w:t>
      </w:r>
    </w:p>
    <w:p>
      <w:pPr>
        <w:spacing w:line="360" w:lineRule="auto"/>
        <w:ind w:firstLine="482" w:firstLineChars="200"/>
        <w:rPr>
          <w:rFonts w:ascii="Times New Roman"/>
          <w:b/>
          <w:bCs/>
          <w:highlight w:val="none"/>
        </w:rPr>
      </w:pPr>
      <w:bookmarkStart w:id="24" w:name="_Toc25288"/>
      <w:bookmarkStart w:id="25" w:name="_Toc7815"/>
      <w:bookmarkStart w:id="26" w:name="_Toc18620"/>
      <w:bookmarkStart w:id="27" w:name="_Toc19997"/>
      <w:bookmarkStart w:id="28" w:name="_Toc4657"/>
      <w:r>
        <w:rPr>
          <w:rFonts w:hint="eastAsia" w:ascii="Times New Roman"/>
          <w:b/>
          <w:bCs/>
          <w:highlight w:val="none"/>
        </w:rPr>
        <w:t>（三）系统优化要求</w:t>
      </w:r>
      <w:bookmarkEnd w:id="24"/>
      <w:bookmarkEnd w:id="25"/>
      <w:bookmarkEnd w:id="26"/>
      <w:bookmarkEnd w:id="27"/>
      <w:bookmarkEnd w:id="28"/>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1、在线文档插件要求：支持服务端安装文档插件（客户端免安装），用户在Web端和移动端可在线打开文档进行编辑，并保留用户编辑痕迹。支持格式包括Word、WPS文字、Excel、WPS表格。</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2、移动端零信任集成要求：OA系统的移动端集成深信服零信任网络访问功能，即OA系统移动端登录时自动完成深信服零信任网络登录验证，解决用户在移动端先登录零信任网络再登录OA的复杂操作。</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统一认证集成要求：实现系统用户在通过OA门户单点登录后（包括移动端或电脑端），访问其他系统时应自动登录，无需再次输入认证信息。根据甲方要求，通过接入甲方统一认证系统或OA系统配置完成认证集成。</w:t>
      </w:r>
    </w:p>
    <w:p>
      <w:pPr>
        <w:spacing w:line="360" w:lineRule="auto"/>
        <w:ind w:firstLine="482" w:firstLineChars="200"/>
        <w:rPr>
          <w:rFonts w:ascii="Times New Roman"/>
          <w:b/>
          <w:bCs/>
          <w:highlight w:val="none"/>
          <w:lang w:bidi="ar"/>
        </w:rPr>
      </w:pPr>
      <w:r>
        <w:rPr>
          <w:rFonts w:hint="eastAsia" w:ascii="Times New Roman"/>
          <w:b/>
          <w:bCs/>
          <w:highlight w:val="none"/>
        </w:rPr>
        <w:t>（四）项目培训要求</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1、按照甲方的要求，对系统管理人员、使用操作人员等相关人员进行免费现场培训和不少于两次的集中培训，培训时间和期限由甲方确定。</w:t>
      </w:r>
    </w:p>
    <w:p>
      <w:pPr>
        <w:spacing w:line="360" w:lineRule="auto"/>
        <w:ind w:firstLine="482" w:firstLineChars="200"/>
        <w:rPr>
          <w:rFonts w:ascii="Times New Roman"/>
          <w:b/>
          <w:bCs/>
          <w:highlight w:val="none"/>
        </w:rPr>
      </w:pPr>
      <w:bookmarkStart w:id="29" w:name="_Toc16239"/>
      <w:bookmarkStart w:id="30" w:name="_Toc24420"/>
      <w:bookmarkStart w:id="31" w:name="_Toc15930"/>
      <w:bookmarkStart w:id="32" w:name="_Toc18464"/>
      <w:bookmarkStart w:id="33" w:name="_Toc1693"/>
      <w:r>
        <w:rPr>
          <w:rFonts w:hint="eastAsia" w:ascii="Times New Roman"/>
          <w:b/>
          <w:bCs/>
          <w:highlight w:val="none"/>
        </w:rPr>
        <w:t>（五）项目进度要求</w:t>
      </w:r>
      <w:bookmarkEnd w:id="29"/>
      <w:bookmarkEnd w:id="30"/>
      <w:bookmarkEnd w:id="31"/>
      <w:bookmarkEnd w:id="32"/>
      <w:bookmarkEnd w:id="33"/>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1、系统升级、迁移到虎门临时数据中心：自合同签订之日起60天内完成测试并上线试运行。</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2、系统迁移到符合安全可靠测评设备环境：供应商接到甲方通知后，30天内完成迁移、测试并上线试运行。</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3、系统优化</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（1）在线文档插件和移动端零信任集成，与项目进度要求第1项同时完成。</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（2）统一认证集成，接到甲方通知后15个工作日内完成。</w:t>
      </w:r>
    </w:p>
    <w:p>
      <w:pPr>
        <w:spacing w:line="360" w:lineRule="auto"/>
        <w:ind w:firstLine="482" w:firstLineChars="200"/>
        <w:rPr>
          <w:rFonts w:ascii="Times New Roman"/>
          <w:b/>
          <w:bCs/>
          <w:highlight w:val="none"/>
        </w:rPr>
      </w:pPr>
      <w:bookmarkStart w:id="34" w:name="_Toc25005"/>
      <w:bookmarkStart w:id="35" w:name="_Toc15177"/>
      <w:bookmarkStart w:id="36" w:name="_Toc25785"/>
      <w:bookmarkStart w:id="37" w:name="_Toc1474"/>
      <w:r>
        <w:rPr>
          <w:rFonts w:hint="eastAsia" w:ascii="Times New Roman"/>
          <w:b/>
          <w:bCs/>
          <w:highlight w:val="none"/>
        </w:rPr>
        <w:t>（六）项目交付要求</w:t>
      </w:r>
      <w:bookmarkEnd w:id="34"/>
      <w:bookmarkEnd w:id="35"/>
      <w:bookmarkEnd w:id="36"/>
      <w:bookmarkEnd w:id="37"/>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1、安装包及配置文件</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（1）完整性：提供包含所有必要的文件和组件的安装包，确保安装包无缺失，可以支持无人值守的安装模式。</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（2）配置指南：附带详细的配置文件和安装指南，说明每项配置的作用和修改方法，确保甲方团队能够根据实际环境自行调整配置。</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（3）许可证明：附带软件使用和修改所需的所有版权和许可证明，确保甲方在使用过程中不会因版权问题遇到法律风险。</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2、用户文档</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（1）易用性：用户手册应清晰描述系统的功能使用流程，包括文本说明及图示，易于用户学习和参考。</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（2）全面性：除了用户操作手册外，还需要提供操作培训资料、系统维护和故障排除等相关文档，提供尽可能全面的信息供用户参考。</w:t>
      </w:r>
    </w:p>
    <w:p>
      <w:pPr>
        <w:widowControl/>
        <w:numPr>
          <w:ilvl w:val="255"/>
          <w:numId w:val="0"/>
        </w:numPr>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3、维护指南，详细介绍系统的日常维护工作指南和常见问题处理方法，包括系统监控、备份、恢复等操作指南。</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4、联系方式：提供系统支持团队的联系方式和响应时间保证，确保甲方在遇到问题时能够及时获得帮助。</w:t>
      </w:r>
    </w:p>
    <w:p>
      <w:pPr>
        <w:rPr>
          <w:highlight w:val="none"/>
        </w:rPr>
      </w:pPr>
    </w:p>
    <w:p>
      <w:pPr>
        <w:autoSpaceDE/>
        <w:autoSpaceDN/>
        <w:adjustRightInd/>
        <w:spacing w:line="360" w:lineRule="auto"/>
        <w:jc w:val="both"/>
        <w:outlineLvl w:val="1"/>
        <w:rPr>
          <w:rFonts w:ascii="Times New Roman"/>
          <w:b/>
          <w:highlight w:val="none"/>
        </w:rPr>
      </w:pPr>
      <w:bookmarkStart w:id="38" w:name="_Toc27495481"/>
      <w:r>
        <w:rPr>
          <w:rFonts w:hint="eastAsia" w:ascii="Times New Roman"/>
          <w:b/>
          <w:highlight w:val="none"/>
        </w:rPr>
        <w:t xml:space="preserve">第三条 </w:t>
      </w:r>
      <w:bookmarkEnd w:id="38"/>
      <w:r>
        <w:rPr>
          <w:rFonts w:hint="eastAsia" w:ascii="Times New Roman"/>
          <w:b/>
          <w:highlight w:val="none"/>
        </w:rPr>
        <w:t>验收要求</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系统升级、迁移到当前虎门临时数据中心，试运行30日后，乙方可以向甲方申请系统升级验收。乙方提交运行期间监测报告（详见附件三用户需求书）。监测报告各项运行指标无异常，经甲方确认后，由甲方出具《OA系统升级迁移验收报告》。</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系统迁移到符合安全可靠测评设备环境：OA系统全套运行环境迁移至符合安全可靠测评设备环境试运行15天后，供应商提交运行期间监测报告（详见附件三用户需求书）。监测报告各项运行指标无异常，经甲方确认后，由甲方出具《OA系统迁移符合安全可靠测评设备环境验收报告》。</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3、系统优化验收：优化的功能在试运行期满，乙方完成试运行期间使用人员提出的问题以及功能优化的要求后，乙方可以向甲方申请系统优化的验收，经甲方确认后，由甲方出具《OA系统优化验收报告》。</w:t>
      </w:r>
    </w:p>
    <w:p>
      <w:pPr>
        <w:rPr>
          <w:highlight w:val="none"/>
        </w:rPr>
      </w:pPr>
    </w:p>
    <w:p>
      <w:pPr>
        <w:autoSpaceDE/>
        <w:autoSpaceDN/>
        <w:adjustRightInd/>
        <w:spacing w:line="360" w:lineRule="auto"/>
        <w:jc w:val="both"/>
        <w:outlineLvl w:val="1"/>
        <w:rPr>
          <w:rFonts w:ascii="Times New Roman"/>
          <w:b/>
          <w:highlight w:val="none"/>
        </w:rPr>
      </w:pPr>
      <w:r>
        <w:rPr>
          <w:rFonts w:hint="eastAsia" w:ascii="Times New Roman"/>
          <w:b/>
          <w:highlight w:val="none"/>
        </w:rPr>
        <w:t>第四条 售后要求</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1、乙方提供为期一年的质保服务（OA系统现有运维服务合同到期日期为2025年5月25日，如果项目三份验收报告的最后验收日期在此日期之前，质保期需在此日期基础上延长，否则从最后验收日期起算），系统维护的范围包括：系统优化和升级、系统的正常运行和数据维护；对系统使用中暴露出的缺陷和问题进行必要的调整；每个季度对客户产品和系统使用情况的定期回访。</w:t>
      </w:r>
    </w:p>
    <w:p>
      <w:pPr>
        <w:widowControl/>
        <w:autoSpaceDE/>
        <w:autoSpaceDN/>
        <w:adjustRightInd/>
        <w:spacing w:line="360" w:lineRule="auto"/>
        <w:ind w:firstLine="480" w:firstLineChars="200"/>
        <w:rPr>
          <w:rFonts w:ascii="Times New Roman"/>
          <w:highlight w:val="none"/>
          <w:lang w:bidi="ar"/>
        </w:rPr>
      </w:pPr>
      <w:r>
        <w:rPr>
          <w:rFonts w:hint="eastAsia" w:ascii="Times New Roman"/>
          <w:highlight w:val="none"/>
          <w:lang w:bidi="ar"/>
        </w:rPr>
        <w:t>2、服务响应要求：乙方需向甲方提供本地化服务，须向甲方提供7×24小时电话支持、远程服务，并按要求确保在0.5小时内响应，2小时内到达现场。</w:t>
      </w:r>
    </w:p>
    <w:p>
      <w:pPr>
        <w:rPr>
          <w:highlight w:val="none"/>
        </w:rPr>
      </w:pPr>
    </w:p>
    <w:p>
      <w:pPr>
        <w:autoSpaceDE/>
        <w:autoSpaceDN/>
        <w:adjustRightInd/>
        <w:spacing w:line="360" w:lineRule="auto"/>
        <w:jc w:val="both"/>
        <w:outlineLvl w:val="1"/>
        <w:rPr>
          <w:rFonts w:ascii="Times New Roman"/>
          <w:b/>
          <w:highlight w:val="none"/>
        </w:rPr>
      </w:pPr>
      <w:bookmarkStart w:id="39" w:name="_Toc27495483"/>
      <w:r>
        <w:rPr>
          <w:rFonts w:hint="eastAsia" w:ascii="Times New Roman"/>
          <w:b/>
          <w:highlight w:val="none"/>
        </w:rPr>
        <w:t>第五条 项目费用和付款方式</w:t>
      </w:r>
      <w:bookmarkEnd w:id="39"/>
    </w:p>
    <w:p>
      <w:pPr>
        <w:pStyle w:val="37"/>
        <w:spacing w:line="360" w:lineRule="auto"/>
        <w:ind w:firstLine="480"/>
        <w:rPr>
          <w:rFonts w:ascii="Times New Roman"/>
          <w:highlight w:val="none"/>
        </w:rPr>
      </w:pPr>
      <w:r>
        <w:rPr>
          <w:rFonts w:ascii="Times New Roman"/>
          <w:highlight w:val="none"/>
        </w:rPr>
        <w:t>1</w:t>
      </w:r>
      <w:r>
        <w:rPr>
          <w:rFonts w:hint="eastAsia" w:ascii="Times New Roman"/>
          <w:highlight w:val="none"/>
        </w:rPr>
        <w:t>、本合同价（即销售额，不含乙方销项税额）为</w:t>
      </w:r>
      <w:r>
        <w:rPr>
          <w:rFonts w:ascii="Times New Roman"/>
          <w:highlight w:val="none"/>
          <w:u w:val="single"/>
        </w:rPr>
        <w:t xml:space="preserve">¥ </w:t>
      </w:r>
      <w:r>
        <w:rPr>
          <w:rFonts w:hint="eastAsia" w:ascii="Times New Roman"/>
          <w:highlight w:val="none"/>
          <w:u w:val="single"/>
        </w:rPr>
        <w:t xml:space="preserve">        元</w:t>
      </w:r>
      <w:r>
        <w:rPr>
          <w:rFonts w:hint="eastAsia" w:ascii="Times New Roman"/>
          <w:highlight w:val="none"/>
        </w:rPr>
        <w:t>（大写人民币</w:t>
      </w:r>
      <w:r>
        <w:rPr>
          <w:rFonts w:hint="eastAsia" w:ascii="Times New Roman"/>
          <w:highlight w:val="none"/>
          <w:u w:val="single"/>
        </w:rPr>
        <w:t xml:space="preserve">              </w:t>
      </w:r>
      <w:r>
        <w:rPr>
          <w:rFonts w:hint="eastAsia" w:ascii="Times New Roman"/>
          <w:highlight w:val="none"/>
        </w:rPr>
        <w:t>）。以上合同价（即销售额，不含乙方销项税额）包括但不限于合理利润、开发费、安装调试费，系统集成费、第三方商业软件费、培训费、电子设备费、人工费、驻点办公食宿及水电等费用、管理费、交通费、通讯费、加班费以及供应商销项税额以外的税费等服务范围内所有应预见和不可预见费用及完成服务内容所需的一切费用。乙方须了解项目情况、各类费用以及风险情况，合同签订后，不再另行增加任何费用。</w:t>
      </w:r>
    </w:p>
    <w:p>
      <w:pPr>
        <w:pStyle w:val="37"/>
        <w:spacing w:line="360" w:lineRule="auto"/>
        <w:ind w:firstLine="480"/>
        <w:rPr>
          <w:rFonts w:ascii="Times New Roman"/>
          <w:highlight w:val="none"/>
        </w:rPr>
      </w:pPr>
      <w:r>
        <w:rPr>
          <w:rFonts w:hint="eastAsia" w:ascii="Times New Roman"/>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Times New Roman"/>
          <w:highlight w:val="none"/>
          <w:u w:val="single"/>
        </w:rPr>
        <w:t xml:space="preserve">     %</w:t>
      </w:r>
      <w:r>
        <w:rPr>
          <w:rFonts w:ascii="Times New Roman"/>
          <w:highlight w:val="none"/>
          <w:u w:val="single"/>
        </w:rPr>
        <w:t xml:space="preserve"> </w:t>
      </w:r>
      <w:r>
        <w:rPr>
          <w:rFonts w:hint="eastAsia" w:ascii="Times New Roman"/>
          <w:highlight w:val="none"/>
        </w:rPr>
        <w:t>，对应的销项税额为</w:t>
      </w:r>
      <w:r>
        <w:rPr>
          <w:rFonts w:ascii="Times New Roman"/>
          <w:highlight w:val="none"/>
          <w:u w:val="single"/>
        </w:rPr>
        <w:t xml:space="preserve">¥  </w:t>
      </w:r>
      <w:r>
        <w:rPr>
          <w:rFonts w:hint="eastAsia" w:ascii="Times New Roman"/>
          <w:highlight w:val="none"/>
          <w:u w:val="single"/>
        </w:rPr>
        <w:t xml:space="preserve">   </w:t>
      </w:r>
      <w:r>
        <w:rPr>
          <w:rFonts w:ascii="Times New Roman"/>
          <w:highlight w:val="none"/>
          <w:u w:val="single"/>
        </w:rPr>
        <w:t xml:space="preserve">  </w:t>
      </w:r>
      <w:r>
        <w:rPr>
          <w:rFonts w:hint="eastAsia" w:ascii="Times New Roman"/>
          <w:highlight w:val="none"/>
          <w:u w:val="single"/>
        </w:rPr>
        <w:t>元</w:t>
      </w:r>
      <w:r>
        <w:rPr>
          <w:rFonts w:hint="eastAsia" w:ascii="Times New Roman"/>
          <w:highlight w:val="none"/>
        </w:rPr>
        <w:t>（大写人民币</w:t>
      </w:r>
      <w:r>
        <w:rPr>
          <w:rFonts w:hint="eastAsia" w:ascii="Times New Roman"/>
          <w:highlight w:val="none"/>
          <w:u w:val="single"/>
        </w:rPr>
        <w:t xml:space="preserve">             </w:t>
      </w:r>
      <w:r>
        <w:rPr>
          <w:rFonts w:hint="eastAsia" w:ascii="Times New Roman"/>
          <w:highlight w:val="none"/>
        </w:rPr>
        <w:t>）。在本合同履行过程中，税收政策变动导致增值税税率调整，依法应调整销项税额的，依法调整；但因乙方未按合同约定提供服务，未根据合同约定提供合法、完整的请款资料，服务验收不合格导致的返工，项目验收合格前的非正常损耗等原因导致销项税额增加的，相应损失由乙方承担。</w:t>
      </w:r>
    </w:p>
    <w:p>
      <w:pPr>
        <w:pStyle w:val="37"/>
        <w:spacing w:line="360" w:lineRule="auto"/>
        <w:ind w:firstLine="480"/>
        <w:rPr>
          <w:rFonts w:ascii="Times New Roman"/>
          <w:highlight w:val="none"/>
        </w:rPr>
      </w:pPr>
      <w:r>
        <w:rPr>
          <w:rFonts w:hint="eastAsia" w:ascii="Times New Roman"/>
          <w:highlight w:val="none"/>
        </w:rPr>
        <w:t>因乙方未按法定税率计算税额或未根据本合同约定出具对应税额的增值税专用发票等原因导致甲方多支付税额的，乙方必须退还甲方，给甲方造成损失的，乙方须向甲方赔偿相应损失。</w:t>
      </w:r>
    </w:p>
    <w:p>
      <w:pPr>
        <w:pStyle w:val="37"/>
        <w:spacing w:line="360" w:lineRule="auto"/>
        <w:ind w:firstLine="480"/>
        <w:rPr>
          <w:rFonts w:ascii="Times New Roman"/>
          <w:highlight w:val="none"/>
        </w:rPr>
      </w:pPr>
      <w:r>
        <w:rPr>
          <w:rFonts w:hint="eastAsia" w:ascii="Times New Roman"/>
          <w:highlight w:val="none"/>
        </w:rPr>
        <w:t>3、合同价税合计为</w:t>
      </w:r>
      <w:r>
        <w:rPr>
          <w:rFonts w:ascii="Times New Roman"/>
          <w:highlight w:val="none"/>
          <w:u w:val="single"/>
        </w:rPr>
        <w:t>¥</w:t>
      </w:r>
      <w:r>
        <w:rPr>
          <w:rFonts w:hint="eastAsia" w:ascii="Times New Roman"/>
          <w:highlight w:val="none"/>
          <w:u w:val="single"/>
        </w:rPr>
        <w:t xml:space="preserve">         </w:t>
      </w:r>
      <w:r>
        <w:rPr>
          <w:rFonts w:ascii="Times New Roman"/>
          <w:highlight w:val="none"/>
          <w:u w:val="single"/>
        </w:rPr>
        <w:t xml:space="preserve"> </w:t>
      </w:r>
      <w:r>
        <w:rPr>
          <w:rFonts w:hint="eastAsia" w:ascii="Times New Roman"/>
          <w:highlight w:val="none"/>
          <w:u w:val="single"/>
        </w:rPr>
        <w:t>元</w:t>
      </w:r>
      <w:r>
        <w:rPr>
          <w:rFonts w:hint="eastAsia" w:ascii="Times New Roman"/>
          <w:highlight w:val="none"/>
        </w:rPr>
        <w:t>（大写人民币</w:t>
      </w:r>
      <w:r>
        <w:rPr>
          <w:rFonts w:hint="eastAsia" w:ascii="Times New Roman"/>
          <w:highlight w:val="none"/>
          <w:u w:val="single"/>
        </w:rPr>
        <w:t xml:space="preserve">             </w:t>
      </w:r>
      <w:r>
        <w:rPr>
          <w:rFonts w:hint="eastAsia" w:ascii="Times New Roman"/>
          <w:highlight w:val="none"/>
        </w:rPr>
        <w:t>），合同履行期间根据本条第2项规定调整销项税额的，结算合同价税合计对应调整。</w:t>
      </w:r>
    </w:p>
    <w:p>
      <w:pPr>
        <w:spacing w:line="360" w:lineRule="auto"/>
        <w:ind w:firstLine="480" w:firstLineChars="200"/>
        <w:rPr>
          <w:rFonts w:ascii="Times New Roman"/>
          <w:highlight w:val="none"/>
        </w:rPr>
      </w:pPr>
      <w:r>
        <w:rPr>
          <w:rFonts w:ascii="Times New Roman"/>
          <w:highlight w:val="none"/>
        </w:rPr>
        <w:t>4</w:t>
      </w:r>
      <w:r>
        <w:rPr>
          <w:rFonts w:hint="eastAsia" w:ascii="Times New Roman"/>
          <w:highlight w:val="none"/>
        </w:rPr>
        <w:t>、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或者，甲方有权直接从未付合同款项中扣除前述款项，且乙方必须按照扣除前述款项前的合同价（销售额）开具增值税专用发票，保证增值税税额符合法律规定。</w:t>
      </w:r>
    </w:p>
    <w:p>
      <w:pPr>
        <w:spacing w:line="360" w:lineRule="auto"/>
        <w:ind w:firstLine="480" w:firstLineChars="200"/>
        <w:rPr>
          <w:rFonts w:ascii="Times New Roman"/>
          <w:highlight w:val="none"/>
        </w:rPr>
      </w:pPr>
      <w:r>
        <w:rPr>
          <w:rFonts w:ascii="Times New Roman"/>
          <w:highlight w:val="none"/>
        </w:rPr>
        <w:t>5</w:t>
      </w:r>
      <w:r>
        <w:rPr>
          <w:rFonts w:hint="eastAsia" w:ascii="Times New Roman"/>
          <w:highlight w:val="none"/>
        </w:rPr>
        <w:t>、本服务项目付款分为四个阶段：</w:t>
      </w:r>
    </w:p>
    <w:p>
      <w:pPr>
        <w:spacing w:line="360" w:lineRule="auto"/>
        <w:ind w:firstLine="480" w:firstLineChars="200"/>
        <w:rPr>
          <w:rFonts w:ascii="Times New Roman"/>
          <w:highlight w:val="none"/>
        </w:rPr>
      </w:pPr>
      <w:r>
        <w:rPr>
          <w:rFonts w:hint="eastAsia" w:ascii="Times New Roman"/>
          <w:highlight w:val="none"/>
        </w:rPr>
        <w:t>（1）甲方出具《OA系统升级迁移验收报告》后，乙方向甲方申请支付合同价的50%及对应税额。</w:t>
      </w:r>
    </w:p>
    <w:p>
      <w:pPr>
        <w:spacing w:line="360" w:lineRule="auto"/>
        <w:ind w:firstLine="480" w:firstLineChars="200"/>
        <w:rPr>
          <w:rFonts w:ascii="Times New Roman"/>
          <w:highlight w:val="none"/>
        </w:rPr>
      </w:pPr>
      <w:r>
        <w:rPr>
          <w:rFonts w:hint="eastAsia" w:ascii="Times New Roman"/>
          <w:highlight w:val="none"/>
        </w:rPr>
        <w:t>（2）甲方出具《OA系统迁移符合安全可靠测评设备环境验收报告》后，乙方向甲方申请支付合同价的25%及对应税额。</w:t>
      </w:r>
    </w:p>
    <w:p>
      <w:pPr>
        <w:ind w:firstLine="480" w:firstLineChars="200"/>
        <w:rPr>
          <w:rFonts w:ascii="Times New Roman"/>
          <w:highlight w:val="none"/>
        </w:rPr>
      </w:pPr>
      <w:r>
        <w:rPr>
          <w:rFonts w:hint="eastAsia" w:ascii="Times New Roman"/>
          <w:highlight w:val="none"/>
        </w:rPr>
        <w:t>（3）甲方出具《OA系统优化验收报告》后，乙方向甲方申请支付合同价的20%及对应税额。</w:t>
      </w:r>
    </w:p>
    <w:p>
      <w:pPr>
        <w:spacing w:line="360" w:lineRule="auto"/>
        <w:ind w:firstLine="480" w:firstLineChars="200"/>
        <w:rPr>
          <w:rFonts w:ascii="Times New Roman"/>
          <w:highlight w:val="none"/>
        </w:rPr>
      </w:pPr>
      <w:r>
        <w:rPr>
          <w:rFonts w:hint="eastAsia" w:ascii="Times New Roman"/>
          <w:highlight w:val="none"/>
        </w:rPr>
        <w:t>（4）剩余5%的合同价及对应税额作为质保金，质保期届满后，乙方向甲方申请支付质保金。项目内容无质量问题、乙方无违约行为且按照本合同约定提供质保服务的，甲方将质保金无息支付给乙方。如质保期内乙方未能按合同约定提供质保服务的，在质保期满后由甲方根据乙方实际履行质保服务情况与乙方结算质保金。</w:t>
      </w:r>
    </w:p>
    <w:p>
      <w:pPr>
        <w:spacing w:line="360" w:lineRule="auto"/>
        <w:ind w:firstLine="480" w:firstLineChars="200"/>
        <w:rPr>
          <w:rFonts w:ascii="Times New Roman"/>
          <w:highlight w:val="none"/>
        </w:rPr>
      </w:pPr>
      <w:r>
        <w:rPr>
          <w:rFonts w:hint="eastAsia" w:ascii="Times New Roman"/>
          <w:highlight w:val="none"/>
        </w:rPr>
        <w:t>6.在甲方支付每笔款项前，乙方应向甲方提供等额有效的增值税专用发票和请款报告等请款材料。因乙方逾期提供请款材料，或所提供的请款材料不符合甲方要求的，甲方有权顺延付款时间，并不承担任何违约责任。</w:t>
      </w:r>
    </w:p>
    <w:p>
      <w:pPr>
        <w:spacing w:line="360" w:lineRule="auto"/>
        <w:ind w:firstLine="480" w:firstLineChars="200"/>
        <w:rPr>
          <w:rFonts w:ascii="Times New Roman"/>
          <w:highlight w:val="none"/>
        </w:rPr>
      </w:pPr>
      <w:r>
        <w:rPr>
          <w:rFonts w:hint="eastAsia" w:ascii="Times New Roman"/>
          <w:highlight w:val="none"/>
        </w:rPr>
        <w:t>7.乙方指定收款银行账户信息如下：</w:t>
      </w:r>
    </w:p>
    <w:p>
      <w:pPr>
        <w:adjustRightInd/>
        <w:spacing w:line="360" w:lineRule="auto"/>
        <w:ind w:firstLine="440" w:firstLineChars="200"/>
        <w:rPr>
          <w:rFonts w:hAnsi="宋体"/>
          <w:sz w:val="22"/>
          <w:szCs w:val="22"/>
          <w:highlight w:val="none"/>
          <w:u w:val="single"/>
          <w:lang w:bidi="ar"/>
        </w:rPr>
      </w:pPr>
      <w:r>
        <w:rPr>
          <w:rFonts w:hAnsi="宋体"/>
          <w:sz w:val="22"/>
          <w:szCs w:val="22"/>
          <w:highlight w:val="none"/>
          <w:lang w:bidi="ar"/>
        </w:rPr>
        <w:t>公司名称：</w:t>
      </w:r>
      <w:r>
        <w:rPr>
          <w:rFonts w:hAnsi="宋体"/>
          <w:sz w:val="22"/>
          <w:szCs w:val="22"/>
          <w:highlight w:val="none"/>
          <w:u w:val="single"/>
          <w:lang w:bidi="ar"/>
        </w:rPr>
        <w:t xml:space="preserve">                                     </w:t>
      </w:r>
    </w:p>
    <w:p>
      <w:pPr>
        <w:adjustRightInd/>
        <w:spacing w:line="360" w:lineRule="auto"/>
        <w:ind w:firstLine="440" w:firstLineChars="200"/>
        <w:rPr>
          <w:rFonts w:hAnsi="宋体"/>
          <w:sz w:val="22"/>
          <w:szCs w:val="22"/>
          <w:highlight w:val="none"/>
          <w:lang w:bidi="ar"/>
        </w:rPr>
      </w:pPr>
      <w:r>
        <w:rPr>
          <w:rFonts w:hAnsi="宋体"/>
          <w:sz w:val="22"/>
          <w:szCs w:val="22"/>
          <w:highlight w:val="none"/>
          <w:lang w:bidi="ar"/>
        </w:rPr>
        <w:t>开户银行：</w:t>
      </w:r>
      <w:r>
        <w:rPr>
          <w:rFonts w:hAnsi="宋体"/>
          <w:sz w:val="22"/>
          <w:szCs w:val="22"/>
          <w:highlight w:val="none"/>
          <w:u w:val="single"/>
          <w:lang w:bidi="ar"/>
        </w:rPr>
        <w:t xml:space="preserve">                                     </w:t>
      </w:r>
    </w:p>
    <w:p>
      <w:pPr>
        <w:adjustRightInd/>
        <w:spacing w:line="360" w:lineRule="auto"/>
        <w:ind w:firstLine="440" w:firstLineChars="200"/>
        <w:rPr>
          <w:rFonts w:ascii="Times New Roman"/>
          <w:highlight w:val="none"/>
        </w:rPr>
      </w:pPr>
      <w:r>
        <w:rPr>
          <w:rFonts w:hAnsi="宋体"/>
          <w:sz w:val="22"/>
          <w:szCs w:val="22"/>
          <w:highlight w:val="none"/>
          <w:lang w:bidi="ar"/>
        </w:rPr>
        <w:t>账    号：</w:t>
      </w:r>
      <w:r>
        <w:rPr>
          <w:rFonts w:hAnsi="宋体"/>
          <w:sz w:val="22"/>
          <w:szCs w:val="22"/>
          <w:highlight w:val="none"/>
          <w:u w:val="single"/>
          <w:lang w:bidi="ar"/>
        </w:rPr>
        <w:t xml:space="preserve">                                     </w:t>
      </w:r>
      <w:r>
        <w:rPr>
          <w:rFonts w:hint="eastAsia" w:ascii="Times New Roman"/>
          <w:highlight w:val="none"/>
        </w:rPr>
        <w:t xml:space="preserve">   </w:t>
      </w:r>
    </w:p>
    <w:p>
      <w:pPr>
        <w:adjustRightInd/>
        <w:spacing w:line="360" w:lineRule="auto"/>
        <w:ind w:firstLine="480" w:firstLineChars="200"/>
        <w:rPr>
          <w:rFonts w:ascii="Times New Roman"/>
          <w:highlight w:val="none"/>
        </w:rPr>
      </w:pPr>
      <w:r>
        <w:rPr>
          <w:rFonts w:hint="eastAsia" w:ascii="Times New Roman"/>
          <w:highlight w:val="none"/>
        </w:rPr>
        <w:t xml:space="preserve">乙方提供的收款账户如需进行变更的，应当提前【】个工作日以书面形式通知甲方。乙方未及时履行书面通知义务的，由此造成的损失应自行负责。 </w:t>
      </w:r>
    </w:p>
    <w:p>
      <w:pPr>
        <w:adjustRightInd/>
        <w:spacing w:line="360" w:lineRule="auto"/>
        <w:ind w:firstLine="480" w:firstLineChars="200"/>
        <w:rPr>
          <w:rFonts w:ascii="Times New Roman"/>
          <w:highlight w:val="none"/>
        </w:rPr>
      </w:pPr>
      <w:r>
        <w:rPr>
          <w:rFonts w:hint="eastAsia" w:ascii="Times New Roman"/>
          <w:highlight w:val="none"/>
        </w:rPr>
        <w:t xml:space="preserve">                                </w:t>
      </w:r>
    </w:p>
    <w:p>
      <w:pPr>
        <w:autoSpaceDE/>
        <w:autoSpaceDN/>
        <w:adjustRightInd/>
        <w:spacing w:line="360" w:lineRule="auto"/>
        <w:jc w:val="both"/>
        <w:outlineLvl w:val="1"/>
        <w:rPr>
          <w:rFonts w:ascii="Times New Roman"/>
          <w:b/>
          <w:highlight w:val="none"/>
        </w:rPr>
      </w:pPr>
      <w:bookmarkStart w:id="40" w:name="_Toc27495485"/>
      <w:r>
        <w:rPr>
          <w:rFonts w:hint="eastAsia" w:ascii="Times New Roman"/>
          <w:b/>
          <w:highlight w:val="none"/>
        </w:rPr>
        <w:t>第六条 违约责任</w:t>
      </w:r>
      <w:bookmarkEnd w:id="40"/>
    </w:p>
    <w:p>
      <w:pPr>
        <w:spacing w:line="360" w:lineRule="auto"/>
        <w:ind w:firstLine="480" w:firstLineChars="200"/>
        <w:rPr>
          <w:rFonts w:ascii="Times New Roman"/>
          <w:highlight w:val="none"/>
        </w:rPr>
      </w:pPr>
      <w:r>
        <w:rPr>
          <w:rFonts w:hint="eastAsia" w:ascii="Times New Roman"/>
          <w:highlight w:val="none"/>
        </w:rPr>
        <w:t>1、乙方未能按本合同约定时间且经甲方通知后拒向甲方提供</w:t>
      </w:r>
      <w:r>
        <w:rPr>
          <w:rFonts w:hint="eastAsia" w:ascii="Times New Roman"/>
          <w:highlight w:val="none"/>
          <w:u w:val="single"/>
        </w:rPr>
        <w:t>OA系统信息安全加固</w:t>
      </w:r>
      <w:r>
        <w:rPr>
          <w:rFonts w:hint="eastAsia" w:ascii="Times New Roman"/>
          <w:highlight w:val="none"/>
        </w:rPr>
        <w:t>服务的，每延误一日，应按合同价1%为标准向甲方支付违约金，最高不超过合同价的10%，同时甲方有权随时另行委托其他第三人提供本合同项下</w:t>
      </w:r>
      <w:r>
        <w:rPr>
          <w:rFonts w:hint="eastAsia" w:ascii="Times New Roman"/>
          <w:highlight w:val="none"/>
          <w:u w:val="single"/>
        </w:rPr>
        <w:t>OA系统信息安全加固</w:t>
      </w:r>
      <w:r>
        <w:rPr>
          <w:rFonts w:hint="eastAsia" w:ascii="Times New Roman"/>
          <w:highlight w:val="none"/>
        </w:rPr>
        <w:t>服务，由此产生的费用、差价及其他一切损失由乙方承担。如延误超过3日，或累计出现3次前述违约行为的，甲方有权单方解除合同，除承担前述违约责任外，乙方还应向甲方支付合同价20%的违约金。</w:t>
      </w:r>
    </w:p>
    <w:p>
      <w:pPr>
        <w:spacing w:line="360" w:lineRule="auto"/>
        <w:ind w:firstLine="480" w:firstLineChars="200"/>
        <w:rPr>
          <w:rFonts w:ascii="Times New Roman"/>
          <w:highlight w:val="none"/>
        </w:rPr>
      </w:pPr>
      <w:r>
        <w:rPr>
          <w:rFonts w:ascii="Times New Roman"/>
          <w:highlight w:val="none"/>
        </w:rPr>
        <w:t>2</w:t>
      </w:r>
      <w:r>
        <w:rPr>
          <w:rFonts w:hint="eastAsia" w:ascii="Times New Roman"/>
          <w:highlight w:val="none"/>
        </w:rPr>
        <w:t>、乙方所交付的服务成果不符本合同、甲方及使用部门要求的，甲方有权拒绝接受，并有权要求乙方在甲方限定时间内对服务成果予以无条件、免费返工，直至符合本合同、甲方及使用部门的要求，同时乙方须向甲方支付合同价5 %的违约金。</w:t>
      </w:r>
      <w:r>
        <w:rPr>
          <w:rFonts w:hint="eastAsia" w:hAnsi="宋体" w:cs="宋体"/>
          <w:highlight w:val="none"/>
        </w:rPr>
        <w:t>若因乙方原因导致乙方无法按照本合同完成服务的，甲方有权单方解除合同，且有权要求乙方支付合同价20 %的违约金，</w:t>
      </w:r>
      <w:r>
        <w:rPr>
          <w:rFonts w:hint="eastAsia" w:ascii="Times New Roman"/>
          <w:highlight w:val="none"/>
        </w:rPr>
        <w:t>不予支付任何费用并有权另行委托其他第三人提供本合同项下</w:t>
      </w:r>
      <w:r>
        <w:rPr>
          <w:rFonts w:hint="eastAsia" w:ascii="Times New Roman"/>
          <w:highlight w:val="none"/>
          <w:u w:val="single"/>
        </w:rPr>
        <w:t>OA系统信息安全加固</w:t>
      </w:r>
      <w:r>
        <w:rPr>
          <w:rFonts w:hint="eastAsia" w:ascii="Times New Roman"/>
          <w:highlight w:val="none"/>
        </w:rPr>
        <w:t>服务，由此产生的费用、差价及其他一切损失由乙方承担。如违约金不足以弥补甲方损失的，甲方有权另行追偿。</w:t>
      </w:r>
    </w:p>
    <w:p>
      <w:pPr>
        <w:spacing w:line="360" w:lineRule="auto"/>
        <w:ind w:firstLine="480" w:firstLineChars="200"/>
        <w:rPr>
          <w:rFonts w:ascii="Times New Roman"/>
          <w:highlight w:val="none"/>
        </w:rPr>
      </w:pPr>
      <w:r>
        <w:rPr>
          <w:rFonts w:hint="eastAsia" w:ascii="Times New Roman"/>
          <w:highlight w:val="none"/>
        </w:rPr>
        <w:t>3、</w:t>
      </w:r>
      <w:r>
        <w:rPr>
          <w:rFonts w:hint="eastAsia" w:hAnsi="宋体" w:cs="宋体"/>
          <w:highlight w:val="none"/>
        </w:rPr>
        <w:t>若因乙方原因导致无法按照</w:t>
      </w:r>
      <w:r>
        <w:rPr>
          <w:rFonts w:hint="eastAsia" w:ascii="Times New Roman"/>
          <w:highlight w:val="none"/>
        </w:rPr>
        <w:t>本合同“第二条（五）项目进度要求</w:t>
      </w:r>
      <w:r>
        <w:rPr>
          <w:rFonts w:hint="eastAsia" w:ascii="Times New Roman"/>
          <w:b/>
          <w:bCs/>
          <w:highlight w:val="none"/>
        </w:rPr>
        <w:t>”</w:t>
      </w:r>
      <w:r>
        <w:rPr>
          <w:rFonts w:hint="eastAsia" w:ascii="Times New Roman"/>
          <w:highlight w:val="none"/>
        </w:rPr>
        <w:t>交付成果，各项进度每延迟一天，乙方须向甲方支付合同价0.5%的违约金，最高不超过合同价的20%。</w:t>
      </w:r>
    </w:p>
    <w:p>
      <w:pPr>
        <w:spacing w:line="360" w:lineRule="auto"/>
        <w:ind w:firstLine="480" w:firstLineChars="200"/>
        <w:rPr>
          <w:rFonts w:ascii="Times New Roman"/>
          <w:highlight w:val="none"/>
        </w:rPr>
      </w:pPr>
      <w:r>
        <w:rPr>
          <w:rFonts w:hint="eastAsia" w:ascii="Times New Roman"/>
          <w:highlight w:val="none"/>
        </w:rPr>
        <w:t>4、乙方违反第二条第六款第三项知识产权条款的约定，使甲方被第三方起诉或遭受其他损失的，应由乙方承担赔偿责任。</w:t>
      </w:r>
    </w:p>
    <w:p>
      <w:pPr>
        <w:spacing w:line="360" w:lineRule="auto"/>
        <w:ind w:firstLine="480" w:firstLineChars="200"/>
        <w:rPr>
          <w:rFonts w:ascii="Times New Roman"/>
          <w:highlight w:val="none"/>
        </w:rPr>
      </w:pPr>
      <w:r>
        <w:rPr>
          <w:rFonts w:hint="eastAsia" w:ascii="Times New Roman"/>
          <w:highlight w:val="none"/>
        </w:rPr>
        <w:t>5、乙方未经甲方书面同意，擅自将本合同项下服务内容全部或部分转让给第三方的，甲方有权单方解除合同，并要求乙方按本合同价的20%承担违约金，违约金不足以弥补甲方损失的，甲方有权继续向乙方追索。</w:t>
      </w:r>
    </w:p>
    <w:p>
      <w:pPr>
        <w:spacing w:line="360" w:lineRule="auto"/>
        <w:ind w:firstLine="480" w:firstLineChars="200"/>
        <w:rPr>
          <w:rFonts w:ascii="Times New Roman"/>
          <w:highlight w:val="none"/>
        </w:rPr>
      </w:pPr>
      <w:r>
        <w:rPr>
          <w:rFonts w:hint="eastAsia" w:ascii="Times New Roman"/>
          <w:highlight w:val="none"/>
        </w:rPr>
        <w:t>6、乙方未按约定履行售后服务义务的，甲方有权要求限期改正。如逾期仍未改正的，甲方有权单方解除合同，且有权要求乙方支付合同价5 %的违约金。</w:t>
      </w:r>
    </w:p>
    <w:p>
      <w:pPr>
        <w:spacing w:line="360" w:lineRule="auto"/>
        <w:ind w:firstLine="480" w:firstLineChars="200"/>
        <w:rPr>
          <w:rFonts w:ascii="Times New Roman"/>
          <w:highlight w:val="none"/>
        </w:rPr>
      </w:pPr>
      <w:r>
        <w:rPr>
          <w:rFonts w:hint="eastAsia" w:ascii="Times New Roman"/>
          <w:highlight w:val="none"/>
        </w:rPr>
        <w:t>7、乙方保证具有履行本合同的资质条件，并承诺在合同履行期限保证资质有效。同时加强对从业人员的执业管理，保证具有履行本合同的资质能力。如因资质丧失（包括但不限于注销、撤销、降低等）、人员缺乏导致无法继续履行的，甲方有权单方解除本合同，要求乙方向甲方支付合同价的20%作为违约金，并另行委托有资质的第三方继续进行（乙方应无条件配合移交相关工作），由此造成的损失由乙方承担。</w:t>
      </w:r>
    </w:p>
    <w:p>
      <w:pPr>
        <w:spacing w:line="360" w:lineRule="auto"/>
        <w:ind w:firstLine="480" w:firstLineChars="200"/>
        <w:rPr>
          <w:rFonts w:ascii="Times New Roman"/>
          <w:highlight w:val="none"/>
        </w:rPr>
      </w:pPr>
      <w:r>
        <w:rPr>
          <w:rFonts w:hint="eastAsia" w:ascii="Times New Roman"/>
          <w:highlight w:val="none"/>
        </w:rPr>
        <w:t>8、无论是否在质保期内，因乙方提供的服务的原因发生安全事故或引起其他损失、造成不良后果的，乙方应承担全部责任及损失赔偿。</w:t>
      </w:r>
    </w:p>
    <w:p>
      <w:pPr>
        <w:spacing w:line="360" w:lineRule="auto"/>
        <w:ind w:firstLine="480" w:firstLineChars="200"/>
        <w:rPr>
          <w:rFonts w:ascii="Times New Roman"/>
          <w:highlight w:val="none"/>
        </w:rPr>
      </w:pPr>
      <w:r>
        <w:rPr>
          <w:rFonts w:hint="eastAsia" w:ascii="Times New Roman"/>
          <w:highlight w:val="none"/>
        </w:rPr>
        <w:t>9、甲方损失无法计算的，乙方同意按合同价的20 %计算损失并赔偿给甲方。</w:t>
      </w:r>
    </w:p>
    <w:p>
      <w:pPr>
        <w:spacing w:line="360" w:lineRule="auto"/>
        <w:rPr>
          <w:rFonts w:ascii="Times New Roman"/>
          <w:highlight w:val="none"/>
        </w:rPr>
      </w:pPr>
    </w:p>
    <w:p>
      <w:pPr>
        <w:autoSpaceDE/>
        <w:autoSpaceDN/>
        <w:adjustRightInd/>
        <w:spacing w:line="360" w:lineRule="auto"/>
        <w:jc w:val="both"/>
        <w:outlineLvl w:val="1"/>
        <w:rPr>
          <w:rFonts w:ascii="Times New Roman"/>
          <w:b/>
          <w:highlight w:val="none"/>
        </w:rPr>
      </w:pPr>
      <w:bookmarkStart w:id="41" w:name="_Toc27495486"/>
      <w:r>
        <w:rPr>
          <w:rFonts w:hint="eastAsia" w:ascii="Times New Roman"/>
          <w:b/>
          <w:highlight w:val="none"/>
        </w:rPr>
        <w:t>第七条 不可抗力</w:t>
      </w:r>
      <w:bookmarkEnd w:id="41"/>
    </w:p>
    <w:p>
      <w:pPr>
        <w:spacing w:line="360" w:lineRule="auto"/>
        <w:ind w:firstLine="480" w:firstLineChars="200"/>
        <w:rPr>
          <w:rFonts w:ascii="Times New Roman"/>
          <w:highlight w:val="none"/>
        </w:rPr>
      </w:pPr>
      <w:r>
        <w:rPr>
          <w:rFonts w:hint="eastAsia" w:ascii="Times New Roman"/>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highlight w:val="none"/>
          <w:u w:val="single"/>
        </w:rPr>
        <w:t>15</w:t>
      </w:r>
      <w:r>
        <w:rPr>
          <w:rFonts w:hint="eastAsia" w:ascii="Times New Roman"/>
          <w:highlight w:val="none"/>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spacing w:line="360" w:lineRule="auto"/>
        <w:ind w:firstLine="480" w:firstLineChars="200"/>
        <w:rPr>
          <w:rFonts w:ascii="Times New Roman"/>
          <w:highlight w:val="none"/>
        </w:rPr>
      </w:pPr>
    </w:p>
    <w:p>
      <w:pPr>
        <w:autoSpaceDE/>
        <w:autoSpaceDN/>
        <w:adjustRightInd/>
        <w:spacing w:line="360" w:lineRule="auto"/>
        <w:jc w:val="both"/>
        <w:outlineLvl w:val="1"/>
        <w:rPr>
          <w:rFonts w:ascii="Times New Roman"/>
          <w:b/>
          <w:highlight w:val="none"/>
        </w:rPr>
      </w:pPr>
      <w:bookmarkStart w:id="42" w:name="_Toc27495488"/>
      <w:r>
        <w:rPr>
          <w:rFonts w:hint="eastAsia" w:ascii="Times New Roman"/>
          <w:b/>
          <w:highlight w:val="none"/>
        </w:rPr>
        <w:t>第八条 合同争议的解决办法</w:t>
      </w:r>
      <w:bookmarkEnd w:id="42"/>
    </w:p>
    <w:p>
      <w:pPr>
        <w:spacing w:line="360" w:lineRule="auto"/>
        <w:ind w:firstLine="403"/>
        <w:rPr>
          <w:rFonts w:ascii="Times New Roman"/>
          <w:highlight w:val="none"/>
        </w:rPr>
      </w:pPr>
      <w:r>
        <w:rPr>
          <w:rFonts w:hint="eastAsia" w:ascii="Times New Roman"/>
          <w:highlight w:val="none"/>
        </w:rPr>
        <w:t>1、双方因本合同发生争议的，可协商解决。协商不成的，任何一方可向甲方住所地有管辖权的人民法院提起诉讼。</w:t>
      </w:r>
    </w:p>
    <w:p>
      <w:pPr>
        <w:spacing w:line="360" w:lineRule="auto"/>
        <w:ind w:firstLine="403"/>
        <w:rPr>
          <w:rFonts w:ascii="Times New Roman"/>
          <w:highlight w:val="none"/>
        </w:rPr>
      </w:pPr>
      <w:r>
        <w:rPr>
          <w:rFonts w:hint="eastAsia" w:ascii="Times New Roman"/>
          <w:highlight w:val="none"/>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pPr>
        <w:spacing w:line="360" w:lineRule="auto"/>
        <w:rPr>
          <w:rFonts w:ascii="Times New Roman"/>
          <w:highlight w:val="none"/>
        </w:rPr>
      </w:pPr>
    </w:p>
    <w:p>
      <w:pPr>
        <w:autoSpaceDE/>
        <w:autoSpaceDN/>
        <w:adjustRightInd/>
        <w:spacing w:line="360" w:lineRule="auto"/>
        <w:jc w:val="both"/>
        <w:outlineLvl w:val="1"/>
        <w:rPr>
          <w:rFonts w:ascii="Times New Roman"/>
          <w:b/>
          <w:highlight w:val="none"/>
        </w:rPr>
      </w:pPr>
      <w:bookmarkStart w:id="43" w:name="_Toc27495489"/>
      <w:r>
        <w:rPr>
          <w:rFonts w:hint="eastAsia" w:ascii="Times New Roman"/>
          <w:b/>
          <w:highlight w:val="none"/>
        </w:rPr>
        <w:t>第九条 其他</w:t>
      </w:r>
      <w:bookmarkEnd w:id="43"/>
    </w:p>
    <w:p>
      <w:pPr>
        <w:widowControl/>
        <w:spacing w:line="360" w:lineRule="auto"/>
        <w:ind w:firstLine="480" w:firstLineChars="200"/>
        <w:rPr>
          <w:rFonts w:ascii="Times New Roman"/>
          <w:highlight w:val="none"/>
        </w:rPr>
      </w:pPr>
      <w:r>
        <w:rPr>
          <w:rFonts w:ascii="Times New Roman"/>
          <w:highlight w:val="none"/>
        </w:rPr>
        <w:t>1</w:t>
      </w:r>
      <w:r>
        <w:rPr>
          <w:rFonts w:hint="eastAsia" w:ascii="Times New Roman"/>
          <w:highlight w:val="none"/>
        </w:rPr>
        <w:t>、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r>
        <w:rPr>
          <w:rFonts w:ascii="Times New Roman"/>
          <w:highlight w:val="none"/>
        </w:rPr>
        <w:t>。</w:t>
      </w:r>
    </w:p>
    <w:p>
      <w:pPr>
        <w:widowControl/>
        <w:spacing w:line="360" w:lineRule="auto"/>
        <w:ind w:firstLine="480" w:firstLineChars="200"/>
        <w:rPr>
          <w:rFonts w:ascii="Times New Roman"/>
          <w:highlight w:val="none"/>
        </w:rPr>
      </w:pPr>
      <w:r>
        <w:rPr>
          <w:rFonts w:ascii="Times New Roman"/>
          <w:highlight w:val="none"/>
        </w:rPr>
        <w:t>2</w:t>
      </w:r>
      <w:r>
        <w:rPr>
          <w:rFonts w:hint="eastAsia" w:ascii="Times New Roman"/>
          <w:highlight w:val="none"/>
        </w:rPr>
        <w:t>、乙方确认：本合同中列明的乙方</w:t>
      </w:r>
      <w:r>
        <w:rPr>
          <w:rFonts w:ascii="Times New Roman"/>
          <w:highlight w:val="none"/>
        </w:rPr>
        <w:t>“</w:t>
      </w:r>
      <w:r>
        <w:rPr>
          <w:rFonts w:hint="eastAsia" w:ascii="Times New Roman"/>
          <w:highlight w:val="none"/>
        </w:rPr>
        <w:t>地址</w:t>
      </w:r>
      <w:r>
        <w:rPr>
          <w:rFonts w:ascii="Times New Roman"/>
          <w:highlight w:val="none"/>
        </w:rPr>
        <w:t>”</w:t>
      </w:r>
      <w:r>
        <w:rPr>
          <w:rFonts w:hint="eastAsia" w:ascii="Times New Roman"/>
          <w:highlight w:val="none"/>
        </w:rPr>
        <w:t>为有效的收件地址，甲方对乙方的相关通知、函件等可通过特快专递方式送达至该地址。甲方通过特快专递方式向乙方</w:t>
      </w:r>
      <w:r>
        <w:rPr>
          <w:rFonts w:ascii="Times New Roman"/>
          <w:highlight w:val="none"/>
        </w:rPr>
        <w:t>“</w:t>
      </w:r>
      <w:r>
        <w:rPr>
          <w:rFonts w:hint="eastAsia" w:ascii="Times New Roman"/>
          <w:highlight w:val="none"/>
        </w:rPr>
        <w:t>地址</w:t>
      </w:r>
      <w:r>
        <w:rPr>
          <w:rFonts w:ascii="Times New Roman"/>
          <w:highlight w:val="none"/>
        </w:rPr>
        <w:t>”</w:t>
      </w:r>
      <w:r>
        <w:rPr>
          <w:rFonts w:hint="eastAsia" w:ascii="Times New Roman"/>
          <w:highlight w:val="none"/>
        </w:rPr>
        <w:t>发出相关通知、函件等</w:t>
      </w:r>
      <w:r>
        <w:rPr>
          <w:rFonts w:ascii="Times New Roman"/>
          <w:highlight w:val="none"/>
          <w:u w:val="single"/>
        </w:rPr>
        <w:t>3</w:t>
      </w:r>
      <w:r>
        <w:rPr>
          <w:rFonts w:hint="eastAsia" w:ascii="Times New Roman"/>
          <w:highlight w:val="none"/>
        </w:rPr>
        <w:t>日后，即视为有效送达。乙方更换地址的，应该</w:t>
      </w:r>
      <w:r>
        <w:rPr>
          <w:rFonts w:ascii="Times New Roman"/>
          <w:highlight w:val="none"/>
          <w:u w:val="single"/>
        </w:rPr>
        <w:t>3</w:t>
      </w:r>
      <w:r>
        <w:rPr>
          <w:rFonts w:hint="eastAsia" w:ascii="Times New Roman"/>
          <w:highlight w:val="none"/>
        </w:rPr>
        <w:t>日内书面告知甲方。</w:t>
      </w:r>
    </w:p>
    <w:p>
      <w:pPr>
        <w:spacing w:line="360" w:lineRule="auto"/>
        <w:ind w:firstLine="480" w:firstLineChars="200"/>
        <w:rPr>
          <w:rFonts w:ascii="Times New Roman"/>
          <w:highlight w:val="none"/>
        </w:rPr>
      </w:pPr>
      <w:r>
        <w:rPr>
          <w:rFonts w:hint="eastAsia" w:ascii="Times New Roman"/>
          <w:highlight w:val="none"/>
        </w:rPr>
        <w:t>3、本合同一式</w:t>
      </w:r>
      <w:r>
        <w:rPr>
          <w:rFonts w:ascii="Times New Roman"/>
          <w:highlight w:val="none"/>
          <w:u w:val="single"/>
        </w:rPr>
        <w:t xml:space="preserve"> </w:t>
      </w:r>
      <w:r>
        <w:rPr>
          <w:rFonts w:hint="eastAsia" w:ascii="Times New Roman"/>
          <w:highlight w:val="none"/>
          <w:u w:val="single"/>
        </w:rPr>
        <w:t xml:space="preserve">伍 </w:t>
      </w:r>
      <w:r>
        <w:rPr>
          <w:rFonts w:hint="eastAsia" w:ascii="Times New Roman"/>
          <w:highlight w:val="none"/>
        </w:rPr>
        <w:t>份，其中甲方执</w:t>
      </w:r>
      <w:r>
        <w:rPr>
          <w:rFonts w:hint="eastAsia" w:ascii="Times New Roman"/>
          <w:highlight w:val="none"/>
          <w:u w:val="single"/>
        </w:rPr>
        <w:t xml:space="preserve"> 肆</w:t>
      </w:r>
      <w:r>
        <w:rPr>
          <w:rFonts w:ascii="Times New Roman"/>
          <w:highlight w:val="none"/>
          <w:u w:val="single"/>
        </w:rPr>
        <w:t xml:space="preserve"> </w:t>
      </w:r>
      <w:r>
        <w:rPr>
          <w:rFonts w:hint="eastAsia" w:ascii="Times New Roman"/>
          <w:highlight w:val="none"/>
        </w:rPr>
        <w:t>份，乙方执</w:t>
      </w:r>
      <w:r>
        <w:rPr>
          <w:rFonts w:hint="eastAsia" w:ascii="Times New Roman"/>
          <w:highlight w:val="none"/>
          <w:u w:val="single"/>
        </w:rPr>
        <w:t xml:space="preserve">  壹 </w:t>
      </w:r>
      <w:r>
        <w:rPr>
          <w:rFonts w:hint="eastAsia" w:ascii="Times New Roman"/>
          <w:highlight w:val="none"/>
        </w:rPr>
        <w:t>份，每份均具有同等法律效力。</w:t>
      </w:r>
    </w:p>
    <w:p>
      <w:pPr>
        <w:spacing w:line="360" w:lineRule="auto"/>
        <w:ind w:firstLine="480" w:firstLineChars="200"/>
        <w:rPr>
          <w:rFonts w:ascii="Times New Roman"/>
          <w:highlight w:val="none"/>
        </w:rPr>
      </w:pPr>
      <w:r>
        <w:rPr>
          <w:rFonts w:hint="eastAsia" w:ascii="Times New Roman"/>
          <w:highlight w:val="none"/>
        </w:rPr>
        <w:t>4、本合同经双方法定代表人或负责人签名并盖章后生效。</w:t>
      </w:r>
    </w:p>
    <w:p>
      <w:pPr>
        <w:spacing w:line="360" w:lineRule="auto"/>
        <w:ind w:firstLine="480" w:firstLineChars="200"/>
        <w:rPr>
          <w:rFonts w:ascii="Times New Roman"/>
          <w:highlight w:val="none"/>
        </w:rPr>
      </w:pPr>
      <w:r>
        <w:rPr>
          <w:rFonts w:hint="eastAsia" w:ascii="Times New Roman"/>
          <w:highlight w:val="none"/>
        </w:rPr>
        <w:t>5、本合同附件是本合同不可分割内容，与本合同同时生效，同具法律效力。合同条款与附件、采购文件、报价文件等其他文件不一致的，以有利于甲方的约定/解释为准。</w:t>
      </w:r>
    </w:p>
    <w:p>
      <w:pPr>
        <w:spacing w:line="360" w:lineRule="auto"/>
        <w:ind w:firstLine="480" w:firstLineChars="200"/>
        <w:rPr>
          <w:rFonts w:ascii="Times New Roman"/>
          <w:highlight w:val="none"/>
        </w:rPr>
      </w:pPr>
      <w:r>
        <w:rPr>
          <w:rFonts w:hint="eastAsia" w:ascii="Times New Roman"/>
          <w:highlight w:val="none"/>
        </w:rPr>
        <w:t>附件一：廉洁协议书；附件二：</w:t>
      </w:r>
      <w:r>
        <w:rPr>
          <w:rFonts w:hint="eastAsia" w:hAnsi="宋体"/>
          <w:bCs/>
          <w:highlight w:val="none"/>
        </w:rPr>
        <w:t>安全生产管理协议</w:t>
      </w:r>
      <w:r>
        <w:rPr>
          <w:rFonts w:hint="eastAsia" w:ascii="Times New Roman"/>
          <w:highlight w:val="none"/>
        </w:rPr>
        <w:t>；附件三：用户需求书。</w:t>
      </w:r>
    </w:p>
    <w:p>
      <w:pPr>
        <w:spacing w:line="360" w:lineRule="auto"/>
        <w:rPr>
          <w:rFonts w:ascii="Times New Roman"/>
          <w:highlight w:val="none"/>
        </w:rPr>
      </w:pPr>
    </w:p>
    <w:p>
      <w:pPr>
        <w:spacing w:line="360" w:lineRule="auto"/>
        <w:ind w:firstLine="480" w:firstLineChars="200"/>
        <w:rPr>
          <w:rFonts w:ascii="Times New Roman"/>
          <w:highlight w:val="none"/>
        </w:rPr>
      </w:pPr>
      <w:r>
        <w:rPr>
          <w:rFonts w:hint="eastAsia" w:ascii="Times New Roman"/>
          <w:highlight w:val="none"/>
        </w:rPr>
        <w:t>（以下无正文，转签章页）</w:t>
      </w:r>
    </w:p>
    <w:p>
      <w:pPr>
        <w:spacing w:line="360" w:lineRule="auto"/>
        <w:ind w:firstLine="480" w:firstLineChars="200"/>
        <w:rPr>
          <w:rFonts w:ascii="Times New Roman"/>
          <w:highlight w:val="none"/>
        </w:rPr>
      </w:pPr>
    </w:p>
    <w:tbl>
      <w:tblPr>
        <w:tblStyle w:val="16"/>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甲方（盖章）：</w:t>
            </w: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法定代表人（或授权代表）：</w:t>
            </w: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ind w:firstLine="720" w:firstLineChars="300"/>
              <w:jc w:val="both"/>
              <w:rPr>
                <w:rFonts w:ascii="Times New Roman"/>
                <w:highlight w:val="none"/>
              </w:rPr>
            </w:pPr>
            <w:r>
              <w:rPr>
                <w:rFonts w:hint="eastAsia" w:ascii="Times New Roman"/>
                <w:highlight w:val="none"/>
              </w:rPr>
              <w:t>地址：</w:t>
            </w: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p>
        </w:tc>
        <w:tc>
          <w:tcPr>
            <w:tcW w:w="5102" w:type="dxa"/>
            <w:tcBorders>
              <w:tl2br w:val="nil"/>
              <w:tr2bl w:val="nil"/>
            </w:tcBorders>
            <w:tcMar>
              <w:top w:w="0" w:type="dxa"/>
              <w:left w:w="57" w:type="dxa"/>
              <w:bottom w:w="0" w:type="dxa"/>
              <w:right w:w="57" w:type="dxa"/>
            </w:tcMar>
          </w:tcPr>
          <w:p>
            <w:pPr>
              <w:spacing w:line="360" w:lineRule="auto"/>
              <w:jc w:val="both"/>
              <w:rPr>
                <w:rFonts w:ascii="Times New Roman"/>
                <w:highlight w:val="none"/>
              </w:rPr>
            </w:pPr>
            <w:r>
              <w:rPr>
                <w:rFonts w:hint="eastAsia" w:ascii="Times New Roman"/>
                <w:highlight w:val="none"/>
              </w:rPr>
              <w:t>税号：</w:t>
            </w:r>
          </w:p>
        </w:tc>
      </w:tr>
    </w:tbl>
    <w:p>
      <w:pPr>
        <w:spacing w:line="360" w:lineRule="auto"/>
        <w:rPr>
          <w:rFonts w:ascii="Times New Roman"/>
          <w:highlight w:val="none"/>
        </w:rPr>
      </w:pPr>
    </w:p>
    <w:p>
      <w:pPr>
        <w:spacing w:line="360" w:lineRule="auto"/>
        <w:rPr>
          <w:rFonts w:ascii="Times New Roman"/>
          <w:highlight w:val="none"/>
        </w:rPr>
      </w:pPr>
      <w:r>
        <w:rPr>
          <w:rFonts w:hint="eastAsia" w:ascii="Times New Roman"/>
          <w:highlight w:val="none"/>
        </w:rPr>
        <w:t>签订日期：</w:t>
      </w:r>
      <w:r>
        <w:rPr>
          <w:rFonts w:ascii="Times New Roman"/>
          <w:highlight w:val="none"/>
        </w:rPr>
        <w:t xml:space="preserve"> </w:t>
      </w:r>
    </w:p>
    <w:p>
      <w:pPr>
        <w:spacing w:line="360" w:lineRule="auto"/>
        <w:rPr>
          <w:rFonts w:ascii="Times New Roman"/>
          <w:highlight w:val="none"/>
        </w:rPr>
      </w:pPr>
      <w:r>
        <w:rPr>
          <w:rFonts w:hint="eastAsia" w:ascii="Times New Roman"/>
          <w:highlight w:val="none"/>
        </w:rPr>
        <w:t>签订地点：广东省东莞市</w:t>
      </w:r>
    </w:p>
    <w:p>
      <w:pPr>
        <w:spacing w:line="420" w:lineRule="exact"/>
        <w:jc w:val="center"/>
        <w:rPr>
          <w:rFonts w:ascii="仿宋_GB2312" w:hAnsi="仿宋_GB2312" w:eastAsia="仿宋_GB2312" w:cs="仿宋_GB2312"/>
          <w:b/>
          <w:bCs/>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outlineLvl w:val="0"/>
        <w:rPr>
          <w:rFonts w:hAnsi="宋体"/>
          <w:b/>
          <w:bCs/>
          <w:sz w:val="21"/>
          <w:szCs w:val="21"/>
          <w:highlight w:val="none"/>
          <w:lang w:bidi="ar"/>
        </w:rPr>
      </w:pPr>
      <w:r>
        <w:rPr>
          <w:rFonts w:hint="eastAsia" w:hAnsi="宋体"/>
          <w:b/>
          <w:bCs/>
          <w:sz w:val="21"/>
          <w:szCs w:val="21"/>
          <w:highlight w:val="none"/>
          <w:lang w:bidi="ar"/>
        </w:rPr>
        <w:t>附件一：廉洁协议书</w:t>
      </w:r>
    </w:p>
    <w:p>
      <w:pPr>
        <w:spacing w:line="600" w:lineRule="exact"/>
        <w:ind w:right="36" w:rightChars="15"/>
        <w:jc w:val="center"/>
        <w:rPr>
          <w:rFonts w:hAnsi="宋体" w:cs="方正小标宋简体"/>
          <w:b/>
          <w:sz w:val="32"/>
          <w:szCs w:val="32"/>
          <w:highlight w:val="none"/>
        </w:rPr>
      </w:pPr>
      <w:r>
        <w:rPr>
          <w:rFonts w:hint="eastAsia" w:hAnsi="宋体" w:cs="方正小标宋简体"/>
          <w:b/>
          <w:sz w:val="32"/>
          <w:szCs w:val="32"/>
          <w:highlight w:val="none"/>
          <w:lang w:bidi="ar"/>
        </w:rPr>
        <w:t>廉洁协议书</w:t>
      </w:r>
    </w:p>
    <w:p>
      <w:pPr>
        <w:spacing w:line="600" w:lineRule="exact"/>
        <w:ind w:right="36" w:rightChars="15"/>
        <w:jc w:val="center"/>
        <w:rPr>
          <w:rFonts w:hAnsi="宋体" w:cs="宋体"/>
          <w:b/>
          <w:sz w:val="21"/>
          <w:szCs w:val="21"/>
          <w:highlight w:val="none"/>
        </w:rPr>
      </w:pPr>
    </w:p>
    <w:p>
      <w:pPr>
        <w:spacing w:line="560" w:lineRule="exact"/>
        <w:rPr>
          <w:rFonts w:hAnsi="宋体" w:cs="宋体"/>
          <w:sz w:val="21"/>
          <w:szCs w:val="21"/>
          <w:highlight w:val="none"/>
        </w:rPr>
      </w:pPr>
      <w:r>
        <w:rPr>
          <w:rFonts w:hint="eastAsia" w:hAnsi="宋体" w:cs="宋体"/>
          <w:b/>
          <w:bCs/>
          <w:sz w:val="21"/>
          <w:szCs w:val="21"/>
          <w:highlight w:val="none"/>
          <w:lang w:bidi="ar"/>
        </w:rPr>
        <w:t>项目名称：</w:t>
      </w:r>
      <w:r>
        <w:rPr>
          <w:rFonts w:hint="eastAsia" w:hAnsi="宋体" w:cs="宋体"/>
          <w:sz w:val="21"/>
          <w:szCs w:val="21"/>
          <w:highlight w:val="none"/>
          <w:lang w:bidi="ar"/>
        </w:rPr>
        <w:t xml:space="preserve">                 </w:t>
      </w:r>
    </w:p>
    <w:p>
      <w:pPr>
        <w:spacing w:line="560" w:lineRule="exact"/>
        <w:rPr>
          <w:rFonts w:hAnsi="宋体" w:cs="宋体"/>
          <w:b/>
          <w:bCs/>
          <w:sz w:val="21"/>
          <w:szCs w:val="21"/>
          <w:highlight w:val="none"/>
        </w:rPr>
      </w:pPr>
      <w:r>
        <w:rPr>
          <w:rFonts w:hint="eastAsia" w:hAnsi="宋体" w:cs="宋体"/>
          <w:b/>
          <w:bCs/>
          <w:sz w:val="21"/>
          <w:szCs w:val="21"/>
          <w:highlight w:val="none"/>
          <w:lang w:bidi="ar"/>
        </w:rPr>
        <w:t>甲方（业主单位）：</w:t>
      </w:r>
    </w:p>
    <w:p>
      <w:pPr>
        <w:spacing w:line="560" w:lineRule="exact"/>
        <w:rPr>
          <w:rFonts w:hAnsi="宋体" w:cs="宋体"/>
          <w:b/>
          <w:bCs/>
          <w:sz w:val="21"/>
          <w:szCs w:val="21"/>
          <w:highlight w:val="none"/>
        </w:rPr>
      </w:pPr>
      <w:r>
        <w:rPr>
          <w:rFonts w:hint="eastAsia" w:hAnsi="宋体" w:cs="宋体"/>
          <w:b/>
          <w:bCs/>
          <w:sz w:val="21"/>
          <w:szCs w:val="21"/>
          <w:highlight w:val="none"/>
          <w:lang w:bidi="ar"/>
        </w:rPr>
        <w:t>乙方：</w:t>
      </w:r>
    </w:p>
    <w:p>
      <w:pPr>
        <w:spacing w:line="560" w:lineRule="exact"/>
        <w:ind w:firstLine="420"/>
        <w:rPr>
          <w:rFonts w:hAnsi="宋体" w:cs="宋体"/>
          <w:sz w:val="21"/>
          <w:szCs w:val="21"/>
          <w:highlight w:val="none"/>
        </w:rPr>
      </w:pPr>
      <w:r>
        <w:rPr>
          <w:rFonts w:hint="eastAsia" w:hAnsi="宋体" w:cs="宋体"/>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第一条  甲乙双方的权利和义务</w:t>
      </w:r>
    </w:p>
    <w:p>
      <w:pPr>
        <w:spacing w:line="560" w:lineRule="exact"/>
        <w:ind w:firstLine="420"/>
        <w:rPr>
          <w:rFonts w:hAnsi="宋体" w:cs="宋体"/>
          <w:sz w:val="21"/>
          <w:szCs w:val="21"/>
          <w:highlight w:val="none"/>
        </w:rPr>
      </w:pPr>
      <w:r>
        <w:rPr>
          <w:rFonts w:hint="eastAsia" w:hAnsi="宋体" w:cs="宋体"/>
          <w:sz w:val="21"/>
          <w:szCs w:val="21"/>
          <w:highlight w:val="none"/>
          <w:lang w:bidi="ar"/>
        </w:rPr>
        <w:t>（一）严格遵守党和国家有关法律法规等有关廉洁从业规定。</w:t>
      </w:r>
    </w:p>
    <w:p>
      <w:pPr>
        <w:spacing w:line="560" w:lineRule="exact"/>
        <w:ind w:firstLine="420"/>
        <w:rPr>
          <w:rFonts w:hAnsi="宋体" w:cs="宋体"/>
          <w:sz w:val="21"/>
          <w:szCs w:val="21"/>
          <w:highlight w:val="none"/>
        </w:rPr>
      </w:pPr>
      <w:r>
        <w:rPr>
          <w:rFonts w:hint="eastAsia" w:hAnsi="宋体" w:cs="宋体"/>
          <w:sz w:val="21"/>
          <w:szCs w:val="21"/>
          <w:highlight w:val="none"/>
          <w:lang w:bidi="ar"/>
        </w:rPr>
        <w:t>（二）严格执行本项目的合同文件，自觉按合同办事。</w:t>
      </w:r>
    </w:p>
    <w:p>
      <w:pPr>
        <w:spacing w:line="560" w:lineRule="exact"/>
        <w:ind w:firstLine="420"/>
        <w:rPr>
          <w:rFonts w:hAnsi="宋体" w:cs="宋体"/>
          <w:sz w:val="21"/>
          <w:szCs w:val="21"/>
          <w:highlight w:val="none"/>
        </w:rPr>
      </w:pPr>
      <w:r>
        <w:rPr>
          <w:rFonts w:hint="eastAsia" w:hAnsi="宋体" w:cs="宋体"/>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pPr>
        <w:spacing w:line="560" w:lineRule="exact"/>
        <w:ind w:firstLine="420"/>
        <w:rPr>
          <w:rFonts w:hAnsi="宋体" w:cs="宋体"/>
          <w:sz w:val="21"/>
          <w:szCs w:val="21"/>
          <w:highlight w:val="none"/>
        </w:rPr>
      </w:pPr>
      <w:r>
        <w:rPr>
          <w:rFonts w:hint="eastAsia" w:hAnsi="宋体" w:cs="宋体"/>
          <w:sz w:val="21"/>
          <w:szCs w:val="21"/>
          <w:highlight w:val="none"/>
          <w:lang w:bidi="ar"/>
        </w:rPr>
        <w:t>（四）建立健全廉洁制度，开展廉洁教育，设立廉洁监督公示牌，公布举报电话，监督并认真查处违法违纪行为。</w:t>
      </w:r>
    </w:p>
    <w:p>
      <w:pPr>
        <w:spacing w:line="560" w:lineRule="exact"/>
        <w:ind w:firstLine="420"/>
        <w:rPr>
          <w:rFonts w:hAnsi="宋体" w:cs="宋体"/>
          <w:sz w:val="21"/>
          <w:szCs w:val="21"/>
          <w:highlight w:val="none"/>
        </w:rPr>
      </w:pPr>
      <w:r>
        <w:rPr>
          <w:rFonts w:hint="eastAsia" w:hAnsi="宋体" w:cs="宋体"/>
          <w:sz w:val="21"/>
          <w:szCs w:val="21"/>
          <w:highlight w:val="none"/>
          <w:lang w:bidi="ar"/>
        </w:rPr>
        <w:t>（五）发现对方在业务活动中有违反廉洁规定的行为，有及时提醒对方纠正的权利和义务。</w:t>
      </w:r>
    </w:p>
    <w:p>
      <w:pPr>
        <w:spacing w:line="560" w:lineRule="exact"/>
        <w:ind w:firstLine="420"/>
        <w:rPr>
          <w:rFonts w:hAnsi="宋体" w:cs="宋体"/>
          <w:sz w:val="21"/>
          <w:szCs w:val="21"/>
          <w:highlight w:val="none"/>
        </w:rPr>
      </w:pPr>
      <w:r>
        <w:rPr>
          <w:rFonts w:hint="eastAsia" w:hAnsi="宋体" w:cs="宋体"/>
          <w:sz w:val="21"/>
          <w:szCs w:val="21"/>
          <w:highlight w:val="none"/>
          <w:lang w:bidi="ar"/>
        </w:rPr>
        <w:t>（六）发现对方严重违反本协议义务条款的行为，有向其上级有关部门举报、建议给予处理并要求告知处理结果的权利。</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第二条  甲方的义务</w:t>
      </w:r>
    </w:p>
    <w:p>
      <w:pPr>
        <w:spacing w:line="560" w:lineRule="exact"/>
        <w:ind w:firstLine="420"/>
        <w:rPr>
          <w:rFonts w:hAnsi="宋体" w:cs="宋体"/>
          <w:sz w:val="21"/>
          <w:szCs w:val="21"/>
          <w:highlight w:val="none"/>
        </w:rPr>
      </w:pPr>
      <w:r>
        <w:rPr>
          <w:rFonts w:hint="eastAsia" w:hAnsi="宋体" w:cs="宋体"/>
          <w:sz w:val="21"/>
          <w:szCs w:val="21"/>
          <w:highlight w:val="none"/>
          <w:lang w:bidi="ar"/>
        </w:rPr>
        <w:t>（一）甲方及其工作人员不得索要或接受乙方的礼金、有价证券和贵重物品，不得在乙方报销任何应由甲方或个人支付的费用。</w:t>
      </w:r>
    </w:p>
    <w:p>
      <w:pPr>
        <w:spacing w:line="560" w:lineRule="exact"/>
        <w:ind w:firstLine="420"/>
        <w:rPr>
          <w:rFonts w:hAnsi="宋体" w:cs="宋体"/>
          <w:sz w:val="21"/>
          <w:szCs w:val="21"/>
          <w:highlight w:val="none"/>
        </w:rPr>
      </w:pPr>
      <w:r>
        <w:rPr>
          <w:rFonts w:hint="eastAsia" w:hAnsi="宋体" w:cs="宋体"/>
          <w:sz w:val="21"/>
          <w:szCs w:val="21"/>
          <w:highlight w:val="none"/>
          <w:lang w:bidi="ar"/>
        </w:rPr>
        <w:t>（二）甲方工作人员不得参加乙方安排的高消费宴请和娱乐活动；不得接受乙方提供的通讯工具、交通工具和高档办公用品。</w:t>
      </w:r>
    </w:p>
    <w:p>
      <w:pPr>
        <w:spacing w:line="560" w:lineRule="exact"/>
        <w:ind w:firstLine="420"/>
        <w:rPr>
          <w:rFonts w:hAnsi="宋体" w:cs="宋体"/>
          <w:sz w:val="21"/>
          <w:szCs w:val="21"/>
          <w:highlight w:val="none"/>
        </w:rPr>
      </w:pPr>
      <w:r>
        <w:rPr>
          <w:rFonts w:hint="eastAsia" w:hAnsi="宋体" w:cs="宋体"/>
          <w:sz w:val="21"/>
          <w:szCs w:val="21"/>
          <w:highlight w:val="none"/>
          <w:lang w:bidi="ar"/>
        </w:rPr>
        <w:t>（三）甲方及其工作人员不得要求或者接受乙方为其住房装修、婚丧嫁娶活动、家属或亲友的工作安排以及出国出境、旅游等提供方便。</w:t>
      </w:r>
    </w:p>
    <w:p>
      <w:pPr>
        <w:spacing w:line="560" w:lineRule="exact"/>
        <w:ind w:firstLine="420"/>
        <w:rPr>
          <w:rFonts w:hAnsi="宋体" w:cs="宋体"/>
          <w:sz w:val="21"/>
          <w:szCs w:val="21"/>
          <w:highlight w:val="none"/>
        </w:rPr>
      </w:pPr>
      <w:r>
        <w:rPr>
          <w:rFonts w:hint="eastAsia" w:hAnsi="宋体" w:cs="宋体"/>
          <w:sz w:val="21"/>
          <w:szCs w:val="21"/>
          <w:highlight w:val="none"/>
          <w:lang w:bidi="ar"/>
        </w:rPr>
        <w:t>（四）甲方工作人员不得向乙方介绍其家属或者亲友（包括家属或亲友开办的公司企业）从事于本项目涉及的经济业务活动。</w:t>
      </w:r>
    </w:p>
    <w:p>
      <w:pPr>
        <w:spacing w:line="560" w:lineRule="exact"/>
        <w:ind w:firstLine="420"/>
        <w:rPr>
          <w:rFonts w:hAnsi="宋体" w:cs="宋体"/>
          <w:sz w:val="21"/>
          <w:szCs w:val="21"/>
          <w:highlight w:val="none"/>
        </w:rPr>
      </w:pPr>
      <w:r>
        <w:rPr>
          <w:rFonts w:hint="eastAsia" w:hAnsi="宋体" w:cs="宋体"/>
          <w:sz w:val="21"/>
          <w:szCs w:val="21"/>
          <w:highlight w:val="none"/>
          <w:lang w:bidi="ar"/>
        </w:rPr>
        <w:t>（五）甲方及其工作人员不得以任何理由向乙方推荐分包单位，不得要求乙方购买合同规定外的材料和设备。</w:t>
      </w:r>
    </w:p>
    <w:p>
      <w:pPr>
        <w:spacing w:line="560" w:lineRule="exact"/>
        <w:ind w:firstLine="420"/>
        <w:rPr>
          <w:rFonts w:hAnsi="宋体" w:cs="宋体"/>
          <w:sz w:val="21"/>
          <w:szCs w:val="21"/>
          <w:highlight w:val="none"/>
        </w:rPr>
      </w:pPr>
      <w:r>
        <w:rPr>
          <w:rFonts w:hint="eastAsia" w:hAnsi="宋体" w:cs="宋体"/>
          <w:sz w:val="21"/>
          <w:szCs w:val="21"/>
          <w:highlight w:val="none"/>
          <w:lang w:bidi="ar"/>
        </w:rPr>
        <w:t>（六）甲方及其工作人员不得进行违反廉洁规定的其他活动。</w:t>
      </w:r>
    </w:p>
    <w:p>
      <w:pPr>
        <w:spacing w:line="560" w:lineRule="exact"/>
        <w:ind w:firstLine="420"/>
        <w:rPr>
          <w:rFonts w:hAnsi="宋体" w:cs="宋体"/>
          <w:sz w:val="21"/>
          <w:szCs w:val="21"/>
          <w:highlight w:val="none"/>
        </w:rPr>
      </w:pPr>
      <w:r>
        <w:rPr>
          <w:rFonts w:hint="eastAsia" w:hAnsi="宋体" w:cs="宋体"/>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第三条  乙方义务</w:t>
      </w:r>
    </w:p>
    <w:p>
      <w:pPr>
        <w:spacing w:line="560" w:lineRule="exact"/>
        <w:ind w:firstLine="420"/>
        <w:rPr>
          <w:rFonts w:hAnsi="宋体" w:cs="宋体"/>
          <w:sz w:val="21"/>
          <w:szCs w:val="21"/>
          <w:highlight w:val="none"/>
        </w:rPr>
      </w:pPr>
      <w:r>
        <w:rPr>
          <w:rFonts w:hint="eastAsia" w:hAnsi="宋体" w:cs="宋体"/>
          <w:sz w:val="21"/>
          <w:szCs w:val="21"/>
          <w:highlight w:val="none"/>
          <w:lang w:bidi="ar"/>
        </w:rPr>
        <w:t>（一）乙方不得以任何理由向甲方及其工作人员馈赠礼金、有价证券、贵重礼品，或报销应由甲方单位或个人支付的任何费用。</w:t>
      </w:r>
    </w:p>
    <w:p>
      <w:pPr>
        <w:spacing w:line="560" w:lineRule="exact"/>
        <w:ind w:firstLine="420"/>
        <w:rPr>
          <w:rFonts w:hAnsi="宋体" w:cs="宋体"/>
          <w:sz w:val="21"/>
          <w:szCs w:val="21"/>
          <w:highlight w:val="none"/>
        </w:rPr>
      </w:pPr>
      <w:r>
        <w:rPr>
          <w:rFonts w:hint="eastAsia" w:hAnsi="宋体" w:cs="宋体"/>
          <w:sz w:val="21"/>
          <w:szCs w:val="21"/>
          <w:highlight w:val="none"/>
          <w:lang w:bidi="ar"/>
        </w:rPr>
        <w:t>（二）乙方及其工作人员不得以考察、参观、洽谈业务、签订合同等的借口邀请甲方及其工作人员参加高消费的宴请、娱乐和健身等活动。</w:t>
      </w:r>
    </w:p>
    <w:p>
      <w:pPr>
        <w:spacing w:line="560" w:lineRule="exact"/>
        <w:ind w:firstLine="420"/>
        <w:rPr>
          <w:rFonts w:hAnsi="宋体" w:cs="宋体"/>
          <w:sz w:val="21"/>
          <w:szCs w:val="21"/>
          <w:highlight w:val="none"/>
        </w:rPr>
      </w:pPr>
      <w:r>
        <w:rPr>
          <w:rFonts w:hint="eastAsia" w:hAnsi="宋体" w:cs="宋体"/>
          <w:sz w:val="21"/>
          <w:szCs w:val="21"/>
          <w:highlight w:val="none"/>
          <w:lang w:bidi="ar"/>
        </w:rPr>
        <w:t>（三）乙方不得为甲方单位和个人购置或提供通讯工具、交通工具和高档办公用品等。</w:t>
      </w:r>
    </w:p>
    <w:p>
      <w:pPr>
        <w:spacing w:line="560" w:lineRule="exact"/>
        <w:ind w:firstLine="420"/>
        <w:rPr>
          <w:rFonts w:hAnsi="宋体" w:cs="宋体"/>
          <w:sz w:val="21"/>
          <w:szCs w:val="21"/>
          <w:highlight w:val="none"/>
        </w:rPr>
      </w:pPr>
      <w:r>
        <w:rPr>
          <w:rFonts w:hint="eastAsia" w:hAnsi="宋体" w:cs="宋体"/>
          <w:sz w:val="21"/>
          <w:szCs w:val="21"/>
          <w:highlight w:val="none"/>
          <w:lang w:bidi="ar"/>
        </w:rPr>
        <w:t>（四）乙方及其工作人员不得为甲方工作人员购买、装修、维修私人住房、汽车等。</w:t>
      </w:r>
    </w:p>
    <w:p>
      <w:pPr>
        <w:spacing w:line="560" w:lineRule="exact"/>
        <w:ind w:firstLine="420"/>
        <w:rPr>
          <w:rFonts w:hAnsi="宋体" w:cs="宋体"/>
          <w:sz w:val="21"/>
          <w:szCs w:val="21"/>
          <w:highlight w:val="none"/>
        </w:rPr>
      </w:pPr>
      <w:r>
        <w:rPr>
          <w:rFonts w:hint="eastAsia" w:hAnsi="宋体" w:cs="宋体"/>
          <w:sz w:val="21"/>
          <w:szCs w:val="21"/>
          <w:highlight w:val="none"/>
          <w:lang w:bidi="ar"/>
        </w:rPr>
        <w:t>（五）乙方及其工作人员不得为甲方工作人员的婚丧嫁娶、家属或亲友的工作安排，及出国出境提供方便以及报销任何私人消费的费用。</w:t>
      </w:r>
    </w:p>
    <w:p>
      <w:pPr>
        <w:spacing w:line="560" w:lineRule="exact"/>
        <w:ind w:firstLine="420"/>
        <w:rPr>
          <w:rFonts w:hAnsi="宋体" w:cs="宋体"/>
          <w:sz w:val="21"/>
          <w:szCs w:val="21"/>
          <w:highlight w:val="none"/>
        </w:rPr>
      </w:pPr>
      <w:r>
        <w:rPr>
          <w:rFonts w:hint="eastAsia" w:hAnsi="宋体" w:cs="宋体"/>
          <w:sz w:val="21"/>
          <w:szCs w:val="21"/>
          <w:highlight w:val="none"/>
          <w:lang w:bidi="ar"/>
        </w:rPr>
        <w:t>（六）乙方及其工作人员不得进行影响甲方及其工作人员公正执行合同和履行职务的其他活动。</w:t>
      </w:r>
    </w:p>
    <w:p>
      <w:pPr>
        <w:spacing w:line="560" w:lineRule="exact"/>
        <w:ind w:firstLine="420"/>
        <w:rPr>
          <w:rFonts w:hAnsi="宋体" w:cs="宋体"/>
          <w:sz w:val="21"/>
          <w:szCs w:val="21"/>
          <w:highlight w:val="none"/>
        </w:rPr>
      </w:pPr>
      <w:r>
        <w:rPr>
          <w:rFonts w:hint="eastAsia" w:hAnsi="宋体" w:cs="宋体"/>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第四条  违约责任</w:t>
      </w:r>
    </w:p>
    <w:p>
      <w:pPr>
        <w:spacing w:line="560" w:lineRule="exact"/>
        <w:ind w:firstLine="420"/>
        <w:rPr>
          <w:rFonts w:hAnsi="宋体" w:cs="宋体"/>
          <w:sz w:val="21"/>
          <w:szCs w:val="21"/>
          <w:highlight w:val="none"/>
        </w:rPr>
      </w:pPr>
      <w:r>
        <w:rPr>
          <w:rFonts w:hint="eastAsia" w:hAnsi="宋体" w:cs="宋体"/>
          <w:sz w:val="21"/>
          <w:szCs w:val="21"/>
          <w:highlight w:val="none"/>
          <w:lang w:bidi="ar"/>
        </w:rPr>
        <w:t>（一）甲方违反本协议第一、第二条给乙方单位造成经济损失的，应予以赔偿。</w:t>
      </w:r>
    </w:p>
    <w:p>
      <w:pPr>
        <w:spacing w:line="560" w:lineRule="exact"/>
        <w:ind w:firstLine="420"/>
        <w:rPr>
          <w:rFonts w:hAnsi="宋体" w:cs="宋体"/>
          <w:sz w:val="21"/>
          <w:szCs w:val="21"/>
          <w:highlight w:val="none"/>
        </w:rPr>
      </w:pPr>
      <w:r>
        <w:rPr>
          <w:rFonts w:hint="eastAsia" w:hAnsi="宋体" w:cs="宋体"/>
          <w:sz w:val="21"/>
          <w:szCs w:val="21"/>
          <w:highlight w:val="none"/>
          <w:lang w:bidi="ar"/>
        </w:rPr>
        <w:t>（二）乙方违反本协议第一、第三条给甲方单位造成经济损失的，应予以赔偿。</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第五条  监督检查</w:t>
      </w:r>
    </w:p>
    <w:p>
      <w:pPr>
        <w:spacing w:line="560" w:lineRule="exact"/>
        <w:ind w:firstLine="420"/>
        <w:rPr>
          <w:rFonts w:hAnsi="宋体" w:cs="宋体"/>
          <w:sz w:val="21"/>
          <w:szCs w:val="21"/>
          <w:highlight w:val="none"/>
        </w:rPr>
      </w:pPr>
      <w:r>
        <w:rPr>
          <w:rFonts w:hint="eastAsia" w:hAnsi="宋体" w:cs="宋体"/>
          <w:sz w:val="21"/>
          <w:szCs w:val="21"/>
          <w:highlight w:val="none"/>
          <w:lang w:bidi="ar"/>
        </w:rPr>
        <w:t>甲乙双方的廉洁从业行为由甲乙双方或甲乙双方上级单位的纪检、监察部门负责监督，对本协议履行情况进行检查。</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第六条 举报信访受理</w:t>
      </w:r>
    </w:p>
    <w:p>
      <w:pPr>
        <w:spacing w:line="560" w:lineRule="exact"/>
        <w:ind w:firstLine="420"/>
        <w:rPr>
          <w:rFonts w:hAnsi="宋体" w:cs="宋体"/>
          <w:sz w:val="21"/>
          <w:szCs w:val="21"/>
          <w:highlight w:val="none"/>
          <w:lang w:bidi="ar"/>
        </w:rPr>
      </w:pPr>
      <w:r>
        <w:rPr>
          <w:rFonts w:hint="eastAsia" w:hAnsi="宋体" w:cs="宋体"/>
          <w:sz w:val="21"/>
          <w:szCs w:val="21"/>
          <w:highlight w:val="none"/>
          <w:lang w:bidi="ar"/>
        </w:rPr>
        <w:t>（一）举报受理部门：东莞市水务集团有限公司纪检监察部。</w:t>
      </w:r>
    </w:p>
    <w:p>
      <w:pPr>
        <w:spacing w:line="560" w:lineRule="exact"/>
        <w:ind w:firstLine="420"/>
        <w:rPr>
          <w:rFonts w:hAnsi="宋体" w:cs="宋体"/>
          <w:sz w:val="21"/>
          <w:szCs w:val="21"/>
          <w:highlight w:val="none"/>
          <w:lang w:bidi="ar"/>
        </w:rPr>
      </w:pPr>
      <w:r>
        <w:rPr>
          <w:rFonts w:hint="eastAsia" w:hAnsi="宋体" w:cs="宋体"/>
          <w:sz w:val="21"/>
          <w:szCs w:val="21"/>
          <w:highlight w:val="none"/>
          <w:lang w:bidi="ar"/>
        </w:rPr>
        <w:t>（二）举报电话：（0769）23076092。</w:t>
      </w:r>
    </w:p>
    <w:p>
      <w:pPr>
        <w:spacing w:line="560" w:lineRule="exact"/>
        <w:ind w:firstLine="420"/>
        <w:rPr>
          <w:rFonts w:hAnsi="宋体" w:cs="宋体"/>
          <w:sz w:val="21"/>
          <w:szCs w:val="21"/>
          <w:highlight w:val="none"/>
          <w:lang w:bidi="ar"/>
        </w:rPr>
      </w:pPr>
      <w:r>
        <w:rPr>
          <w:rFonts w:hint="eastAsia" w:hAnsi="宋体" w:cs="宋体"/>
          <w:sz w:val="21"/>
          <w:szCs w:val="21"/>
          <w:highlight w:val="none"/>
          <w:lang w:bidi="ar"/>
        </w:rPr>
        <w:t>（三）举报邮箱：</w:t>
      </w:r>
      <w:r>
        <w:rPr>
          <w:highlight w:val="none"/>
        </w:rPr>
        <w:fldChar w:fldCharType="begin"/>
      </w:r>
      <w:r>
        <w:rPr>
          <w:highlight w:val="none"/>
        </w:rPr>
        <w:instrText xml:space="preserve"> HYPERLINK "mailto:jcsj@dgswjt.cn。" </w:instrText>
      </w:r>
      <w:r>
        <w:rPr>
          <w:highlight w:val="none"/>
        </w:rPr>
        <w:fldChar w:fldCharType="separate"/>
      </w:r>
      <w:r>
        <w:rPr>
          <w:rFonts w:hint="eastAsia" w:hAnsi="宋体" w:cs="宋体"/>
          <w:sz w:val="21"/>
          <w:szCs w:val="21"/>
          <w:highlight w:val="none"/>
          <w:lang w:bidi="ar"/>
        </w:rPr>
        <w:t>jcsj@dgswjt.cn。</w:t>
      </w:r>
      <w:r>
        <w:rPr>
          <w:rFonts w:hint="eastAsia" w:hAnsi="宋体" w:cs="宋体"/>
          <w:sz w:val="21"/>
          <w:szCs w:val="21"/>
          <w:highlight w:val="none"/>
          <w:lang w:bidi="ar"/>
        </w:rPr>
        <w:fldChar w:fldCharType="end"/>
      </w:r>
    </w:p>
    <w:p>
      <w:pPr>
        <w:spacing w:line="560" w:lineRule="exact"/>
        <w:ind w:firstLine="420"/>
        <w:rPr>
          <w:rFonts w:hAnsi="宋体" w:cs="宋体"/>
          <w:sz w:val="21"/>
          <w:szCs w:val="21"/>
          <w:highlight w:val="none"/>
          <w:lang w:bidi="ar"/>
        </w:rPr>
      </w:pPr>
      <w:r>
        <w:rPr>
          <w:rFonts w:hint="eastAsia" w:hAnsi="宋体" w:cs="宋体"/>
          <w:sz w:val="21"/>
          <w:szCs w:val="21"/>
          <w:highlight w:val="none"/>
          <w:lang w:bidi="ar"/>
        </w:rPr>
        <w:t>（四）信访地址：广东省东莞市东城街道育华路1号。</w:t>
      </w:r>
    </w:p>
    <w:p>
      <w:pPr>
        <w:spacing w:line="560" w:lineRule="exact"/>
        <w:ind w:firstLine="422"/>
        <w:rPr>
          <w:rFonts w:hAnsi="宋体" w:cs="宋体"/>
          <w:b/>
          <w:bCs/>
          <w:sz w:val="21"/>
          <w:szCs w:val="21"/>
          <w:highlight w:val="none"/>
        </w:rPr>
      </w:pPr>
      <w:r>
        <w:rPr>
          <w:rFonts w:hint="eastAsia" w:hAnsi="宋体" w:cs="宋体"/>
          <w:b/>
          <w:bCs/>
          <w:sz w:val="21"/>
          <w:szCs w:val="21"/>
          <w:highlight w:val="none"/>
          <w:lang w:bidi="ar"/>
        </w:rPr>
        <w:t>第七条 其他</w:t>
      </w:r>
    </w:p>
    <w:p>
      <w:pPr>
        <w:spacing w:line="560" w:lineRule="exact"/>
        <w:ind w:firstLine="420"/>
        <w:rPr>
          <w:rFonts w:hAnsi="宋体" w:cs="宋体"/>
          <w:sz w:val="21"/>
          <w:szCs w:val="21"/>
          <w:highlight w:val="none"/>
        </w:rPr>
      </w:pPr>
      <w:r>
        <w:rPr>
          <w:rFonts w:hint="eastAsia" w:hAnsi="宋体" w:cs="宋体"/>
          <w:sz w:val="21"/>
          <w:szCs w:val="21"/>
          <w:highlight w:val="none"/>
          <w:lang w:bidi="ar"/>
        </w:rPr>
        <w:t>本协议有效期为甲乙双方法定代表人或负责人签字并加盖章之日起至该工程/采购项目竣工验收完毕，质保期/服务期满后止。本协议一式</w:t>
      </w:r>
      <w:r>
        <w:rPr>
          <w:rFonts w:hint="eastAsia" w:hAnsi="宋体" w:cs="宋体"/>
          <w:sz w:val="21"/>
          <w:szCs w:val="21"/>
          <w:highlight w:val="none"/>
          <w:u w:val="single"/>
          <w:lang w:bidi="ar"/>
        </w:rPr>
        <w:t xml:space="preserve">   </w:t>
      </w:r>
      <w:r>
        <w:rPr>
          <w:rFonts w:hint="eastAsia" w:hAnsi="宋体" w:cs="宋体"/>
          <w:sz w:val="21"/>
          <w:szCs w:val="21"/>
          <w:highlight w:val="none"/>
          <w:lang w:bidi="ar"/>
        </w:rPr>
        <w:t>份，甲、乙双方各执</w:t>
      </w:r>
      <w:r>
        <w:rPr>
          <w:rFonts w:hint="eastAsia" w:hAnsi="宋体" w:cs="宋体"/>
          <w:sz w:val="21"/>
          <w:szCs w:val="21"/>
          <w:highlight w:val="none"/>
          <w:u w:val="single"/>
          <w:lang w:bidi="ar"/>
        </w:rPr>
        <w:t xml:space="preserve">   </w:t>
      </w:r>
      <w:r>
        <w:rPr>
          <w:rFonts w:hint="eastAsia" w:hAnsi="宋体" w:cs="宋体"/>
          <w:sz w:val="21"/>
          <w:szCs w:val="21"/>
          <w:highlight w:val="none"/>
          <w:lang w:bidi="ar"/>
        </w:rPr>
        <w:t>份，甲、乙双方上级主管部门各执</w:t>
      </w:r>
      <w:r>
        <w:rPr>
          <w:rFonts w:hint="eastAsia" w:hAnsi="宋体" w:cs="宋体"/>
          <w:sz w:val="21"/>
          <w:szCs w:val="21"/>
          <w:highlight w:val="none"/>
          <w:u w:val="single"/>
          <w:lang w:bidi="ar"/>
        </w:rPr>
        <w:t xml:space="preserve">   </w:t>
      </w:r>
      <w:r>
        <w:rPr>
          <w:rFonts w:hint="eastAsia" w:hAnsi="宋体" w:cs="宋体"/>
          <w:sz w:val="21"/>
          <w:szCs w:val="21"/>
          <w:highlight w:val="none"/>
          <w:lang w:bidi="ar"/>
        </w:rPr>
        <w:t>份。</w:t>
      </w:r>
    </w:p>
    <w:p>
      <w:pPr>
        <w:spacing w:line="560" w:lineRule="exact"/>
        <w:ind w:firstLine="420"/>
        <w:rPr>
          <w:rFonts w:hAnsi="宋体" w:cs="宋体"/>
          <w:sz w:val="21"/>
          <w:szCs w:val="21"/>
          <w:highlight w:val="none"/>
        </w:rPr>
      </w:pPr>
    </w:p>
    <w:p>
      <w:pPr>
        <w:spacing w:line="560" w:lineRule="exact"/>
        <w:rPr>
          <w:rFonts w:hAnsi="宋体" w:cs="宋体"/>
          <w:sz w:val="21"/>
          <w:szCs w:val="21"/>
          <w:highlight w:val="none"/>
        </w:rPr>
      </w:pPr>
    </w:p>
    <w:p>
      <w:pPr>
        <w:spacing w:line="560" w:lineRule="exact"/>
        <w:ind w:firstLine="420"/>
        <w:rPr>
          <w:rFonts w:hAnsi="宋体" w:cs="宋体"/>
          <w:sz w:val="21"/>
          <w:szCs w:val="21"/>
          <w:highlight w:val="none"/>
        </w:rPr>
      </w:pPr>
      <w:r>
        <w:rPr>
          <w:rFonts w:hint="eastAsia" w:hAnsi="宋体" w:cs="宋体"/>
          <w:sz w:val="21"/>
          <w:szCs w:val="21"/>
          <w:highlight w:val="none"/>
          <w:lang w:bidi="ar"/>
        </w:rPr>
        <w:t xml:space="preserve">甲方（盖章）：                乙方（盖章）： </w:t>
      </w:r>
    </w:p>
    <w:p>
      <w:pPr>
        <w:spacing w:line="560" w:lineRule="exact"/>
        <w:ind w:firstLine="420"/>
        <w:rPr>
          <w:rFonts w:hAnsi="宋体" w:cs="宋体"/>
          <w:sz w:val="21"/>
          <w:szCs w:val="21"/>
          <w:highlight w:val="none"/>
        </w:rPr>
      </w:pPr>
    </w:p>
    <w:p>
      <w:pPr>
        <w:spacing w:line="560" w:lineRule="exact"/>
        <w:ind w:firstLine="420"/>
        <w:rPr>
          <w:rFonts w:hAnsi="宋体" w:cs="宋体"/>
          <w:sz w:val="21"/>
          <w:szCs w:val="21"/>
          <w:highlight w:val="none"/>
        </w:rPr>
      </w:pPr>
      <w:r>
        <w:rPr>
          <w:rFonts w:hint="eastAsia" w:hAnsi="宋体" w:cs="宋体"/>
          <w:sz w:val="21"/>
          <w:szCs w:val="21"/>
          <w:highlight w:val="none"/>
          <w:lang w:bidi="ar"/>
        </w:rPr>
        <w:t>法定代表人（或授权代表）：           法定代表人（或授权代表）：</w:t>
      </w:r>
    </w:p>
    <w:p>
      <w:pPr>
        <w:spacing w:line="560" w:lineRule="exact"/>
        <w:rPr>
          <w:rFonts w:hAnsi="宋体" w:cs="宋体"/>
          <w:sz w:val="21"/>
          <w:szCs w:val="21"/>
          <w:highlight w:val="none"/>
        </w:rPr>
      </w:pPr>
    </w:p>
    <w:p>
      <w:pPr>
        <w:spacing w:line="560" w:lineRule="exact"/>
        <w:ind w:firstLine="420"/>
        <w:rPr>
          <w:rFonts w:hAnsi="宋体" w:cs="宋体"/>
          <w:sz w:val="21"/>
          <w:szCs w:val="21"/>
          <w:highlight w:val="none"/>
        </w:rPr>
      </w:pPr>
      <w:r>
        <w:rPr>
          <w:rFonts w:hint="eastAsia" w:hAnsi="宋体" w:cs="宋体"/>
          <w:sz w:val="21"/>
          <w:szCs w:val="21"/>
          <w:highlight w:val="none"/>
          <w:lang w:bidi="ar"/>
        </w:rPr>
        <w:t>签订日期：    年  月  日</w:t>
      </w:r>
    </w:p>
    <w:p>
      <w:pPr>
        <w:spacing w:line="420" w:lineRule="exact"/>
        <w:jc w:val="both"/>
        <w:rPr>
          <w:rFonts w:ascii="仿宋_GB2312" w:hAnsi="仿宋_GB2312" w:eastAsia="仿宋_GB2312" w:cs="仿宋_GB2312"/>
          <w:b/>
          <w:bCs/>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pStyle w:val="2"/>
        <w:rPr>
          <w:rFonts w:ascii="仿宋_GB2312" w:hAnsi="仿宋_GB2312" w:eastAsia="仿宋_GB2312" w:cs="仿宋_GB2312"/>
          <w:b/>
          <w:sz w:val="36"/>
          <w:szCs w:val="36"/>
          <w:highlight w:val="none"/>
        </w:rPr>
      </w:pPr>
    </w:p>
    <w:p>
      <w:pPr>
        <w:spacing w:line="420" w:lineRule="exact"/>
        <w:jc w:val="center"/>
        <w:rPr>
          <w:rFonts w:ascii="仿宋_GB2312" w:hAnsi="仿宋_GB2312" w:eastAsia="仿宋_GB2312" w:cs="仿宋_GB2312"/>
          <w:b/>
          <w:bCs/>
          <w:sz w:val="36"/>
          <w:szCs w:val="36"/>
          <w:highlight w:val="none"/>
        </w:rPr>
      </w:pPr>
    </w:p>
    <w:p>
      <w:pPr>
        <w:adjustRightInd/>
        <w:outlineLvl w:val="0"/>
        <w:rPr>
          <w:rFonts w:hAnsi="宋体"/>
          <w:b/>
          <w:bCs/>
          <w:sz w:val="21"/>
          <w:szCs w:val="21"/>
          <w:highlight w:val="none"/>
          <w:lang w:bidi="ar"/>
        </w:rPr>
      </w:pPr>
      <w:r>
        <w:rPr>
          <w:rFonts w:hint="eastAsia" w:hAnsi="宋体"/>
          <w:b/>
          <w:bCs/>
          <w:sz w:val="21"/>
          <w:szCs w:val="21"/>
          <w:highlight w:val="none"/>
          <w:lang w:bidi="ar"/>
        </w:rPr>
        <w:t>附件二：安全生产管理协议</w:t>
      </w:r>
    </w:p>
    <w:p>
      <w:pPr>
        <w:jc w:val="center"/>
        <w:rPr>
          <w:rFonts w:hAnsi="宋体" w:cs="仿宋"/>
          <w:bCs/>
          <w:szCs w:val="28"/>
          <w:highlight w:val="none"/>
        </w:rPr>
      </w:pPr>
      <w:r>
        <w:rPr>
          <w:rFonts w:hint="eastAsia" w:hAnsi="宋体" w:cs="仿宋"/>
          <w:b/>
          <w:bCs/>
          <w:szCs w:val="28"/>
          <w:highlight w:val="none"/>
        </w:rPr>
        <w:t xml:space="preserve">         </w:t>
      </w:r>
      <w:r>
        <w:rPr>
          <w:rFonts w:hint="eastAsia" w:hAnsi="宋体" w:cs="仿宋"/>
          <w:bCs/>
          <w:szCs w:val="28"/>
          <w:highlight w:val="none"/>
        </w:rPr>
        <w:t xml:space="preserve">                                         </w:t>
      </w:r>
    </w:p>
    <w:p>
      <w:pPr>
        <w:jc w:val="center"/>
        <w:rPr>
          <w:rFonts w:hAnsi="宋体" w:cs="仿宋"/>
          <w:b/>
          <w:bCs/>
          <w:sz w:val="30"/>
          <w:szCs w:val="30"/>
          <w:highlight w:val="none"/>
        </w:rPr>
      </w:pPr>
      <w:r>
        <w:rPr>
          <w:rFonts w:hint="eastAsia" w:hAnsi="宋体" w:cs="仿宋"/>
          <w:b/>
          <w:bCs/>
          <w:sz w:val="30"/>
          <w:szCs w:val="30"/>
          <w:highlight w:val="none"/>
        </w:rPr>
        <w:t>安全生产管理协议</w:t>
      </w:r>
    </w:p>
    <w:p>
      <w:pPr>
        <w:jc w:val="center"/>
        <w:rPr>
          <w:rFonts w:hAnsi="宋体" w:cs="仿宋"/>
          <w:bCs/>
          <w:szCs w:val="28"/>
          <w:highlight w:val="none"/>
        </w:rPr>
      </w:pPr>
      <w:r>
        <w:rPr>
          <w:rFonts w:hint="eastAsia" w:hAnsi="宋体" w:cs="仿宋"/>
          <w:b/>
          <w:bCs/>
          <w:szCs w:val="28"/>
          <w:highlight w:val="none"/>
        </w:rPr>
        <w:t xml:space="preserve">         </w:t>
      </w:r>
      <w:r>
        <w:rPr>
          <w:rFonts w:hint="eastAsia" w:hAnsi="宋体" w:cs="仿宋"/>
          <w:bCs/>
          <w:szCs w:val="28"/>
          <w:highlight w:val="none"/>
        </w:rPr>
        <w:t xml:space="preserve">                                         </w:t>
      </w:r>
    </w:p>
    <w:p>
      <w:pPr>
        <w:rPr>
          <w:rFonts w:hAnsi="宋体" w:cs="仿宋"/>
          <w:sz w:val="21"/>
          <w:szCs w:val="21"/>
          <w:highlight w:val="none"/>
        </w:rPr>
      </w:pPr>
      <w:r>
        <w:rPr>
          <w:rFonts w:hint="eastAsia" w:hAnsi="宋体" w:cs="仿宋"/>
          <w:sz w:val="21"/>
          <w:szCs w:val="21"/>
          <w:highlight w:val="none"/>
        </w:rPr>
        <w:t>甲方：</w:t>
      </w:r>
    </w:p>
    <w:p>
      <w:pPr>
        <w:rPr>
          <w:rFonts w:hAnsi="宋体" w:cs="仿宋"/>
          <w:sz w:val="21"/>
          <w:szCs w:val="21"/>
          <w:highlight w:val="none"/>
        </w:rPr>
      </w:pPr>
      <w:r>
        <w:rPr>
          <w:rFonts w:hint="eastAsia" w:hAnsi="宋体" w:cs="仿宋"/>
          <w:sz w:val="21"/>
          <w:szCs w:val="21"/>
          <w:highlight w:val="none"/>
        </w:rPr>
        <w:t>地址:</w:t>
      </w:r>
    </w:p>
    <w:p>
      <w:pPr>
        <w:rPr>
          <w:rFonts w:hAnsi="宋体" w:cs="仿宋"/>
          <w:sz w:val="21"/>
          <w:szCs w:val="21"/>
          <w:highlight w:val="none"/>
        </w:rPr>
      </w:pPr>
      <w:r>
        <w:rPr>
          <w:rFonts w:hint="eastAsia" w:hAnsi="宋体" w:cs="仿宋"/>
          <w:sz w:val="21"/>
          <w:szCs w:val="21"/>
          <w:highlight w:val="none"/>
        </w:rPr>
        <w:t xml:space="preserve">电话:                </w:t>
      </w:r>
    </w:p>
    <w:p>
      <w:pPr>
        <w:rPr>
          <w:rFonts w:hAnsi="宋体" w:cs="仿宋"/>
          <w:sz w:val="21"/>
          <w:szCs w:val="21"/>
          <w:highlight w:val="none"/>
        </w:rPr>
      </w:pPr>
      <w:r>
        <w:rPr>
          <w:rFonts w:hint="eastAsia" w:hAnsi="宋体" w:cs="仿宋"/>
          <w:sz w:val="21"/>
          <w:szCs w:val="21"/>
          <w:highlight w:val="none"/>
        </w:rPr>
        <w:t>传真</w:t>
      </w:r>
    </w:p>
    <w:p>
      <w:pPr>
        <w:rPr>
          <w:rFonts w:hAnsi="宋体" w:cs="仿宋"/>
          <w:sz w:val="21"/>
          <w:szCs w:val="21"/>
          <w:highlight w:val="none"/>
        </w:rPr>
      </w:pPr>
    </w:p>
    <w:p>
      <w:pPr>
        <w:rPr>
          <w:rFonts w:hAnsi="宋体" w:cs="仿宋"/>
          <w:sz w:val="21"/>
          <w:szCs w:val="21"/>
          <w:highlight w:val="none"/>
        </w:rPr>
      </w:pPr>
      <w:r>
        <w:rPr>
          <w:rFonts w:hint="eastAsia" w:hAnsi="宋体" w:cs="仿宋"/>
          <w:sz w:val="21"/>
          <w:szCs w:val="21"/>
          <w:highlight w:val="none"/>
        </w:rPr>
        <w:t>乙方：</w:t>
      </w:r>
    </w:p>
    <w:p>
      <w:pPr>
        <w:rPr>
          <w:rFonts w:hAnsi="宋体" w:cs="仿宋"/>
          <w:sz w:val="21"/>
          <w:szCs w:val="21"/>
          <w:highlight w:val="none"/>
        </w:rPr>
      </w:pPr>
      <w:r>
        <w:rPr>
          <w:rFonts w:hint="eastAsia" w:hAnsi="宋体" w:cs="仿宋"/>
          <w:sz w:val="21"/>
          <w:szCs w:val="21"/>
          <w:highlight w:val="none"/>
        </w:rPr>
        <w:t>地址:</w:t>
      </w:r>
    </w:p>
    <w:p>
      <w:pPr>
        <w:rPr>
          <w:rFonts w:hAnsi="宋体" w:cs="仿宋"/>
          <w:sz w:val="21"/>
          <w:szCs w:val="21"/>
          <w:highlight w:val="none"/>
        </w:rPr>
      </w:pPr>
      <w:r>
        <w:rPr>
          <w:rFonts w:hint="eastAsia" w:hAnsi="宋体" w:cs="仿宋"/>
          <w:sz w:val="21"/>
          <w:szCs w:val="21"/>
          <w:highlight w:val="none"/>
        </w:rPr>
        <w:t>电话:</w:t>
      </w:r>
    </w:p>
    <w:p>
      <w:pPr>
        <w:rPr>
          <w:rFonts w:hAnsi="宋体" w:cs="仿宋"/>
          <w:sz w:val="21"/>
          <w:szCs w:val="21"/>
          <w:highlight w:val="none"/>
        </w:rPr>
      </w:pPr>
      <w:r>
        <w:rPr>
          <w:rFonts w:hint="eastAsia" w:hAnsi="宋体" w:cs="仿宋"/>
          <w:sz w:val="21"/>
          <w:szCs w:val="21"/>
          <w:highlight w:val="none"/>
        </w:rPr>
        <w:t>传真</w:t>
      </w:r>
    </w:p>
    <w:p>
      <w:pPr>
        <w:rPr>
          <w:rFonts w:hAnsi="宋体" w:cs="仿宋"/>
          <w:sz w:val="21"/>
          <w:szCs w:val="21"/>
          <w:highlight w:val="none"/>
        </w:rPr>
      </w:pPr>
    </w:p>
    <w:p>
      <w:pPr>
        <w:ind w:firstLine="424" w:firstLineChars="202"/>
        <w:rPr>
          <w:rFonts w:hAnsi="宋体" w:cs="仿宋"/>
          <w:sz w:val="21"/>
          <w:szCs w:val="21"/>
          <w:highlight w:val="none"/>
        </w:rPr>
      </w:pPr>
      <w:r>
        <w:rPr>
          <w:rFonts w:hint="eastAsia" w:hAnsi="宋体" w:cs="仿宋"/>
          <w:sz w:val="21"/>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ind w:firstLine="424" w:firstLineChars="202"/>
        <w:rPr>
          <w:rFonts w:hAnsi="宋体" w:cs="仿宋"/>
          <w:sz w:val="21"/>
          <w:szCs w:val="21"/>
          <w:highlight w:val="none"/>
        </w:rPr>
      </w:pPr>
      <w:r>
        <w:rPr>
          <w:rFonts w:hint="eastAsia" w:hAnsi="宋体" w:cs="仿宋"/>
          <w:sz w:val="21"/>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pPr>
        <w:ind w:firstLine="424" w:firstLineChars="202"/>
        <w:rPr>
          <w:rFonts w:hAnsi="宋体" w:cs="仿宋"/>
          <w:sz w:val="21"/>
          <w:szCs w:val="21"/>
          <w:highlight w:val="none"/>
        </w:rPr>
      </w:pPr>
      <w:r>
        <w:rPr>
          <w:rFonts w:hint="eastAsia" w:hAnsi="宋体" w:cs="仿宋"/>
          <w:sz w:val="21"/>
          <w:szCs w:val="21"/>
          <w:highlight w:val="none"/>
        </w:rPr>
        <w:t>2、乙方应设置专职或兼职安全员，对施工进行安全管理，并在施工作业前对所属员工进行安全教育培训，并且进行经常性的安全教育，</w:t>
      </w:r>
      <w:r>
        <w:rPr>
          <w:rFonts w:hAnsi="宋体" w:cs="仿宋"/>
          <w:sz w:val="21"/>
          <w:szCs w:val="21"/>
          <w:highlight w:val="none"/>
        </w:rPr>
        <w:t>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Ansi="宋体" w:cs="仿宋"/>
          <w:sz w:val="21"/>
          <w:szCs w:val="21"/>
          <w:highlight w:val="none"/>
        </w:rPr>
        <w:br w:type="textWrapping"/>
      </w:r>
      <w:r>
        <w:rPr>
          <w:rFonts w:hAnsi="宋体" w:cs="仿宋"/>
          <w:sz w:val="21"/>
          <w:szCs w:val="21"/>
          <w:highlight w:val="none"/>
        </w:rPr>
        <w:t xml:space="preserve">  </w:t>
      </w:r>
      <w:r>
        <w:rPr>
          <w:rFonts w:hint="eastAsia" w:hAnsi="宋体" w:cs="仿宋"/>
          <w:sz w:val="21"/>
          <w:szCs w:val="21"/>
          <w:highlight w:val="none"/>
        </w:rPr>
        <w:t>3、乙方</w:t>
      </w:r>
      <w:r>
        <w:rPr>
          <w:rFonts w:hAnsi="宋体" w:cs="仿宋"/>
          <w:sz w:val="21"/>
          <w:szCs w:val="21"/>
          <w:highlight w:val="none"/>
        </w:rPr>
        <w:t>使用被派遣劳动者的，应当将被派遣劳动者纳入本单位从业人员统一管理，对被派遣劳动者进行岗位安全操作规程和安全操作技能的教育和培训。</w:t>
      </w:r>
    </w:p>
    <w:p>
      <w:pPr>
        <w:ind w:firstLine="424" w:firstLineChars="202"/>
        <w:rPr>
          <w:rFonts w:hAnsi="宋体" w:cs="仿宋"/>
          <w:sz w:val="21"/>
          <w:szCs w:val="21"/>
          <w:highlight w:val="none"/>
        </w:rPr>
      </w:pPr>
      <w:r>
        <w:rPr>
          <w:rFonts w:hint="eastAsia" w:hAnsi="宋体" w:cs="仿宋"/>
          <w:sz w:val="21"/>
          <w:szCs w:val="21"/>
          <w:highlight w:val="none"/>
        </w:rPr>
        <w:t>4、乙方</w:t>
      </w:r>
      <w:r>
        <w:rPr>
          <w:rFonts w:hAnsi="宋体" w:cs="仿宋"/>
          <w:sz w:val="21"/>
          <w:szCs w:val="21"/>
          <w:highlight w:val="none"/>
        </w:rPr>
        <w:t>应当在有较大危险因素的</w:t>
      </w:r>
      <w:r>
        <w:rPr>
          <w:rFonts w:hint="eastAsia" w:hAnsi="宋体" w:cs="仿宋"/>
          <w:sz w:val="21"/>
          <w:szCs w:val="21"/>
          <w:highlight w:val="none"/>
        </w:rPr>
        <w:t>施工</w:t>
      </w:r>
      <w:r>
        <w:rPr>
          <w:rFonts w:hAnsi="宋体" w:cs="仿宋"/>
          <w:sz w:val="21"/>
          <w:szCs w:val="21"/>
          <w:highlight w:val="none"/>
        </w:rPr>
        <w:t>场所和有关设施、设备上，设置明显的安全警示标志。</w:t>
      </w:r>
      <w:r>
        <w:rPr>
          <w:rFonts w:hint="eastAsia" w:hAnsi="宋体" w:cs="仿宋"/>
          <w:sz w:val="21"/>
          <w:szCs w:val="21"/>
          <w:highlight w:val="none"/>
        </w:rPr>
        <w:t>乙方应当</w:t>
      </w:r>
      <w:r>
        <w:rPr>
          <w:rFonts w:hAnsi="宋体" w:cs="仿宋"/>
          <w:sz w:val="21"/>
          <w:szCs w:val="21"/>
          <w:highlight w:val="none"/>
        </w:rPr>
        <w:t>对安全设备进行经常性维护、保养，并定期检测，保证正常运转。维护、保养、检测应当</w:t>
      </w:r>
      <w:r>
        <w:rPr>
          <w:rFonts w:hint="eastAsia" w:hAnsi="宋体" w:cs="仿宋"/>
          <w:sz w:val="21"/>
          <w:szCs w:val="21"/>
          <w:highlight w:val="none"/>
        </w:rPr>
        <w:t>做</w:t>
      </w:r>
      <w:r>
        <w:rPr>
          <w:rFonts w:hAnsi="宋体" w:cs="仿宋"/>
          <w:sz w:val="21"/>
          <w:szCs w:val="21"/>
          <w:highlight w:val="none"/>
        </w:rPr>
        <w:t>好记录，并由</w:t>
      </w:r>
      <w:r>
        <w:rPr>
          <w:rFonts w:hint="eastAsia" w:hAnsi="宋体" w:cs="仿宋"/>
          <w:sz w:val="21"/>
          <w:szCs w:val="21"/>
          <w:highlight w:val="none"/>
        </w:rPr>
        <w:t>乙方安全员或代表</w:t>
      </w:r>
      <w:r>
        <w:rPr>
          <w:rFonts w:hAnsi="宋体" w:cs="仿宋"/>
          <w:sz w:val="21"/>
          <w:szCs w:val="21"/>
          <w:highlight w:val="none"/>
        </w:rPr>
        <w:t>签字</w:t>
      </w:r>
      <w:r>
        <w:rPr>
          <w:rFonts w:hint="eastAsia" w:hAnsi="宋体" w:cs="仿宋"/>
          <w:sz w:val="21"/>
          <w:szCs w:val="21"/>
          <w:highlight w:val="none"/>
        </w:rPr>
        <w:t>。</w:t>
      </w:r>
    </w:p>
    <w:p>
      <w:pPr>
        <w:ind w:firstLine="424" w:firstLineChars="202"/>
        <w:rPr>
          <w:rFonts w:hAnsi="宋体" w:cs="仿宋"/>
          <w:sz w:val="21"/>
          <w:szCs w:val="21"/>
          <w:highlight w:val="none"/>
        </w:rPr>
      </w:pPr>
      <w:r>
        <w:rPr>
          <w:rFonts w:hint="eastAsia" w:hAnsi="宋体" w:cs="仿宋"/>
          <w:sz w:val="21"/>
          <w:szCs w:val="21"/>
          <w:highlight w:val="none"/>
        </w:rPr>
        <w:t>5、乙方</w:t>
      </w:r>
      <w:r>
        <w:rPr>
          <w:rFonts w:hAnsi="宋体" w:cs="仿宋"/>
          <w:sz w:val="21"/>
          <w:szCs w:val="21"/>
          <w:highlight w:val="none"/>
        </w:rPr>
        <w:t>应当教育和督促从业人员严格执行本单位的安全生产规章制度和安全操作规程；并向从业人员如实告知作业场所和工作岗位存在的危险因素、防范措施以及事故应急措施。</w:t>
      </w:r>
    </w:p>
    <w:p>
      <w:pPr>
        <w:ind w:firstLine="424" w:firstLineChars="202"/>
        <w:rPr>
          <w:rFonts w:hAnsi="宋体" w:cs="仿宋"/>
          <w:sz w:val="21"/>
          <w:szCs w:val="21"/>
          <w:highlight w:val="none"/>
        </w:rPr>
      </w:pPr>
      <w:r>
        <w:rPr>
          <w:rFonts w:hint="eastAsia" w:hAnsi="宋体" w:cs="仿宋"/>
          <w:sz w:val="21"/>
          <w:szCs w:val="21"/>
          <w:highlight w:val="none"/>
        </w:rPr>
        <w:t>6、乙方应严格遵守国家、地方政府有关安全生产及劳动保护的法律法规、标准、规定，贯彻执行甲方的各项安全管理规章制度。</w:t>
      </w:r>
    </w:p>
    <w:p>
      <w:pPr>
        <w:ind w:firstLine="424" w:firstLineChars="202"/>
        <w:rPr>
          <w:rFonts w:hAnsi="宋体" w:cs="仿宋"/>
          <w:sz w:val="21"/>
          <w:szCs w:val="21"/>
          <w:highlight w:val="none"/>
        </w:rPr>
      </w:pPr>
      <w:r>
        <w:rPr>
          <w:rFonts w:hint="eastAsia" w:hAnsi="宋体" w:cs="仿宋"/>
          <w:sz w:val="21"/>
          <w:szCs w:val="21"/>
          <w:highlight w:val="none"/>
        </w:rPr>
        <w:t>7、乙方</w:t>
      </w:r>
      <w:r>
        <w:rPr>
          <w:rFonts w:hAnsi="宋体" w:cs="仿宋"/>
          <w:sz w:val="21"/>
          <w:szCs w:val="21"/>
          <w:highlight w:val="none"/>
        </w:rPr>
        <w:t>依法参加工伤保险，为从业人员缴纳保险费</w:t>
      </w:r>
      <w:r>
        <w:rPr>
          <w:rFonts w:hint="eastAsia" w:hAnsi="宋体" w:cs="仿宋"/>
          <w:sz w:val="21"/>
          <w:szCs w:val="21"/>
          <w:highlight w:val="none"/>
        </w:rPr>
        <w:t>，并应当为从事危险作业的人员办理意外伤害保险</w:t>
      </w:r>
      <w:r>
        <w:rPr>
          <w:rFonts w:hAnsi="宋体" w:cs="仿宋"/>
          <w:sz w:val="21"/>
          <w:szCs w:val="21"/>
          <w:highlight w:val="none"/>
        </w:rPr>
        <w:t>。</w:t>
      </w:r>
    </w:p>
    <w:p>
      <w:pPr>
        <w:ind w:firstLine="424" w:firstLineChars="202"/>
        <w:rPr>
          <w:rFonts w:hAnsi="宋体" w:cs="仿宋"/>
          <w:sz w:val="21"/>
          <w:szCs w:val="21"/>
          <w:highlight w:val="none"/>
        </w:rPr>
      </w:pPr>
      <w:r>
        <w:rPr>
          <w:rFonts w:hint="eastAsia" w:hAnsi="宋体" w:cs="仿宋"/>
          <w:sz w:val="21"/>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ind w:firstLine="424" w:firstLineChars="202"/>
        <w:rPr>
          <w:rFonts w:hAnsi="宋体" w:cs="仿宋"/>
          <w:sz w:val="21"/>
          <w:szCs w:val="21"/>
          <w:highlight w:val="none"/>
        </w:rPr>
      </w:pPr>
      <w:r>
        <w:rPr>
          <w:rFonts w:hint="eastAsia" w:hAnsi="宋体" w:cs="仿宋"/>
          <w:sz w:val="21"/>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ind w:firstLine="424" w:firstLineChars="202"/>
        <w:rPr>
          <w:rFonts w:hAnsi="宋体" w:cs="仿宋"/>
          <w:sz w:val="21"/>
          <w:szCs w:val="21"/>
          <w:highlight w:val="none"/>
        </w:rPr>
      </w:pPr>
      <w:r>
        <w:rPr>
          <w:rFonts w:hint="eastAsia" w:hAnsi="宋体" w:cs="仿宋"/>
          <w:sz w:val="21"/>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ind w:firstLine="424" w:firstLineChars="202"/>
        <w:rPr>
          <w:rFonts w:hAnsi="宋体" w:cs="仿宋"/>
          <w:sz w:val="21"/>
          <w:szCs w:val="21"/>
          <w:highlight w:val="none"/>
        </w:rPr>
      </w:pPr>
      <w:r>
        <w:rPr>
          <w:rFonts w:hint="eastAsia" w:hAnsi="宋体" w:cs="仿宋"/>
          <w:sz w:val="21"/>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ind w:firstLine="424" w:firstLineChars="202"/>
        <w:rPr>
          <w:rFonts w:hAnsi="宋体" w:cs="仿宋"/>
          <w:sz w:val="21"/>
          <w:szCs w:val="21"/>
          <w:highlight w:val="none"/>
        </w:rPr>
      </w:pPr>
      <w:r>
        <w:rPr>
          <w:rFonts w:hint="eastAsia" w:hAnsi="宋体" w:cs="仿宋"/>
          <w:sz w:val="21"/>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ind w:firstLine="424" w:firstLineChars="202"/>
        <w:rPr>
          <w:rFonts w:hAnsi="宋体" w:cs="仿宋"/>
          <w:sz w:val="21"/>
          <w:szCs w:val="21"/>
          <w:highlight w:val="none"/>
        </w:rPr>
      </w:pPr>
      <w:r>
        <w:rPr>
          <w:rFonts w:hint="eastAsia" w:hAnsi="宋体" w:cs="仿宋"/>
          <w:sz w:val="21"/>
          <w:szCs w:val="21"/>
          <w:highlight w:val="none"/>
        </w:rPr>
        <w:t>13、在施工过程中，需要进行动土、动火、登高、吊装、断路、进入限制性空间等危险性较高的作业时，乙方的施工负责人、专职或兼职安全员必须现场确认，确保安全后，方可开始施工。</w:t>
      </w:r>
    </w:p>
    <w:p>
      <w:pPr>
        <w:ind w:firstLine="424" w:firstLineChars="202"/>
        <w:rPr>
          <w:rFonts w:hAnsi="宋体" w:cs="仿宋"/>
          <w:sz w:val="21"/>
          <w:szCs w:val="21"/>
          <w:highlight w:val="none"/>
        </w:rPr>
      </w:pPr>
      <w:r>
        <w:rPr>
          <w:rFonts w:hint="eastAsia" w:hAnsi="宋体" w:cs="仿宋"/>
          <w:sz w:val="21"/>
          <w:szCs w:val="21"/>
          <w:highlight w:val="none"/>
        </w:rPr>
        <w:t>14、因乙方原因，造成乙方损失，由乙方自负，给甲方造成财产损失和人员伤害，乙方要负全部责任，并全额赔偿甲方。</w:t>
      </w:r>
    </w:p>
    <w:p>
      <w:pPr>
        <w:ind w:firstLine="424" w:firstLineChars="202"/>
        <w:rPr>
          <w:rFonts w:hAnsi="宋体" w:cs="仿宋"/>
          <w:sz w:val="21"/>
          <w:szCs w:val="21"/>
          <w:highlight w:val="none"/>
        </w:rPr>
      </w:pPr>
      <w:r>
        <w:rPr>
          <w:rFonts w:hint="eastAsia" w:hAnsi="宋体" w:cs="仿宋"/>
          <w:sz w:val="21"/>
          <w:szCs w:val="21"/>
          <w:highlight w:val="none"/>
        </w:rPr>
        <w:t>15、非因甲方原因，造成乙方损失的，甲方不承担任何责任，由乙方自行承担全部责任。</w:t>
      </w:r>
    </w:p>
    <w:p>
      <w:pPr>
        <w:ind w:firstLine="424" w:firstLineChars="202"/>
        <w:rPr>
          <w:rFonts w:hAnsi="宋体" w:cs="仿宋"/>
          <w:sz w:val="21"/>
          <w:szCs w:val="21"/>
          <w:highlight w:val="none"/>
        </w:rPr>
      </w:pPr>
      <w:r>
        <w:rPr>
          <w:rFonts w:hint="eastAsia" w:hAnsi="宋体" w:cs="仿宋"/>
          <w:sz w:val="21"/>
          <w:szCs w:val="21"/>
          <w:highlight w:val="none"/>
        </w:rPr>
        <w:t>16、乙方应严格遵守法律法规以及甲方的安全管理要求，并接受甲方的安全生产工作协调和监督，积极消除安全隐患。安全管理的基本要求包括但不限于以下条款：</w:t>
      </w:r>
    </w:p>
    <w:p>
      <w:pPr>
        <w:ind w:firstLine="424" w:firstLineChars="202"/>
        <w:rPr>
          <w:rFonts w:hAnsi="宋体" w:cs="仿宋"/>
          <w:sz w:val="21"/>
          <w:szCs w:val="21"/>
          <w:highlight w:val="none"/>
        </w:rPr>
      </w:pPr>
      <w:r>
        <w:rPr>
          <w:rFonts w:hint="eastAsia" w:hAnsi="宋体" w:cs="仿宋"/>
          <w:sz w:val="21"/>
          <w:szCs w:val="21"/>
          <w:highlight w:val="none"/>
        </w:rPr>
        <w:t>①禁火区内严禁吸烟、动火。有火灾危险的作业区域，乙方必须配置足够的灭火设施。</w:t>
      </w:r>
    </w:p>
    <w:p>
      <w:pPr>
        <w:ind w:firstLine="424" w:firstLineChars="202"/>
        <w:rPr>
          <w:rFonts w:hAnsi="宋体" w:cs="仿宋"/>
          <w:sz w:val="21"/>
          <w:szCs w:val="21"/>
          <w:highlight w:val="none"/>
        </w:rPr>
      </w:pPr>
      <w:r>
        <w:rPr>
          <w:rFonts w:hint="eastAsia" w:hAnsi="宋体" w:cs="仿宋"/>
          <w:sz w:val="21"/>
          <w:szCs w:val="21"/>
          <w:highlight w:val="none"/>
        </w:rPr>
        <w:t>②焊接、气割作业时两瓶距离必须达到5M及以上，气瓶距可能产生火花的电器、设备和其它火源的间距必须达到10M及以上。</w:t>
      </w:r>
    </w:p>
    <w:p>
      <w:pPr>
        <w:ind w:firstLine="424" w:firstLineChars="202"/>
        <w:rPr>
          <w:rFonts w:hAnsi="宋体" w:cs="仿宋"/>
          <w:sz w:val="21"/>
          <w:szCs w:val="21"/>
          <w:highlight w:val="none"/>
        </w:rPr>
      </w:pPr>
      <w:bookmarkStart w:id="44" w:name="_Toc16324"/>
      <w:r>
        <w:rPr>
          <w:rFonts w:hint="eastAsia" w:hAnsi="宋体" w:cs="仿宋"/>
          <w:sz w:val="21"/>
          <w:szCs w:val="21"/>
          <w:highlight w:val="none"/>
        </w:rPr>
        <w:t>③严禁在厂内道路、消防通道内搭建临时建筑或堆放物资。</w:t>
      </w:r>
      <w:bookmarkEnd w:id="44"/>
    </w:p>
    <w:p>
      <w:pPr>
        <w:ind w:firstLine="424" w:firstLineChars="202"/>
        <w:rPr>
          <w:rFonts w:hAnsi="宋体" w:cs="仿宋"/>
          <w:sz w:val="21"/>
          <w:szCs w:val="21"/>
          <w:highlight w:val="none"/>
        </w:rPr>
      </w:pPr>
      <w:r>
        <w:rPr>
          <w:rFonts w:hint="eastAsia" w:hAnsi="宋体" w:cs="仿宋"/>
          <w:sz w:val="21"/>
          <w:szCs w:val="21"/>
          <w:highlight w:val="none"/>
        </w:rPr>
        <w:t>④施工场所的电动工具、电焊机等须有漏电保护器和相应的安全防护装置。</w:t>
      </w:r>
    </w:p>
    <w:p>
      <w:pPr>
        <w:ind w:firstLine="424" w:firstLineChars="202"/>
        <w:rPr>
          <w:rFonts w:hAnsi="宋体" w:cs="仿宋"/>
          <w:sz w:val="21"/>
          <w:szCs w:val="21"/>
          <w:highlight w:val="none"/>
        </w:rPr>
      </w:pPr>
      <w:r>
        <w:rPr>
          <w:rFonts w:hint="eastAsia" w:hAnsi="宋体" w:cs="仿宋"/>
          <w:sz w:val="21"/>
          <w:szCs w:val="21"/>
          <w:highlight w:val="none"/>
        </w:rPr>
        <w:t>⑤施工现场及居住室、办公室内的用电设施必须符合要求，严禁电线乱接、乱拉，刀闸和开关无盖，在电器设施上堆放物品。</w:t>
      </w:r>
    </w:p>
    <w:p>
      <w:pPr>
        <w:ind w:firstLine="424" w:firstLineChars="202"/>
        <w:rPr>
          <w:rFonts w:hAnsi="宋体" w:cs="仿宋"/>
          <w:sz w:val="21"/>
          <w:szCs w:val="21"/>
          <w:highlight w:val="none"/>
        </w:rPr>
      </w:pPr>
      <w:bookmarkStart w:id="45" w:name="_Toc4938"/>
      <w:r>
        <w:rPr>
          <w:rFonts w:hint="eastAsia" w:hAnsi="宋体" w:cs="仿宋"/>
          <w:sz w:val="21"/>
          <w:szCs w:val="21"/>
          <w:highlight w:val="none"/>
        </w:rPr>
        <w:t>⑥防雷、防静电设施及用电设施要有良好接地。</w:t>
      </w:r>
      <w:bookmarkEnd w:id="45"/>
    </w:p>
    <w:p>
      <w:pPr>
        <w:ind w:firstLine="424" w:firstLineChars="202"/>
        <w:rPr>
          <w:rFonts w:hAnsi="宋体" w:cs="仿宋"/>
          <w:sz w:val="21"/>
          <w:szCs w:val="21"/>
          <w:highlight w:val="none"/>
        </w:rPr>
      </w:pPr>
      <w:r>
        <w:rPr>
          <w:rFonts w:hint="eastAsia" w:hAnsi="宋体" w:cs="仿宋"/>
          <w:sz w:val="21"/>
          <w:szCs w:val="21"/>
          <w:highlight w:val="none"/>
        </w:rPr>
        <w:t>⑦施工现场的危险区域，如临边、深坑、土方堆填区等，必须设置围栏和危险标志，夜间要设信号灯。</w:t>
      </w:r>
    </w:p>
    <w:p>
      <w:pPr>
        <w:ind w:firstLine="424" w:firstLineChars="202"/>
        <w:rPr>
          <w:rFonts w:hAnsi="宋体" w:cs="仿宋"/>
          <w:sz w:val="21"/>
          <w:szCs w:val="21"/>
          <w:highlight w:val="none"/>
        </w:rPr>
      </w:pPr>
      <w:r>
        <w:rPr>
          <w:rFonts w:hint="eastAsia" w:hAnsi="宋体" w:cs="仿宋"/>
          <w:sz w:val="21"/>
          <w:szCs w:val="21"/>
          <w:highlight w:val="none"/>
        </w:rPr>
        <w:t>⑧乙方应当</w:t>
      </w:r>
      <w:r>
        <w:rPr>
          <w:rFonts w:hAnsi="宋体" w:cs="仿宋"/>
          <w:sz w:val="21"/>
          <w:szCs w:val="21"/>
          <w:highlight w:val="none"/>
        </w:rPr>
        <w:t>为从业人员提供符合国家标准或者行业标准的劳动防护用品，并监督、教育从业人员按照使用规则佩戴、使用</w:t>
      </w:r>
      <w:r>
        <w:rPr>
          <w:rFonts w:hint="eastAsia" w:hAnsi="宋体" w:cs="仿宋"/>
          <w:sz w:val="21"/>
          <w:szCs w:val="21"/>
          <w:highlight w:val="none"/>
        </w:rPr>
        <w:t>，防止工伤事故的发生。乙方发生各类工伤事故，严禁隐瞒不报。发生重伤及重伤以上事故，应及时组织抢救、保护好现场，并立即报告甲方主管领导。</w:t>
      </w:r>
    </w:p>
    <w:p>
      <w:pPr>
        <w:ind w:firstLine="424" w:firstLineChars="202"/>
        <w:rPr>
          <w:rFonts w:hAnsi="宋体" w:cs="仿宋"/>
          <w:sz w:val="21"/>
          <w:szCs w:val="21"/>
          <w:highlight w:val="none"/>
        </w:rPr>
      </w:pPr>
      <w:r>
        <w:rPr>
          <w:rFonts w:hint="eastAsia" w:hAnsi="宋体" w:cs="仿宋"/>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ind w:firstLine="424" w:firstLineChars="202"/>
        <w:rPr>
          <w:rFonts w:hAnsi="宋体" w:cs="仿宋"/>
          <w:sz w:val="21"/>
          <w:szCs w:val="21"/>
          <w:highlight w:val="none"/>
        </w:rPr>
      </w:pPr>
      <w:r>
        <w:rPr>
          <w:rFonts w:hint="eastAsia" w:hAnsi="宋体" w:cs="仿宋"/>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ind w:firstLine="424" w:firstLineChars="202"/>
        <w:rPr>
          <w:rFonts w:hAnsi="宋体"/>
          <w:sz w:val="21"/>
          <w:szCs w:val="21"/>
          <w:highlight w:val="none"/>
        </w:rPr>
      </w:pPr>
      <w:r>
        <w:rPr>
          <w:rFonts w:hint="eastAsia" w:hAnsi="宋体"/>
          <w:sz w:val="21"/>
          <w:szCs w:val="21"/>
          <w:highlight w:val="none"/>
        </w:rPr>
        <w:t>17、乙方必须接受甲方的检查与监督，并应主动配合，做好安全工作，凡有违反上述协议的即视为乙方违约，甲方有权视情况从工程结算款/服务价款中扣除（1000-2000）元/次作为违约金。</w:t>
      </w:r>
    </w:p>
    <w:p>
      <w:pPr>
        <w:ind w:firstLine="424" w:firstLineChars="202"/>
        <w:rPr>
          <w:rFonts w:hAnsi="宋体" w:cs="仿宋"/>
          <w:sz w:val="21"/>
          <w:szCs w:val="21"/>
          <w:highlight w:val="none"/>
        </w:rPr>
      </w:pPr>
      <w:r>
        <w:rPr>
          <w:rFonts w:hint="eastAsia" w:hAnsi="宋体" w:cs="仿宋"/>
          <w:sz w:val="21"/>
          <w:szCs w:val="21"/>
          <w:highlight w:val="none"/>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ind w:firstLine="424" w:firstLineChars="202"/>
        <w:rPr>
          <w:rFonts w:hAnsi="宋体" w:cs="仿宋"/>
          <w:sz w:val="21"/>
          <w:szCs w:val="21"/>
          <w:highlight w:val="none"/>
        </w:rPr>
      </w:pPr>
      <w:r>
        <w:rPr>
          <w:rFonts w:hint="eastAsia" w:hAnsi="宋体" w:cs="仿宋"/>
          <w:sz w:val="21"/>
          <w:szCs w:val="21"/>
          <w:highlight w:val="none"/>
        </w:rPr>
        <w:t>19、乙方对施工过程中潜在的安全风险不明确的，不可盲目施工，否则，造成的不良后果由乙方独自承担。</w:t>
      </w:r>
    </w:p>
    <w:p>
      <w:pPr>
        <w:ind w:firstLine="424" w:firstLineChars="202"/>
        <w:rPr>
          <w:rFonts w:hAnsi="宋体" w:cs="仿宋"/>
          <w:sz w:val="21"/>
          <w:szCs w:val="21"/>
          <w:highlight w:val="none"/>
        </w:rPr>
      </w:pPr>
      <w:r>
        <w:rPr>
          <w:rFonts w:hint="eastAsia" w:hAnsi="宋体" w:cs="仿宋"/>
          <w:sz w:val="21"/>
          <w:szCs w:val="21"/>
          <w:highlight w:val="none"/>
        </w:rPr>
        <w:t>20、本协议自双方法定代表人或负责人签字并盖章后生效。</w:t>
      </w:r>
    </w:p>
    <w:p>
      <w:pPr>
        <w:rPr>
          <w:rFonts w:hAnsi="宋体" w:cs="仿宋"/>
          <w:b/>
          <w:bCs/>
          <w:sz w:val="21"/>
          <w:szCs w:val="21"/>
          <w:highlight w:val="none"/>
        </w:rPr>
      </w:pPr>
      <w:r>
        <w:rPr>
          <w:rFonts w:hint="eastAsia" w:hAnsi="宋体" w:cs="仿宋"/>
          <w:b/>
          <w:bCs/>
          <w:sz w:val="21"/>
          <w:szCs w:val="21"/>
          <w:highlight w:val="none"/>
        </w:rPr>
        <w:t>乙方声明：</w:t>
      </w:r>
    </w:p>
    <w:p>
      <w:pPr>
        <w:ind w:firstLine="481" w:firstLineChars="228"/>
        <w:rPr>
          <w:rFonts w:hAnsi="宋体" w:cs="仿宋"/>
          <w:b/>
          <w:bCs/>
          <w:sz w:val="21"/>
          <w:szCs w:val="21"/>
          <w:highlight w:val="none"/>
        </w:rPr>
      </w:pPr>
      <w:r>
        <w:rPr>
          <w:rFonts w:hint="eastAsia" w:hAnsi="宋体" w:cs="仿宋"/>
          <w:b/>
          <w:bCs/>
          <w:sz w:val="21"/>
          <w:szCs w:val="21"/>
          <w:highlight w:val="none"/>
        </w:rPr>
        <w:t>乙方已认真阅读协议内容，对协议条款、</w:t>
      </w:r>
      <w:r>
        <w:rPr>
          <w:rFonts w:hint="eastAsia" w:hAnsi="宋体" w:cs="仿宋"/>
          <w:b/>
          <w:bCs/>
          <w:sz w:val="21"/>
          <w:szCs w:val="21"/>
          <w:highlight w:val="none"/>
          <w:u w:val="single"/>
        </w:rPr>
        <w:t>东莞市石鼓净水有限公司污水处理厂生产运营管理平台建设项目调度指挥中心设备设施采购项目</w:t>
      </w:r>
      <w:r>
        <w:rPr>
          <w:rFonts w:hint="eastAsia" w:hAnsi="宋体" w:cs="仿宋"/>
          <w:b/>
          <w:bCs/>
          <w:sz w:val="21"/>
          <w:szCs w:val="21"/>
          <w:highlight w:val="none"/>
        </w:rPr>
        <w:t>的安全管理要求、安全风险充分理解，并自愿承担因违约造成的一切后果。</w:t>
      </w:r>
    </w:p>
    <w:p>
      <w:pPr>
        <w:ind w:firstLine="420"/>
        <w:rPr>
          <w:rFonts w:hAnsi="宋体" w:cs="仿宋"/>
          <w:sz w:val="21"/>
          <w:szCs w:val="21"/>
          <w:highlight w:val="none"/>
        </w:rPr>
      </w:pPr>
    </w:p>
    <w:p>
      <w:pPr>
        <w:ind w:firstLine="478" w:firstLineChars="228"/>
        <w:rPr>
          <w:rFonts w:hAnsi="宋体" w:cs="仿宋"/>
          <w:sz w:val="21"/>
          <w:szCs w:val="21"/>
          <w:highlight w:val="none"/>
        </w:rPr>
      </w:pPr>
      <w:r>
        <w:rPr>
          <w:rFonts w:hint="eastAsia" w:hAnsi="宋体" w:cs="仿宋"/>
          <w:sz w:val="21"/>
          <w:szCs w:val="21"/>
          <w:highlight w:val="none"/>
        </w:rPr>
        <w:t xml:space="preserve">甲方（盖章）：                      乙方（盖章）： </w:t>
      </w:r>
    </w:p>
    <w:p>
      <w:pPr>
        <w:ind w:firstLine="478" w:firstLineChars="228"/>
        <w:rPr>
          <w:rFonts w:hAnsi="宋体" w:cs="仿宋"/>
          <w:sz w:val="21"/>
          <w:szCs w:val="21"/>
          <w:highlight w:val="none"/>
        </w:rPr>
      </w:pPr>
      <w:r>
        <w:rPr>
          <w:rFonts w:hint="eastAsia" w:hAnsi="宋体" w:cs="仿宋"/>
          <w:sz w:val="21"/>
          <w:szCs w:val="21"/>
          <w:highlight w:val="none"/>
        </w:rPr>
        <w:t>法定代表人或授权代表：               法定代表人或授权代表：</w:t>
      </w:r>
    </w:p>
    <w:p>
      <w:pPr>
        <w:ind w:firstLine="478" w:firstLineChars="228"/>
        <w:rPr>
          <w:rFonts w:hAnsi="宋体" w:cs="仿宋"/>
          <w:sz w:val="21"/>
          <w:szCs w:val="21"/>
          <w:highlight w:val="none"/>
        </w:rPr>
      </w:pPr>
      <w:r>
        <w:rPr>
          <w:rFonts w:hint="eastAsia" w:hAnsi="宋体" w:cs="仿宋"/>
          <w:sz w:val="21"/>
          <w:szCs w:val="21"/>
          <w:highlight w:val="none"/>
        </w:rPr>
        <w:t xml:space="preserve">   </w:t>
      </w:r>
    </w:p>
    <w:p>
      <w:pPr>
        <w:ind w:firstLine="478" w:firstLineChars="228"/>
        <w:rPr>
          <w:rFonts w:hAnsi="宋体" w:cs="仿宋"/>
          <w:sz w:val="21"/>
          <w:szCs w:val="21"/>
          <w:highlight w:val="none"/>
        </w:rPr>
      </w:pPr>
      <w:r>
        <w:rPr>
          <w:rFonts w:hint="eastAsia" w:hAnsi="宋体" w:cs="仿宋"/>
          <w:sz w:val="21"/>
          <w:szCs w:val="21"/>
          <w:highlight w:val="none"/>
        </w:rPr>
        <w:t>签订日期：</w:t>
      </w:r>
    </w:p>
    <w:p>
      <w:pPr>
        <w:ind w:firstLine="478" w:firstLineChars="228"/>
        <w:rPr>
          <w:highlight w:val="none"/>
        </w:rPr>
      </w:pPr>
      <w:r>
        <w:rPr>
          <w:rFonts w:hint="eastAsia" w:hAnsi="宋体" w:cs="仿宋"/>
          <w:sz w:val="21"/>
          <w:szCs w:val="21"/>
          <w:highlight w:val="none"/>
        </w:rPr>
        <w:t>签订地点：广东省东莞市</w:t>
      </w:r>
    </w:p>
    <w:p>
      <w:pPr>
        <w:rPr>
          <w:highlight w:val="none"/>
        </w:rPr>
      </w:pPr>
    </w:p>
    <w:p>
      <w:pPr>
        <w:rPr>
          <w:rFonts w:ascii="Times New Roman"/>
          <w:highlight w:val="none"/>
        </w:rPr>
      </w:pPr>
      <w:r>
        <w:rPr>
          <w:rFonts w:ascii="Times New Roman"/>
          <w:highlight w:val="none"/>
        </w:rPr>
        <w:br w:type="page"/>
      </w:r>
    </w:p>
    <w:p>
      <w:pPr>
        <w:rPr>
          <w:rFonts w:ascii="Times New Roman"/>
          <w:highlight w:val="none"/>
        </w:rPr>
      </w:pPr>
    </w:p>
    <w:p>
      <w:pPr>
        <w:pStyle w:val="3"/>
        <w:spacing w:before="0" w:after="0"/>
        <w:jc w:val="center"/>
        <w:rPr>
          <w:rFonts w:hAnsi="宋体" w:cs="宋体"/>
          <w:szCs w:val="32"/>
          <w:highlight w:val="none"/>
        </w:rPr>
      </w:pPr>
      <w:bookmarkStart w:id="46" w:name="_Toc29476707"/>
      <w:r>
        <w:rPr>
          <w:rFonts w:hint="eastAsia" w:hAnsi="宋体" w:cs="宋体"/>
          <w:szCs w:val="32"/>
          <w:highlight w:val="none"/>
        </w:rPr>
        <w:t>第四章 报价须知</w:t>
      </w:r>
      <w:bookmarkEnd w:id="46"/>
    </w:p>
    <w:p>
      <w:pPr>
        <w:spacing w:line="360" w:lineRule="auto"/>
        <w:rPr>
          <w:rFonts w:hAnsi="宋体" w:cs="宋体"/>
          <w:b/>
          <w:bCs/>
          <w:highlight w:val="none"/>
        </w:rPr>
      </w:pPr>
      <w:r>
        <w:rPr>
          <w:rFonts w:hint="eastAsia" w:hAnsi="宋体" w:cs="宋体"/>
          <w:b/>
          <w:bCs/>
          <w:highlight w:val="none"/>
        </w:rPr>
        <w:t>一、项目费用说明</w:t>
      </w:r>
    </w:p>
    <w:p>
      <w:pPr>
        <w:spacing w:line="360" w:lineRule="auto"/>
        <w:ind w:firstLine="424" w:firstLineChars="177"/>
        <w:rPr>
          <w:rFonts w:hAnsi="宋体" w:cs="宋体"/>
          <w:highlight w:val="none"/>
        </w:rPr>
      </w:pPr>
      <w:r>
        <w:rPr>
          <w:rFonts w:hint="eastAsia" w:hAnsi="宋体" w:cs="宋体"/>
          <w:highlight w:val="none"/>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cs="宋体"/>
          <w:b/>
          <w:bCs/>
          <w:highlight w:val="none"/>
        </w:rPr>
      </w:pPr>
    </w:p>
    <w:p>
      <w:pPr>
        <w:spacing w:line="360" w:lineRule="auto"/>
        <w:rPr>
          <w:rFonts w:hAnsi="宋体" w:cs="宋体"/>
          <w:b/>
          <w:bCs/>
          <w:highlight w:val="none"/>
        </w:rPr>
      </w:pPr>
      <w:r>
        <w:rPr>
          <w:rFonts w:hint="eastAsia" w:hAnsi="宋体" w:cs="宋体"/>
          <w:b/>
          <w:bCs/>
          <w:highlight w:val="none"/>
        </w:rPr>
        <w:t>二、报价文件的组成</w:t>
      </w:r>
    </w:p>
    <w:p>
      <w:pPr>
        <w:spacing w:line="360" w:lineRule="auto"/>
        <w:ind w:firstLine="424" w:firstLineChars="177"/>
        <w:rPr>
          <w:rFonts w:hAnsi="宋体" w:cs="宋体"/>
          <w:highlight w:val="none"/>
        </w:rPr>
      </w:pPr>
      <w:r>
        <w:rPr>
          <w:rFonts w:hint="eastAsia" w:hAnsi="宋体" w:cs="宋体"/>
          <w:highlight w:val="none"/>
        </w:rPr>
        <w:t>1.报价表；</w:t>
      </w:r>
    </w:p>
    <w:p>
      <w:pPr>
        <w:spacing w:line="360" w:lineRule="auto"/>
        <w:ind w:firstLine="424" w:firstLineChars="177"/>
        <w:rPr>
          <w:rFonts w:hAnsi="宋体" w:cs="宋体"/>
          <w:highlight w:val="none"/>
        </w:rPr>
      </w:pPr>
      <w:r>
        <w:rPr>
          <w:rFonts w:hint="eastAsia" w:hAnsi="宋体" w:cs="宋体"/>
          <w:highlight w:val="none"/>
        </w:rPr>
        <w:t>2.用户需求偏离表；</w:t>
      </w:r>
    </w:p>
    <w:p>
      <w:pPr>
        <w:spacing w:line="360" w:lineRule="auto"/>
        <w:ind w:firstLine="424" w:firstLineChars="177"/>
        <w:rPr>
          <w:rFonts w:hAnsi="宋体" w:cs="宋体"/>
          <w:highlight w:val="none"/>
        </w:rPr>
      </w:pPr>
      <w:r>
        <w:rPr>
          <w:rFonts w:hint="eastAsia" w:hAnsi="宋体" w:cs="宋体"/>
          <w:highlight w:val="none"/>
        </w:rPr>
        <w:t>3.合同条款偏离表；</w:t>
      </w:r>
    </w:p>
    <w:p>
      <w:pPr>
        <w:spacing w:line="360" w:lineRule="auto"/>
        <w:ind w:firstLine="424" w:firstLineChars="177"/>
        <w:rPr>
          <w:rFonts w:hAnsi="宋体" w:cs="宋体"/>
          <w:highlight w:val="none"/>
        </w:rPr>
      </w:pPr>
      <w:r>
        <w:rPr>
          <w:rFonts w:hint="eastAsia" w:hAnsi="宋体" w:cs="宋体"/>
          <w:highlight w:val="none"/>
        </w:rPr>
        <w:t>4.报价人认为有必要提供的资料（不做强制要求）。</w:t>
      </w:r>
    </w:p>
    <w:p>
      <w:pPr>
        <w:spacing w:line="360" w:lineRule="auto"/>
        <w:rPr>
          <w:rFonts w:hAnsi="宋体" w:cs="宋体"/>
          <w:b/>
          <w:bCs/>
          <w:highlight w:val="none"/>
        </w:rPr>
      </w:pPr>
    </w:p>
    <w:p>
      <w:pPr>
        <w:spacing w:line="360" w:lineRule="auto"/>
        <w:rPr>
          <w:rFonts w:hAnsi="宋体" w:cs="宋体"/>
          <w:b/>
          <w:bCs/>
          <w:highlight w:val="none"/>
        </w:rPr>
      </w:pPr>
      <w:r>
        <w:rPr>
          <w:rFonts w:hint="eastAsia" w:hAnsi="宋体" w:cs="宋体"/>
          <w:b/>
          <w:bCs/>
          <w:highlight w:val="none"/>
        </w:rPr>
        <w:t>三、报价文件的封装和递交</w:t>
      </w:r>
    </w:p>
    <w:p>
      <w:pPr>
        <w:spacing w:line="360" w:lineRule="auto"/>
        <w:ind w:firstLine="424" w:firstLineChars="177"/>
        <w:rPr>
          <w:rFonts w:hAnsi="宋体" w:cs="宋体"/>
          <w:highlight w:val="none"/>
        </w:rPr>
      </w:pPr>
      <w:r>
        <w:rPr>
          <w:rFonts w:hint="eastAsia" w:hAnsi="宋体" w:cs="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hAnsi="宋体" w:cs="宋体"/>
          <w:highlight w:val="none"/>
        </w:rPr>
      </w:pPr>
      <w:r>
        <w:rPr>
          <w:rFonts w:hint="eastAsia" w:hAnsi="宋体" w:cs="宋体"/>
          <w:highlight w:val="none"/>
        </w:rPr>
        <w:t>2.</w:t>
      </w:r>
      <w:r>
        <w:rPr>
          <w:rFonts w:hint="eastAsia" w:hAnsi="宋体" w:cs="宋体"/>
          <w:b/>
          <w:bCs/>
          <w:highlight w:val="none"/>
        </w:rPr>
        <w:t>报价文件无须装订成册。</w:t>
      </w:r>
      <w:r>
        <w:rPr>
          <w:rFonts w:hint="eastAsia" w:hAnsi="宋体" w:cs="宋体"/>
          <w:highlight w:val="none"/>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4" w:firstLineChars="177"/>
        <w:rPr>
          <w:rFonts w:hAnsi="宋体" w:cs="宋体"/>
          <w:highlight w:val="none"/>
        </w:rPr>
      </w:pPr>
      <w:r>
        <w:rPr>
          <w:rFonts w:hint="eastAsia" w:hAnsi="宋体" w:cs="宋体"/>
          <w:highlight w:val="none"/>
        </w:rPr>
        <w:t>3.</w:t>
      </w:r>
      <w:r>
        <w:rPr>
          <w:rFonts w:hint="eastAsia" w:hAnsi="宋体" w:cs="宋体"/>
          <w:b/>
          <w:bCs/>
          <w:highlight w:val="none"/>
        </w:rPr>
        <w:t>密封好的报价文件，应于询价邀请函中规定的截止时间前递交到采购人指定的递交地点，否则视为放弃参与本项目。</w:t>
      </w:r>
    </w:p>
    <w:p>
      <w:pPr>
        <w:spacing w:line="360" w:lineRule="auto"/>
        <w:rPr>
          <w:rFonts w:hAnsi="宋体" w:cs="宋体"/>
          <w:highlight w:val="none"/>
        </w:rPr>
      </w:pPr>
    </w:p>
    <w:p>
      <w:pPr>
        <w:spacing w:line="360" w:lineRule="auto"/>
        <w:rPr>
          <w:rFonts w:hAnsi="宋体" w:cs="宋体"/>
          <w:b/>
          <w:bCs/>
          <w:highlight w:val="none"/>
        </w:rPr>
      </w:pPr>
      <w:r>
        <w:rPr>
          <w:rFonts w:hint="eastAsia" w:hAnsi="宋体" w:cs="宋体"/>
          <w:b/>
          <w:bCs/>
          <w:highlight w:val="none"/>
        </w:rPr>
        <w:t>四、报价有效性说明</w:t>
      </w:r>
    </w:p>
    <w:p>
      <w:pPr>
        <w:spacing w:line="360" w:lineRule="auto"/>
        <w:ind w:firstLine="482" w:firstLineChars="200"/>
        <w:rPr>
          <w:rFonts w:hAnsi="宋体" w:cs="宋体"/>
          <w:b/>
          <w:bCs/>
          <w:highlight w:val="none"/>
        </w:rPr>
      </w:pPr>
      <w:r>
        <w:rPr>
          <w:rFonts w:hint="eastAsia" w:hAnsi="宋体" w:cs="宋体"/>
          <w:b/>
          <w:bCs/>
          <w:highlight w:val="none"/>
        </w:rPr>
        <w:t>1.不含税报价不得高于本项目不含税最高限价，不含税报价不得高于不含税单价限价，否则视为无效报价；</w:t>
      </w:r>
    </w:p>
    <w:p>
      <w:pPr>
        <w:spacing w:line="360" w:lineRule="auto"/>
        <w:ind w:firstLine="482" w:firstLineChars="200"/>
        <w:rPr>
          <w:rFonts w:hAnsi="宋体" w:cs="宋体"/>
          <w:b/>
          <w:bCs/>
          <w:highlight w:val="none"/>
        </w:rPr>
      </w:pPr>
      <w:r>
        <w:rPr>
          <w:rFonts w:hint="eastAsia" w:hAnsi="宋体" w:cs="宋体"/>
          <w:b/>
          <w:bCs/>
          <w:highlight w:val="none"/>
        </w:rPr>
        <w:t>2.对用户需求书、合同条款响应有负偏离的，按无效响应处理；</w:t>
      </w:r>
    </w:p>
    <w:p>
      <w:pPr>
        <w:spacing w:line="360" w:lineRule="auto"/>
        <w:ind w:firstLine="482" w:firstLineChars="200"/>
        <w:rPr>
          <w:rFonts w:hAnsi="宋体" w:cs="宋体"/>
          <w:b/>
          <w:bCs/>
          <w:highlight w:val="none"/>
        </w:rPr>
      </w:pPr>
      <w:r>
        <w:rPr>
          <w:rFonts w:hint="eastAsia" w:hAnsi="宋体" w:cs="宋体"/>
          <w:b/>
          <w:bCs/>
          <w:highlight w:val="none"/>
        </w:rPr>
        <w:t>3.报价人未按报价文件格式提供相应材料的，按无效报价处理；</w:t>
      </w:r>
    </w:p>
    <w:p>
      <w:pPr>
        <w:spacing w:line="360" w:lineRule="auto"/>
        <w:ind w:firstLine="482" w:firstLineChars="200"/>
        <w:rPr>
          <w:rFonts w:hAnsi="宋体" w:cs="宋体"/>
          <w:b/>
          <w:bCs/>
          <w:highlight w:val="none"/>
        </w:rPr>
      </w:pPr>
      <w:r>
        <w:rPr>
          <w:rFonts w:hint="eastAsia" w:hAnsi="宋体" w:cs="宋体"/>
          <w:b/>
          <w:bCs/>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rPr>
          <w:rFonts w:hAnsi="宋体" w:cs="宋体"/>
          <w:highlight w:val="none"/>
        </w:rPr>
      </w:pPr>
      <w:r>
        <w:rPr>
          <w:rFonts w:hint="eastAsia" w:hAnsi="宋体" w:cs="宋体"/>
          <w:highlight w:val="none"/>
        </w:rPr>
        <w:br w:type="page"/>
      </w:r>
    </w:p>
    <w:p>
      <w:pPr>
        <w:pStyle w:val="3"/>
        <w:spacing w:before="0" w:after="0"/>
        <w:jc w:val="center"/>
        <w:rPr>
          <w:rFonts w:hAnsi="宋体" w:cs="宋体"/>
          <w:szCs w:val="32"/>
          <w:highlight w:val="none"/>
        </w:rPr>
      </w:pPr>
      <w:bookmarkStart w:id="47" w:name="_Toc29476708"/>
      <w:r>
        <w:rPr>
          <w:rFonts w:hint="eastAsia" w:hAnsi="宋体" w:cs="宋体"/>
          <w:szCs w:val="32"/>
          <w:highlight w:val="none"/>
        </w:rPr>
        <w:t>第五章 报价文件（格式）</w:t>
      </w:r>
      <w:bookmarkEnd w:id="47"/>
    </w:p>
    <w:p>
      <w:pPr>
        <w:spacing w:line="360" w:lineRule="auto"/>
        <w:rPr>
          <w:rFonts w:hAnsi="宋体" w:cs="宋体"/>
          <w:b/>
          <w:sz w:val="28"/>
          <w:szCs w:val="28"/>
          <w:highlight w:val="none"/>
        </w:rPr>
      </w:pPr>
      <w:r>
        <w:rPr>
          <w:rFonts w:hint="eastAsia" w:hAnsi="宋体" w:cs="宋体"/>
          <w:b/>
          <w:sz w:val="28"/>
          <w:szCs w:val="28"/>
          <w:highlight w:val="none"/>
        </w:rPr>
        <w:t>1. 报价表</w:t>
      </w:r>
    </w:p>
    <w:tbl>
      <w:tblPr>
        <w:tblStyle w:val="1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8"/>
              <w:jc w:val="center"/>
              <w:rPr>
                <w:rFonts w:hAnsi="宋体" w:cs="宋体"/>
                <w:sz w:val="24"/>
                <w:szCs w:val="28"/>
                <w:highlight w:val="none"/>
              </w:rPr>
            </w:pPr>
            <w:r>
              <w:rPr>
                <w:rFonts w:hint="eastAsia" w:hAnsi="宋体" w:cs="宋体"/>
                <w:sz w:val="24"/>
                <w:szCs w:val="28"/>
                <w:highlight w:val="none"/>
              </w:rPr>
              <w:t>项目名称</w:t>
            </w:r>
          </w:p>
        </w:tc>
        <w:tc>
          <w:tcPr>
            <w:tcW w:w="7370" w:type="dxa"/>
            <w:shd w:val="clear" w:color="auto" w:fill="auto"/>
            <w:vAlign w:val="center"/>
          </w:tcPr>
          <w:p>
            <w:pPr>
              <w:autoSpaceDE/>
              <w:autoSpaceDN/>
              <w:adjustRightInd/>
              <w:jc w:val="center"/>
              <w:rPr>
                <w:rFonts w:hint="eastAsia" w:hAnsi="宋体" w:eastAsia="宋体" w:cs="宋体"/>
                <w:szCs w:val="28"/>
                <w:highlight w:val="none"/>
                <w:lang w:eastAsia="zh-CN"/>
              </w:rPr>
            </w:pPr>
            <w:r>
              <w:rPr>
                <w:rFonts w:hint="eastAsia" w:hAnsi="宋体" w:cs="宋体"/>
                <w:szCs w:val="28"/>
                <w:highlight w:val="none"/>
                <w:lang w:eastAsia="zh-CN"/>
              </w:rPr>
              <w:t>东莞市水务集团有限公司OA系统信息安全加固服务项目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27" w:type="dxa"/>
            <w:shd w:val="clear" w:color="auto" w:fill="auto"/>
            <w:vAlign w:val="center"/>
          </w:tcPr>
          <w:p>
            <w:pPr>
              <w:pStyle w:val="8"/>
              <w:jc w:val="center"/>
              <w:rPr>
                <w:rFonts w:hAnsi="宋体" w:cs="宋体"/>
                <w:sz w:val="24"/>
                <w:szCs w:val="28"/>
                <w:highlight w:val="none"/>
              </w:rPr>
            </w:pPr>
            <w:r>
              <w:rPr>
                <w:rFonts w:hint="eastAsia" w:hAnsi="宋体" w:cs="宋体"/>
                <w:sz w:val="24"/>
                <w:szCs w:val="28"/>
                <w:highlight w:val="none"/>
              </w:rPr>
              <w:t>不含税报价</w:t>
            </w:r>
          </w:p>
          <w:p>
            <w:pPr>
              <w:pStyle w:val="8"/>
              <w:jc w:val="center"/>
              <w:rPr>
                <w:rFonts w:hAnsi="宋体" w:cs="宋体"/>
                <w:sz w:val="24"/>
                <w:szCs w:val="28"/>
                <w:highlight w:val="none"/>
              </w:rPr>
            </w:pPr>
            <w:r>
              <w:rPr>
                <w:rFonts w:hint="eastAsia" w:hAnsi="宋体" w:cs="宋体"/>
                <w:sz w:val="24"/>
                <w:szCs w:val="28"/>
                <w:highlight w:val="none"/>
              </w:rPr>
              <w:t>（单位：元）</w:t>
            </w:r>
          </w:p>
        </w:tc>
        <w:tc>
          <w:tcPr>
            <w:tcW w:w="7370" w:type="dxa"/>
            <w:shd w:val="clear" w:color="auto" w:fill="auto"/>
            <w:vAlign w:val="center"/>
          </w:tcPr>
          <w:p>
            <w:pPr>
              <w:pStyle w:val="8"/>
              <w:ind w:firstLine="480" w:firstLineChars="200"/>
              <w:rPr>
                <w:rFonts w:hAnsi="宋体" w:cs="宋体"/>
                <w:sz w:val="24"/>
                <w:szCs w:val="28"/>
                <w:highlight w:val="none"/>
                <w:u w:val="single"/>
              </w:rPr>
            </w:pPr>
            <w:r>
              <w:rPr>
                <w:rFonts w:hint="eastAsia" w:hAnsi="宋体" w:cs="宋体"/>
                <w:sz w:val="24"/>
                <w:szCs w:val="28"/>
                <w:highlight w:val="none"/>
              </w:rPr>
              <w:t>人民币（小写）：</w:t>
            </w:r>
            <w:r>
              <w:rPr>
                <w:rFonts w:hint="eastAsia" w:hAnsi="宋体" w:cs="宋体"/>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27" w:type="dxa"/>
            <w:shd w:val="clear" w:color="auto" w:fill="auto"/>
            <w:vAlign w:val="center"/>
          </w:tcPr>
          <w:p>
            <w:pPr>
              <w:pStyle w:val="8"/>
              <w:jc w:val="center"/>
              <w:rPr>
                <w:rFonts w:hAnsi="宋体" w:cs="宋体"/>
                <w:sz w:val="24"/>
                <w:szCs w:val="28"/>
                <w:highlight w:val="none"/>
              </w:rPr>
            </w:pPr>
            <w:r>
              <w:rPr>
                <w:rFonts w:hint="eastAsia" w:hAnsi="宋体" w:cs="宋体"/>
                <w:sz w:val="24"/>
                <w:szCs w:val="28"/>
                <w:highlight w:val="none"/>
              </w:rPr>
              <w:t>报价人纳税类型</w:t>
            </w:r>
          </w:p>
        </w:tc>
        <w:tc>
          <w:tcPr>
            <w:tcW w:w="7370"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127" w:type="dxa"/>
            <w:shd w:val="clear" w:color="auto" w:fill="auto"/>
            <w:vAlign w:val="center"/>
          </w:tcPr>
          <w:p>
            <w:pPr>
              <w:pStyle w:val="8"/>
              <w:jc w:val="center"/>
              <w:rPr>
                <w:rFonts w:hAnsi="宋体" w:cs="宋体"/>
                <w:sz w:val="24"/>
                <w:szCs w:val="28"/>
                <w:highlight w:val="none"/>
              </w:rPr>
            </w:pPr>
            <w:r>
              <w:rPr>
                <w:rFonts w:hint="eastAsia" w:hAnsi="宋体" w:cs="宋体"/>
                <w:sz w:val="24"/>
                <w:szCs w:val="28"/>
                <w:highlight w:val="none"/>
              </w:rPr>
              <w:t>报价人提供的增值税专用发票的税率</w:t>
            </w:r>
          </w:p>
        </w:tc>
        <w:tc>
          <w:tcPr>
            <w:tcW w:w="7370"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hint="eastAsia" w:hAnsi="宋体" w:cs="宋体"/>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2127" w:type="dxa"/>
            <w:shd w:val="clear" w:color="auto" w:fill="auto"/>
            <w:vAlign w:val="center"/>
          </w:tcPr>
          <w:p>
            <w:pPr>
              <w:pStyle w:val="8"/>
              <w:jc w:val="center"/>
              <w:rPr>
                <w:rFonts w:hAnsi="宋体" w:cs="宋体"/>
                <w:sz w:val="24"/>
                <w:szCs w:val="24"/>
                <w:highlight w:val="none"/>
              </w:rPr>
            </w:pPr>
            <w:r>
              <w:rPr>
                <w:rFonts w:hint="eastAsia" w:hAnsi="宋体" w:cs="宋体"/>
                <w:sz w:val="24"/>
                <w:szCs w:val="24"/>
                <w:highlight w:val="none"/>
              </w:rPr>
              <w:t>备注</w:t>
            </w:r>
          </w:p>
        </w:tc>
        <w:tc>
          <w:tcPr>
            <w:tcW w:w="7370" w:type="dxa"/>
            <w:shd w:val="clear" w:color="auto" w:fill="auto"/>
            <w:vAlign w:val="center"/>
          </w:tcPr>
          <w:p>
            <w:pPr>
              <w:numPr>
                <w:ilvl w:val="0"/>
                <w:numId w:val="6"/>
              </w:numPr>
              <w:autoSpaceDE/>
              <w:autoSpaceDN/>
              <w:adjustRightInd/>
              <w:jc w:val="both"/>
              <w:rPr>
                <w:rFonts w:hAnsi="宋体" w:cs="宋体"/>
                <w:b/>
                <w:bCs/>
                <w:highlight w:val="none"/>
              </w:rPr>
            </w:pPr>
            <w:r>
              <w:rPr>
                <w:rFonts w:hint="eastAsia" w:hAnsi="宋体" w:cs="宋体"/>
                <w:b/>
                <w:bCs/>
                <w:highlight w:val="none"/>
              </w:rPr>
              <w:t>本次所报价格为不含销项税额，包含供应商销项税额以外的税费及完成本项目所需的全部费用。</w:t>
            </w:r>
          </w:p>
          <w:p>
            <w:pPr>
              <w:numPr>
                <w:ilvl w:val="0"/>
                <w:numId w:val="6"/>
              </w:numPr>
              <w:autoSpaceDE/>
              <w:autoSpaceDN/>
              <w:adjustRightInd/>
              <w:jc w:val="both"/>
              <w:rPr>
                <w:highlight w:val="none"/>
              </w:rPr>
            </w:pPr>
            <w:r>
              <w:rPr>
                <w:rFonts w:hint="eastAsia" w:hAnsi="宋体" w:cs="宋体"/>
                <w:b/>
                <w:bCs/>
                <w:highlight w:val="none"/>
              </w:rPr>
              <w:t>不含税报价不得高于本项目不含税最高限价（344,484.55元），不含税报价不得高于不含税最高限价，否则视为无效报价。</w:t>
            </w:r>
          </w:p>
          <w:p>
            <w:pPr>
              <w:numPr>
                <w:ilvl w:val="0"/>
                <w:numId w:val="6"/>
              </w:numPr>
              <w:autoSpaceDE/>
              <w:autoSpaceDN/>
              <w:adjustRightInd/>
              <w:jc w:val="both"/>
              <w:rPr>
                <w:highlight w:val="none"/>
              </w:rPr>
            </w:pPr>
            <w:r>
              <w:rPr>
                <w:rFonts w:hint="eastAsia" w:hAnsi="宋体" w:cs="宋体"/>
                <w:b/>
                <w:bCs/>
                <w:highlight w:val="none"/>
              </w:rPr>
              <w:t>报价人应提供致远办公系统A8+产品服务原厂证明或授权代理资质复印件，否则视为无效报价。</w:t>
            </w:r>
          </w:p>
        </w:tc>
      </w:tr>
    </w:tbl>
    <w:p>
      <w:pPr>
        <w:pStyle w:val="8"/>
        <w:spacing w:line="360" w:lineRule="auto"/>
        <w:rPr>
          <w:rFonts w:hAnsi="宋体" w:cs="宋体"/>
          <w:sz w:val="24"/>
          <w:szCs w:val="24"/>
          <w:highlight w:val="none"/>
        </w:rPr>
      </w:pPr>
    </w:p>
    <w:p>
      <w:pPr>
        <w:pStyle w:val="8"/>
        <w:spacing w:line="360" w:lineRule="auto"/>
        <w:rPr>
          <w:rFonts w:hAnsi="宋体" w:cs="宋体"/>
          <w:sz w:val="24"/>
          <w:szCs w:val="28"/>
          <w:highlight w:val="none"/>
        </w:rPr>
      </w:pPr>
      <w:r>
        <w:rPr>
          <w:rFonts w:hint="eastAsia" w:hAnsi="宋体" w:cs="宋体"/>
          <w:sz w:val="24"/>
          <w:szCs w:val="28"/>
          <w:highlight w:val="none"/>
        </w:rPr>
        <w:t>联系人：                          联系电话：</w:t>
      </w:r>
    </w:p>
    <w:p>
      <w:pPr>
        <w:pStyle w:val="8"/>
        <w:spacing w:line="360" w:lineRule="auto"/>
        <w:rPr>
          <w:rFonts w:hAnsi="宋体" w:cs="宋体"/>
          <w:sz w:val="24"/>
          <w:szCs w:val="28"/>
          <w:highlight w:val="none"/>
        </w:rPr>
      </w:pPr>
      <w:r>
        <w:rPr>
          <w:rFonts w:hint="eastAsia" w:hAnsi="宋体" w:cs="宋体"/>
          <w:sz w:val="24"/>
          <w:szCs w:val="28"/>
          <w:highlight w:val="none"/>
        </w:rPr>
        <w:t>联系地址：</w:t>
      </w:r>
    </w:p>
    <w:p>
      <w:pPr>
        <w:wordWrap w:val="0"/>
        <w:spacing w:line="360" w:lineRule="auto"/>
        <w:jc w:val="right"/>
        <w:rPr>
          <w:rFonts w:hAnsi="宋体" w:cs="宋体"/>
          <w:kern w:val="2"/>
          <w:szCs w:val="28"/>
          <w:highlight w:val="none"/>
        </w:rPr>
      </w:pPr>
      <w:r>
        <w:rPr>
          <w:rFonts w:hint="eastAsia" w:hAnsi="宋体" w:cs="宋体"/>
          <w:kern w:val="2"/>
          <w:szCs w:val="28"/>
          <w:highlight w:val="none"/>
          <w:lang w:val="zh-CN"/>
        </w:rPr>
        <w:t>报价人：（公章）</w:t>
      </w:r>
      <w:r>
        <w:rPr>
          <w:rFonts w:hint="eastAsia" w:hAnsi="宋体" w:cs="宋体"/>
          <w:kern w:val="2"/>
          <w:szCs w:val="28"/>
          <w:highlight w:val="none"/>
        </w:rPr>
        <w:t xml:space="preserve">       </w:t>
      </w:r>
    </w:p>
    <w:p>
      <w:pPr>
        <w:spacing w:line="360" w:lineRule="auto"/>
        <w:jc w:val="right"/>
        <w:rPr>
          <w:rFonts w:hAnsi="宋体" w:cs="宋体"/>
          <w:kern w:val="2"/>
          <w:szCs w:val="28"/>
          <w:highlight w:val="none"/>
          <w:lang w:val="zh-CN"/>
        </w:rPr>
      </w:pPr>
      <w:r>
        <w:rPr>
          <w:rFonts w:hint="eastAsia" w:hAnsi="宋体" w:cs="宋体"/>
          <w:kern w:val="2"/>
          <w:szCs w:val="28"/>
          <w:highlight w:val="none"/>
          <w:lang w:val="zh-CN"/>
        </w:rPr>
        <w:t>日期：   年    月   日</w:t>
      </w:r>
    </w:p>
    <w:p>
      <w:pPr>
        <w:spacing w:line="360" w:lineRule="auto"/>
        <w:jc w:val="right"/>
        <w:rPr>
          <w:rFonts w:hAnsi="宋体" w:cs="宋体"/>
          <w:kern w:val="2"/>
          <w:szCs w:val="28"/>
          <w:highlight w:val="none"/>
          <w:lang w:val="zh-CN"/>
        </w:rPr>
      </w:pPr>
    </w:p>
    <w:p>
      <w:pPr>
        <w:spacing w:line="360" w:lineRule="auto"/>
        <w:jc w:val="right"/>
        <w:rPr>
          <w:rFonts w:hAnsi="宋体" w:cs="宋体"/>
          <w:kern w:val="2"/>
          <w:szCs w:val="28"/>
          <w:highlight w:val="none"/>
          <w:lang w:val="zh-CN"/>
        </w:rPr>
        <w:sectPr>
          <w:headerReference r:id="rId4" w:type="default"/>
          <w:footerReference r:id="rId5" w:type="default"/>
          <w:pgSz w:w="11906" w:h="16838"/>
          <w:pgMar w:top="1440" w:right="1803" w:bottom="1440" w:left="1803" w:header="851" w:footer="992" w:gutter="0"/>
          <w:cols w:space="0" w:num="1"/>
          <w:docGrid w:type="lines" w:linePitch="332" w:charSpace="0"/>
        </w:sectPr>
      </w:pPr>
    </w:p>
    <w:p>
      <w:pPr>
        <w:numPr>
          <w:ilvl w:val="0"/>
          <w:numId w:val="7"/>
        </w:numPr>
        <w:spacing w:line="360" w:lineRule="auto"/>
        <w:rPr>
          <w:rFonts w:hAnsi="宋体" w:cs="宋体"/>
          <w:b/>
          <w:sz w:val="28"/>
          <w:szCs w:val="28"/>
          <w:highlight w:val="none"/>
        </w:rPr>
      </w:pPr>
      <w:r>
        <w:rPr>
          <w:rFonts w:hint="eastAsia" w:hAnsi="宋体" w:cs="宋体"/>
          <w:b/>
          <w:sz w:val="28"/>
          <w:szCs w:val="28"/>
          <w:highlight w:val="none"/>
        </w:rPr>
        <w:t>用户需求偏离表</w:t>
      </w:r>
    </w:p>
    <w:p>
      <w:pPr>
        <w:spacing w:line="360" w:lineRule="auto"/>
        <w:jc w:val="center"/>
        <w:rPr>
          <w:rFonts w:hAnsi="宋体" w:cs="宋体"/>
          <w:b/>
          <w:sz w:val="28"/>
          <w:szCs w:val="28"/>
          <w:highlight w:val="none"/>
        </w:rPr>
      </w:pPr>
      <w:bookmarkStart w:id="48" w:name="_Hlk26973180"/>
      <w:r>
        <w:rPr>
          <w:rFonts w:hint="eastAsia" w:hAnsi="宋体" w:cs="宋体"/>
          <w:b/>
          <w:sz w:val="28"/>
          <w:szCs w:val="28"/>
          <w:highlight w:val="none"/>
          <w:lang w:val="zh-CN"/>
        </w:rPr>
        <w:t>用户需求偏离表</w:t>
      </w:r>
    </w:p>
    <w:bookmarkEnd w:id="48"/>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360" w:lineRule="auto"/>
              <w:jc w:val="center"/>
              <w:rPr>
                <w:rFonts w:hAnsi="宋体" w:cs="宋体"/>
                <w:b/>
                <w:bCs/>
                <w:szCs w:val="21"/>
                <w:highlight w:val="none"/>
              </w:rPr>
            </w:pPr>
            <w:r>
              <w:rPr>
                <w:rFonts w:hint="eastAsia" w:hAnsi="宋体" w:cs="宋体"/>
                <w:b/>
                <w:bCs/>
                <w:szCs w:val="21"/>
                <w:highlight w:val="none"/>
              </w:rPr>
              <w:t>序号</w:t>
            </w:r>
          </w:p>
        </w:tc>
        <w:tc>
          <w:tcPr>
            <w:tcW w:w="3200" w:type="dxa"/>
            <w:gridSpan w:val="2"/>
            <w:vAlign w:val="center"/>
          </w:tcPr>
          <w:p>
            <w:pPr>
              <w:spacing w:line="360" w:lineRule="auto"/>
              <w:jc w:val="center"/>
              <w:rPr>
                <w:rFonts w:hAnsi="宋体" w:cs="宋体"/>
                <w:b/>
                <w:bCs/>
                <w:szCs w:val="21"/>
                <w:highlight w:val="none"/>
              </w:rPr>
            </w:pPr>
            <w:r>
              <w:rPr>
                <w:rFonts w:hint="eastAsia" w:hAnsi="宋体" w:cs="宋体"/>
                <w:b/>
                <w:bCs/>
                <w:szCs w:val="21"/>
                <w:highlight w:val="none"/>
              </w:rPr>
              <w:t>需求书要求</w:t>
            </w:r>
          </w:p>
        </w:tc>
        <w:tc>
          <w:tcPr>
            <w:tcW w:w="5180" w:type="dxa"/>
            <w:gridSpan w:val="2"/>
            <w:vAlign w:val="center"/>
          </w:tcPr>
          <w:p>
            <w:pPr>
              <w:spacing w:line="360" w:lineRule="auto"/>
              <w:jc w:val="center"/>
              <w:rPr>
                <w:rFonts w:hAnsi="宋体" w:cs="宋体"/>
                <w:b/>
                <w:bCs/>
                <w:szCs w:val="21"/>
                <w:highlight w:val="none"/>
              </w:rPr>
            </w:pPr>
            <w:r>
              <w:rPr>
                <w:rFonts w:hint="eastAsia" w:hAnsi="宋体" w:cs="宋体"/>
                <w:b/>
                <w:bCs/>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360" w:lineRule="auto"/>
              <w:jc w:val="center"/>
              <w:rPr>
                <w:rFonts w:hAnsi="宋体" w:cs="宋体"/>
                <w:b/>
                <w:bCs/>
                <w:szCs w:val="21"/>
                <w:highlight w:val="none"/>
              </w:rPr>
            </w:pPr>
          </w:p>
        </w:tc>
        <w:tc>
          <w:tcPr>
            <w:tcW w:w="954" w:type="dxa"/>
            <w:vAlign w:val="center"/>
          </w:tcPr>
          <w:p>
            <w:pPr>
              <w:spacing w:line="360" w:lineRule="auto"/>
              <w:jc w:val="center"/>
              <w:rPr>
                <w:rFonts w:hAnsi="宋体" w:cs="宋体"/>
                <w:b/>
                <w:bCs/>
                <w:szCs w:val="21"/>
                <w:highlight w:val="none"/>
              </w:rPr>
            </w:pPr>
            <w:r>
              <w:rPr>
                <w:rFonts w:hint="eastAsia" w:hAnsi="宋体" w:cs="宋体"/>
                <w:b/>
                <w:bCs/>
                <w:szCs w:val="21"/>
                <w:highlight w:val="none"/>
              </w:rPr>
              <w:t>条款号</w:t>
            </w:r>
          </w:p>
        </w:tc>
        <w:tc>
          <w:tcPr>
            <w:tcW w:w="2246" w:type="dxa"/>
            <w:vAlign w:val="center"/>
          </w:tcPr>
          <w:p>
            <w:pPr>
              <w:spacing w:line="360" w:lineRule="auto"/>
              <w:jc w:val="center"/>
              <w:rPr>
                <w:rFonts w:hAnsi="宋体" w:cs="宋体"/>
                <w:b/>
                <w:bCs/>
                <w:szCs w:val="21"/>
                <w:highlight w:val="none"/>
              </w:rPr>
            </w:pPr>
            <w:r>
              <w:rPr>
                <w:rFonts w:hint="eastAsia" w:hAnsi="宋体" w:cs="宋体"/>
                <w:b/>
                <w:bCs/>
                <w:szCs w:val="21"/>
                <w:highlight w:val="none"/>
              </w:rPr>
              <w:t>简要内容</w:t>
            </w:r>
          </w:p>
        </w:tc>
        <w:tc>
          <w:tcPr>
            <w:tcW w:w="2431" w:type="dxa"/>
            <w:vAlign w:val="center"/>
          </w:tcPr>
          <w:p>
            <w:pPr>
              <w:spacing w:line="360" w:lineRule="auto"/>
              <w:jc w:val="center"/>
              <w:rPr>
                <w:rFonts w:hAnsi="宋体" w:cs="宋体"/>
                <w:b/>
                <w:bCs/>
                <w:szCs w:val="21"/>
                <w:highlight w:val="none"/>
              </w:rPr>
            </w:pPr>
            <w:r>
              <w:rPr>
                <w:rFonts w:hint="eastAsia" w:hAnsi="宋体" w:cs="宋体"/>
                <w:b/>
                <w:bCs/>
                <w:szCs w:val="21"/>
                <w:highlight w:val="none"/>
              </w:rPr>
              <w:t>偏离情况</w:t>
            </w:r>
          </w:p>
        </w:tc>
        <w:tc>
          <w:tcPr>
            <w:tcW w:w="2749" w:type="dxa"/>
            <w:vAlign w:val="center"/>
          </w:tcPr>
          <w:p>
            <w:pPr>
              <w:spacing w:line="360" w:lineRule="auto"/>
              <w:jc w:val="center"/>
              <w:rPr>
                <w:rFonts w:hAnsi="宋体" w:cs="宋体"/>
                <w:b/>
                <w:bCs/>
                <w:szCs w:val="21"/>
                <w:highlight w:val="none"/>
              </w:rPr>
            </w:pPr>
            <w:r>
              <w:rPr>
                <w:rFonts w:hint="eastAsia" w:hAnsi="宋体" w:cs="宋体"/>
                <w:b/>
                <w:bCs/>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1</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一</w:t>
            </w:r>
          </w:p>
        </w:tc>
        <w:tc>
          <w:tcPr>
            <w:tcW w:w="2246" w:type="dxa"/>
            <w:vAlign w:val="center"/>
          </w:tcPr>
          <w:p>
            <w:pPr>
              <w:spacing w:line="360" w:lineRule="auto"/>
              <w:jc w:val="center"/>
              <w:rPr>
                <w:rFonts w:hAnsi="宋体" w:cs="宋体"/>
                <w:szCs w:val="21"/>
                <w:highlight w:val="none"/>
              </w:rPr>
            </w:pPr>
          </w:p>
        </w:tc>
        <w:tc>
          <w:tcPr>
            <w:tcW w:w="2431" w:type="dxa"/>
            <w:vAlign w:val="center"/>
          </w:tcPr>
          <w:p>
            <w:pPr>
              <w:spacing w:line="360" w:lineRule="auto"/>
              <w:jc w:val="center"/>
              <w:rPr>
                <w:rFonts w:hAnsi="宋体" w:cs="宋体"/>
                <w:szCs w:val="21"/>
                <w:highlight w:val="none"/>
              </w:rPr>
            </w:pPr>
          </w:p>
        </w:tc>
        <w:tc>
          <w:tcPr>
            <w:tcW w:w="274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2</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二</w:t>
            </w:r>
          </w:p>
        </w:tc>
        <w:tc>
          <w:tcPr>
            <w:tcW w:w="2246" w:type="dxa"/>
            <w:vAlign w:val="center"/>
          </w:tcPr>
          <w:p>
            <w:pPr>
              <w:spacing w:line="360" w:lineRule="auto"/>
              <w:jc w:val="center"/>
              <w:rPr>
                <w:rFonts w:hAnsi="宋体" w:cs="宋体"/>
                <w:szCs w:val="21"/>
                <w:highlight w:val="none"/>
              </w:rPr>
            </w:pPr>
          </w:p>
        </w:tc>
        <w:tc>
          <w:tcPr>
            <w:tcW w:w="2431" w:type="dxa"/>
            <w:vAlign w:val="center"/>
          </w:tcPr>
          <w:p>
            <w:pPr>
              <w:spacing w:line="360" w:lineRule="auto"/>
              <w:jc w:val="center"/>
              <w:rPr>
                <w:rFonts w:hAnsi="宋体" w:cs="宋体"/>
                <w:szCs w:val="21"/>
                <w:highlight w:val="none"/>
              </w:rPr>
            </w:pPr>
          </w:p>
        </w:tc>
        <w:tc>
          <w:tcPr>
            <w:tcW w:w="274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3</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三</w:t>
            </w:r>
          </w:p>
        </w:tc>
        <w:tc>
          <w:tcPr>
            <w:tcW w:w="2246" w:type="dxa"/>
            <w:vAlign w:val="center"/>
          </w:tcPr>
          <w:p>
            <w:pPr>
              <w:autoSpaceDE/>
              <w:autoSpaceDN/>
              <w:adjustRightInd/>
              <w:spacing w:line="360" w:lineRule="auto"/>
              <w:jc w:val="center"/>
              <w:rPr>
                <w:rFonts w:hAnsi="宋体" w:cs="宋体"/>
                <w:szCs w:val="21"/>
                <w:highlight w:val="none"/>
              </w:rPr>
            </w:pPr>
          </w:p>
        </w:tc>
        <w:tc>
          <w:tcPr>
            <w:tcW w:w="2431" w:type="dxa"/>
            <w:vAlign w:val="center"/>
          </w:tcPr>
          <w:p>
            <w:pPr>
              <w:spacing w:line="360" w:lineRule="auto"/>
              <w:jc w:val="center"/>
              <w:rPr>
                <w:rFonts w:hAnsi="宋体" w:cs="宋体"/>
                <w:szCs w:val="21"/>
                <w:highlight w:val="none"/>
              </w:rPr>
            </w:pPr>
          </w:p>
        </w:tc>
        <w:tc>
          <w:tcPr>
            <w:tcW w:w="274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w:t>
            </w:r>
          </w:p>
        </w:tc>
        <w:tc>
          <w:tcPr>
            <w:tcW w:w="954" w:type="dxa"/>
            <w:vAlign w:val="center"/>
          </w:tcPr>
          <w:p>
            <w:pPr>
              <w:spacing w:line="360" w:lineRule="auto"/>
              <w:jc w:val="center"/>
              <w:rPr>
                <w:rFonts w:hAnsi="宋体" w:cs="宋体"/>
                <w:szCs w:val="21"/>
                <w:highlight w:val="none"/>
              </w:rPr>
            </w:pPr>
          </w:p>
        </w:tc>
        <w:tc>
          <w:tcPr>
            <w:tcW w:w="2246" w:type="dxa"/>
            <w:vAlign w:val="center"/>
          </w:tcPr>
          <w:p>
            <w:pPr>
              <w:spacing w:line="360" w:lineRule="auto"/>
              <w:jc w:val="center"/>
              <w:rPr>
                <w:rFonts w:hAnsi="宋体" w:cs="宋体"/>
                <w:szCs w:val="21"/>
                <w:highlight w:val="none"/>
              </w:rPr>
            </w:pPr>
          </w:p>
        </w:tc>
        <w:tc>
          <w:tcPr>
            <w:tcW w:w="2431" w:type="dxa"/>
            <w:vAlign w:val="center"/>
          </w:tcPr>
          <w:p>
            <w:pPr>
              <w:spacing w:line="360" w:lineRule="auto"/>
              <w:jc w:val="center"/>
              <w:rPr>
                <w:rFonts w:hAnsi="宋体" w:cs="宋体"/>
                <w:szCs w:val="21"/>
                <w:highlight w:val="none"/>
              </w:rPr>
            </w:pPr>
          </w:p>
        </w:tc>
        <w:tc>
          <w:tcPr>
            <w:tcW w:w="2749" w:type="dxa"/>
            <w:vAlign w:val="center"/>
          </w:tcPr>
          <w:p>
            <w:pPr>
              <w:spacing w:line="360" w:lineRule="auto"/>
              <w:jc w:val="center"/>
              <w:rPr>
                <w:rFonts w:hAnsi="宋体" w:cs="宋体"/>
                <w:szCs w:val="21"/>
                <w:highlight w:val="none"/>
              </w:rPr>
            </w:pPr>
          </w:p>
        </w:tc>
      </w:tr>
    </w:tbl>
    <w:p>
      <w:p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备注：</w:t>
      </w:r>
    </w:p>
    <w:p>
      <w:pPr>
        <w:numPr>
          <w:ilvl w:val="0"/>
          <w:numId w:val="8"/>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8"/>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8"/>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 xml:space="preserve">“偏离情况”项为正偏离（或负偏离）的，必须在“具体偏离内容”项内详细说明与用户需求书的偏离内容，“偏离情况”项为无偏离的，在“具体偏离内容”项内填“无”。 </w:t>
      </w:r>
    </w:p>
    <w:p>
      <w:pPr>
        <w:numPr>
          <w:ilvl w:val="0"/>
          <w:numId w:val="8"/>
        </w:numPr>
        <w:spacing w:line="360" w:lineRule="auto"/>
        <w:ind w:firstLine="422" w:firstLineChars="200"/>
        <w:rPr>
          <w:rFonts w:hAnsi="宋体" w:cs="宋体"/>
          <w:b/>
          <w:bCs/>
          <w:sz w:val="21"/>
          <w:szCs w:val="21"/>
          <w:highlight w:val="none"/>
        </w:rPr>
      </w:pPr>
      <w:r>
        <w:rPr>
          <w:rFonts w:hint="eastAsia" w:hAnsi="宋体" w:cs="宋体"/>
          <w:b/>
          <w:bCs/>
          <w:sz w:val="21"/>
          <w:szCs w:val="21"/>
          <w:highlight w:val="none"/>
        </w:rPr>
        <w:t>如报价人差异内容较多可另附页说明。</w:t>
      </w:r>
    </w:p>
    <w:p>
      <w:pPr>
        <w:spacing w:line="360" w:lineRule="auto"/>
        <w:rPr>
          <w:rFonts w:hAnsi="宋体" w:cs="宋体"/>
          <w:sz w:val="21"/>
          <w:szCs w:val="21"/>
          <w:highlight w:val="none"/>
        </w:rPr>
      </w:pPr>
    </w:p>
    <w:p>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报价人：（加盖报价人公章）</w:t>
      </w:r>
    </w:p>
    <w:p>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 xml:space="preserve">日  期：  </w:t>
      </w:r>
      <w:r>
        <w:rPr>
          <w:rFonts w:hint="eastAsia" w:hAnsi="宋体" w:cs="宋体"/>
          <w:kern w:val="2"/>
          <w:sz w:val="21"/>
          <w:highlight w:val="none"/>
        </w:rPr>
        <w:t xml:space="preserve">  </w:t>
      </w:r>
      <w:r>
        <w:rPr>
          <w:rFonts w:hint="eastAsia" w:hAnsi="宋体" w:cs="宋体"/>
          <w:kern w:val="2"/>
          <w:sz w:val="21"/>
          <w:highlight w:val="none"/>
          <w:lang w:val="zh-CN"/>
        </w:rPr>
        <w:t xml:space="preserve"> 年   月   日</w:t>
      </w:r>
      <w:bookmarkStart w:id="49" w:name="_Toc513226437"/>
      <w:bookmarkStart w:id="50" w:name="_Toc534701786"/>
      <w:bookmarkStart w:id="51" w:name="_Toc534278252"/>
    </w:p>
    <w:p>
      <w:pPr>
        <w:spacing w:line="360" w:lineRule="auto"/>
        <w:ind w:firstLine="420" w:firstLineChars="200"/>
        <w:rPr>
          <w:rFonts w:hAnsi="宋体" w:cs="宋体"/>
          <w:sz w:val="21"/>
          <w:szCs w:val="21"/>
          <w:highlight w:val="none"/>
        </w:rPr>
        <w:sectPr>
          <w:pgSz w:w="11906" w:h="16838"/>
          <w:pgMar w:top="1440" w:right="1803" w:bottom="1440" w:left="1803" w:header="851" w:footer="992" w:gutter="0"/>
          <w:cols w:space="0" w:num="1"/>
          <w:docGrid w:type="lines" w:linePitch="332" w:charSpace="0"/>
        </w:sectPr>
      </w:pPr>
    </w:p>
    <w:p>
      <w:pPr>
        <w:numPr>
          <w:ilvl w:val="0"/>
          <w:numId w:val="7"/>
        </w:numPr>
        <w:spacing w:line="360" w:lineRule="auto"/>
        <w:rPr>
          <w:rFonts w:hAnsi="宋体" w:cs="宋体"/>
          <w:b/>
          <w:sz w:val="28"/>
          <w:szCs w:val="28"/>
          <w:highlight w:val="none"/>
        </w:rPr>
      </w:pPr>
      <w:r>
        <w:rPr>
          <w:rFonts w:hint="eastAsia" w:hAnsi="宋体" w:cs="宋体"/>
          <w:b/>
          <w:sz w:val="28"/>
          <w:szCs w:val="28"/>
          <w:highlight w:val="none"/>
        </w:rPr>
        <w:t>合同条款偏离表</w:t>
      </w:r>
    </w:p>
    <w:p>
      <w:pPr>
        <w:spacing w:line="360" w:lineRule="auto"/>
        <w:jc w:val="center"/>
        <w:rPr>
          <w:rFonts w:hAnsi="宋体" w:cs="宋体"/>
          <w:b/>
          <w:sz w:val="28"/>
          <w:szCs w:val="28"/>
          <w:highlight w:val="none"/>
        </w:rPr>
      </w:pPr>
      <w:r>
        <w:rPr>
          <w:rFonts w:hint="eastAsia" w:hAnsi="宋体" w:cs="宋体"/>
          <w:b/>
          <w:sz w:val="28"/>
          <w:szCs w:val="28"/>
          <w:highlight w:val="none"/>
          <w:lang w:val="zh-CN"/>
        </w:rPr>
        <w:t>合同条款偏离表</w:t>
      </w:r>
    </w:p>
    <w:tbl>
      <w:tblPr>
        <w:tblStyle w:val="1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360" w:lineRule="auto"/>
              <w:jc w:val="center"/>
              <w:rPr>
                <w:rFonts w:hAnsi="宋体" w:cs="宋体"/>
                <w:b/>
                <w:szCs w:val="21"/>
                <w:highlight w:val="none"/>
              </w:rPr>
            </w:pPr>
            <w:r>
              <w:rPr>
                <w:rFonts w:hint="eastAsia" w:hAnsi="宋体" w:cs="宋体"/>
                <w:b/>
                <w:szCs w:val="21"/>
                <w:highlight w:val="none"/>
              </w:rPr>
              <w:t>序号</w:t>
            </w:r>
          </w:p>
        </w:tc>
        <w:tc>
          <w:tcPr>
            <w:tcW w:w="3767" w:type="dxa"/>
            <w:gridSpan w:val="2"/>
            <w:vAlign w:val="center"/>
          </w:tcPr>
          <w:p>
            <w:pPr>
              <w:spacing w:line="360" w:lineRule="auto"/>
              <w:jc w:val="center"/>
              <w:rPr>
                <w:rFonts w:hAnsi="宋体" w:cs="宋体"/>
                <w:b/>
                <w:szCs w:val="21"/>
                <w:highlight w:val="none"/>
              </w:rPr>
            </w:pPr>
            <w:r>
              <w:rPr>
                <w:rFonts w:hint="eastAsia" w:hAnsi="宋体" w:cs="宋体"/>
                <w:b/>
                <w:szCs w:val="21"/>
                <w:highlight w:val="none"/>
              </w:rPr>
              <w:t>合同要求</w:t>
            </w:r>
          </w:p>
        </w:tc>
        <w:tc>
          <w:tcPr>
            <w:tcW w:w="4933" w:type="dxa"/>
            <w:gridSpan w:val="2"/>
            <w:vAlign w:val="center"/>
          </w:tcPr>
          <w:p>
            <w:pPr>
              <w:spacing w:line="360" w:lineRule="auto"/>
              <w:jc w:val="center"/>
              <w:rPr>
                <w:rFonts w:hAnsi="宋体" w:cs="宋体"/>
                <w:b/>
                <w:szCs w:val="21"/>
                <w:highlight w:val="none"/>
              </w:rPr>
            </w:pPr>
            <w:r>
              <w:rPr>
                <w:rFonts w:hint="eastAsia" w:hAnsi="宋体" w:cs="宋体"/>
                <w:b/>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360" w:lineRule="auto"/>
              <w:jc w:val="center"/>
              <w:rPr>
                <w:rFonts w:hAnsi="宋体" w:cs="宋体"/>
                <w:b/>
                <w:szCs w:val="21"/>
                <w:highlight w:val="none"/>
              </w:rPr>
            </w:pPr>
          </w:p>
        </w:tc>
        <w:tc>
          <w:tcPr>
            <w:tcW w:w="954" w:type="dxa"/>
            <w:vAlign w:val="center"/>
          </w:tcPr>
          <w:p>
            <w:pPr>
              <w:spacing w:line="360" w:lineRule="auto"/>
              <w:jc w:val="center"/>
              <w:rPr>
                <w:rFonts w:hAnsi="宋体" w:cs="宋体"/>
                <w:b/>
                <w:szCs w:val="21"/>
                <w:highlight w:val="none"/>
              </w:rPr>
            </w:pPr>
            <w:r>
              <w:rPr>
                <w:rFonts w:hint="eastAsia" w:hAnsi="宋体" w:cs="宋体"/>
                <w:b/>
                <w:szCs w:val="21"/>
                <w:highlight w:val="none"/>
              </w:rPr>
              <w:t>条款号</w:t>
            </w:r>
          </w:p>
        </w:tc>
        <w:tc>
          <w:tcPr>
            <w:tcW w:w="2813" w:type="dxa"/>
            <w:vAlign w:val="center"/>
          </w:tcPr>
          <w:p>
            <w:pPr>
              <w:spacing w:line="360" w:lineRule="auto"/>
              <w:jc w:val="center"/>
              <w:rPr>
                <w:rFonts w:hAnsi="宋体" w:cs="宋体"/>
                <w:b/>
                <w:szCs w:val="21"/>
                <w:highlight w:val="none"/>
              </w:rPr>
            </w:pPr>
            <w:r>
              <w:rPr>
                <w:rFonts w:hint="eastAsia" w:hAnsi="宋体" w:cs="宋体"/>
                <w:b/>
                <w:szCs w:val="21"/>
                <w:highlight w:val="none"/>
              </w:rPr>
              <w:t>简要内容</w:t>
            </w:r>
          </w:p>
        </w:tc>
        <w:tc>
          <w:tcPr>
            <w:tcW w:w="1864" w:type="dxa"/>
            <w:vAlign w:val="center"/>
          </w:tcPr>
          <w:p>
            <w:pPr>
              <w:spacing w:line="360" w:lineRule="auto"/>
              <w:jc w:val="center"/>
              <w:rPr>
                <w:rFonts w:hAnsi="宋体" w:cs="宋体"/>
                <w:b/>
                <w:szCs w:val="21"/>
                <w:highlight w:val="none"/>
              </w:rPr>
            </w:pPr>
            <w:r>
              <w:rPr>
                <w:rFonts w:hint="eastAsia" w:hAnsi="宋体" w:cs="宋体"/>
                <w:b/>
                <w:szCs w:val="21"/>
                <w:highlight w:val="none"/>
              </w:rPr>
              <w:t>偏离情况</w:t>
            </w:r>
          </w:p>
        </w:tc>
        <w:tc>
          <w:tcPr>
            <w:tcW w:w="3069" w:type="dxa"/>
            <w:vAlign w:val="center"/>
          </w:tcPr>
          <w:p>
            <w:pPr>
              <w:spacing w:line="360" w:lineRule="auto"/>
              <w:jc w:val="center"/>
              <w:rPr>
                <w:rFonts w:hAnsi="宋体" w:cs="宋体"/>
                <w:b/>
                <w:szCs w:val="21"/>
                <w:highlight w:val="none"/>
              </w:rPr>
            </w:pPr>
            <w:r>
              <w:rPr>
                <w:rFonts w:hint="eastAsia" w:hAnsi="宋体" w:cs="宋体"/>
                <w:b/>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1</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一</w:t>
            </w:r>
          </w:p>
        </w:tc>
        <w:tc>
          <w:tcPr>
            <w:tcW w:w="2813" w:type="dxa"/>
            <w:vAlign w:val="center"/>
          </w:tcPr>
          <w:p>
            <w:pPr>
              <w:spacing w:line="360" w:lineRule="auto"/>
              <w:jc w:val="center"/>
              <w:rPr>
                <w:rFonts w:hAnsi="宋体" w:cs="宋体"/>
                <w:szCs w:val="21"/>
                <w:highlight w:val="none"/>
              </w:rPr>
            </w:pPr>
          </w:p>
        </w:tc>
        <w:tc>
          <w:tcPr>
            <w:tcW w:w="1864" w:type="dxa"/>
            <w:vAlign w:val="center"/>
          </w:tcPr>
          <w:p>
            <w:pPr>
              <w:spacing w:line="360" w:lineRule="auto"/>
              <w:jc w:val="center"/>
              <w:rPr>
                <w:rFonts w:hAnsi="宋体" w:cs="宋体"/>
                <w:szCs w:val="21"/>
                <w:highlight w:val="none"/>
              </w:rPr>
            </w:pPr>
          </w:p>
        </w:tc>
        <w:tc>
          <w:tcPr>
            <w:tcW w:w="306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2</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二</w:t>
            </w:r>
          </w:p>
        </w:tc>
        <w:tc>
          <w:tcPr>
            <w:tcW w:w="2813" w:type="dxa"/>
            <w:vAlign w:val="center"/>
          </w:tcPr>
          <w:p>
            <w:pPr>
              <w:spacing w:line="360" w:lineRule="auto"/>
              <w:jc w:val="center"/>
              <w:rPr>
                <w:rFonts w:hAnsi="宋体" w:cs="宋体"/>
                <w:szCs w:val="21"/>
                <w:highlight w:val="none"/>
              </w:rPr>
            </w:pPr>
          </w:p>
        </w:tc>
        <w:tc>
          <w:tcPr>
            <w:tcW w:w="1864" w:type="dxa"/>
            <w:vAlign w:val="center"/>
          </w:tcPr>
          <w:p>
            <w:pPr>
              <w:spacing w:line="360" w:lineRule="auto"/>
              <w:jc w:val="center"/>
              <w:rPr>
                <w:rFonts w:hAnsi="宋体" w:cs="宋体"/>
                <w:szCs w:val="21"/>
                <w:highlight w:val="none"/>
              </w:rPr>
            </w:pPr>
          </w:p>
        </w:tc>
        <w:tc>
          <w:tcPr>
            <w:tcW w:w="306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3</w:t>
            </w:r>
          </w:p>
        </w:tc>
        <w:tc>
          <w:tcPr>
            <w:tcW w:w="954" w:type="dxa"/>
            <w:vAlign w:val="center"/>
          </w:tcPr>
          <w:p>
            <w:pPr>
              <w:spacing w:line="360" w:lineRule="auto"/>
              <w:jc w:val="center"/>
              <w:rPr>
                <w:rFonts w:hAnsi="宋体" w:cs="宋体"/>
                <w:szCs w:val="21"/>
                <w:highlight w:val="none"/>
              </w:rPr>
            </w:pPr>
            <w:r>
              <w:rPr>
                <w:rFonts w:hint="eastAsia" w:hAnsi="宋体" w:cs="宋体"/>
                <w:szCs w:val="21"/>
                <w:highlight w:val="none"/>
              </w:rPr>
              <w:t>三</w:t>
            </w:r>
          </w:p>
        </w:tc>
        <w:tc>
          <w:tcPr>
            <w:tcW w:w="2813" w:type="dxa"/>
            <w:vAlign w:val="center"/>
          </w:tcPr>
          <w:p>
            <w:pPr>
              <w:spacing w:line="360" w:lineRule="auto"/>
              <w:jc w:val="center"/>
              <w:rPr>
                <w:rFonts w:hAnsi="宋体" w:cs="宋体"/>
                <w:szCs w:val="21"/>
                <w:highlight w:val="none"/>
              </w:rPr>
            </w:pPr>
          </w:p>
        </w:tc>
        <w:tc>
          <w:tcPr>
            <w:tcW w:w="1864" w:type="dxa"/>
            <w:vAlign w:val="center"/>
          </w:tcPr>
          <w:p>
            <w:pPr>
              <w:spacing w:line="360" w:lineRule="auto"/>
              <w:jc w:val="center"/>
              <w:rPr>
                <w:rFonts w:hAnsi="宋体" w:cs="宋体"/>
                <w:szCs w:val="21"/>
                <w:highlight w:val="none"/>
              </w:rPr>
            </w:pPr>
          </w:p>
        </w:tc>
        <w:tc>
          <w:tcPr>
            <w:tcW w:w="3069" w:type="dxa"/>
            <w:vAlign w:val="center"/>
          </w:tcPr>
          <w:p>
            <w:pPr>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szCs w:val="21"/>
                <w:highlight w:val="none"/>
              </w:rPr>
            </w:pPr>
            <w:r>
              <w:rPr>
                <w:rFonts w:hint="eastAsia" w:hAnsi="宋体" w:cs="宋体"/>
                <w:szCs w:val="21"/>
                <w:highlight w:val="none"/>
              </w:rPr>
              <w:t>...</w:t>
            </w:r>
          </w:p>
        </w:tc>
        <w:tc>
          <w:tcPr>
            <w:tcW w:w="954" w:type="dxa"/>
            <w:vAlign w:val="center"/>
          </w:tcPr>
          <w:p>
            <w:pPr>
              <w:spacing w:line="360" w:lineRule="auto"/>
              <w:jc w:val="center"/>
              <w:rPr>
                <w:rFonts w:hAnsi="宋体" w:cs="宋体"/>
                <w:szCs w:val="21"/>
                <w:highlight w:val="none"/>
              </w:rPr>
            </w:pPr>
          </w:p>
        </w:tc>
        <w:tc>
          <w:tcPr>
            <w:tcW w:w="2813" w:type="dxa"/>
            <w:vAlign w:val="center"/>
          </w:tcPr>
          <w:p>
            <w:pPr>
              <w:spacing w:line="360" w:lineRule="auto"/>
              <w:jc w:val="center"/>
              <w:rPr>
                <w:rFonts w:hAnsi="宋体" w:cs="宋体"/>
                <w:szCs w:val="21"/>
                <w:highlight w:val="none"/>
              </w:rPr>
            </w:pPr>
          </w:p>
        </w:tc>
        <w:tc>
          <w:tcPr>
            <w:tcW w:w="1864" w:type="dxa"/>
            <w:vAlign w:val="center"/>
          </w:tcPr>
          <w:p>
            <w:pPr>
              <w:spacing w:line="360" w:lineRule="auto"/>
              <w:jc w:val="center"/>
              <w:rPr>
                <w:rFonts w:hAnsi="宋体" w:cs="宋体"/>
                <w:szCs w:val="21"/>
                <w:highlight w:val="none"/>
              </w:rPr>
            </w:pPr>
          </w:p>
        </w:tc>
        <w:tc>
          <w:tcPr>
            <w:tcW w:w="3069" w:type="dxa"/>
            <w:vAlign w:val="center"/>
          </w:tcPr>
          <w:p>
            <w:pPr>
              <w:spacing w:line="360" w:lineRule="auto"/>
              <w:jc w:val="center"/>
              <w:rPr>
                <w:rFonts w:hAnsi="宋体" w:cs="宋体"/>
                <w:szCs w:val="21"/>
                <w:highlight w:val="none"/>
              </w:rPr>
            </w:pPr>
          </w:p>
        </w:tc>
      </w:tr>
    </w:tbl>
    <w:p>
      <w:p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备注：</w:t>
      </w:r>
    </w:p>
    <w:p>
      <w:pPr>
        <w:numPr>
          <w:ilvl w:val="0"/>
          <w:numId w:val="9"/>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9"/>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9"/>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 xml:space="preserve">“偏离情况”项为正偏离（或负偏离）的，必须在“具体偏离内容”项内详细说明与合同的偏离内容，“偏离情况”项为无偏离的，在“具体偏离内容”项内填“无”。 </w:t>
      </w:r>
    </w:p>
    <w:p>
      <w:pPr>
        <w:numPr>
          <w:ilvl w:val="0"/>
          <w:numId w:val="9"/>
        </w:numPr>
        <w:spacing w:line="360" w:lineRule="auto"/>
        <w:ind w:right="139" w:rightChars="58" w:firstLine="426" w:firstLineChars="202"/>
        <w:rPr>
          <w:rFonts w:hAnsi="宋体" w:cs="宋体"/>
          <w:b/>
          <w:bCs/>
          <w:sz w:val="21"/>
          <w:szCs w:val="21"/>
          <w:highlight w:val="none"/>
        </w:rPr>
      </w:pPr>
      <w:r>
        <w:rPr>
          <w:rFonts w:hint="eastAsia" w:hAnsi="宋体" w:cs="宋体"/>
          <w:b/>
          <w:bCs/>
          <w:sz w:val="21"/>
          <w:szCs w:val="21"/>
          <w:highlight w:val="none"/>
        </w:rPr>
        <w:t>如报价人差异内容较多可另附页说明。</w:t>
      </w:r>
    </w:p>
    <w:p>
      <w:pPr>
        <w:spacing w:line="360" w:lineRule="auto"/>
        <w:ind w:firstLine="420" w:firstLineChars="200"/>
        <w:rPr>
          <w:rFonts w:hAnsi="宋体" w:cs="宋体"/>
          <w:sz w:val="21"/>
          <w:szCs w:val="21"/>
          <w:highlight w:val="none"/>
        </w:rPr>
      </w:pPr>
    </w:p>
    <w:p>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报价人：（加盖报价人公章）</w:t>
      </w:r>
    </w:p>
    <w:p>
      <w:pPr>
        <w:spacing w:line="360" w:lineRule="auto"/>
        <w:ind w:firstLine="5040" w:firstLineChars="2400"/>
        <w:jc w:val="right"/>
        <w:rPr>
          <w:rFonts w:hAnsi="宋体" w:cs="宋体"/>
          <w:kern w:val="2"/>
          <w:sz w:val="21"/>
          <w:highlight w:val="none"/>
          <w:lang w:val="zh-CN"/>
        </w:rPr>
      </w:pPr>
      <w:r>
        <w:rPr>
          <w:rFonts w:hint="eastAsia" w:hAnsi="宋体" w:cs="宋体"/>
          <w:kern w:val="2"/>
          <w:sz w:val="21"/>
          <w:highlight w:val="none"/>
          <w:lang w:val="zh-CN"/>
        </w:rPr>
        <w:t xml:space="preserve">日  期： </w:t>
      </w:r>
      <w:r>
        <w:rPr>
          <w:rFonts w:hint="eastAsia" w:hAnsi="宋体" w:cs="宋体"/>
          <w:kern w:val="2"/>
          <w:sz w:val="21"/>
          <w:highlight w:val="none"/>
        </w:rPr>
        <w:t xml:space="preserve">  </w:t>
      </w:r>
      <w:r>
        <w:rPr>
          <w:rFonts w:hint="eastAsia" w:hAnsi="宋体" w:cs="宋体"/>
          <w:kern w:val="2"/>
          <w:sz w:val="21"/>
          <w:highlight w:val="none"/>
          <w:lang w:val="zh-CN"/>
        </w:rPr>
        <w:t xml:space="preserve">  年   月   日</w:t>
      </w:r>
    </w:p>
    <w:p>
      <w:pPr>
        <w:spacing w:line="360" w:lineRule="auto"/>
        <w:rPr>
          <w:rFonts w:hAnsi="宋体" w:cs="宋体"/>
          <w:kern w:val="2"/>
          <w:sz w:val="21"/>
          <w:highlight w:val="none"/>
          <w:lang w:val="zh-CN"/>
        </w:rPr>
        <w:sectPr>
          <w:pgSz w:w="11906" w:h="16838"/>
          <w:pgMar w:top="1440" w:right="1803" w:bottom="1440" w:left="1803" w:header="851" w:footer="992" w:gutter="0"/>
          <w:cols w:space="0" w:num="1"/>
          <w:docGrid w:type="lines" w:linePitch="332" w:charSpace="0"/>
        </w:sectPr>
      </w:pPr>
    </w:p>
    <w:bookmarkEnd w:id="49"/>
    <w:bookmarkEnd w:id="50"/>
    <w:bookmarkEnd w:id="51"/>
    <w:p>
      <w:pPr>
        <w:numPr>
          <w:ilvl w:val="0"/>
          <w:numId w:val="7"/>
        </w:numPr>
        <w:spacing w:line="360" w:lineRule="auto"/>
        <w:rPr>
          <w:rFonts w:hAnsi="宋体" w:cs="宋体"/>
          <w:b/>
          <w:sz w:val="28"/>
          <w:szCs w:val="28"/>
          <w:highlight w:val="none"/>
        </w:rPr>
        <w:sectPr>
          <w:pgSz w:w="11906" w:h="16838"/>
          <w:pgMar w:top="1440" w:right="1803" w:bottom="1440" w:left="1803" w:header="851" w:footer="992" w:gutter="0"/>
          <w:cols w:space="0" w:num="1"/>
          <w:docGrid w:type="lines" w:linePitch="332" w:charSpace="0"/>
        </w:sectPr>
      </w:pPr>
      <w:r>
        <w:rPr>
          <w:rFonts w:hint="eastAsia" w:hAnsi="宋体" w:cs="宋体"/>
          <w:b/>
          <w:sz w:val="28"/>
          <w:szCs w:val="28"/>
          <w:highlight w:val="none"/>
        </w:rPr>
        <w:t>致远办公系统A8+产品服务原厂证明或授权代理资质</w:t>
      </w:r>
    </w:p>
    <w:p>
      <w:pPr>
        <w:numPr>
          <w:ilvl w:val="0"/>
          <w:numId w:val="7"/>
        </w:numPr>
        <w:spacing w:line="360" w:lineRule="auto"/>
        <w:rPr>
          <w:highlight w:val="none"/>
        </w:rPr>
      </w:pPr>
      <w:r>
        <w:rPr>
          <w:rFonts w:hint="eastAsia" w:hAnsi="宋体" w:cs="宋体"/>
          <w:b/>
          <w:sz w:val="28"/>
          <w:szCs w:val="28"/>
          <w:highlight w:val="none"/>
        </w:rPr>
        <w:t>报价人认为有必要提供的资料（不做强制要求</w:t>
      </w:r>
      <w:r>
        <w:rPr>
          <w:rFonts w:hint="eastAsia" w:hAnsi="宋体" w:cs="宋体"/>
          <w:b/>
          <w:sz w:val="28"/>
          <w:szCs w:val="28"/>
          <w:highlight w:val="none"/>
          <w:lang w:eastAsia="zh-CN"/>
        </w:rPr>
        <w:t>）</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6B209"/>
    <w:multiLevelType w:val="multilevel"/>
    <w:tmpl w:val="A946B209"/>
    <w:lvl w:ilvl="0" w:tentative="0">
      <w:start w:val="1"/>
      <w:numFmt w:val="decimal"/>
      <w:suff w:val="space"/>
      <w:lvlText w:val="%1."/>
      <w:lvlJc w:val="left"/>
      <w:pPr>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E1D2219"/>
    <w:multiLevelType w:val="singleLevel"/>
    <w:tmpl w:val="FE1D2219"/>
    <w:lvl w:ilvl="0" w:tentative="0">
      <w:start w:val="1"/>
      <w:numFmt w:val="decimal"/>
      <w:suff w:val="space"/>
      <w:lvlText w:val="%1."/>
      <w:lvlJc w:val="left"/>
    </w:lvl>
  </w:abstractNum>
  <w:abstractNum w:abstractNumId="2">
    <w:nsid w:val="04D0FE94"/>
    <w:multiLevelType w:val="singleLevel"/>
    <w:tmpl w:val="04D0FE94"/>
    <w:lvl w:ilvl="0" w:tentative="0">
      <w:start w:val="2"/>
      <w:numFmt w:val="decimal"/>
      <w:suff w:val="space"/>
      <w:lvlText w:val="%1."/>
      <w:lvlJc w:val="left"/>
    </w:lvl>
  </w:abstractNum>
  <w:abstractNum w:abstractNumId="3">
    <w:nsid w:val="29BC3133"/>
    <w:multiLevelType w:val="singleLevel"/>
    <w:tmpl w:val="29BC3133"/>
    <w:lvl w:ilvl="0" w:tentative="0">
      <w:start w:val="1"/>
      <w:numFmt w:val="chineseCounting"/>
      <w:suff w:val="nothing"/>
      <w:lvlText w:val="（%1）"/>
      <w:lvlJc w:val="left"/>
      <w:pPr>
        <w:ind w:left="0" w:firstLine="420"/>
      </w:pPr>
      <w:rPr>
        <w:rFonts w:hint="eastAsia"/>
      </w:rPr>
    </w:lvl>
  </w:abstractNum>
  <w:abstractNum w:abstractNumId="4">
    <w:nsid w:val="2C3A7159"/>
    <w:multiLevelType w:val="multilevel"/>
    <w:tmpl w:val="2C3A7159"/>
    <w:lvl w:ilvl="0" w:tentative="0">
      <w:start w:val="1"/>
      <w:numFmt w:val="chineseCountingThousand"/>
      <w:suff w:val="space"/>
      <w:lvlText w:val="%1."/>
      <w:lvlJc w:val="left"/>
      <w:pPr>
        <w:ind w:left="0" w:firstLine="0"/>
      </w:pPr>
      <w:rPr>
        <w:rFonts w:hint="eastAsia" w:ascii="宋体" w:hAnsi="宋体" w:eastAsia="黑体"/>
        <w:b w:val="0"/>
        <w:i w:val="0"/>
        <w:sz w:val="22"/>
      </w:rPr>
    </w:lvl>
    <w:lvl w:ilvl="1" w:tentative="0">
      <w:start w:val="1"/>
      <w:numFmt w:val="decimal"/>
      <w:pStyle w:val="22"/>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5">
    <w:nsid w:val="42DBCE77"/>
    <w:multiLevelType w:val="singleLevel"/>
    <w:tmpl w:val="42DBCE77"/>
    <w:lvl w:ilvl="0" w:tentative="0">
      <w:start w:val="1"/>
      <w:numFmt w:val="chineseCounting"/>
      <w:suff w:val="nothing"/>
      <w:lvlText w:val="%1、"/>
      <w:lvlJc w:val="left"/>
      <w:pPr>
        <w:ind w:left="0" w:firstLine="420"/>
      </w:pPr>
      <w:rPr>
        <w:rFonts w:hint="eastAsia"/>
      </w:rPr>
    </w:lvl>
  </w:abstractNum>
  <w:abstractNum w:abstractNumId="6">
    <w:nsid w:val="44C0D9F0"/>
    <w:multiLevelType w:val="singleLevel"/>
    <w:tmpl w:val="44C0D9F0"/>
    <w:lvl w:ilvl="0" w:tentative="0">
      <w:start w:val="1"/>
      <w:numFmt w:val="decimal"/>
      <w:suff w:val="space"/>
      <w:lvlText w:val="(%1)"/>
      <w:lvlJc w:val="left"/>
    </w:lvl>
  </w:abstractNum>
  <w:abstractNum w:abstractNumId="7">
    <w:nsid w:val="481B6FC2"/>
    <w:multiLevelType w:val="singleLevel"/>
    <w:tmpl w:val="481B6FC2"/>
    <w:lvl w:ilvl="0" w:tentative="0">
      <w:start w:val="1"/>
      <w:numFmt w:val="decimal"/>
      <w:suff w:val="space"/>
      <w:lvlText w:val="(%1)"/>
      <w:lvlJc w:val="left"/>
    </w:lvl>
  </w:abstractNum>
  <w:abstractNum w:abstractNumId="8">
    <w:nsid w:val="4A7D5900"/>
    <w:multiLevelType w:val="multilevel"/>
    <w:tmpl w:val="4A7D5900"/>
    <w:lvl w:ilvl="0" w:tentative="0">
      <w:start w:val="1"/>
      <w:numFmt w:val="chineseCountingThousand"/>
      <w:suff w:val="nothing"/>
      <w:lvlText w:val="第%1章 "/>
      <w:lvlJc w:val="left"/>
      <w:pPr>
        <w:ind w:left="0" w:firstLine="0"/>
      </w:pPr>
      <w:rPr>
        <w:rFonts w:hint="eastAsia"/>
        <w:lang w:val="en-US"/>
      </w:rPr>
    </w:lvl>
    <w:lvl w:ilvl="1" w:tentative="0">
      <w:start w:val="1"/>
      <w:numFmt w:val="decimal"/>
      <w:pStyle w:val="4"/>
      <w:isLgl/>
      <w:suff w:val="nothing"/>
      <w:lvlText w:val="%1.%2 "/>
      <w:lvlJc w:val="left"/>
      <w:pPr>
        <w:ind w:left="0" w:firstLine="113"/>
      </w:pPr>
      <w:rPr>
        <w:rFonts w:hint="eastAsia"/>
      </w:rPr>
    </w:lvl>
    <w:lvl w:ilvl="2" w:tentative="0">
      <w:start w:val="1"/>
      <w:numFmt w:val="decimal"/>
      <w:isLgl/>
      <w:suff w:val="nothing"/>
      <w:lvlText w:val="%1.%2.%3"/>
      <w:lvlJc w:val="left"/>
      <w:pPr>
        <w:ind w:left="0" w:firstLine="227"/>
      </w:pPr>
      <w:rPr>
        <w:rFonts w:hint="eastAsia"/>
      </w:rPr>
    </w:lvl>
    <w:lvl w:ilvl="3" w:tentative="0">
      <w:start w:val="1"/>
      <w:numFmt w:val="decimal"/>
      <w:isLgl/>
      <w:suff w:val="nothing"/>
      <w:lvlText w:val="%1.%2.%3.%4"/>
      <w:lvlJc w:val="left"/>
      <w:pPr>
        <w:ind w:left="0" w:firstLine="340"/>
      </w:pPr>
      <w:rPr>
        <w:rFonts w:hint="eastAsia"/>
      </w:rPr>
    </w:lvl>
    <w:lvl w:ilvl="4" w:tentative="0">
      <w:start w:val="1"/>
      <w:numFmt w:val="decimal"/>
      <w:isLgl/>
      <w:suff w:val="nothing"/>
      <w:lvlText w:val="%1.%2.%3.%4.%5"/>
      <w:lvlJc w:val="left"/>
      <w:pPr>
        <w:ind w:left="0" w:firstLine="454"/>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HorizontalSpacing w:val="20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xMWUyNzEzMDZmMzVlMmNlMGQ2OTg1N2MxMTkifQ=="/>
  </w:docVars>
  <w:rsids>
    <w:rsidRoot w:val="6F420807"/>
    <w:rsid w:val="00161248"/>
    <w:rsid w:val="001B0670"/>
    <w:rsid w:val="001C3A82"/>
    <w:rsid w:val="005817DA"/>
    <w:rsid w:val="00656F32"/>
    <w:rsid w:val="007A7046"/>
    <w:rsid w:val="00954111"/>
    <w:rsid w:val="00AF4904"/>
    <w:rsid w:val="00BD2CE9"/>
    <w:rsid w:val="00CE4770"/>
    <w:rsid w:val="00D0554A"/>
    <w:rsid w:val="00DB1C8E"/>
    <w:rsid w:val="00E24949"/>
    <w:rsid w:val="00ED6315"/>
    <w:rsid w:val="01BF6269"/>
    <w:rsid w:val="02B04372"/>
    <w:rsid w:val="03C10EEF"/>
    <w:rsid w:val="05E034CA"/>
    <w:rsid w:val="06916770"/>
    <w:rsid w:val="06E27ADA"/>
    <w:rsid w:val="077D580C"/>
    <w:rsid w:val="099B162A"/>
    <w:rsid w:val="0A6C734B"/>
    <w:rsid w:val="0B460893"/>
    <w:rsid w:val="120E0B43"/>
    <w:rsid w:val="12444E44"/>
    <w:rsid w:val="13483236"/>
    <w:rsid w:val="144C15EE"/>
    <w:rsid w:val="155B0F75"/>
    <w:rsid w:val="166C3E5C"/>
    <w:rsid w:val="17815D6D"/>
    <w:rsid w:val="1ADF70D4"/>
    <w:rsid w:val="21217D8A"/>
    <w:rsid w:val="22C12FEE"/>
    <w:rsid w:val="2386555D"/>
    <w:rsid w:val="24766D99"/>
    <w:rsid w:val="24BA1E4A"/>
    <w:rsid w:val="252A68FA"/>
    <w:rsid w:val="259E6E0E"/>
    <w:rsid w:val="26F2099A"/>
    <w:rsid w:val="27A379CF"/>
    <w:rsid w:val="27E162AD"/>
    <w:rsid w:val="286C7200"/>
    <w:rsid w:val="2A5266D7"/>
    <w:rsid w:val="2A631000"/>
    <w:rsid w:val="2A846F23"/>
    <w:rsid w:val="2CA9187D"/>
    <w:rsid w:val="30ED7159"/>
    <w:rsid w:val="319F2E32"/>
    <w:rsid w:val="344B25B7"/>
    <w:rsid w:val="34581575"/>
    <w:rsid w:val="36BD07A5"/>
    <w:rsid w:val="379B6E38"/>
    <w:rsid w:val="3B0D5064"/>
    <w:rsid w:val="3B160EA6"/>
    <w:rsid w:val="408C7964"/>
    <w:rsid w:val="4204145F"/>
    <w:rsid w:val="43304CED"/>
    <w:rsid w:val="43FE055A"/>
    <w:rsid w:val="4540092C"/>
    <w:rsid w:val="48CC27C0"/>
    <w:rsid w:val="493C0836"/>
    <w:rsid w:val="4BE05315"/>
    <w:rsid w:val="4C5C43D5"/>
    <w:rsid w:val="4CC346EB"/>
    <w:rsid w:val="4CD773D3"/>
    <w:rsid w:val="4D714079"/>
    <w:rsid w:val="4D9F1383"/>
    <w:rsid w:val="4DBA58AE"/>
    <w:rsid w:val="4DC81F78"/>
    <w:rsid w:val="4E3F1C21"/>
    <w:rsid w:val="4F7244C4"/>
    <w:rsid w:val="500D175F"/>
    <w:rsid w:val="50FB5439"/>
    <w:rsid w:val="54800227"/>
    <w:rsid w:val="554923E8"/>
    <w:rsid w:val="56E30533"/>
    <w:rsid w:val="5F9D2B92"/>
    <w:rsid w:val="60A60CCB"/>
    <w:rsid w:val="63143EF4"/>
    <w:rsid w:val="65096658"/>
    <w:rsid w:val="65316E3C"/>
    <w:rsid w:val="65330D56"/>
    <w:rsid w:val="6AED5C1F"/>
    <w:rsid w:val="6C877E55"/>
    <w:rsid w:val="6E0F3173"/>
    <w:rsid w:val="6F420807"/>
    <w:rsid w:val="70714B0F"/>
    <w:rsid w:val="75084EF7"/>
    <w:rsid w:val="774A673A"/>
    <w:rsid w:val="781909EF"/>
    <w:rsid w:val="7B4F61AD"/>
    <w:rsid w:val="7D0211AE"/>
    <w:rsid w:val="7D8C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5"/>
    <w:autoRedefine/>
    <w:qFormat/>
    <w:uiPriority w:val="0"/>
    <w:pPr>
      <w:widowControl/>
      <w:numPr>
        <w:ilvl w:val="1"/>
        <w:numId w:val="1"/>
      </w:numPr>
      <w:tabs>
        <w:tab w:val="left" w:pos="8286"/>
      </w:tabs>
      <w:spacing w:line="600" w:lineRule="exact"/>
      <w:ind w:firstLine="0"/>
      <w:outlineLvl w:val="1"/>
    </w:pPr>
    <w:rPr>
      <w:rFonts w:ascii="黑体" w:hAnsi="宋体" w:eastAsia="黑体" w:cs="宋体"/>
      <w:b/>
      <w:color w:val="000000"/>
      <w:spacing w:val="15"/>
      <w:sz w:val="30"/>
    </w:rPr>
  </w:style>
  <w:style w:type="paragraph" w:styleId="5">
    <w:name w:val="heading 3"/>
    <w:basedOn w:val="4"/>
    <w:next w:val="1"/>
    <w:unhideWhenUsed/>
    <w:qFormat/>
    <w:uiPriority w:val="9"/>
    <w:pPr>
      <w:keepNext/>
      <w:keepLines/>
      <w:spacing w:before="260" w:after="260" w:line="416" w:lineRule="auto"/>
      <w:outlineLvl w:val="2"/>
    </w:pPr>
    <w:rPr>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jc w:val="both"/>
    </w:pPr>
    <w:rPr>
      <w:rFonts w:ascii="Calibri" w:hAnsi="宋体"/>
      <w:bCs/>
      <w:kern w:val="2"/>
      <w:sz w:val="21"/>
      <w:szCs w:val="21"/>
    </w:rPr>
  </w:style>
  <w:style w:type="paragraph" w:styleId="6">
    <w:name w:val="annotation text"/>
    <w:basedOn w:val="1"/>
    <w:link w:val="31"/>
    <w:autoRedefine/>
    <w:unhideWhenUsed/>
    <w:qFormat/>
    <w:uiPriority w:val="99"/>
  </w:style>
  <w:style w:type="paragraph" w:styleId="7">
    <w:name w:val="Body Text"/>
    <w:basedOn w:val="1"/>
    <w:autoRedefine/>
    <w:qFormat/>
    <w:uiPriority w:val="0"/>
    <w:pPr>
      <w:spacing w:after="120"/>
    </w:pPr>
    <w:rPr>
      <w:rFonts w:ascii="Times New Roman"/>
    </w:rPr>
  </w:style>
  <w:style w:type="paragraph" w:styleId="8">
    <w:name w:val="Plain Text"/>
    <w:basedOn w:val="1"/>
    <w:autoRedefine/>
    <w:qFormat/>
    <w:uiPriority w:val="0"/>
    <w:pPr>
      <w:autoSpaceDE/>
      <w:autoSpaceDN/>
      <w:adjustRightInd/>
      <w:jc w:val="both"/>
    </w:pPr>
    <w:rPr>
      <w:rFonts w:hAnsi="Courier New"/>
      <w:kern w:val="2"/>
      <w:sz w:val="21"/>
      <w:szCs w:val="20"/>
    </w:rPr>
  </w:style>
  <w:style w:type="paragraph" w:styleId="9">
    <w:name w:val="Balloon Text"/>
    <w:basedOn w:val="1"/>
    <w:link w:val="33"/>
    <w:autoRedefine/>
    <w:qFormat/>
    <w:uiPriority w:val="0"/>
    <w:rPr>
      <w:sz w:val="18"/>
      <w:szCs w:val="18"/>
    </w:rPr>
  </w:style>
  <w:style w:type="paragraph" w:styleId="10">
    <w:name w:val="footer"/>
    <w:basedOn w:val="1"/>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autoRedefine/>
    <w:unhideWhenUsed/>
    <w:qFormat/>
    <w:uiPriority w:val="39"/>
    <w:pPr>
      <w:tabs>
        <w:tab w:val="right" w:leader="dot" w:pos="8296"/>
      </w:tabs>
      <w:spacing w:line="360" w:lineRule="auto"/>
    </w:pPr>
  </w:style>
  <w:style w:type="paragraph" w:styleId="13">
    <w:name w:val="Normal (Web)"/>
    <w:basedOn w:val="1"/>
    <w:qFormat/>
    <w:uiPriority w:val="0"/>
    <w:pPr>
      <w:spacing w:beforeAutospacing="1" w:afterAutospacing="1"/>
    </w:pPr>
  </w:style>
  <w:style w:type="paragraph" w:styleId="14">
    <w:name w:val="annotation subject"/>
    <w:basedOn w:val="6"/>
    <w:next w:val="6"/>
    <w:link w:val="32"/>
    <w:autoRedefine/>
    <w:qFormat/>
    <w:uiPriority w:val="0"/>
    <w:rPr>
      <w:b/>
      <w:bCs/>
    </w:rPr>
  </w:style>
  <w:style w:type="table" w:styleId="16">
    <w:name w:val="Table Grid"/>
    <w:basedOn w:val="15"/>
    <w:autoRedefine/>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paragraph" w:customStyle="1" w:styleId="21">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2">
    <w:name w:val="CM标题2"/>
    <w:basedOn w:val="4"/>
    <w:next w:val="23"/>
    <w:autoRedefine/>
    <w:qFormat/>
    <w:uiPriority w:val="0"/>
    <w:pPr>
      <w:numPr>
        <w:numId w:val="2"/>
      </w:numPr>
      <w:spacing w:before="50" w:beforeLines="50" w:after="50" w:afterLines="50" w:line="240" w:lineRule="auto"/>
    </w:pPr>
    <w:rPr>
      <w:rFonts w:ascii="Calibri" w:hAnsi="Calibri"/>
      <w:sz w:val="22"/>
      <w:szCs w:val="26"/>
    </w:rPr>
  </w:style>
  <w:style w:type="paragraph" w:customStyle="1" w:styleId="23">
    <w:name w:val="CM正文不缩进"/>
    <w:basedOn w:val="1"/>
    <w:autoRedefine/>
    <w:qFormat/>
    <w:uiPriority w:val="0"/>
    <w:pPr>
      <w:snapToGrid w:val="0"/>
      <w:spacing w:line="480" w:lineRule="exact"/>
    </w:pPr>
    <w:rPr>
      <w:rFonts w:ascii="Calibri" w:hAnsi="Calibri"/>
      <w:b/>
      <w:snapToGrid w:val="0"/>
      <w:szCs w:val="21"/>
    </w:rPr>
  </w:style>
  <w:style w:type="paragraph" w:customStyle="1" w:styleId="24">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character" w:customStyle="1" w:styleId="25">
    <w:name w:val="font11"/>
    <w:basedOn w:val="17"/>
    <w:autoRedefine/>
    <w:qFormat/>
    <w:uiPriority w:val="0"/>
    <w:rPr>
      <w:rFonts w:hint="default" w:ascii="Times New Roman" w:hAnsi="Times New Roman" w:cs="Times New Roman"/>
      <w:b/>
      <w:bCs/>
      <w:color w:val="000000"/>
      <w:sz w:val="24"/>
      <w:szCs w:val="24"/>
      <w:u w:val="none"/>
    </w:rPr>
  </w:style>
  <w:style w:type="character" w:customStyle="1" w:styleId="26">
    <w:name w:val="font21"/>
    <w:basedOn w:val="17"/>
    <w:autoRedefine/>
    <w:qFormat/>
    <w:uiPriority w:val="0"/>
    <w:rPr>
      <w:rFonts w:hint="eastAsia" w:ascii="仿宋_GB2312" w:eastAsia="仿宋_GB2312" w:cs="仿宋_GB2312"/>
      <w:b/>
      <w:bCs/>
      <w:color w:val="000000"/>
      <w:sz w:val="24"/>
      <w:szCs w:val="24"/>
      <w:u w:val="none"/>
    </w:rPr>
  </w:style>
  <w:style w:type="character" w:customStyle="1" w:styleId="27">
    <w:name w:val="font31"/>
    <w:basedOn w:val="17"/>
    <w:autoRedefine/>
    <w:qFormat/>
    <w:uiPriority w:val="0"/>
    <w:rPr>
      <w:rFonts w:hint="default" w:ascii="Times New Roman" w:hAnsi="Times New Roman" w:cs="Times New Roman"/>
      <w:color w:val="000000"/>
      <w:sz w:val="24"/>
      <w:szCs w:val="24"/>
      <w:u w:val="none"/>
    </w:rPr>
  </w:style>
  <w:style w:type="character" w:customStyle="1" w:styleId="28">
    <w:name w:val="font41"/>
    <w:basedOn w:val="17"/>
    <w:autoRedefine/>
    <w:qFormat/>
    <w:uiPriority w:val="0"/>
    <w:rPr>
      <w:rFonts w:hint="eastAsia" w:ascii="仿宋_GB2312" w:eastAsia="仿宋_GB2312" w:cs="仿宋_GB2312"/>
      <w:color w:val="000000"/>
      <w:sz w:val="24"/>
      <w:szCs w:val="24"/>
      <w:u w:val="none"/>
    </w:rPr>
  </w:style>
  <w:style w:type="character" w:customStyle="1" w:styleId="29">
    <w:name w:val="font51"/>
    <w:basedOn w:val="17"/>
    <w:autoRedefine/>
    <w:qFormat/>
    <w:uiPriority w:val="0"/>
    <w:rPr>
      <w:rFonts w:hint="eastAsia" w:ascii="宋体" w:hAnsi="宋体" w:eastAsia="宋体" w:cs="宋体"/>
      <w:color w:val="000000"/>
      <w:sz w:val="24"/>
      <w:szCs w:val="24"/>
      <w:u w:val="none"/>
    </w:rPr>
  </w:style>
  <w:style w:type="paragraph" w:customStyle="1" w:styleId="30">
    <w:name w:val="正文文本缩进 21"/>
    <w:basedOn w:val="1"/>
    <w:autoRedefine/>
    <w:qFormat/>
    <w:uiPriority w:val="0"/>
    <w:pPr>
      <w:spacing w:line="480" w:lineRule="auto"/>
      <w:ind w:firstLine="540"/>
      <w:textAlignment w:val="baseline"/>
    </w:pPr>
    <w:rPr>
      <w:rFonts w:ascii="Calibri" w:hAnsi="Calibri"/>
      <w:sz w:val="21"/>
      <w:szCs w:val="21"/>
    </w:rPr>
  </w:style>
  <w:style w:type="character" w:customStyle="1" w:styleId="31">
    <w:name w:val="批注文字 字符"/>
    <w:basedOn w:val="17"/>
    <w:link w:val="6"/>
    <w:autoRedefine/>
    <w:qFormat/>
    <w:uiPriority w:val="99"/>
    <w:rPr>
      <w:rFonts w:ascii="宋体"/>
      <w:sz w:val="24"/>
      <w:szCs w:val="24"/>
    </w:rPr>
  </w:style>
  <w:style w:type="character" w:customStyle="1" w:styleId="32">
    <w:name w:val="批注主题 字符"/>
    <w:basedOn w:val="31"/>
    <w:link w:val="14"/>
    <w:autoRedefine/>
    <w:qFormat/>
    <w:uiPriority w:val="0"/>
    <w:rPr>
      <w:rFonts w:ascii="宋体"/>
      <w:b/>
      <w:bCs/>
      <w:sz w:val="24"/>
      <w:szCs w:val="24"/>
    </w:rPr>
  </w:style>
  <w:style w:type="character" w:customStyle="1" w:styleId="33">
    <w:name w:val="批注框文本 字符"/>
    <w:basedOn w:val="17"/>
    <w:link w:val="9"/>
    <w:autoRedefine/>
    <w:qFormat/>
    <w:uiPriority w:val="0"/>
    <w:rPr>
      <w:rFonts w:ascii="宋体"/>
      <w:sz w:val="18"/>
      <w:szCs w:val="18"/>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rPr>
      <w:rFonts w:ascii="Arial" w:hAnsi="Arial" w:eastAsia="Arial" w:cs="Arial"/>
      <w:sz w:val="21"/>
      <w:szCs w:val="21"/>
      <w:lang w:eastAsia="en-US"/>
    </w:rPr>
  </w:style>
  <w:style w:type="paragraph" w:customStyle="1" w:styleId="36">
    <w:name w:val="列出段落1"/>
    <w:basedOn w:val="1"/>
    <w:autoRedefine/>
    <w:qFormat/>
    <w:uiPriority w:val="99"/>
    <w:pPr>
      <w:ind w:firstLine="420" w:firstLineChars="200"/>
    </w:pPr>
    <w:rPr>
      <w:szCs w:val="20"/>
    </w:rPr>
  </w:style>
  <w:style w:type="paragraph" w:customStyle="1" w:styleId="37">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18976</Words>
  <Characters>19547</Characters>
  <Lines>152</Lines>
  <Paragraphs>42</Paragraphs>
  <TotalTime>374</TotalTime>
  <ScaleCrop>false</ScaleCrop>
  <LinksUpToDate>false</LinksUpToDate>
  <CharactersWithSpaces>20388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程骥维</cp:lastModifiedBy>
  <dcterms:modified xsi:type="dcterms:W3CDTF">2024-11-15T03:25:30Z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D988B75754F7435EA31FAF9174F13304_13</vt:lpwstr>
  </property>
</Properties>
</file>