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56"/>
          <w:szCs w:val="56"/>
          <w:highlight w:val="none"/>
          <w:lang w:val="zh-CN"/>
        </w:rPr>
      </w:pPr>
      <w:r>
        <w:rPr>
          <w:rFonts w:hint="eastAsia" w:ascii="宋体" w:hAnsi="宋体" w:eastAsia="宋体" w:cs="宋体"/>
          <w:b/>
          <w:bCs/>
          <w:color w:val="auto"/>
          <w:kern w:val="0"/>
          <w:sz w:val="56"/>
          <w:szCs w:val="56"/>
          <w:highlight w:val="none"/>
          <w:lang w:val="zh-CN"/>
        </w:rPr>
        <w:t>东莞市石鼓净水有限公司2024年紫外消毒设备零配件采购项目（第三次招标）</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hint="eastAsia" w:ascii="宋体" w:hAnsi="宋体" w:eastAsia="宋体" w:cs="Times New Roman"/>
          <w:b/>
          <w:bCs/>
          <w:color w:val="auto"/>
          <w:sz w:val="32"/>
          <w:szCs w:val="32"/>
          <w:highlight w:val="none"/>
          <w:lang w:val="zh-CN" w:eastAsia="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号：0832-SFCX24DG012A-</w:t>
      </w:r>
      <w:r>
        <w:rPr>
          <w:rFonts w:hint="eastAsia" w:ascii="宋体" w:hAnsi="宋体" w:eastAsia="宋体" w:cs="Times New Roman"/>
          <w:b/>
          <w:bCs/>
          <w:color w:val="auto"/>
          <w:sz w:val="32"/>
          <w:szCs w:val="32"/>
          <w:highlight w:val="none"/>
          <w:lang w:val="en-US" w:eastAsia="zh-CN"/>
        </w:rPr>
        <w:t>2</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人：东莞市石鼓净水有限公司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 xml:space="preserve">2024 </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11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29 </w:t>
      </w:r>
      <w:r>
        <w:rPr>
          <w:rFonts w:hint="eastAsia" w:ascii="宋体" w:hAnsi="宋体" w:eastAsia="宋体" w:cs="宋体"/>
          <w:b/>
          <w:bCs/>
          <w:color w:val="auto"/>
          <w:sz w:val="32"/>
          <w:szCs w:val="32"/>
          <w:highlight w:val="none"/>
          <w:lang w:val="zh-CN"/>
        </w:rPr>
        <w:t>日</w:t>
      </w:r>
    </w:p>
    <w:p>
      <w:pPr>
        <w:rPr>
          <w:rFonts w:hint="eastAsia" w:ascii="宋体" w:hAnsi="宋体" w:eastAsia="宋体" w:cs="Times New Roman"/>
          <w:b/>
          <w:bCs/>
          <w:color w:val="auto"/>
          <w:kern w:val="44"/>
          <w:sz w:val="32"/>
          <w:szCs w:val="32"/>
          <w:highlight w:val="none"/>
          <w:lang w:val="en-US" w:eastAsia="zh-CN"/>
        </w:rPr>
      </w:pPr>
      <w:r>
        <w:rPr>
          <w:rFonts w:hint="eastAsia" w:ascii="宋体" w:hAnsi="宋体" w:eastAsia="宋体" w:cs="Times New Roman"/>
          <w:b/>
          <w:bCs/>
          <w:color w:val="auto"/>
          <w:kern w:val="44"/>
          <w:sz w:val="32"/>
          <w:szCs w:val="32"/>
          <w:highlight w:val="none"/>
          <w:lang w:val="en-US" w:eastAsia="zh-CN"/>
        </w:rPr>
        <w:br w:type="page"/>
      </w:r>
    </w:p>
    <w:p>
      <w:pPr>
        <w:jc w:val="center"/>
        <w:rPr>
          <w:rFonts w:hint="eastAsia" w:ascii="宋体" w:hAnsi="宋体" w:eastAsia="宋体" w:cs="Times New Roman"/>
          <w:b/>
          <w:bCs/>
          <w:color w:val="auto"/>
          <w:kern w:val="44"/>
          <w:sz w:val="32"/>
          <w:szCs w:val="32"/>
          <w:highlight w:val="none"/>
          <w:lang w:val="en-US" w:eastAsia="zh-CN"/>
        </w:rPr>
      </w:pPr>
      <w:r>
        <w:rPr>
          <w:rFonts w:hint="eastAsia" w:ascii="宋体" w:hAnsi="宋体" w:eastAsia="宋体" w:cs="Times New Roman"/>
          <w:b/>
          <w:bCs/>
          <w:color w:val="auto"/>
          <w:kern w:val="44"/>
          <w:sz w:val="32"/>
          <w:szCs w:val="32"/>
          <w:highlight w:val="none"/>
          <w:lang w:val="en-US" w:eastAsia="zh-CN"/>
        </w:rPr>
        <w:t>目 录</w:t>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
          <w:bCs/>
          <w:color w:val="auto"/>
          <w:kern w:val="44"/>
          <w:sz w:val="32"/>
          <w:szCs w:val="32"/>
          <w:highlight w:val="none"/>
          <w:lang w:val="en-US" w:eastAsia="zh-CN"/>
        </w:rPr>
        <w:fldChar w:fldCharType="begin"/>
      </w:r>
      <w:r>
        <w:rPr>
          <w:rFonts w:hint="eastAsia" w:ascii="宋体" w:hAnsi="宋体" w:eastAsia="宋体" w:cs="宋体"/>
          <w:b/>
          <w:bCs/>
          <w:color w:val="auto"/>
          <w:kern w:val="44"/>
          <w:sz w:val="32"/>
          <w:szCs w:val="32"/>
          <w:highlight w:val="none"/>
          <w:lang w:val="en-US" w:eastAsia="zh-CN"/>
        </w:rPr>
        <w:instrText xml:space="preserve">TOC \o "1-3" \h \u </w:instrText>
      </w:r>
      <w:r>
        <w:rPr>
          <w:rFonts w:hint="eastAsia" w:ascii="宋体" w:hAnsi="宋体" w:eastAsia="宋体" w:cs="宋体"/>
          <w:b/>
          <w:bCs/>
          <w:color w:val="auto"/>
          <w:kern w:val="44"/>
          <w:sz w:val="32"/>
          <w:szCs w:val="32"/>
          <w:highlight w:val="none"/>
          <w:lang w:val="en-US" w:eastAsia="zh-CN"/>
        </w:rPr>
        <w:fldChar w:fldCharType="separate"/>
      </w: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_Toc4770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_Toc4770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_Toc19670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_Toc19670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_Toc6628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_Toc6628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_Toc11179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_Toc11179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_Toc1970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_Toc2809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3 合格的货物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_Toc2809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_Toc6337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_Toc6337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_Toc20353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_Toc20353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_Toc22053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_Toc22053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_Toc8187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_Toc8187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_Toc19941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_Toc19941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_Toc29653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_Toc29653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_Toc15662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_Toc15662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_Toc4374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_Toc4374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_Toc8501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_Toc14915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_Toc14915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_Toc3075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_Toc3075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_Toc5236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_Toc5236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_Toc17599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14 证明货物的合格性并符合招标文件规定的声明文件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_Toc17599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_Toc20216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_Toc20216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_Toc14132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_Toc14132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_Toc8506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_Toc5288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_Toc5288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_Toc6350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_Toc6350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_Toc22587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_Toc22587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_Toc16581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_Toc16581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_Toc13157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_Toc13157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_Toc13496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_Toc13496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_Toc19284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_Toc19284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_Toc1331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_Toc1331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_Toc13870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_Toc13870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_Toc16481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_Toc16481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_Toc24463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_Toc24463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_Toc18726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_Toc18726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_Toc30128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_Toc30128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_Toc14352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_Toc14352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_Toc19747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_Toc19747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_Toc7364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_Toc7364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_Toc22275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_Toc22275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_Toc27599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_Toc27599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_Toc26117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_Toc26117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_Toc1027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_Toc1027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_Toc8411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_Toc8411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_Toc20428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_Toc20428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_Toc13497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_Toc13497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_Toc27171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_Toc27171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_Toc12546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_Toc12546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_Toc11263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_Toc11263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_Toc32105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_Toc32105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_Toc28284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_Toc28284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_Toc21812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_Toc21812 \h </w:instrText>
      </w:r>
      <w:r>
        <w:rPr>
          <w:rFonts w:hint="eastAsia" w:ascii="宋体" w:hAnsi="宋体" w:eastAsia="宋体" w:cs="宋体"/>
          <w:color w:val="auto"/>
        </w:rPr>
        <w:fldChar w:fldCharType="separate"/>
      </w:r>
      <w:r>
        <w:rPr>
          <w:rFonts w:hint="eastAsia" w:ascii="宋体" w:hAnsi="宋体" w:eastAsia="宋体" w:cs="宋体"/>
          <w:color w:val="auto"/>
        </w:rPr>
        <w:t>63</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_Toc28281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_Toc28281 \h </w:instrText>
      </w:r>
      <w:r>
        <w:rPr>
          <w:rFonts w:hint="eastAsia" w:ascii="宋体" w:hAnsi="宋体" w:eastAsia="宋体" w:cs="宋体"/>
          <w:color w:val="auto"/>
        </w:rPr>
        <w:fldChar w:fldCharType="separate"/>
      </w:r>
      <w:r>
        <w:rPr>
          <w:rFonts w:hint="eastAsia" w:ascii="宋体" w:hAnsi="宋体" w:eastAsia="宋体" w:cs="宋体"/>
          <w:color w:val="auto"/>
        </w:rPr>
        <w:t>66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_Toc20783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一、投标函格式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_Toc20783 \h </w:instrText>
      </w:r>
      <w:r>
        <w:rPr>
          <w:rFonts w:hint="eastAsia" w:ascii="宋体" w:hAnsi="宋体" w:eastAsia="宋体" w:cs="宋体"/>
          <w:color w:val="auto"/>
        </w:rPr>
        <w:fldChar w:fldCharType="separate"/>
      </w:r>
      <w:r>
        <w:rPr>
          <w:rFonts w:hint="eastAsia" w:ascii="宋体" w:hAnsi="宋体" w:eastAsia="宋体" w:cs="宋体"/>
          <w:color w:val="auto"/>
        </w:rPr>
        <w:t>69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_Toc10349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二、投标承诺书格式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_Toc10349 \h </w:instrText>
      </w:r>
      <w:r>
        <w:rPr>
          <w:rFonts w:hint="eastAsia" w:ascii="宋体" w:hAnsi="宋体" w:eastAsia="宋体" w:cs="宋体"/>
          <w:color w:val="auto"/>
        </w:rPr>
        <w:fldChar w:fldCharType="separate"/>
      </w:r>
      <w:r>
        <w:rPr>
          <w:rFonts w:hint="eastAsia" w:ascii="宋体" w:hAnsi="宋体" w:eastAsia="宋体" w:cs="宋体"/>
          <w:color w:val="auto"/>
        </w:rPr>
        <w:t>71</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_Toc17352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44"/>
          <w:szCs w:val="32"/>
          <w:highlight w:val="none"/>
        </w:rPr>
        <w:t>三、供货及/或提供服务过程承诺函格式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_Toc17352 \h </w:instrText>
      </w:r>
      <w:r>
        <w:rPr>
          <w:rFonts w:hint="eastAsia" w:ascii="宋体" w:hAnsi="宋体" w:eastAsia="宋体" w:cs="宋体"/>
          <w:color w:val="auto"/>
        </w:rPr>
        <w:fldChar w:fldCharType="separate"/>
      </w:r>
      <w:r>
        <w:rPr>
          <w:rFonts w:hint="eastAsia" w:ascii="宋体" w:hAnsi="宋体" w:eastAsia="宋体" w:cs="宋体"/>
          <w:color w:val="auto"/>
        </w:rPr>
        <w:t>72</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_Toc28901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44"/>
          <w:szCs w:val="32"/>
          <w:highlight w:val="none"/>
        </w:rPr>
        <w:t>四</w:t>
      </w:r>
      <w:r>
        <w:rPr>
          <w:rFonts w:hint="eastAsia" w:ascii="宋体" w:hAnsi="宋体" w:eastAsia="宋体" w:cs="宋体"/>
          <w:color w:val="auto"/>
          <w:kern w:val="0"/>
          <w:szCs w:val="32"/>
          <w:highlight w:val="none"/>
        </w:rPr>
        <w:t>、投标报价表格式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_Toc28901 \h </w:instrText>
      </w:r>
      <w:r>
        <w:rPr>
          <w:rFonts w:hint="eastAsia" w:ascii="宋体" w:hAnsi="宋体" w:eastAsia="宋体" w:cs="宋体"/>
          <w:color w:val="auto"/>
        </w:rPr>
        <w:fldChar w:fldCharType="separate"/>
      </w:r>
      <w:r>
        <w:rPr>
          <w:rFonts w:hint="eastAsia" w:ascii="宋体" w:hAnsi="宋体" w:eastAsia="宋体" w:cs="宋体"/>
          <w:color w:val="auto"/>
        </w:rPr>
        <w:t>74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_Toc9011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szCs w:val="30"/>
          <w:highlight w:val="none"/>
          <w:lang w:val="en-US" w:eastAsia="zh-CN"/>
        </w:rPr>
        <w:t>五</w:t>
      </w:r>
      <w:r>
        <w:rPr>
          <w:rFonts w:hint="eastAsia" w:ascii="宋体" w:hAnsi="宋体" w:eastAsia="宋体" w:cs="宋体"/>
          <w:color w:val="auto"/>
          <w:kern w:val="0"/>
          <w:szCs w:val="32"/>
          <w:highlight w:val="none"/>
        </w:rPr>
        <w:t>、投标人资格证明文件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_Toc9011 \h </w:instrText>
      </w:r>
      <w:r>
        <w:rPr>
          <w:rFonts w:hint="eastAsia" w:ascii="宋体" w:hAnsi="宋体" w:eastAsia="宋体" w:cs="宋体"/>
          <w:color w:val="auto"/>
        </w:rPr>
        <w:fldChar w:fldCharType="separate"/>
      </w:r>
      <w:r>
        <w:rPr>
          <w:rFonts w:hint="eastAsia" w:ascii="宋体" w:hAnsi="宋体" w:eastAsia="宋体" w:cs="宋体"/>
          <w:color w:val="auto"/>
        </w:rPr>
        <w:t>77</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_Toc31241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32"/>
          <w:highlight w:val="none"/>
          <w:lang w:val="en-US" w:eastAsia="zh-CN"/>
        </w:rPr>
        <w:t>六</w:t>
      </w:r>
      <w:r>
        <w:rPr>
          <w:rFonts w:hint="eastAsia" w:ascii="宋体" w:hAnsi="宋体" w:eastAsia="宋体" w:cs="宋体"/>
          <w:color w:val="auto"/>
          <w:kern w:val="0"/>
          <w:szCs w:val="32"/>
          <w:highlight w:val="none"/>
        </w:rPr>
        <w:t>、投标人基本情况一览表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_Toc31241 \h </w:instrText>
      </w:r>
      <w:r>
        <w:rPr>
          <w:rFonts w:hint="eastAsia" w:ascii="宋体" w:hAnsi="宋体" w:eastAsia="宋体" w:cs="宋体"/>
          <w:color w:val="auto"/>
        </w:rPr>
        <w:fldChar w:fldCharType="separate"/>
      </w:r>
      <w:r>
        <w:rPr>
          <w:rFonts w:hint="eastAsia" w:ascii="宋体" w:hAnsi="宋体" w:eastAsia="宋体" w:cs="宋体"/>
          <w:color w:val="auto"/>
        </w:rPr>
        <w:t>92</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_Toc16860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szCs w:val="32"/>
          <w:highlight w:val="none"/>
          <w:lang w:val="en-US" w:eastAsia="zh-CN"/>
        </w:rPr>
        <w:t>七</w:t>
      </w:r>
      <w:r>
        <w:rPr>
          <w:rFonts w:hint="eastAsia" w:ascii="宋体" w:hAnsi="宋体" w:eastAsia="宋体" w:cs="宋体"/>
          <w:color w:val="auto"/>
          <w:szCs w:val="32"/>
          <w:highlight w:val="none"/>
          <w:lang w:val="zh-CN"/>
        </w:rPr>
        <w:t>、投标人财务状况表格式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_Toc16860 \h </w:instrText>
      </w:r>
      <w:r>
        <w:rPr>
          <w:rFonts w:hint="eastAsia" w:ascii="宋体" w:hAnsi="宋体" w:eastAsia="宋体" w:cs="宋体"/>
          <w:color w:val="auto"/>
        </w:rPr>
        <w:fldChar w:fldCharType="separate"/>
      </w:r>
      <w:r>
        <w:rPr>
          <w:rFonts w:hint="eastAsia" w:ascii="宋体" w:hAnsi="宋体" w:eastAsia="宋体" w:cs="宋体"/>
          <w:color w:val="auto"/>
        </w:rPr>
        <w:t>93</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_Toc13211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lang w:val="en-US" w:eastAsia="zh-CN"/>
        </w:rPr>
        <w:t>八</w:t>
      </w:r>
      <w:r>
        <w:rPr>
          <w:rFonts w:hint="eastAsia" w:ascii="宋体" w:hAnsi="宋体" w:eastAsia="宋体" w:cs="宋体"/>
          <w:color w:val="auto"/>
          <w:kern w:val="0"/>
          <w:szCs w:val="32"/>
          <w:highlight w:val="none"/>
          <w:lang w:val="zh-CN"/>
        </w:rPr>
        <w:t>、合同条款偏离表格式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_Toc13211 \h </w:instrText>
      </w:r>
      <w:r>
        <w:rPr>
          <w:rFonts w:hint="eastAsia" w:ascii="宋体" w:hAnsi="宋体" w:eastAsia="宋体" w:cs="宋体"/>
          <w:color w:val="auto"/>
        </w:rPr>
        <w:fldChar w:fldCharType="separate"/>
      </w:r>
      <w:r>
        <w:rPr>
          <w:rFonts w:hint="eastAsia" w:ascii="宋体" w:hAnsi="宋体" w:eastAsia="宋体" w:cs="宋体"/>
          <w:color w:val="auto"/>
        </w:rPr>
        <w:t>94</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_Toc1192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lang w:val="en-US" w:eastAsia="zh-CN"/>
        </w:rPr>
        <w:t>九</w:t>
      </w:r>
      <w:r>
        <w:rPr>
          <w:rFonts w:hint="eastAsia" w:ascii="宋体" w:hAnsi="宋体" w:eastAsia="宋体" w:cs="宋体"/>
          <w:color w:val="auto"/>
          <w:kern w:val="0"/>
          <w:szCs w:val="32"/>
          <w:highlight w:val="none"/>
        </w:rPr>
        <w:t>、业绩表格式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_Toc1192 \h </w:instrText>
      </w:r>
      <w:r>
        <w:rPr>
          <w:rFonts w:hint="eastAsia" w:ascii="宋体" w:hAnsi="宋体" w:eastAsia="宋体" w:cs="宋体"/>
          <w:color w:val="auto"/>
        </w:rPr>
        <w:fldChar w:fldCharType="separate"/>
      </w:r>
      <w:r>
        <w:rPr>
          <w:rFonts w:hint="eastAsia" w:ascii="宋体" w:hAnsi="宋体" w:eastAsia="宋体" w:cs="宋体"/>
          <w:color w:val="auto"/>
        </w:rPr>
        <w:t>96</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_Toc30172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0"/>
          <w:szCs w:val="32"/>
          <w:highlight w:val="none"/>
          <w:lang w:val="zh-CN"/>
        </w:rPr>
        <w:t>十、投标保证金汇入情况说明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_Toc30172 \h </w:instrText>
      </w:r>
      <w:r>
        <w:rPr>
          <w:rFonts w:hint="eastAsia" w:ascii="宋体" w:hAnsi="宋体" w:eastAsia="宋体" w:cs="宋体"/>
          <w:color w:val="auto"/>
        </w:rPr>
        <w:fldChar w:fldCharType="separate"/>
      </w:r>
      <w:r>
        <w:rPr>
          <w:rFonts w:hint="eastAsia" w:ascii="宋体" w:hAnsi="宋体" w:eastAsia="宋体" w:cs="宋体"/>
          <w:color w:val="auto"/>
        </w:rPr>
        <w:t>98</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_Toc16791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0"/>
          <w:szCs w:val="32"/>
          <w:highlight w:val="none"/>
          <w:lang w:val="zh-CN"/>
        </w:rPr>
        <w:t>十</w:t>
      </w:r>
      <w:r>
        <w:rPr>
          <w:rFonts w:hint="eastAsia" w:ascii="宋体" w:hAnsi="宋体" w:eastAsia="宋体" w:cs="宋体"/>
          <w:bCs/>
          <w:color w:val="auto"/>
          <w:kern w:val="0"/>
          <w:szCs w:val="32"/>
          <w:highlight w:val="none"/>
          <w:lang w:val="en-US" w:eastAsia="zh-CN"/>
        </w:rPr>
        <w:t>一</w:t>
      </w:r>
      <w:r>
        <w:rPr>
          <w:rFonts w:hint="eastAsia" w:ascii="宋体" w:hAnsi="宋体" w:eastAsia="宋体" w:cs="宋体"/>
          <w:bCs/>
          <w:color w:val="auto"/>
          <w:kern w:val="0"/>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Cs/>
          <w:color w:val="auto"/>
          <w:kern w:val="0"/>
          <w:szCs w:val="32"/>
          <w:highlight w:val="none"/>
          <w:lang w:val="en-US" w:eastAsia="zh-CN"/>
        </w:rPr>
        <w:t>及有关</w:t>
      </w:r>
      <w:r>
        <w:rPr>
          <w:rFonts w:hint="eastAsia" w:ascii="宋体" w:hAnsi="宋体" w:eastAsia="宋体" w:cs="宋体"/>
          <w:bCs/>
          <w:color w:val="auto"/>
          <w:kern w:val="0"/>
          <w:szCs w:val="32"/>
          <w:highlight w:val="none"/>
          <w:lang w:val="zh-CN"/>
        </w:rPr>
        <w:t>服务能力的有关其它商务文件（不做强制要求）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_Toc16791 \h </w:instrText>
      </w:r>
      <w:r>
        <w:rPr>
          <w:rFonts w:hint="eastAsia" w:ascii="宋体" w:hAnsi="宋体" w:eastAsia="宋体" w:cs="宋体"/>
          <w:color w:val="auto"/>
        </w:rPr>
        <w:fldChar w:fldCharType="separate"/>
      </w:r>
      <w:r>
        <w:rPr>
          <w:rFonts w:hint="eastAsia" w:ascii="宋体" w:hAnsi="宋体" w:eastAsia="宋体" w:cs="宋体"/>
          <w:color w:val="auto"/>
        </w:rPr>
        <w:t>99</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_Toc29008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color w:val="auto"/>
          <w:kern w:val="0"/>
          <w:szCs w:val="32"/>
          <w:highlight w:val="none"/>
        </w:rPr>
        <w:t>十</w:t>
      </w:r>
      <w:r>
        <w:rPr>
          <w:rFonts w:hint="eastAsia" w:ascii="宋体" w:hAnsi="宋体" w:eastAsia="宋体" w:cs="宋体"/>
          <w:color w:val="auto"/>
          <w:kern w:val="0"/>
          <w:szCs w:val="32"/>
          <w:highlight w:val="none"/>
          <w:lang w:val="en-US" w:eastAsia="zh-CN"/>
        </w:rPr>
        <w:t>二</w:t>
      </w:r>
      <w:r>
        <w:rPr>
          <w:rFonts w:hint="eastAsia" w:ascii="宋体" w:hAnsi="宋体" w:eastAsia="宋体" w:cs="宋体"/>
          <w:color w:val="auto"/>
          <w:kern w:val="0"/>
          <w:szCs w:val="32"/>
          <w:highlight w:val="none"/>
        </w:rPr>
        <w:t>、技术响应文件格式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_Toc29008 \h </w:instrText>
      </w:r>
      <w:r>
        <w:rPr>
          <w:rFonts w:hint="eastAsia" w:ascii="宋体" w:hAnsi="宋体" w:eastAsia="宋体" w:cs="宋体"/>
          <w:color w:val="auto"/>
        </w:rPr>
        <w:fldChar w:fldCharType="separate"/>
      </w:r>
      <w:r>
        <w:rPr>
          <w:rFonts w:hint="eastAsia" w:ascii="宋体" w:hAnsi="宋体" w:eastAsia="宋体" w:cs="宋体"/>
          <w:color w:val="auto"/>
        </w:rPr>
        <w:t>100</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rPr>
      </w:pPr>
      <w:r>
        <w:rPr>
          <w:rFonts w:hint="eastAsia" w:ascii="宋体" w:hAnsi="宋体" w:eastAsia="宋体" w:cs="宋体"/>
          <w:bCs/>
          <w:color w:val="auto"/>
          <w:kern w:val="44"/>
          <w:szCs w:val="32"/>
          <w:highlight w:val="none"/>
          <w:lang w:val="en-US" w:eastAsia="zh-CN"/>
        </w:rPr>
        <w:fldChar w:fldCharType="begin"/>
      </w:r>
      <w:r>
        <w:rPr>
          <w:rFonts w:hint="eastAsia" w:ascii="宋体" w:hAnsi="宋体" w:eastAsia="宋体" w:cs="宋体"/>
          <w:bCs/>
          <w:color w:val="auto"/>
          <w:kern w:val="44"/>
          <w:szCs w:val="32"/>
          <w:highlight w:val="none"/>
          <w:lang w:val="en-US" w:eastAsia="zh-CN"/>
        </w:rPr>
        <w:instrText xml:space="preserve"> HYPERLINK \l _Toc9614 </w:instrText>
      </w:r>
      <w:r>
        <w:rPr>
          <w:rFonts w:hint="eastAsia" w:ascii="宋体" w:hAnsi="宋体" w:eastAsia="宋体" w:cs="宋体"/>
          <w:bCs/>
          <w:color w:val="auto"/>
          <w:kern w:val="44"/>
          <w:szCs w:val="32"/>
          <w:highlight w:val="none"/>
          <w:lang w:val="en-US" w:eastAsia="zh-CN"/>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_Toc9614 \h </w:instrText>
      </w:r>
      <w:r>
        <w:rPr>
          <w:rFonts w:hint="eastAsia" w:ascii="宋体" w:hAnsi="宋体" w:eastAsia="宋体" w:cs="宋体"/>
          <w:color w:val="auto"/>
        </w:rPr>
        <w:fldChar w:fldCharType="separate"/>
      </w:r>
      <w:r>
        <w:rPr>
          <w:rFonts w:hint="eastAsia" w:ascii="宋体" w:hAnsi="宋体" w:eastAsia="宋体" w:cs="宋体"/>
          <w:color w:val="auto"/>
        </w:rPr>
        <w:t>112</w:t>
      </w:r>
      <w:r>
        <w:rPr>
          <w:rFonts w:hint="eastAsia" w:ascii="宋体" w:hAnsi="宋体" w:eastAsia="宋体" w:cs="宋体"/>
          <w:color w:val="auto"/>
        </w:rPr>
        <w:fldChar w:fldCharType="end"/>
      </w:r>
      <w:r>
        <w:rPr>
          <w:rFonts w:hint="eastAsia" w:ascii="宋体" w:hAnsi="宋体" w:eastAsia="宋体" w:cs="宋体"/>
          <w:bCs/>
          <w:color w:val="auto"/>
          <w:kern w:val="44"/>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Times New Roman"/>
          <w:b/>
          <w:bCs/>
          <w:color w:val="auto"/>
          <w:kern w:val="44"/>
          <w:sz w:val="32"/>
          <w:szCs w:val="32"/>
          <w:highlight w:val="none"/>
          <w:lang w:val="en-US" w:eastAsia="zh-CN"/>
        </w:rPr>
      </w:pPr>
      <w:r>
        <w:rPr>
          <w:rFonts w:hint="eastAsia" w:ascii="宋体" w:hAnsi="宋体" w:eastAsia="宋体" w:cs="宋体"/>
          <w:bCs/>
          <w:color w:val="auto"/>
          <w:kern w:val="44"/>
          <w:szCs w:val="32"/>
          <w:highlight w:val="none"/>
          <w:lang w:val="en-US" w:eastAsia="zh-CN"/>
        </w:rPr>
        <w:fldChar w:fldCharType="end"/>
      </w:r>
    </w:p>
    <w:p>
      <w:pPr>
        <w:pStyle w:val="6"/>
        <w:rPr>
          <w:rFonts w:hint="eastAsia"/>
          <w:color w:val="auto"/>
          <w:lang w:val="en-US" w:eastAsia="zh-CN"/>
        </w:rPr>
      </w:pP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eastAsia="zh-CN"/>
        </w:rPr>
      </w:pPr>
      <w:bookmarkStart w:id="0" w:name="_Toc4770"/>
      <w:r>
        <w:rPr>
          <w:rFonts w:hint="eastAsia" w:ascii="宋体" w:hAnsi="宋体" w:eastAsia="宋体" w:cs="宋体"/>
          <w:b/>
          <w:bCs/>
          <w:color w:val="auto"/>
          <w:kern w:val="44"/>
          <w:sz w:val="32"/>
          <w:szCs w:val="32"/>
          <w:highlight w:val="none"/>
          <w:lang w:val="zh-CN"/>
        </w:rPr>
        <w:t>第一篇 招标公告</w:t>
      </w:r>
      <w:bookmarkEnd w:id="0"/>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东莞市石鼓净水有限公司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东莞市石鼓净水有限公司2024年紫外消毒设备零配件采购项目（第三次招标）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0832-SFCX24DG012A-</w:t>
      </w:r>
      <w:r>
        <w:rPr>
          <w:rFonts w:hint="eastAsia" w:ascii="宋体" w:hAnsi="宋体" w:eastAsia="宋体" w:cs="Times New Roman"/>
          <w:color w:val="auto"/>
          <w:szCs w:val="21"/>
          <w:highlight w:val="none"/>
          <w:lang w:val="en-US" w:eastAsia="zh-CN"/>
        </w:rPr>
        <w:t>2</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东莞市石鼓净水有限公司长安新区厂、东城温塘厂、万江二期等13个污水处理项目及市区厂提标、长安锦厦三洲厂提标等14个提标项目紫外消毒设备零配件及耗材采购，包供货及指导安装。（具体内容详见：第三篇用户需求书）。</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7"/>
        <w:spacing w:line="360" w:lineRule="auto"/>
        <w:ind w:right="-29" w:rightChars="-14" w:firstLine="0" w:firstLineChars="0"/>
        <w:jc w:val="both"/>
        <w:rPr>
          <w:rFonts w:hint="default" w:hAnsi="宋体" w:eastAsia="宋体"/>
          <w:b/>
          <w:color w:val="auto"/>
          <w:sz w:val="21"/>
          <w:szCs w:val="21"/>
          <w:highlight w:val="none"/>
          <w:lang w:val="en-US" w:eastAsia="zh-CN"/>
        </w:rPr>
      </w:pPr>
      <w:bookmarkStart w:id="2" w:name="_Toc25819"/>
      <w:r>
        <w:rPr>
          <w:rFonts w:hint="eastAsia" w:hAnsi="宋体" w:eastAsia="宋体"/>
          <w:b/>
          <w:color w:val="auto"/>
          <w:sz w:val="21"/>
          <w:szCs w:val="21"/>
          <w:highlight w:val="none"/>
          <w:lang w:val="en-US" w:eastAsia="zh-CN"/>
        </w:rPr>
        <w:t>2.2 投标人须为所投紫外灯管产品的制造商，或为所投紫外灯管产品的制造商就本次投标独家授权的经销商；</w:t>
      </w:r>
    </w:p>
    <w:p>
      <w:pPr>
        <w:pStyle w:val="157"/>
        <w:spacing w:line="360" w:lineRule="auto"/>
        <w:ind w:right="-29" w:rightChars="-14" w:firstLine="0" w:firstLineChars="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日以来具有一份投标品牌</w:t>
      </w:r>
      <w:r>
        <w:rPr>
          <w:rFonts w:hint="eastAsia" w:hAnsi="宋体" w:eastAsia="宋体"/>
          <w:b/>
          <w:color w:val="auto"/>
          <w:sz w:val="21"/>
          <w:szCs w:val="21"/>
          <w:highlight w:val="none"/>
          <w:lang w:val="en-US" w:eastAsia="zh-CN"/>
        </w:rPr>
        <w:t>紫外灯管产品供货（销售）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lang w:val="en-US" w:eastAsia="zh-CN"/>
        </w:rPr>
        <w:t>2021</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lang w:val="en-US" w:eastAsia="zh-CN"/>
        </w:rPr>
        <w:t>1</w:t>
      </w:r>
      <w:r>
        <w:rPr>
          <w:rFonts w:hint="eastAsia" w:hAnsi="宋体" w:eastAsia="宋体"/>
          <w:b/>
          <w:color w:val="auto"/>
          <w:sz w:val="21"/>
          <w:szCs w:val="21"/>
          <w:highlight w:val="none"/>
          <w:lang w:val="zh-CN"/>
        </w:rPr>
        <w:t>日或以后）；</w:t>
      </w:r>
    </w:p>
    <w:p>
      <w:pPr>
        <w:pStyle w:val="157"/>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2"/>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pStyle w:val="175"/>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hint="eastAsia" w:ascii="宋体" w:hAnsi="宋体" w:eastAsia="宋体" w:cs="Times New Roman"/>
          <w:color w:val="auto"/>
          <w:szCs w:val="21"/>
          <w:highlight w:val="none"/>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13</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w:t>
      </w:r>
      <w:bookmarkStart w:id="652" w:name="_GoBack"/>
      <w:bookmarkEnd w:id="652"/>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广东省东莞市南城街道鸿福西路81号国际商会大厦</w:t>
      </w:r>
      <w:r>
        <w:rPr>
          <w:rFonts w:hint="eastAsia" w:ascii="宋体" w:hAnsi="宋体" w:eastAsia="宋体" w:cs="Times New Roman"/>
          <w:color w:val="auto"/>
          <w:szCs w:val="21"/>
          <w:highlight w:val="none"/>
          <w:u w:val="single"/>
          <w:lang w:val="en-US" w:eastAsia="zh-CN"/>
        </w:rPr>
        <w:t>601</w:t>
      </w:r>
      <w:r>
        <w:rPr>
          <w:rFonts w:hint="eastAsia" w:ascii="宋体" w:hAnsi="宋体" w:eastAsia="宋体" w:cs="Times New Roman"/>
          <w:color w:val="auto"/>
          <w:szCs w:val="21"/>
          <w:highlight w:val="none"/>
          <w:u w:val="single"/>
          <w:lang w:val="zh-CN"/>
        </w:rPr>
        <w:t>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w:t>
      </w:r>
      <w:r>
        <w:rPr>
          <w:rFonts w:hint="eastAsia" w:ascii="宋体" w:hAnsi="宋体" w:eastAsia="宋体" w:cs="Times New Roman"/>
          <w:color w:val="auto"/>
          <w:szCs w:val="21"/>
          <w:highlight w:val="none"/>
          <w:lang w:val="en-US" w:eastAsia="zh-CN"/>
        </w:rPr>
        <w:t>sfcx</w:t>
      </w:r>
      <w:r>
        <w:rPr>
          <w:rFonts w:hint="eastAsia" w:ascii="宋体" w:hAnsi="宋体" w:eastAsia="宋体" w:cs="Times New Roman"/>
          <w:color w:val="auto"/>
          <w:szCs w:val="21"/>
          <w:highlight w:val="none"/>
          <w:lang w:val="zh-CN"/>
        </w:rPr>
        <w:t>.cn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东莞市石鼓净水有限公司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东莞市南城街道滨河路100号一期1号楼101室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李建聪</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0769-21663952</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3" w:name="_Toc31764_WPSOffice_Level1"/>
      <w:bookmarkStart w:id="4" w:name="_Toc486167661"/>
      <w:bookmarkStart w:id="5"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广东省东莞市南城街道鸿福西路81号国际商会大厦706室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陈树辉</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0769-21682660</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9670"/>
      <w:bookmarkStart w:id="7" w:name="_Toc142508311"/>
      <w:bookmarkStart w:id="8"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 w:name="_Toc142508312"/>
      <w:bookmarkStart w:id="10" w:name="_Toc486167662"/>
      <w:bookmarkStart w:id="11" w:name="_Toc15366_WPSOffice_Level2"/>
      <w:bookmarkStart w:id="12" w:name="_Toc450662848"/>
      <w:bookmarkStart w:id="13" w:name="_Toc16098"/>
      <w:bookmarkStart w:id="14" w:name="_Toc6628"/>
      <w:bookmarkStart w:id="15" w:name="_Toc140596871"/>
      <w:r>
        <w:rPr>
          <w:rFonts w:hint="eastAsia" w:ascii="宋体" w:hAnsi="宋体" w:eastAsia="宋体" w:cs="宋体"/>
          <w:b/>
          <w:bCs/>
          <w:color w:val="auto"/>
          <w:kern w:val="44"/>
          <w:szCs w:val="21"/>
          <w:highlight w:val="none"/>
          <w:lang w:val="zh-CN"/>
        </w:rPr>
        <w:t>一、总则</w:t>
      </w:r>
      <w:bookmarkEnd w:id="9"/>
      <w:bookmarkEnd w:id="10"/>
      <w:bookmarkEnd w:id="11"/>
      <w:bookmarkEnd w:id="12"/>
      <w:bookmarkEnd w:id="13"/>
      <w:bookmarkEnd w:id="14"/>
      <w:bookmarkEnd w:id="1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 w:name="_Toc16700"/>
      <w:bookmarkStart w:id="17" w:name="_Toc486167663"/>
      <w:bookmarkStart w:id="18" w:name="_Toc21710_WPSOffice_Level3"/>
      <w:bookmarkStart w:id="19" w:name="_Toc142508313"/>
      <w:bookmarkStart w:id="20" w:name="_Toc450662849"/>
      <w:bookmarkStart w:id="21" w:name="_Toc11179"/>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6"/>
      <w:bookmarkEnd w:id="17"/>
      <w:bookmarkEnd w:id="18"/>
      <w:bookmarkEnd w:id="19"/>
      <w:bookmarkEnd w:id="20"/>
      <w:bookmarkEnd w:id="21"/>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2" w:name="_Toc142508314"/>
      <w:bookmarkStart w:id="23" w:name="_Toc450662850"/>
      <w:bookmarkStart w:id="24" w:name="_Toc5550"/>
      <w:bookmarkStart w:id="25" w:name="_Toc1970"/>
      <w:bookmarkStart w:id="26" w:name="_Toc80_WPSOffice_Level3"/>
      <w:bookmarkStart w:id="27" w:name="_Toc48616766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2"/>
      <w:bookmarkEnd w:id="23"/>
      <w:bookmarkEnd w:id="24"/>
      <w:bookmarkEnd w:id="25"/>
      <w:bookmarkEnd w:id="26"/>
      <w:bookmarkEnd w:id="27"/>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142508315"/>
      <w:bookmarkStart w:id="29" w:name="_Toc2809"/>
      <w:bookmarkStart w:id="30" w:name="_Toc23847_WPSOffice_Level3"/>
      <w:bookmarkStart w:id="31" w:name="_Toc8199"/>
      <w:bookmarkStart w:id="32" w:name="_Toc450662851"/>
      <w:bookmarkStart w:id="33"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28"/>
      <w:bookmarkEnd w:id="29"/>
      <w:bookmarkEnd w:id="30"/>
      <w:bookmarkEnd w:id="31"/>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4" w:name="_Toc533708063"/>
      <w:bookmarkStart w:id="35"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4"/>
    <w:bookmarkEnd w:id="35"/>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6" w:name="_Toc533708064"/>
      <w:bookmarkStart w:id="37" w:name="_Toc1977664"/>
      <w:r>
        <w:rPr>
          <w:rFonts w:hint="eastAsia" w:ascii="宋体" w:hAnsi="宋体" w:eastAsia="宋体" w:cs="宋体"/>
          <w:color w:val="auto"/>
          <w:szCs w:val="21"/>
          <w:highlight w:val="none"/>
          <w:lang w:val="zh-CN"/>
        </w:rPr>
        <w:t xml:space="preserve">3.3  </w:t>
      </w:r>
      <w:bookmarkEnd w:id="36"/>
      <w:bookmarkEnd w:id="37"/>
      <w:bookmarkStart w:id="38" w:name="_Toc533708065"/>
      <w:bookmarkStart w:id="39"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38"/>
      <w:bookmarkEnd w:id="39"/>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0" w:name="_Toc533708066"/>
      <w:bookmarkStart w:id="4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0"/>
    <w:bookmarkEnd w:id="41"/>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1977667"/>
      <w:bookmarkStart w:id="43"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2"/>
      <w:bookmarkEnd w:id="4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4" w:name="_Toc533708068"/>
      <w:bookmarkStart w:id="45"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4"/>
      <w:bookmarkEnd w:id="45"/>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 w:name="_Toc6337"/>
      <w:bookmarkStart w:id="47" w:name="_Toc9658_WPSOffice_Level3"/>
      <w:bookmarkStart w:id="48" w:name="_Toc23394"/>
      <w:bookmarkStart w:id="49"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46"/>
      <w:bookmarkEnd w:id="47"/>
      <w:bookmarkEnd w:id="48"/>
      <w:bookmarkEnd w:id="4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1977670"/>
      <w:bookmarkStart w:id="51" w:name="_Toc533708070"/>
      <w:r>
        <w:rPr>
          <w:rFonts w:hint="eastAsia" w:ascii="宋体" w:hAnsi="宋体" w:eastAsia="宋体" w:cs="宋体"/>
          <w:color w:val="auto"/>
          <w:szCs w:val="21"/>
          <w:highlight w:val="none"/>
          <w:lang w:val="zh-CN"/>
        </w:rPr>
        <w:t>4.1  投标费用</w:t>
      </w:r>
      <w:bookmarkEnd w:id="50"/>
      <w:bookmarkEnd w:id="51"/>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2" w:name="_Toc1977672"/>
      <w:bookmarkStart w:id="53"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2"/>
      <w:bookmarkEnd w:id="53"/>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533708073"/>
      <w:bookmarkStart w:id="55" w:name="_Toc1977673"/>
      <w:r>
        <w:rPr>
          <w:rFonts w:hint="eastAsia" w:ascii="宋体" w:hAnsi="宋体" w:eastAsia="宋体" w:cs="宋体"/>
          <w:color w:val="auto"/>
          <w:szCs w:val="21"/>
          <w:highlight w:val="none"/>
          <w:lang w:val="zh-CN"/>
        </w:rPr>
        <w:t>4.2  踏勘现场</w:t>
      </w:r>
      <w:bookmarkEnd w:id="54"/>
      <w:bookmarkEnd w:id="55"/>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56" w:name="_Toc533708076"/>
      <w:bookmarkStart w:id="57" w:name="_Toc19776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2"/>
      <w:bookmarkEnd w:id="33"/>
      <w:bookmarkEnd w:id="56"/>
      <w:bookmarkEnd w:id="57"/>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58" w:name="_Toc30507_WPSOffice_Level2"/>
      <w:bookmarkStart w:id="59" w:name="_Toc140596876"/>
      <w:bookmarkStart w:id="60" w:name="_Toc450662853"/>
      <w:bookmarkStart w:id="61" w:name="_Toc20353"/>
      <w:bookmarkStart w:id="62" w:name="_Toc142508317"/>
      <w:bookmarkStart w:id="63" w:name="_Toc1482"/>
      <w:bookmarkStart w:id="64" w:name="_Toc486167667"/>
      <w:r>
        <w:rPr>
          <w:rFonts w:hint="eastAsia" w:ascii="宋体" w:hAnsi="宋体" w:eastAsia="宋体" w:cs="宋体"/>
          <w:b/>
          <w:bCs/>
          <w:color w:val="auto"/>
          <w:kern w:val="44"/>
          <w:szCs w:val="21"/>
          <w:highlight w:val="none"/>
          <w:lang w:val="zh-CN"/>
        </w:rPr>
        <w:t>二、招标文件</w:t>
      </w:r>
      <w:bookmarkEnd w:id="58"/>
      <w:bookmarkEnd w:id="59"/>
      <w:bookmarkEnd w:id="60"/>
      <w:bookmarkEnd w:id="61"/>
      <w:bookmarkEnd w:id="62"/>
      <w:bookmarkEnd w:id="63"/>
      <w:bookmarkEnd w:id="6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5" w:name="_Toc142508318"/>
      <w:bookmarkStart w:id="66" w:name="_Toc26635_WPSOffice_Level3"/>
      <w:bookmarkStart w:id="67" w:name="_Toc450662854"/>
      <w:bookmarkStart w:id="68" w:name="_Toc28179"/>
      <w:bookmarkStart w:id="69" w:name="_Toc486167668"/>
      <w:bookmarkStart w:id="70" w:name="_Toc2205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65"/>
      <w:bookmarkEnd w:id="66"/>
      <w:bookmarkEnd w:id="67"/>
      <w:bookmarkEnd w:id="68"/>
      <w:bookmarkEnd w:id="69"/>
      <w:bookmarkEnd w:id="70"/>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kern w:val="0"/>
          <w:szCs w:val="21"/>
          <w:highlight w:val="none"/>
          <w:lang w:eastAsia="zh-CN"/>
        </w:rPr>
        <w:t>东莞市石鼓净水有限公司2024年紫外消毒设备零配件采购项目（第三次招标）</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东莞市石鼓净水有限公司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w:t>
      </w:r>
      <w:r>
        <w:rPr>
          <w:rFonts w:hint="eastAsia" w:ascii="宋体" w:hAnsi="宋体" w:eastAsia="宋体" w:cs="Times New Roman"/>
          <w:color w:val="auto"/>
          <w:kern w:val="0"/>
          <w:szCs w:val="21"/>
          <w:highlight w:val="none"/>
          <w:lang w:val="en-US" w:eastAsia="zh-CN"/>
        </w:rPr>
        <w:t>包括招标公告和招标文件及其补充、变更和澄清等一系列文件</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1" w:name="_Toc8187"/>
      <w:bookmarkStart w:id="72" w:name="_Toc29125_WPSOffice_Level3"/>
      <w:bookmarkStart w:id="73" w:name="_Toc486167669"/>
      <w:bookmarkStart w:id="74" w:name="_Toc450662855"/>
      <w:bookmarkStart w:id="75" w:name="_Toc18407"/>
      <w:bookmarkStart w:id="76"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1"/>
      <w:bookmarkEnd w:id="72"/>
      <w:bookmarkEnd w:id="73"/>
      <w:bookmarkEnd w:id="74"/>
      <w:bookmarkEnd w:id="75"/>
      <w:bookmarkEnd w:id="76"/>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7" w:name="_Toc142508320"/>
      <w:bookmarkStart w:id="78" w:name="_Toc23483_WPSOffice_Level3"/>
      <w:bookmarkStart w:id="79" w:name="_Toc26320"/>
      <w:bookmarkStart w:id="80" w:name="_Toc19941"/>
      <w:bookmarkStart w:id="81" w:name="_Toc450662856"/>
      <w:bookmarkStart w:id="82"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77"/>
      <w:bookmarkEnd w:id="78"/>
      <w:bookmarkEnd w:id="79"/>
      <w:bookmarkEnd w:id="80"/>
      <w:bookmarkEnd w:id="81"/>
      <w:bookmarkEnd w:id="82"/>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2"/>
          <w:rFonts w:ascii="宋体" w:hAnsi="宋体" w:eastAsia="宋体" w:cs="Times New Roman"/>
          <w:color w:val="auto"/>
          <w:sz w:val="21"/>
          <w:szCs w:val="21"/>
          <w:highlight w:val="none"/>
        </w:rPr>
        <w:t>www.dgswjt.cn）</w:t>
      </w:r>
      <w:r>
        <w:rPr>
          <w:rStyle w:val="42"/>
          <w:rFonts w:ascii="宋体" w:hAnsi="宋体" w:eastAsia="宋体" w:cs="Times New Roman"/>
          <w:color w:val="auto"/>
          <w:sz w:val="21"/>
          <w:szCs w:val="21"/>
          <w:highlight w:val="none"/>
          <w:lang w:val="zh-CN"/>
        </w:rPr>
        <w:t>、</w:t>
      </w:r>
      <w:r>
        <w:rPr>
          <w:rStyle w:val="42"/>
          <w:rFonts w:hint="eastAsia" w:ascii="宋体" w:hAnsi="宋体" w:eastAsia="宋体" w:cs="Times New Roman"/>
          <w:bCs/>
          <w:color w:val="auto"/>
          <w:kern w:val="0"/>
          <w:sz w:val="21"/>
          <w:szCs w:val="21"/>
          <w:highlight w:val="none"/>
        </w:rPr>
        <w:t>招标代理</w:t>
      </w:r>
      <w:r>
        <w:rPr>
          <w:rStyle w:val="42"/>
          <w:rFonts w:hint="eastAsia" w:ascii="宋体" w:hAnsi="宋体" w:eastAsia="宋体" w:cs="Times New Roman"/>
          <w:bCs/>
          <w:color w:val="auto"/>
          <w:kern w:val="0"/>
          <w:sz w:val="21"/>
          <w:szCs w:val="21"/>
          <w:highlight w:val="none"/>
          <w:lang w:val="en-US" w:eastAsia="zh-CN"/>
        </w:rPr>
        <w:t>机构</w:t>
      </w:r>
      <w:r>
        <w:rPr>
          <w:rStyle w:val="42"/>
          <w:rFonts w:hint="eastAsia" w:ascii="宋体" w:hAnsi="宋体" w:eastAsia="宋体" w:cs="Times New Roman"/>
          <w:bCs/>
          <w:color w:val="auto"/>
          <w:kern w:val="0"/>
          <w:sz w:val="21"/>
          <w:szCs w:val="21"/>
          <w:highlight w:val="none"/>
        </w:rPr>
        <w:t>网站（</w:t>
      </w:r>
      <w:r>
        <w:rPr>
          <w:rStyle w:val="42"/>
          <w:rFonts w:hint="eastAsia" w:ascii="宋体" w:hAnsi="宋体" w:eastAsia="宋体" w:cs="Times New Roman"/>
          <w:bCs/>
          <w:color w:val="auto"/>
          <w:kern w:val="0"/>
          <w:sz w:val="21"/>
          <w:szCs w:val="21"/>
          <w:highlight w:val="none"/>
          <w:u w:val="none"/>
          <w:lang w:val="en-US" w:eastAsia="zh-CN"/>
        </w:rPr>
        <w:t>www.sfcx.cn</w:t>
      </w:r>
      <w:r>
        <w:rPr>
          <w:rStyle w:val="42"/>
          <w:rFonts w:ascii="宋体" w:hAnsi="宋体" w:eastAsia="宋体" w:cs="Times New Roman"/>
          <w:bCs/>
          <w:color w:val="auto"/>
          <w:kern w:val="0"/>
          <w:sz w:val="21"/>
          <w:szCs w:val="21"/>
          <w:highlight w:val="none"/>
        </w:rPr>
        <w:t>）</w:t>
      </w:r>
      <w:r>
        <w:rPr>
          <w:rStyle w:val="42"/>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bCs/>
          <w:color w:val="auto"/>
          <w:szCs w:val="21"/>
          <w:highlight w:val="none"/>
          <w:lang w:val="zh-CN" w:eastAsia="zh-CN"/>
        </w:rPr>
        <w:t>，请各投标人密切留意。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3" w:name="_Toc486167671"/>
      <w:bookmarkStart w:id="84" w:name="_Toc142508321"/>
      <w:bookmarkStart w:id="85" w:name="_Toc29659_WPSOffice_Level2"/>
      <w:bookmarkStart w:id="86" w:name="_Toc6039"/>
      <w:bookmarkStart w:id="87" w:name="_Toc450662857"/>
      <w:bookmarkStart w:id="88" w:name="_Toc140596880"/>
      <w:bookmarkStart w:id="89" w:name="_Toc29653"/>
      <w:r>
        <w:rPr>
          <w:rFonts w:hint="eastAsia" w:ascii="宋体" w:hAnsi="宋体" w:eastAsia="宋体" w:cs="宋体"/>
          <w:b/>
          <w:bCs/>
          <w:color w:val="auto"/>
          <w:kern w:val="44"/>
          <w:szCs w:val="21"/>
          <w:highlight w:val="none"/>
          <w:lang w:val="zh-CN"/>
        </w:rPr>
        <w:t>三、投标文件的编制</w:t>
      </w:r>
      <w:bookmarkEnd w:id="83"/>
      <w:bookmarkEnd w:id="84"/>
      <w:bookmarkEnd w:id="85"/>
      <w:bookmarkEnd w:id="86"/>
      <w:bookmarkEnd w:id="87"/>
      <w:bookmarkEnd w:id="88"/>
      <w:bookmarkEnd w:id="89"/>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0" w:name="_Toc450662858"/>
      <w:bookmarkStart w:id="91" w:name="_Toc142508322"/>
      <w:bookmarkStart w:id="92" w:name="_Toc25773"/>
      <w:bookmarkStart w:id="93" w:name="_Toc15662"/>
      <w:bookmarkStart w:id="94" w:name="_Toc10015_WPSOffice_Level3"/>
      <w:bookmarkStart w:id="95"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90"/>
      <w:bookmarkEnd w:id="91"/>
      <w:bookmarkEnd w:id="92"/>
      <w:bookmarkEnd w:id="93"/>
      <w:bookmarkEnd w:id="94"/>
      <w:bookmarkEnd w:id="9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96" w:name="_Toc142508323"/>
      <w:bookmarkStart w:id="97" w:name="_Toc24916_WPSOffice_Level3"/>
      <w:bookmarkStart w:id="98" w:name="_Toc486167673"/>
      <w:bookmarkStart w:id="99" w:name="_Toc1879"/>
      <w:bookmarkStart w:id="100" w:name="_Toc450662859"/>
      <w:bookmarkStart w:id="101" w:name="_Toc4374"/>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96"/>
      <w:bookmarkEnd w:id="97"/>
      <w:bookmarkEnd w:id="98"/>
      <w:bookmarkEnd w:id="99"/>
      <w:bookmarkEnd w:id="100"/>
      <w:bookmarkEnd w:id="101"/>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投标产品信息表)；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olor w:val="auto"/>
          <w:szCs w:val="21"/>
          <w:highlight w:val="none"/>
        </w:rPr>
      </w:pPr>
      <w:r>
        <w:rPr>
          <w:rFonts w:hint="eastAsia" w:ascii="宋体" w:hAnsi="宋体" w:eastAsia="宋体"/>
          <w:color w:val="auto"/>
          <w:szCs w:val="21"/>
          <w:highlight w:val="none"/>
        </w:rPr>
        <w:t>4）制造商资格声明和授权销售及售后服务承诺函：</w:t>
      </w:r>
    </w:p>
    <w:p>
      <w:pPr>
        <w:spacing w:line="360" w:lineRule="auto"/>
        <w:ind w:left="235" w:leftChars="0" w:hanging="235" w:hangingChars="112"/>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a、投标人为在境内依法登记注册、能独立承担民事责任，具有生产制造所投紫外灯管能力的制造商时，</w:t>
      </w:r>
      <w:r>
        <w:rPr>
          <w:rFonts w:hint="eastAsia" w:ascii="宋体" w:hAnsi="宋体" w:eastAsia="宋体" w:cs="宋体"/>
          <w:b/>
          <w:color w:val="auto"/>
          <w:kern w:val="2"/>
          <w:sz w:val="21"/>
          <w:szCs w:val="21"/>
          <w:lang w:val="zh-CN"/>
        </w:rPr>
        <w:t>提供</w:t>
      </w:r>
      <w:r>
        <w:rPr>
          <w:rFonts w:hint="eastAsia" w:ascii="宋体" w:hAnsi="宋体" w:eastAsia="宋体" w:cs="宋体"/>
          <w:b/>
          <w:color w:val="auto"/>
          <w:kern w:val="2"/>
          <w:sz w:val="21"/>
          <w:szCs w:val="21"/>
        </w:rPr>
        <w:t>制造商</w:t>
      </w:r>
      <w:r>
        <w:rPr>
          <w:rFonts w:hint="eastAsia" w:ascii="宋体" w:hAnsi="宋体" w:eastAsia="宋体" w:cs="宋体"/>
          <w:b/>
          <w:color w:val="auto"/>
          <w:kern w:val="2"/>
          <w:sz w:val="21"/>
          <w:szCs w:val="21"/>
          <w:lang w:val="zh-CN"/>
        </w:rPr>
        <w:t>资格声明原件</w:t>
      </w:r>
      <w:r>
        <w:rPr>
          <w:rFonts w:hint="eastAsia" w:ascii="宋体" w:hAnsi="宋体" w:eastAsia="宋体" w:cs="宋体"/>
          <w:color w:val="auto"/>
          <w:kern w:val="2"/>
          <w:sz w:val="21"/>
          <w:szCs w:val="21"/>
          <w:lang w:val="zh-CN"/>
        </w:rPr>
        <w:t>；</w:t>
      </w:r>
    </w:p>
    <w:p>
      <w:pPr>
        <w:spacing w:line="360" w:lineRule="auto"/>
        <w:ind w:left="235" w:leftChars="0" w:hanging="235" w:hangingChars="112"/>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b、投标人为所投紫外灯管制造商直接就本项目</w:t>
      </w:r>
      <w:r>
        <w:rPr>
          <w:rFonts w:hint="eastAsia" w:ascii="宋体" w:hAnsi="宋体" w:eastAsia="宋体" w:cs="宋体"/>
          <w:color w:val="auto"/>
          <w:kern w:val="2"/>
          <w:sz w:val="21"/>
          <w:szCs w:val="21"/>
          <w:lang w:val="en-US" w:eastAsia="zh-CN"/>
        </w:rPr>
        <w:t>独家</w:t>
      </w:r>
      <w:r>
        <w:rPr>
          <w:rFonts w:hint="eastAsia" w:ascii="宋体" w:hAnsi="宋体" w:eastAsia="宋体" w:cs="宋体"/>
          <w:color w:val="auto"/>
          <w:kern w:val="2"/>
          <w:sz w:val="21"/>
          <w:szCs w:val="21"/>
          <w:lang w:val="zh-CN"/>
        </w:rPr>
        <w:t>授权的在境内依法登记注册成立、能独立承担民事责任的经销商时，</w:t>
      </w:r>
      <w:r>
        <w:rPr>
          <w:rFonts w:hint="eastAsia" w:ascii="宋体" w:hAnsi="宋体" w:eastAsia="宋体" w:cs="宋体"/>
          <w:b/>
          <w:color w:val="auto"/>
          <w:kern w:val="2"/>
          <w:sz w:val="21"/>
          <w:szCs w:val="21"/>
          <w:lang w:val="zh-CN"/>
        </w:rPr>
        <w:t>提供所投紫外灯管制造商针对本项目授权销售及售后服务承诺函原件和制造商资格声明原件</w:t>
      </w:r>
      <w:r>
        <w:rPr>
          <w:rFonts w:hint="eastAsia" w:ascii="宋体" w:hAnsi="宋体" w:eastAsia="宋体" w:cs="宋体"/>
          <w:color w:val="auto"/>
          <w:kern w:val="2"/>
          <w:sz w:val="21"/>
          <w:szCs w:val="21"/>
          <w:lang w:val="zh-CN"/>
        </w:rPr>
        <w:t>；</w:t>
      </w:r>
    </w:p>
    <w:p>
      <w:pPr>
        <w:spacing w:line="360" w:lineRule="auto"/>
        <w:ind w:left="235" w:leftChars="0" w:hanging="235" w:hangingChars="112"/>
        <w:jc w:val="both"/>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c、当前述授权销售及售后服务承诺函是由境外品牌境外生产的所投紫外灯管制造商通过境内的办事机构出具时，同时还须提供证明该机构作为境外品牌境外生产的所投紫外灯管制造商在境内的办事机构的证明文件复印件</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lang w:val="zh-CN"/>
        </w:rPr>
        <w:t>该证明文件可为显示其作为境外所投紫外灯管制造商分公司的营业执照、或反映其作为境外所投紫外灯管制造商子公司的章程（或出资证明、或反映出资人为境外所投紫外灯管制造商的营业执照）、或境外所投紫外灯管制造商的书面证明、或官网显示其关系的打印件</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lang w:val="zh-CN"/>
        </w:rPr>
        <w:t>；</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hint="eastAsia" w:ascii="宋体" w:hAnsi="宋体" w:eastAsia="宋体"/>
          <w:color w:val="auto"/>
          <w:szCs w:val="21"/>
          <w:highlight w:val="none"/>
          <w:lang w:val="en-US" w:eastAsia="zh-CN"/>
        </w:rPr>
        <w:t>2021</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日以来</w:t>
      </w:r>
      <w:r>
        <w:rPr>
          <w:rFonts w:hint="eastAsia" w:ascii="宋体" w:hAnsi="宋体" w:eastAsia="宋体"/>
          <w:b/>
          <w:bCs/>
          <w:color w:val="auto"/>
          <w:szCs w:val="21"/>
          <w:highlight w:val="none"/>
          <w:lang w:val="en-US" w:eastAsia="zh-CN"/>
        </w:rPr>
        <w:t>投标品牌</w:t>
      </w:r>
      <w:r>
        <w:rPr>
          <w:rFonts w:hint="eastAsia" w:hAnsi="宋体" w:eastAsia="宋体"/>
          <w:b/>
          <w:color w:val="auto"/>
          <w:sz w:val="21"/>
          <w:szCs w:val="21"/>
          <w:highlight w:val="none"/>
          <w:lang w:val="en-US" w:eastAsia="zh-CN"/>
        </w:rPr>
        <w:t>紫外灯管产品供货（销售）</w:t>
      </w:r>
      <w:r>
        <w:rPr>
          <w:rFonts w:hint="eastAsia" w:ascii="宋体" w:hAnsi="宋体" w:eastAsia="宋体" w:cs="宋体"/>
          <w:b/>
          <w:color w:val="auto"/>
          <w:szCs w:val="21"/>
          <w:highlight w:val="none"/>
        </w:rPr>
        <w:t>业绩</w:t>
      </w:r>
      <w:r>
        <w:rPr>
          <w:rFonts w:hint="eastAsia" w:ascii="宋体" w:hAnsi="宋体" w:eastAsia="宋体"/>
          <w:color w:val="auto"/>
          <w:szCs w:val="21"/>
          <w:highlight w:val="none"/>
        </w:rPr>
        <w:t>（合同签订日期为</w:t>
      </w:r>
      <w:r>
        <w:rPr>
          <w:rFonts w:hint="eastAsia" w:ascii="宋体" w:hAnsi="宋体" w:eastAsia="宋体"/>
          <w:color w:val="auto"/>
          <w:szCs w:val="21"/>
          <w:highlight w:val="none"/>
          <w:lang w:val="en-US" w:eastAsia="zh-CN"/>
        </w:rPr>
        <w:t>2021</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Times New Roman"/>
          <w:color w:val="auto"/>
          <w:kern w:val="0"/>
          <w:szCs w:val="21"/>
          <w:highlight w:val="none"/>
          <w:lang w:val="zh-CN"/>
        </w:rPr>
        <w:t>供货货物清单表（货物明细中的货物名称、品牌、产地、规格、型号、数量及服务明细中的内容和服务标准等，必须与分项报价明细表完全一致）；</w:t>
      </w:r>
    </w:p>
    <w:p>
      <w:pPr>
        <w:spacing w:line="360" w:lineRule="auto"/>
        <w:ind w:left="315" w:leftChars="-10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）所投紫外灯管产品的性能说明（投标人自行提供书面说明和资料），包括但不限于如下证明文件：</w:t>
      </w:r>
    </w:p>
    <w:p>
      <w:pPr>
        <w:spacing w:line="360" w:lineRule="auto"/>
        <w:ind w:left="204" w:leftChars="97" w:firstLine="12" w:firstLineChars="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color w:val="auto"/>
          <w:kern w:val="0"/>
          <w:szCs w:val="21"/>
          <w:highlight w:val="none"/>
          <w:lang w:val="zh-CN"/>
        </w:rPr>
        <w:t>（须提供出具检验报告的第三方检测机构的CMA认证证书附表复印件或其他能体现其检测能力范围内的证明文件）</w:t>
      </w:r>
      <w:r>
        <w:rPr>
          <w:rFonts w:hint="eastAsia" w:ascii="宋体" w:hAnsi="宋体" w:eastAsia="宋体" w:cs="宋体"/>
          <w:color w:val="auto"/>
          <w:kern w:val="0"/>
          <w:szCs w:val="21"/>
          <w:highlight w:val="none"/>
          <w:lang w:val="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）所投紫外灯管等配件的性能说明（投标人自行提供书面说明和资料）</w:t>
      </w:r>
      <w:r>
        <w:rPr>
          <w:rFonts w:hint="eastAsia" w:ascii="宋体" w:hAnsi="宋体" w:eastAsia="宋体" w:cs="宋体"/>
          <w:color w:val="auto"/>
          <w:kern w:val="0"/>
          <w:szCs w:val="21"/>
          <w:highlight w:val="none"/>
          <w:lang w:eastAsia="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）供货计划及进度保证措施方案</w:t>
      </w:r>
      <w:r>
        <w:rPr>
          <w:rFonts w:hint="eastAsia" w:ascii="宋体" w:hAnsi="宋体" w:eastAsia="宋体" w:cs="宋体"/>
          <w:color w:val="auto"/>
          <w:kern w:val="0"/>
          <w:szCs w:val="21"/>
          <w:highlight w:val="none"/>
          <w:lang w:eastAsia="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）售后服务质量保证和承诺</w:t>
      </w:r>
      <w:r>
        <w:rPr>
          <w:rFonts w:hint="eastAsia" w:ascii="宋体" w:hAnsi="宋体" w:eastAsia="宋体" w:cs="宋体"/>
          <w:color w:val="auto"/>
          <w:kern w:val="0"/>
          <w:szCs w:val="21"/>
          <w:highlight w:val="none"/>
          <w:lang w:eastAsia="zh-CN"/>
        </w:rPr>
        <w:t>；</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2" w:name="_Toc142508324"/>
      <w:bookmarkStart w:id="103" w:name="_Toc486167674"/>
      <w:bookmarkStart w:id="104" w:name="_Toc8675_WPSOffice_Level3"/>
      <w:bookmarkStart w:id="105" w:name="_Toc18697"/>
      <w:bookmarkStart w:id="106" w:name="_Toc450662860"/>
      <w:bookmarkStart w:id="107" w:name="_Toc8501"/>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02"/>
      <w:bookmarkEnd w:id="103"/>
      <w:bookmarkEnd w:id="104"/>
      <w:bookmarkEnd w:id="105"/>
      <w:bookmarkEnd w:id="106"/>
      <w:bookmarkEnd w:id="107"/>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486167675"/>
      <w:bookmarkStart w:id="109" w:name="_Toc4385_WPSOffice_Level3"/>
      <w:bookmarkStart w:id="110" w:name="_Toc28822"/>
      <w:bookmarkStart w:id="111" w:name="_Toc450662861"/>
      <w:bookmarkStart w:id="112" w:name="_Toc142508325"/>
      <w:bookmarkStart w:id="113" w:name="_Toc1491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08"/>
      <w:bookmarkEnd w:id="109"/>
      <w:bookmarkEnd w:id="110"/>
      <w:bookmarkEnd w:id="111"/>
      <w:bookmarkEnd w:id="112"/>
      <w:bookmarkEnd w:id="113"/>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0" w:leftChars="0" w:firstLine="420" w:firstLineChars="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统一折扣系数报价，合同履约过程中，采购清单及预算表中货物不含税中标综合单价按以下方式计算：不含税中标综合单价=不含税预算综合单价×中标折扣系数，以实际供货数量进行结算，不含税中标综合单价出现小数点，保留小数点后两位，从小数点后第3位四舍五入。</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指导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pStyle w:val="22"/>
        <w:spacing w:line="360" w:lineRule="auto"/>
        <w:ind w:left="634" w:leftChars="52" w:hanging="525" w:hangingChars="250"/>
        <w:rPr>
          <w:rFonts w:hint="eastAsia" w:hAnsi="宋体"/>
          <w:color w:val="auto"/>
          <w:kern w:val="2"/>
          <w:sz w:val="21"/>
          <w:szCs w:val="21"/>
          <w:lang w:val="zh-CN"/>
        </w:rPr>
      </w:pPr>
      <w:r>
        <w:rPr>
          <w:rFonts w:hint="eastAsia" w:hAnsi="宋体"/>
          <w:color w:val="auto"/>
          <w:kern w:val="2"/>
          <w:sz w:val="21"/>
          <w:szCs w:val="21"/>
          <w:lang w:val="zh-CN"/>
        </w:rPr>
        <w:t>（1）招标范围内所有货物及其配备的附件的采购、制造、检测、试验、送货、搬运（含二次搬运至招标人指定仓储地点）、指导安装、保险、现场仓储、质保期免费上门提供售后服务等相关服务的全部费用；</w:t>
      </w:r>
    </w:p>
    <w:p>
      <w:pPr>
        <w:pStyle w:val="22"/>
        <w:spacing w:line="360" w:lineRule="auto"/>
        <w:ind w:left="634" w:leftChars="52" w:hanging="525" w:hangingChars="250"/>
        <w:rPr>
          <w:rFonts w:hAnsi="宋体"/>
          <w:color w:val="auto"/>
          <w:kern w:val="2"/>
          <w:sz w:val="21"/>
          <w:szCs w:val="21"/>
          <w:lang w:val="zh-CN"/>
        </w:rPr>
      </w:pPr>
      <w:r>
        <w:rPr>
          <w:rFonts w:hint="eastAsia" w:hAnsi="宋体"/>
          <w:color w:val="auto"/>
          <w:kern w:val="2"/>
          <w:sz w:val="21"/>
          <w:szCs w:val="21"/>
          <w:lang w:val="zh-CN"/>
        </w:rPr>
        <w:t>（2）投标货物及其工艺所有制造方、使用方应支付的对专有技术、专利权和版权、设计或其他知识产权而需要向其他方支付的版税；</w:t>
      </w:r>
    </w:p>
    <w:p>
      <w:pPr>
        <w:pStyle w:val="22"/>
        <w:spacing w:line="360" w:lineRule="auto"/>
        <w:ind w:left="634" w:leftChars="52" w:hanging="525" w:hangingChars="250"/>
        <w:rPr>
          <w:rFonts w:hAnsi="宋体"/>
          <w:color w:val="auto"/>
          <w:kern w:val="2"/>
          <w:sz w:val="21"/>
          <w:szCs w:val="21"/>
          <w:lang w:val="zh-CN"/>
        </w:rPr>
      </w:pPr>
      <w:r>
        <w:rPr>
          <w:rFonts w:hint="eastAsia" w:hAnsi="宋体"/>
          <w:color w:val="auto"/>
          <w:kern w:val="2"/>
          <w:sz w:val="21"/>
          <w:szCs w:val="21"/>
        </w:rPr>
        <w:t>（</w:t>
      </w:r>
      <w:r>
        <w:rPr>
          <w:rFonts w:hint="eastAsia" w:hAnsi="宋体"/>
          <w:color w:val="auto"/>
          <w:kern w:val="2"/>
          <w:sz w:val="21"/>
          <w:szCs w:val="21"/>
          <w:lang w:val="zh-CN"/>
        </w:rPr>
        <w:t>3）日常技术指导，免费的质保服务，包括但不限于免费现场质量问题处理或更换无效产品；</w:t>
      </w:r>
    </w:p>
    <w:p>
      <w:pPr>
        <w:pStyle w:val="22"/>
        <w:spacing w:line="360" w:lineRule="auto"/>
        <w:ind w:left="634" w:leftChars="52" w:hanging="525" w:hangingChars="250"/>
        <w:rPr>
          <w:rFonts w:hAnsi="宋体" w:cs="Arial"/>
          <w:color w:val="auto"/>
          <w:sz w:val="21"/>
          <w:szCs w:val="21"/>
        </w:rPr>
      </w:pPr>
      <w:r>
        <w:rPr>
          <w:rFonts w:hint="eastAsia" w:hAnsi="宋体" w:cs="Arial"/>
          <w:color w:val="auto"/>
          <w:sz w:val="21"/>
          <w:szCs w:val="21"/>
        </w:rPr>
        <w:t>（4）合理利润、</w:t>
      </w:r>
      <w:r>
        <w:rPr>
          <w:rFonts w:hint="eastAsia" w:hAnsi="宋体"/>
          <w:color w:val="auto"/>
          <w:kern w:val="2"/>
          <w:sz w:val="21"/>
          <w:szCs w:val="21"/>
          <w:lang w:val="zh-CN"/>
        </w:rPr>
        <w:t>投标人销项税额以外的税费</w:t>
      </w:r>
      <w:r>
        <w:rPr>
          <w:rFonts w:hint="eastAsia" w:hAnsi="宋体" w:cs="Arial"/>
          <w:color w:val="auto"/>
          <w:sz w:val="21"/>
          <w:szCs w:val="21"/>
        </w:rPr>
        <w:t>等；</w:t>
      </w:r>
    </w:p>
    <w:p>
      <w:pPr>
        <w:pStyle w:val="22"/>
        <w:spacing w:line="360" w:lineRule="auto"/>
        <w:ind w:left="634" w:leftChars="52" w:hanging="525" w:hangingChars="250"/>
        <w:rPr>
          <w:rFonts w:hAnsi="宋体"/>
          <w:color w:val="auto"/>
          <w:kern w:val="2"/>
          <w:sz w:val="21"/>
          <w:szCs w:val="21"/>
          <w:lang w:val="zh-CN"/>
        </w:rPr>
      </w:pPr>
      <w:r>
        <w:rPr>
          <w:rFonts w:hint="eastAsia" w:hAnsi="宋体"/>
          <w:color w:val="auto"/>
          <w:kern w:val="2"/>
          <w:sz w:val="21"/>
          <w:szCs w:val="21"/>
        </w:rPr>
        <w:t>（</w:t>
      </w:r>
      <w:r>
        <w:rPr>
          <w:rFonts w:hint="eastAsia" w:hAnsi="宋体"/>
          <w:color w:val="auto"/>
          <w:kern w:val="2"/>
          <w:sz w:val="21"/>
          <w:szCs w:val="21"/>
          <w:lang w:val="zh-CN"/>
        </w:rPr>
        <w:t>5）法律法规、商业公认、招标文件规定由投标人承担的其他直接及间接费用。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hint="default"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bCs/>
          <w:color w:val="auto"/>
          <w:szCs w:val="21"/>
          <w:highlight w:val="none"/>
          <w:u w:val="single"/>
        </w:rPr>
        <w:t>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w:t>
      </w:r>
      <w:r>
        <w:rPr>
          <w:rFonts w:hint="eastAsia" w:ascii="宋体" w:hAnsi="宋体" w:eastAsia="宋体" w:cs="Times New Roman"/>
          <w:b/>
          <w:bCs/>
          <w:color w:val="auto"/>
          <w:szCs w:val="21"/>
          <w:highlight w:val="none"/>
          <w:u w:val="single"/>
          <w:lang w:val="en-US" w:eastAsia="zh-CN"/>
        </w:rPr>
        <w:t>本项目不含税暂定采购金额为3,569,820.02元（大写：人民币</w:t>
      </w:r>
      <w:r>
        <w:rPr>
          <w:rFonts w:hint="eastAsia" w:ascii="宋体" w:hAnsi="宋体" w:eastAsia="宋体" w:cs="宋体"/>
          <w:b/>
          <w:bCs/>
          <w:color w:val="auto"/>
          <w:szCs w:val="21"/>
          <w:highlight w:val="none"/>
          <w:u w:val="single"/>
          <w:lang w:val="en-US" w:eastAsia="zh-CN"/>
        </w:rPr>
        <w:fldChar w:fldCharType="begin"/>
      </w:r>
      <w:r>
        <w:rPr>
          <w:rFonts w:hint="eastAsia" w:ascii="宋体" w:hAnsi="宋体" w:eastAsia="宋体" w:cs="宋体"/>
          <w:b/>
          <w:bCs/>
          <w:color w:val="auto"/>
          <w:szCs w:val="21"/>
          <w:highlight w:val="none"/>
          <w:u w:val="single"/>
          <w:lang w:val="en-US" w:eastAsia="zh-CN"/>
        </w:rPr>
        <w:instrText xml:space="preserve"> = 3569820 \* CHINESENUM2 \* MERGEFORMAT </w:instrText>
      </w:r>
      <w:r>
        <w:rPr>
          <w:rFonts w:hint="eastAsia" w:ascii="宋体" w:hAnsi="宋体" w:eastAsia="宋体" w:cs="宋体"/>
          <w:b/>
          <w:bCs/>
          <w:color w:val="auto"/>
          <w:szCs w:val="21"/>
          <w:highlight w:val="none"/>
          <w:u w:val="single"/>
          <w:lang w:val="en-US" w:eastAsia="zh-CN"/>
        </w:rPr>
        <w:fldChar w:fldCharType="separate"/>
      </w:r>
      <w:r>
        <w:rPr>
          <w:rFonts w:hint="eastAsia" w:ascii="宋体" w:hAnsi="宋体" w:eastAsia="宋体" w:cs="宋体"/>
          <w:b/>
          <w:bCs/>
          <w:color w:val="auto"/>
          <w:u w:val="single"/>
        </w:rPr>
        <w:t>叁佰伍拾陆万玖仟捌佰贰拾</w:t>
      </w:r>
      <w:r>
        <w:rPr>
          <w:rFonts w:hint="eastAsia" w:ascii="宋体" w:hAnsi="宋体" w:eastAsia="宋体" w:cs="宋体"/>
          <w:b/>
          <w:bCs/>
          <w:color w:val="auto"/>
          <w:szCs w:val="21"/>
          <w:highlight w:val="none"/>
          <w:u w:val="single"/>
          <w:lang w:val="en-US" w:eastAsia="zh-CN"/>
        </w:rPr>
        <w:fldChar w:fldCharType="end"/>
      </w:r>
      <w:r>
        <w:rPr>
          <w:rFonts w:hint="eastAsia" w:ascii="宋体" w:hAnsi="宋体" w:eastAsia="宋体" w:cs="宋体"/>
          <w:b/>
          <w:bCs/>
          <w:color w:val="auto"/>
          <w:szCs w:val="21"/>
          <w:highlight w:val="none"/>
          <w:u w:val="single"/>
          <w:lang w:val="en-US" w:eastAsia="zh-CN"/>
        </w:rPr>
        <w:t>元零贰分</w:t>
      </w:r>
      <w:r>
        <w:rPr>
          <w:rFonts w:hint="eastAsia" w:ascii="宋体" w:hAnsi="宋体" w:eastAsia="宋体" w:cs="Times New Roman"/>
          <w:b/>
          <w:bCs/>
          <w:color w:val="auto"/>
          <w:szCs w:val="21"/>
          <w:highlight w:val="none"/>
          <w:u w:val="single"/>
          <w:lang w:val="en-US" w:eastAsia="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14" w:name="_Toc450662862"/>
      <w:bookmarkStart w:id="115" w:name="_Toc3075"/>
      <w:bookmarkStart w:id="116" w:name="_Toc486167676"/>
      <w:bookmarkStart w:id="117" w:name="_Toc142508326"/>
      <w:bookmarkStart w:id="118" w:name="_Toc14068"/>
      <w:bookmarkStart w:id="119"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14"/>
      <w:bookmarkEnd w:id="115"/>
      <w:bookmarkEnd w:id="116"/>
      <w:bookmarkEnd w:id="117"/>
      <w:bookmarkEnd w:id="118"/>
      <w:bookmarkEnd w:id="119"/>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0" w:name="_Toc25596"/>
      <w:bookmarkStart w:id="121" w:name="_Toc486167677"/>
      <w:bookmarkStart w:id="122" w:name="_Toc9411_WPSOffice_Level3"/>
      <w:bookmarkStart w:id="123" w:name="_Toc142508327"/>
      <w:bookmarkStart w:id="124" w:name="_Toc5236"/>
      <w:bookmarkStart w:id="125"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20"/>
      <w:bookmarkEnd w:id="121"/>
      <w:bookmarkEnd w:id="122"/>
      <w:bookmarkEnd w:id="123"/>
      <w:bookmarkEnd w:id="124"/>
      <w:bookmarkEnd w:id="125"/>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6" w:name="_Toc27771_WPSOffice_Level3"/>
      <w:bookmarkStart w:id="127" w:name="_Toc486167678"/>
      <w:bookmarkStart w:id="128" w:name="_Toc142508328"/>
      <w:bookmarkStart w:id="129" w:name="_Toc450662864"/>
      <w:bookmarkStart w:id="130" w:name="_Toc17599"/>
      <w:bookmarkStart w:id="131" w:name="_Toc30441"/>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26"/>
      <w:bookmarkEnd w:id="127"/>
      <w:bookmarkEnd w:id="128"/>
      <w:bookmarkEnd w:id="129"/>
      <w:bookmarkEnd w:id="130"/>
      <w:bookmarkEnd w:id="131"/>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142508329"/>
      <w:bookmarkStart w:id="133" w:name="_Toc5356_WPSOffice_Level3"/>
      <w:bookmarkStart w:id="134" w:name="_Toc20216"/>
      <w:bookmarkStart w:id="135" w:name="_Toc24774"/>
      <w:bookmarkStart w:id="136" w:name="_Toc48616767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32"/>
      <w:bookmarkEnd w:id="133"/>
      <w:bookmarkEnd w:id="134"/>
      <w:bookmarkEnd w:id="135"/>
      <w:bookmarkEnd w:id="136"/>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71</w:t>
      </w:r>
      <w:r>
        <w:rPr>
          <w:rFonts w:hint="eastAsia" w:ascii="宋体" w:hAnsi="宋体" w:eastAsia="宋体" w:cs="宋体"/>
          <w:b/>
          <w:bCs/>
          <w:color w:val="auto"/>
          <w:kern w:val="0"/>
          <w:szCs w:val="21"/>
          <w:highlight w:val="none"/>
          <w:u w:val="single"/>
          <w:lang w:val="zh-CN"/>
        </w:rPr>
        <w:t>,000.00 元（大写：</w:t>
      </w:r>
      <w:r>
        <w:rPr>
          <w:rFonts w:hint="eastAsia" w:ascii="宋体" w:hAnsi="宋体" w:eastAsia="宋体" w:cs="宋体"/>
          <w:b/>
          <w:bCs/>
          <w:color w:val="auto"/>
          <w:kern w:val="0"/>
          <w:szCs w:val="21"/>
          <w:highlight w:val="none"/>
          <w:u w:val="single"/>
          <w:lang w:val="en-US" w:eastAsia="zh-CN"/>
        </w:rPr>
        <w:t>柒万壹仟元整</w:t>
      </w:r>
      <w:r>
        <w:rPr>
          <w:rFonts w:hint="eastAsia" w:ascii="宋体" w:hAnsi="宋体" w:eastAsia="宋体" w:cs="宋体"/>
          <w:b/>
          <w:bCs/>
          <w:color w:val="auto"/>
          <w:kern w:val="0"/>
          <w:szCs w:val="21"/>
          <w:highlight w:val="none"/>
          <w:u w:val="single"/>
          <w:lang w:val="zh-CN"/>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rPr>
        <w:t>开户名称：东莞市石鼓净水有限公司</w:t>
      </w:r>
    </w:p>
    <w:p>
      <w:pPr>
        <w:autoSpaceDE w:val="0"/>
        <w:autoSpaceDN w:val="0"/>
        <w:adjustRightInd w:val="0"/>
        <w:spacing w:line="360" w:lineRule="auto"/>
        <w:ind w:left="225" w:leftChars="107" w:firstLine="489" w:firstLineChars="233"/>
        <w:jc w:val="left"/>
        <w:rPr>
          <w:rFonts w:hint="eastAsia" w:ascii="宋体" w:hAnsi="宋体" w:eastAsia="宋体" w:cs="Times New Roman"/>
          <w:b w:val="0"/>
          <w:bCs w:val="0"/>
          <w:color w:val="auto"/>
          <w:kern w:val="0"/>
          <w:szCs w:val="21"/>
          <w:highlight w:val="none"/>
          <w:u w:val="none"/>
        </w:rPr>
      </w:pPr>
      <w:r>
        <w:rPr>
          <w:rFonts w:hint="eastAsia" w:ascii="宋体" w:hAnsi="宋体" w:eastAsia="宋体" w:cs="Times New Roman"/>
          <w:b w:val="0"/>
          <w:bCs w:val="0"/>
          <w:color w:val="auto"/>
          <w:kern w:val="0"/>
          <w:szCs w:val="21"/>
          <w:highlight w:val="none"/>
          <w:u w:val="none"/>
        </w:rPr>
        <w:t>开户银行：东莞银行东莞分行</w:t>
      </w:r>
    </w:p>
    <w:p>
      <w:pPr>
        <w:autoSpaceDE w:val="0"/>
        <w:autoSpaceDN w:val="0"/>
        <w:adjustRightInd w:val="0"/>
        <w:spacing w:line="360" w:lineRule="auto"/>
        <w:ind w:left="225" w:leftChars="107" w:firstLine="489" w:firstLineChars="233"/>
        <w:jc w:val="left"/>
        <w:rPr>
          <w:rFonts w:ascii="宋体" w:hAnsi="宋体" w:eastAsia="宋体" w:cs="Times New Roman"/>
          <w:b w:val="0"/>
          <w:bCs w:val="0"/>
          <w:color w:val="auto"/>
          <w:kern w:val="0"/>
          <w:szCs w:val="21"/>
          <w:highlight w:val="none"/>
          <w:u w:val="none"/>
        </w:rPr>
      </w:pPr>
      <w:r>
        <w:rPr>
          <w:rFonts w:hint="eastAsia" w:ascii="宋体" w:hAnsi="宋体" w:eastAsia="宋体" w:cs="Times New Roman"/>
          <w:b w:val="0"/>
          <w:bCs w:val="0"/>
          <w:color w:val="auto"/>
          <w:kern w:val="0"/>
          <w:szCs w:val="21"/>
          <w:highlight w:val="none"/>
          <w:u w:val="none"/>
        </w:rPr>
        <w:t>银行账号：510008801002738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7" w:name="_Toc22649_WPSOffice_Level3"/>
      <w:bookmarkStart w:id="138" w:name="_Toc450662865"/>
      <w:bookmarkStart w:id="139" w:name="_Toc14132"/>
      <w:bookmarkStart w:id="140" w:name="_Toc142508330"/>
      <w:bookmarkStart w:id="141" w:name="_Toc10550"/>
      <w:bookmarkStart w:id="142" w:name="_Toc48616768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37"/>
      <w:bookmarkEnd w:id="138"/>
      <w:bookmarkEnd w:id="139"/>
      <w:bookmarkEnd w:id="140"/>
      <w:bookmarkEnd w:id="141"/>
      <w:bookmarkEnd w:id="142"/>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13311"/>
      <w:bookmarkStart w:id="144" w:name="_Toc25637_WPSOffice_Level3"/>
      <w:bookmarkStart w:id="145" w:name="_Toc142508331"/>
      <w:bookmarkStart w:id="146" w:name="_Toc450662866"/>
      <w:bookmarkStart w:id="147" w:name="_Toc486167681"/>
      <w:bookmarkStart w:id="148" w:name="_Toc850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43"/>
      <w:bookmarkEnd w:id="144"/>
      <w:bookmarkEnd w:id="145"/>
      <w:bookmarkEnd w:id="146"/>
      <w:bookmarkEnd w:id="147"/>
      <w:bookmarkEnd w:id="14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49"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50" w:name="_Toc17608"/>
      <w:bookmarkStart w:id="151" w:name="_Toc5288"/>
      <w:bookmarkStart w:id="152" w:name="_Toc486167682"/>
      <w:bookmarkStart w:id="153" w:name="_Toc140596891"/>
      <w:bookmarkStart w:id="154" w:name="_Toc142508332"/>
      <w:bookmarkStart w:id="155" w:name="_Toc22356_WPSOffice_Level2"/>
      <w:r>
        <w:rPr>
          <w:rFonts w:hint="eastAsia" w:ascii="宋体" w:hAnsi="宋体" w:eastAsia="宋体" w:cs="宋体"/>
          <w:b/>
          <w:bCs/>
          <w:color w:val="auto"/>
          <w:kern w:val="44"/>
          <w:szCs w:val="21"/>
          <w:highlight w:val="none"/>
          <w:lang w:val="zh-CN"/>
        </w:rPr>
        <w:t>四、投标文件的递交</w:t>
      </w:r>
      <w:bookmarkEnd w:id="149"/>
      <w:bookmarkEnd w:id="150"/>
      <w:bookmarkEnd w:id="151"/>
      <w:bookmarkEnd w:id="152"/>
      <w:bookmarkEnd w:id="153"/>
      <w:bookmarkEnd w:id="154"/>
      <w:bookmarkEnd w:id="15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486167683"/>
      <w:bookmarkStart w:id="157" w:name="_Toc142508333"/>
      <w:bookmarkStart w:id="158" w:name="_Toc12192_WPSOffice_Level3"/>
      <w:bookmarkStart w:id="159" w:name="_Toc6350"/>
      <w:bookmarkStart w:id="160" w:name="_Toc450662868"/>
      <w:bookmarkStart w:id="161" w:name="_Toc9900"/>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56"/>
      <w:bookmarkEnd w:id="157"/>
      <w:bookmarkEnd w:id="158"/>
      <w:bookmarkEnd w:id="159"/>
      <w:bookmarkEnd w:id="160"/>
      <w:bookmarkEnd w:id="16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3384"/>
      <w:bookmarkStart w:id="163" w:name="_Toc486167684"/>
      <w:bookmarkStart w:id="164" w:name="_Toc22587"/>
      <w:bookmarkStart w:id="165" w:name="_Toc29665_WPSOffice_Level3"/>
      <w:bookmarkStart w:id="166" w:name="_Toc450662869"/>
      <w:bookmarkStart w:id="167"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62"/>
      <w:bookmarkEnd w:id="163"/>
      <w:bookmarkEnd w:id="164"/>
      <w:bookmarkEnd w:id="165"/>
      <w:bookmarkEnd w:id="166"/>
      <w:bookmarkEnd w:id="16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68" w:name="_Toc486167685"/>
      <w:bookmarkStart w:id="169" w:name="_Toc22431_WPSOffice_Level3"/>
      <w:bookmarkStart w:id="170" w:name="_Toc450662870"/>
      <w:bookmarkStart w:id="171" w:name="_Toc142508335"/>
      <w:bookmarkStart w:id="172" w:name="_Toc6684"/>
      <w:bookmarkStart w:id="173" w:name="_Toc16581"/>
      <w:r>
        <w:rPr>
          <w:rFonts w:hint="eastAsia" w:ascii="宋体" w:hAnsi="宋体" w:eastAsia="宋体" w:cs="宋体"/>
          <w:color w:val="auto"/>
          <w:szCs w:val="21"/>
          <w:highlight w:val="none"/>
          <w:lang w:val="zh-CN"/>
        </w:rPr>
        <w:t>20 迟交的投标文件</w:t>
      </w:r>
      <w:bookmarkEnd w:id="168"/>
      <w:bookmarkEnd w:id="169"/>
      <w:bookmarkEnd w:id="170"/>
      <w:bookmarkEnd w:id="171"/>
      <w:bookmarkEnd w:id="172"/>
      <w:bookmarkEnd w:id="173"/>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13157"/>
      <w:bookmarkStart w:id="175" w:name="_Toc486167686"/>
      <w:bookmarkStart w:id="176" w:name="_Toc4883_WPSOffice_Level3"/>
      <w:bookmarkStart w:id="177" w:name="_Toc450662871"/>
      <w:bookmarkStart w:id="178" w:name="_Toc16964"/>
      <w:bookmarkStart w:id="179" w:name="_Toc142508336"/>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74"/>
      <w:bookmarkEnd w:id="175"/>
      <w:bookmarkEnd w:id="176"/>
      <w:bookmarkEnd w:id="177"/>
      <w:bookmarkEnd w:id="178"/>
      <w:bookmarkEnd w:id="179"/>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80" w:name="_Toc486167687"/>
      <w:bookmarkStart w:id="181" w:name="_Toc27648"/>
      <w:bookmarkStart w:id="182" w:name="_Toc140596896"/>
      <w:bookmarkStart w:id="183" w:name="_Toc450662872"/>
      <w:bookmarkStart w:id="184" w:name="_Toc1049_WPSOffice_Level2"/>
      <w:bookmarkStart w:id="185" w:name="_Toc13496"/>
      <w:bookmarkStart w:id="186" w:name="_Toc142508337"/>
      <w:r>
        <w:rPr>
          <w:rFonts w:hint="eastAsia" w:ascii="宋体" w:hAnsi="宋体" w:eastAsia="宋体" w:cs="宋体"/>
          <w:b/>
          <w:bCs/>
          <w:color w:val="auto"/>
          <w:kern w:val="44"/>
          <w:szCs w:val="21"/>
          <w:highlight w:val="none"/>
          <w:lang w:val="zh-CN"/>
        </w:rPr>
        <w:t>五、开标与评标</w:t>
      </w:r>
      <w:bookmarkEnd w:id="180"/>
      <w:bookmarkEnd w:id="181"/>
      <w:bookmarkEnd w:id="182"/>
      <w:bookmarkEnd w:id="183"/>
      <w:bookmarkEnd w:id="184"/>
      <w:bookmarkEnd w:id="185"/>
      <w:bookmarkEnd w:id="18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142508338"/>
      <w:bookmarkStart w:id="188" w:name="_Toc450662873"/>
      <w:bookmarkStart w:id="189" w:name="_Toc7200"/>
      <w:bookmarkStart w:id="190" w:name="_Toc19284"/>
      <w:bookmarkStart w:id="191" w:name="_Toc144_WPSOffice_Level3"/>
      <w:bookmarkStart w:id="192" w:name="_Toc48616768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87"/>
      <w:bookmarkEnd w:id="188"/>
      <w:bookmarkEnd w:id="189"/>
      <w:bookmarkEnd w:id="190"/>
      <w:bookmarkEnd w:id="191"/>
      <w:bookmarkEnd w:id="19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142508339"/>
      <w:bookmarkStart w:id="194" w:name="_Toc450662874"/>
      <w:bookmarkStart w:id="195" w:name="_Toc1331"/>
      <w:bookmarkStart w:id="196" w:name="_Toc12165_WPSOffice_Level3"/>
      <w:bookmarkStart w:id="197" w:name="_Toc2038"/>
      <w:bookmarkStart w:id="198" w:name="_Toc48616768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193"/>
      <w:bookmarkEnd w:id="194"/>
      <w:bookmarkEnd w:id="195"/>
      <w:bookmarkEnd w:id="196"/>
      <w:bookmarkEnd w:id="197"/>
      <w:bookmarkEnd w:id="198"/>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42508340"/>
      <w:bookmarkStart w:id="200" w:name="_Toc833"/>
      <w:bookmarkStart w:id="201" w:name="_Toc13870"/>
      <w:bookmarkStart w:id="202" w:name="_Toc15565_WPSOffice_Level3"/>
      <w:bookmarkStart w:id="203" w:name="_Toc486167690"/>
      <w:bookmarkStart w:id="204" w:name="_Toc450662875"/>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199"/>
      <w:bookmarkEnd w:id="200"/>
      <w:bookmarkEnd w:id="201"/>
      <w:bookmarkEnd w:id="202"/>
      <w:bookmarkEnd w:id="203"/>
      <w:bookmarkEnd w:id="20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05" w:name="_Toc142508341"/>
      <w:bookmarkStart w:id="206" w:name="_Toc16481"/>
      <w:bookmarkStart w:id="207" w:name="_Toc486167691"/>
      <w:bookmarkStart w:id="208" w:name="_Toc450662876"/>
      <w:bookmarkStart w:id="209" w:name="_Toc31399"/>
      <w:bookmarkStart w:id="210" w:name="_Toc28910_WPSOffice_Level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05"/>
      <w:bookmarkEnd w:id="206"/>
      <w:bookmarkEnd w:id="207"/>
      <w:bookmarkEnd w:id="208"/>
      <w:bookmarkEnd w:id="209"/>
      <w:bookmarkEnd w:id="210"/>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1" w:name="_Toc338_WPSOffice_Level3"/>
      <w:bookmarkStart w:id="212" w:name="_Toc142508342"/>
      <w:bookmarkStart w:id="213" w:name="_Toc486167692"/>
      <w:bookmarkStart w:id="214" w:name="_Toc10130"/>
      <w:bookmarkStart w:id="215" w:name="_Toc450662877"/>
      <w:bookmarkStart w:id="216" w:name="_Toc24463"/>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11"/>
      <w:bookmarkEnd w:id="212"/>
      <w:bookmarkEnd w:id="213"/>
      <w:bookmarkEnd w:id="214"/>
      <w:bookmarkEnd w:id="215"/>
      <w:bookmarkEnd w:id="21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1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17"/>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18" w:name="_Toc521918096"/>
      <w:bookmarkStart w:id="219" w:name="_Toc522047355"/>
      <w:bookmarkStart w:id="220" w:name="_Toc18368_WPSOffice_Level3"/>
      <w:bookmarkStart w:id="221" w:name="_Toc142508343"/>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2" w:name="_Toc18726"/>
      <w:bookmarkStart w:id="223"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18"/>
      <w:bookmarkEnd w:id="219"/>
      <w:bookmarkEnd w:id="220"/>
      <w:bookmarkEnd w:id="221"/>
      <w:bookmarkEnd w:id="222"/>
      <w:bookmarkEnd w:id="22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24" w:name="_Toc522047356"/>
      <w:bookmarkStart w:id="225" w:name="_Toc52191809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6" w:name="_Toc31279"/>
      <w:bookmarkStart w:id="227" w:name="_Toc30128"/>
      <w:bookmarkStart w:id="228" w:name="_Toc21460_WPSOffice_Level3"/>
      <w:bookmarkStart w:id="229" w:name="_Toc14250834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24"/>
      <w:bookmarkEnd w:id="225"/>
      <w:bookmarkEnd w:id="226"/>
      <w:bookmarkEnd w:id="227"/>
      <w:bookmarkEnd w:id="228"/>
      <w:bookmarkEnd w:id="22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0" w:leftChars="-100" w:hanging="210" w:hanging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14352"/>
      <w:bookmarkStart w:id="231" w:name="_Toc486167694"/>
      <w:bookmarkStart w:id="232" w:name="_Toc15841"/>
      <w:bookmarkStart w:id="233" w:name="_Toc32498_WPSOffice_Level3"/>
      <w:bookmarkStart w:id="234" w:name="_Toc466882017"/>
      <w:bookmarkStart w:id="235" w:name="_Toc142508345"/>
      <w:bookmarkStart w:id="236" w:name="_Toc46535896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30"/>
      <w:bookmarkEnd w:id="231"/>
      <w:bookmarkEnd w:id="232"/>
      <w:bookmarkEnd w:id="233"/>
      <w:bookmarkEnd w:id="234"/>
      <w:bookmarkEnd w:id="235"/>
      <w:bookmarkEnd w:id="236"/>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37" w:name="_Toc486167695"/>
      <w:bookmarkStart w:id="238" w:name="_Toc1848_WPSOffice_Level3"/>
      <w:bookmarkStart w:id="239" w:name="_Toc465358970"/>
      <w:bookmarkStart w:id="240" w:name="_Toc142508346"/>
      <w:bookmarkStart w:id="241" w:name="_Toc19747"/>
      <w:bookmarkStart w:id="242" w:name="_Toc26138"/>
      <w:bookmarkStart w:id="243" w:name="_Toc46688201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37"/>
      <w:bookmarkEnd w:id="238"/>
      <w:bookmarkEnd w:id="239"/>
      <w:bookmarkEnd w:id="240"/>
      <w:bookmarkEnd w:id="241"/>
      <w:bookmarkEnd w:id="242"/>
      <w:bookmarkEnd w:id="243"/>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244" w:name="_Toc465358971"/>
      <w:bookmarkStart w:id="245"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46" w:name="_Toc142508347"/>
      <w:bookmarkStart w:id="247" w:name="_Toc486167696"/>
      <w:bookmarkStart w:id="248" w:name="_Toc10867_WPSOffice_Level3"/>
      <w:bookmarkStart w:id="249" w:name="_Toc26035"/>
      <w:bookmarkStart w:id="250" w:name="_Toc7364"/>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44"/>
      <w:bookmarkEnd w:id="245"/>
      <w:bookmarkEnd w:id="246"/>
      <w:bookmarkEnd w:id="247"/>
      <w:bookmarkEnd w:id="248"/>
      <w:bookmarkEnd w:id="249"/>
      <w:bookmarkEnd w:id="250"/>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51"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2" w:name="_Toc140596907"/>
      <w:bookmarkStart w:id="253" w:name="_Toc18316"/>
      <w:bookmarkStart w:id="254" w:name="_Toc486167697"/>
      <w:bookmarkStart w:id="255" w:name="_Toc142508348"/>
      <w:bookmarkStart w:id="256" w:name="_Toc22275"/>
      <w:bookmarkStart w:id="257" w:name="_Toc16848_WPSOffice_Level2"/>
      <w:r>
        <w:rPr>
          <w:rFonts w:hint="eastAsia" w:ascii="宋体" w:hAnsi="宋体" w:eastAsia="宋体" w:cs="宋体"/>
          <w:b/>
          <w:bCs/>
          <w:color w:val="auto"/>
          <w:kern w:val="44"/>
          <w:szCs w:val="21"/>
          <w:highlight w:val="none"/>
          <w:lang w:val="zh-CN"/>
        </w:rPr>
        <w:t>六、授予合同</w:t>
      </w:r>
      <w:bookmarkEnd w:id="251"/>
      <w:bookmarkEnd w:id="252"/>
      <w:bookmarkEnd w:id="253"/>
      <w:bookmarkEnd w:id="254"/>
      <w:bookmarkEnd w:id="255"/>
      <w:bookmarkEnd w:id="256"/>
      <w:bookmarkEnd w:id="25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8" w:name="_Toc25540"/>
      <w:bookmarkStart w:id="259" w:name="_Toc450662881"/>
      <w:bookmarkStart w:id="260" w:name="_Toc142508349"/>
      <w:bookmarkStart w:id="261" w:name="_Toc27599"/>
      <w:bookmarkStart w:id="262" w:name="_Toc486167698"/>
      <w:bookmarkStart w:id="263" w:name="_Toc6401_WPSOffice_Level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58"/>
      <w:bookmarkEnd w:id="259"/>
      <w:bookmarkEnd w:id="260"/>
      <w:bookmarkEnd w:id="261"/>
      <w:bookmarkEnd w:id="262"/>
      <w:bookmarkEnd w:id="263"/>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val="0"/>
          <w:bCs/>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64"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5" w:name="_Toc26117"/>
      <w:bookmarkStart w:id="266" w:name="_Toc486167699"/>
      <w:bookmarkStart w:id="267" w:name="_Toc6726_WPSOffice_Level3"/>
      <w:bookmarkStart w:id="268" w:name="_Toc142508350"/>
      <w:bookmarkStart w:id="269" w:name="_Toc242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64"/>
      <w:bookmarkEnd w:id="265"/>
      <w:bookmarkEnd w:id="266"/>
      <w:bookmarkEnd w:id="267"/>
      <w:bookmarkEnd w:id="268"/>
      <w:bookmarkEnd w:id="269"/>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142508351"/>
      <w:bookmarkStart w:id="272" w:name="_Toc9694_WPSOffice_Level3"/>
      <w:bookmarkStart w:id="273" w:name="_Toc486167700"/>
      <w:bookmarkStart w:id="274" w:name="_Toc32732"/>
      <w:bookmarkStart w:id="275" w:name="_Toc1027"/>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70"/>
      <w:bookmarkEnd w:id="271"/>
      <w:bookmarkEnd w:id="272"/>
      <w:bookmarkEnd w:id="273"/>
      <w:bookmarkEnd w:id="274"/>
      <w:bookmarkEnd w:id="275"/>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tabs>
          <w:tab w:val="left" w:pos="540"/>
        </w:tabs>
        <w:autoSpaceDE w:val="0"/>
        <w:autoSpaceDN w:val="0"/>
        <w:adjustRightInd w:val="0"/>
        <w:snapToGrid/>
        <w:spacing w:line="360" w:lineRule="auto"/>
        <w:ind w:left="330" w:leftChars="-100" w:right="15" w:rightChars="7" w:hanging="54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在签署合同前，招标人可对中标人投标报价的算术性错误进行修正，修正原则为：</w:t>
      </w:r>
    </w:p>
    <w:p>
      <w:pPr>
        <w:tabs>
          <w:tab w:val="left" w:pos="540"/>
        </w:tabs>
        <w:autoSpaceDE w:val="0"/>
        <w:autoSpaceDN w:val="0"/>
        <w:adjustRightInd w:val="0"/>
        <w:snapToGrid/>
        <w:spacing w:line="360" w:lineRule="auto"/>
        <w:ind w:left="330" w:leftChars="-100" w:right="15" w:rightChars="7" w:hanging="540" w:firstLineChars="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当以数字表示的报价系数与以文字表示的报价系数不一致时，以文字表示的报价系数为准。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276" w:name="_Toc142508352"/>
      <w:bookmarkStart w:id="277" w:name="_Toc486167701"/>
      <w:bookmarkStart w:id="278" w:name="_Toc10513_WPSOffice_Level3"/>
      <w:bookmarkStart w:id="279" w:name="_Toc450662887"/>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0" w:name="_Toc8411"/>
      <w:bookmarkStart w:id="281"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76"/>
      <w:bookmarkEnd w:id="277"/>
      <w:bookmarkEnd w:id="278"/>
      <w:bookmarkEnd w:id="279"/>
      <w:bookmarkEnd w:id="280"/>
      <w:bookmarkEnd w:id="281"/>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82" w:name="_Toc466882025"/>
      <w:bookmarkStart w:id="283"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其中，采用履约保证金（银行转账形式）的金额为暂定合同价的5%，采用不可撤销银行履约保函形式的金额为暂定合同价的8%，采用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形式的金额为暂定合同价的8%，采用担保公司履约担保书形式的金额为暂定合同价的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Times New Roman"/>
          <w:color w:val="auto"/>
          <w:szCs w:val="21"/>
          <w:highlight w:val="none"/>
          <w:lang w:val="zh-CN" w:eastAsia="zh-CN"/>
        </w:rPr>
        <w:t>应从合同签订之日起至合同期限届满并全部货物经最终验收合格，招标人向中标人支付全部款项（除质保金）后二十八（28）日内保持有效</w:t>
      </w:r>
      <w:r>
        <w:rPr>
          <w:rFonts w:hint="eastAsia" w:ascii="宋体" w:hAnsi="宋体" w:eastAsia="宋体" w:cs="Times New Roman"/>
          <w:color w:val="auto"/>
          <w:szCs w:val="21"/>
          <w:highlight w:val="none"/>
          <w:lang w:val="zh-CN"/>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35.4</w:t>
      </w:r>
      <w:r>
        <w:rPr>
          <w:rFonts w:hint="eastAsia" w:ascii="宋体" w:hAnsi="宋体" w:eastAsia="宋体" w:cs="宋体"/>
          <w:color w:val="auto"/>
          <w:kern w:val="0"/>
          <w:szCs w:val="21"/>
          <w:highlight w:val="none"/>
        </w:rPr>
        <w:t xml:space="preserve">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开户名称：</w:t>
      </w:r>
      <w:r>
        <w:rPr>
          <w:rFonts w:hint="eastAsia" w:ascii="宋体" w:hAnsi="宋体" w:eastAsia="宋体" w:cs="宋体"/>
          <w:b/>
          <w:bCs/>
          <w:color w:val="auto"/>
          <w:kern w:val="0"/>
          <w:szCs w:val="21"/>
          <w:highlight w:val="none"/>
          <w:lang w:eastAsia="zh-CN"/>
        </w:rPr>
        <w:t>东莞市石鼓净水有限公司</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银行账号：9440 0401 0000 1571 27</w:t>
      </w:r>
    </w:p>
    <w:p>
      <w:pPr>
        <w:autoSpaceDE w:val="0"/>
        <w:autoSpaceDN w:val="0"/>
        <w:adjustRightInd w:val="0"/>
        <w:spacing w:line="360" w:lineRule="auto"/>
        <w:ind w:left="638" w:leftChars="304" w:firstLine="0" w:firstLineChars="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开户银行：邮政储蓄东莞分行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中标人以履约保证金（银行转账形式）提供履约担保的在依法完成本项目的所有合同义务，且招标人向中标人支付全部款项（除质保金）后二十八（28）日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4" w:name="_Toc486167702"/>
      <w:bookmarkStart w:id="285" w:name="_Toc20428"/>
      <w:bookmarkStart w:id="286" w:name="_Toc142508353"/>
      <w:bookmarkStart w:id="287" w:name="_Toc1303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82"/>
      <w:bookmarkEnd w:id="283"/>
      <w:bookmarkEnd w:id="284"/>
      <w:bookmarkEnd w:id="285"/>
      <w:bookmarkEnd w:id="286"/>
      <w:bookmarkEnd w:id="287"/>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88"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9" w:name="_Toc142508354"/>
      <w:bookmarkStart w:id="290" w:name="_Toc28921_WPSOffice_Level3"/>
      <w:bookmarkStart w:id="291" w:name="_Toc14372"/>
      <w:bookmarkStart w:id="292" w:name="_Toc486167703"/>
      <w:bookmarkStart w:id="293" w:name="_Toc13497"/>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288"/>
      <w:bookmarkEnd w:id="289"/>
      <w:bookmarkEnd w:id="290"/>
      <w:bookmarkEnd w:id="291"/>
      <w:bookmarkEnd w:id="292"/>
      <w:bookmarkEnd w:id="293"/>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4"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6764_WPSOffice_Level3"/>
      <w:bookmarkStart w:id="296" w:name="_Toc142508355"/>
      <w:bookmarkStart w:id="297" w:name="_Toc26292"/>
      <w:bookmarkStart w:id="298" w:name="_Toc27171"/>
      <w:bookmarkStart w:id="299"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294"/>
      <w:bookmarkEnd w:id="295"/>
      <w:bookmarkEnd w:id="296"/>
      <w:bookmarkEnd w:id="297"/>
      <w:bookmarkEnd w:id="298"/>
      <w:bookmarkEnd w:id="299"/>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w:t>
      </w:r>
      <w:r>
        <w:rPr>
          <w:rFonts w:hint="eastAsia" w:ascii="宋体" w:hAnsi="宋体" w:eastAsia="宋体" w:cs="Times New Roman"/>
          <w:color w:val="auto"/>
          <w:szCs w:val="21"/>
          <w:highlight w:val="none"/>
          <w:lang w:val="en-US" w:eastAsia="zh-CN"/>
        </w:rPr>
        <w:t>发票</w:t>
      </w:r>
      <w:r>
        <w:rPr>
          <w:rFonts w:hint="eastAsia" w:ascii="宋体" w:hAnsi="宋体" w:eastAsia="宋体" w:cs="Times New Roman"/>
          <w:color w:val="auto"/>
          <w:szCs w:val="21"/>
          <w:highlight w:val="none"/>
          <w:lang w:val="zh-CN"/>
        </w:rPr>
        <w:t>。</w:t>
      </w:r>
      <w:bookmarkStart w:id="300" w:name="_Toc31106_WPSOffice_Level3"/>
      <w:bookmarkStart w:id="301" w:name="_Toc486167705"/>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02" w:name="_Toc12546"/>
      <w:bookmarkStart w:id="303" w:name="_Toc16304"/>
      <w:bookmarkStart w:id="304" w:name="_Toc142508356"/>
      <w:r>
        <w:rPr>
          <w:rFonts w:ascii="宋体" w:hAnsi="宋体" w:eastAsia="宋体" w:cs="宋体"/>
          <w:b/>
          <w:color w:val="auto"/>
          <w:szCs w:val="21"/>
          <w:highlight w:val="none"/>
        </w:rPr>
        <w:t>39 招标相关补充约定</w:t>
      </w:r>
      <w:bookmarkEnd w:id="302"/>
      <w:bookmarkEnd w:id="303"/>
      <w:bookmarkEnd w:id="304"/>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05" w:name="_Toc11263"/>
      <w:bookmarkStart w:id="306" w:name="_Toc142508357"/>
      <w:bookmarkStart w:id="307"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00"/>
      <w:bookmarkEnd w:id="301"/>
      <w:bookmarkEnd w:id="305"/>
      <w:bookmarkEnd w:id="306"/>
      <w:bookmarkEnd w:id="307"/>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08" w:name="_Toc28218"/>
      <w:bookmarkStart w:id="309" w:name="_Toc450662891"/>
      <w:bookmarkStart w:id="310" w:name="_Toc27939_WPSOffice_Level1"/>
      <w:bookmarkStart w:id="311" w:name="_Toc142508358"/>
      <w:bookmarkStart w:id="312" w:name="_Toc486167706"/>
      <w:bookmarkStart w:id="313" w:name="_Toc32105"/>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08"/>
      <w:bookmarkEnd w:id="309"/>
      <w:bookmarkEnd w:id="310"/>
      <w:bookmarkEnd w:id="311"/>
      <w:bookmarkEnd w:id="312"/>
      <w:bookmarkEnd w:id="313"/>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 项目信息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东莞市石鼓净水有限公司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采购内容：紫外消毒设备零配件采购</w:t>
      </w:r>
    </w:p>
    <w:p>
      <w:pPr>
        <w:spacing w:line="160" w:lineRule="exact"/>
        <w:rPr>
          <w:rFonts w:hint="eastAsia" w:ascii="宋体" w:hAnsi="宋体" w:eastAsia="宋体" w:cs="宋体"/>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 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紫外线消毒设备在污水处理项目中用于出水细菌消杀，是确保污水处理项目出水达标排放的重要设备。长安新区厂、</w:t>
      </w:r>
      <w:r>
        <w:rPr>
          <w:rFonts w:hint="eastAsia" w:ascii="宋体" w:hAnsi="宋体" w:eastAsia="宋体" w:cs="宋体"/>
          <w:color w:val="auto"/>
          <w:sz w:val="21"/>
          <w:szCs w:val="21"/>
          <w:lang w:val="en-US" w:eastAsia="zh-CN"/>
        </w:rPr>
        <w:t>东城温塘厂、万江二期</w:t>
      </w:r>
      <w:r>
        <w:rPr>
          <w:rFonts w:hint="eastAsia" w:ascii="宋体" w:hAnsi="宋体" w:eastAsia="宋体" w:cs="宋体"/>
          <w:color w:val="auto"/>
          <w:sz w:val="21"/>
          <w:szCs w:val="21"/>
          <w:lang w:eastAsia="zh-CN"/>
        </w:rPr>
        <w:t>等1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个污水处理项目及市区厂提标、长安锦厦三洲厂提标等</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eastAsia="zh-CN"/>
        </w:rPr>
        <w:t>个提标项目安装特洁安（TROJAN）生产的紫外消毒设备，设备型号为TROJAN UV 3000PLUS。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紫外消毒设备日常运行中，零配件的消耗量较大，其中紫外灯管达到12000小时设计使用寿命时灯管光强降幅明显甚至熄灭损坏，清洗凝胶、除垢剂等耗材定期使用，而清洗罐、擦拭器密封件等存在磨损影响自动清洗效果，以及存在镇流器及紫外灯套管损坏、液压油管老化开裂等情况，需及时更换损坏零配件及补充常用耗材，以维持紫外线消毒设备正常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本项目是采购合格供应商1家，在供货期内按需及时向各运营项目提供特洁安紫外消毒设备零配件及耗材，确保紫外线消毒设备正常运行，保证运营项目出水达标排放。</w:t>
      </w:r>
    </w:p>
    <w:p>
      <w:pPr>
        <w:spacing w:line="160" w:lineRule="exact"/>
        <w:rPr>
          <w:rFonts w:hint="eastAsia" w:ascii="宋体" w:hAnsi="宋体" w:eastAsia="宋体" w:cs="宋体"/>
          <w:color w:val="auto"/>
          <w:sz w:val="21"/>
          <w:szCs w:val="21"/>
        </w:rPr>
      </w:pPr>
    </w:p>
    <w:p>
      <w:pPr>
        <w:numPr>
          <w:ilvl w:val="0"/>
          <w:numId w:val="2"/>
        </w:num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运营项目概况</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 xml:space="preserve"> 万江污水处理厂二期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万江污水处理厂二期的污水处理规模5万m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/d，总变化系数1.38，峰值流量2875m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万江污水处理厂二期安装TROJAN UV 3000 PLUS型紫外消毒设备1台，单台设备紫外灯管安装数量96根。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2</w:t>
      </w:r>
      <w:r>
        <w:rPr>
          <w:rFonts w:hint="eastAsia" w:ascii="宋体" w:hAnsi="宋体" w:eastAsia="宋体" w:cs="宋体"/>
          <w:b/>
          <w:bCs/>
          <w:color w:val="auto"/>
          <w:sz w:val="21"/>
          <w:szCs w:val="21"/>
        </w:rPr>
        <w:t>中堂污水处理厂二期</w:t>
      </w:r>
      <w:r>
        <w:rPr>
          <w:rFonts w:hint="eastAsia" w:ascii="宋体" w:hAnsi="宋体" w:eastAsia="宋体" w:cs="宋体"/>
          <w:b/>
          <w:color w:val="auto"/>
          <w:sz w:val="21"/>
          <w:szCs w:val="21"/>
        </w:rPr>
        <w:t xml:space="preserve"> </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中堂污水处理厂二期设计规模Q=5万m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/d，总变化系数1.32，峰值流量2750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中堂污水处理厂二期安装TROJAN UV 3000 PLUS型紫外消毒设备1台，单台设备紫外灯管安装数量96根。</w:t>
      </w:r>
    </w:p>
    <w:p>
      <w:pPr>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 xml:space="preserve">3.3 </w:t>
      </w:r>
      <w:r>
        <w:rPr>
          <w:rFonts w:hint="eastAsia" w:ascii="宋体" w:hAnsi="宋体" w:eastAsia="宋体" w:cs="宋体"/>
          <w:b/>
          <w:bCs/>
          <w:color w:val="auto"/>
          <w:sz w:val="21"/>
          <w:szCs w:val="21"/>
        </w:rPr>
        <w:t>虎门宁洲污水处理厂二期</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虎门宁洲污水处理厂二期污水处理规模10万m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/d，总变化系数1.3，峰值流量5417m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 标准及广东省地方标准《水污染物排放限值》（DB44/26-2001）第二时段一级标准中较严值。</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虎门宁洲污水处理厂二期安装TROJAN UV 3000 PLUS型紫外消毒设备2台，单台设备紫外灯管安装数量96根。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xml:space="preserve"> 长安新区污水处理厂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长安新区污水处理厂污水处理规模20万m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/d，总变化系数1.3，峰值流量10833m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/h，出水水质达到《城镇污水处理厂污染物排放标准》（GB18918-2002）一级A标准、广东省地方标准《水污染物排放限值》（DB44/26-2001）第二时段一级标准及《茅洲河流域污染物排放标准》（DB44/ 2130-2018)三者中较严值。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长安新区污水处理厂安装TROJAN UV 3000 PLUS型紫外消毒设备4台，单台设备紫外灯管安装数量96根。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 xml:space="preserve"> 厚街沙塘污水处理厂二期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厚街沙塘污水处理厂二期污水处理规模10万m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/d，总变化系数1.3，峰值流量5417m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厚街沙塘污水处理厂二期安装TROJAN UV 3000 PLUS型紫外消毒设备2台，单台设备紫外灯管安装数量96根。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 xml:space="preserve"> 松山湖北部污水处理厂二期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松山湖北部污水处理厂二期污水处理规模5万m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/d，总变化系数1.3，峰值流量2708m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松山湖北部污水处理厂二期安装TROJAN UV 3000 PLUS型紫外消毒设备1台，单台设备紫外灯管安装数量96根。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 xml:space="preserve"> 黄江污水处理厂二期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黄江污水处理厂二期污水处理规模6万m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/d，总变化系数1.3，峰值流量3250m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黄江污水处理厂二期安装TROJAN UV 3000 PLUS型紫外消毒设备2台，单台设备紫外灯管安装数量56根。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 xml:space="preserve"> 东城温塘污水处理厂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东城温塘污水处理厂污水处理规模5万m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/d，总变化系数1.38，峰值流量2875m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东城温塘污水处理厂安装TROJAN UV 3000 PLUS型紫外消毒设备1台，单台设备紫外灯管安装数量96根。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9</w:t>
      </w:r>
      <w:r>
        <w:rPr>
          <w:rFonts w:hint="eastAsia" w:ascii="宋体" w:hAnsi="宋体" w:eastAsia="宋体" w:cs="宋体"/>
          <w:b/>
          <w:color w:val="auto"/>
          <w:sz w:val="21"/>
          <w:szCs w:val="21"/>
        </w:rPr>
        <w:t xml:space="preserve"> 凤岗竹塘污水处理厂二期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凤岗竹塘污水处理厂二期污水处理规模5万m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/d，总变化系数1.3，峰值流量2708m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凤岗竹塘污水处理厂二期安装TROJAN UV 3000 PLUS型紫外消毒设备2台，单台设备紫外灯管安装数量48根。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10</w:t>
      </w:r>
      <w:r>
        <w:rPr>
          <w:rFonts w:hint="eastAsia" w:ascii="宋体" w:hAnsi="宋体" w:eastAsia="宋体" w:cs="宋体"/>
          <w:b/>
          <w:color w:val="auto"/>
          <w:sz w:val="21"/>
          <w:szCs w:val="21"/>
        </w:rPr>
        <w:t xml:space="preserve"> 塘厦林村污水处理厂二期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塘厦林村污水处理厂二期污水处理规模4万m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/d，总变化系数1.32，峰值流量2200m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塘厦林村污水处理厂二期安装TROJAN UV 3000 PLUS型紫外消毒设备1台，单台设备紫外灯管安装数量80根。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11</w:t>
      </w:r>
      <w:r>
        <w:rPr>
          <w:rFonts w:hint="eastAsia" w:ascii="宋体" w:hAnsi="宋体" w:eastAsia="宋体" w:cs="宋体"/>
          <w:b/>
          <w:color w:val="auto"/>
          <w:sz w:val="21"/>
          <w:szCs w:val="21"/>
        </w:rPr>
        <w:t xml:space="preserve"> 樟木头污水处理厂三期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樟木头污水处理厂三期污水处理规模4万m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/d，总变化系数1.3，峰值流量2167m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樟木头污水处理厂三期安装TROJAN UV 3000 PLUS型紫外消毒设备1台，单台设备紫外灯管安装数量80根。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12</w:t>
      </w:r>
      <w:r>
        <w:rPr>
          <w:rFonts w:hint="eastAsia" w:ascii="宋体" w:hAnsi="宋体" w:eastAsia="宋体" w:cs="宋体"/>
          <w:b/>
          <w:color w:val="auto"/>
          <w:sz w:val="21"/>
          <w:szCs w:val="21"/>
        </w:rPr>
        <w:t xml:space="preserve"> 谢岗污水处理厂二期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谢岗污水处理厂二期污水处理规模3万m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/d，总变化系数1.3，峰值流量1625m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谢岗污水处理厂二期安装TROJAN UV 3000 PLUS型紫外消毒设备1台，单台设备紫外灯管安装数量56根。</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13</w:t>
      </w:r>
      <w:r>
        <w:rPr>
          <w:rFonts w:hint="eastAsia" w:ascii="宋体" w:hAnsi="宋体" w:eastAsia="宋体" w:cs="宋体"/>
          <w:b/>
          <w:color w:val="auto"/>
          <w:sz w:val="21"/>
          <w:szCs w:val="21"/>
        </w:rPr>
        <w:t xml:space="preserve"> 桥头污水处理厂二期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桥头污水处理厂二期污水处理规模4万m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/d，总变化系数1.3，峰值流量2167m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桥头污水处理厂二期安装TROJAN UV 3000 PLUS型紫外消毒设备1台，单台设备紫外灯管安装数量80根。</w:t>
      </w:r>
    </w:p>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3.1</w:t>
      </w:r>
      <w:r>
        <w:rPr>
          <w:rFonts w:hint="eastAsia" w:ascii="宋体" w:hAnsi="宋体" w:eastAsia="宋体" w:cs="宋体"/>
          <w:b/>
          <w:bCs/>
          <w:color w:val="auto"/>
          <w:sz w:val="21"/>
          <w:szCs w:val="21"/>
          <w:lang w:val="en-US" w:eastAsia="zh-CN"/>
        </w:rPr>
        <w:t>4</w:t>
      </w:r>
      <w:r>
        <w:rPr>
          <w:rFonts w:hint="eastAsia" w:ascii="宋体" w:hAnsi="宋体" w:eastAsia="宋体" w:cs="宋体"/>
          <w:b/>
          <w:color w:val="auto"/>
          <w:sz w:val="21"/>
          <w:szCs w:val="21"/>
        </w:rPr>
        <w:t xml:space="preserve"> 市区污水处理厂提标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市区污水处理厂提标污水处理规模40万m³/d，总变化系数1.3，峰值流量21667m³/h，出水水质达到《城镇污水处理厂污染物排放标准》（GB18918-2002）一级A标准及广东省地方标准《水污染物排放限值》（DB44/26-2001）第二时段一级标准中较严值（其中氨氮、总磷执行地表水IV类标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市区污水处理厂提标工程安装特洁安生产TROJAN UV 3000 PLUS型紫外消毒设备4台，单台设备紫外灯管安装数量192根。</w:t>
      </w:r>
    </w:p>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rPr>
        <w:t xml:space="preserve"> </w:t>
      </w:r>
      <w:r>
        <w:rPr>
          <w:rFonts w:hint="eastAsia" w:ascii="宋体" w:hAnsi="宋体" w:eastAsia="宋体" w:cs="宋体"/>
          <w:b/>
          <w:color w:val="auto"/>
          <w:sz w:val="21"/>
          <w:szCs w:val="21"/>
        </w:rPr>
        <w:t>麻涌污水处理厂一期提标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麻涌污水处理厂提标污水处理规模3万m³/d，总变化系数1.43，峰值流量1788m³/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麻涌污水处理厂提标安装特洁安生产TROJAN UV 3000 PLUS型紫外消毒设备1台，单台设备紫外灯管安装数量64根。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16</w:t>
      </w:r>
      <w:r>
        <w:rPr>
          <w:rFonts w:hint="eastAsia" w:ascii="宋体" w:hAnsi="宋体" w:eastAsia="宋体" w:cs="宋体"/>
          <w:b/>
          <w:bCs/>
          <w:color w:val="auto"/>
          <w:sz w:val="21"/>
          <w:szCs w:val="21"/>
        </w:rPr>
        <w:t xml:space="preserve"> 虎门宁洲污水处理厂一期提标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虎门宁洲污水处理厂一期提标污水处理规模10万m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/d，总变化系数1.3，峰值流量5417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/h，出水水质达到《城镇污水处理厂污染物排放标准》（GB18918-2002）一级A标准及广东省地方标准《水污染物排放限值》（DB44/26-2001）第二时段一级标准中较严值。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虎门宁洲污水处理厂一期提标安装TROJAN UV 3000 PLUS型紫外消毒设备2台，单台设备紫外灯管安装数量96根。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17</w:t>
      </w:r>
      <w:r>
        <w:rPr>
          <w:rFonts w:hint="eastAsia" w:ascii="宋体" w:hAnsi="宋体" w:eastAsia="宋体" w:cs="宋体"/>
          <w:b/>
          <w:bCs/>
          <w:color w:val="auto"/>
          <w:sz w:val="21"/>
          <w:szCs w:val="21"/>
        </w:rPr>
        <w:t xml:space="preserve"> 长安锦厦三洲水质净化厂提标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长安锦厦三洲水质净化厂提标污水处理规模15万m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/d，总变化系数1.3，峰值流量8125m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/h，出水水质达到《地表水环境质量标准》（GB3838-2002）中的Ⅳ类水体标准（除总氮外），即准Ⅳ类标准。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长安锦厦三洲水质净化厂提标安装TROJAN UV 3000 PLUS型紫外消毒设备3台，单台设备紫外灯管安装数量96根。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18</w:t>
      </w:r>
      <w:r>
        <w:rPr>
          <w:rFonts w:hint="eastAsia" w:ascii="宋体" w:hAnsi="宋体" w:eastAsia="宋体" w:cs="宋体"/>
          <w:b/>
          <w:bCs/>
          <w:color w:val="auto"/>
          <w:sz w:val="21"/>
          <w:szCs w:val="21"/>
        </w:rPr>
        <w:t xml:space="preserve"> 松山湖北部污水处理一期提标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松山湖北部污水处理厂一期提标污水处理规模5万m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/d，总变化系数1.38，峰值流量2875m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/h，出水水质达到《城镇污水处理厂污染物排放标准》（GB18918-2002）一级A标准和广东省地方标准《水污染排放限值》（DB44/26-2001）第二时段的一级标准中的较严值。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松山湖北部污水处理一期提标安装TROJAN UV 3000 PLUS型紫外消毒设备1台，单台设备紫外灯管安装数量96根。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19</w:t>
      </w:r>
      <w:r>
        <w:rPr>
          <w:rFonts w:hint="eastAsia" w:ascii="宋体" w:hAnsi="宋体" w:eastAsia="宋体" w:cs="宋体"/>
          <w:b/>
          <w:bCs/>
          <w:color w:val="auto"/>
          <w:sz w:val="21"/>
          <w:szCs w:val="21"/>
        </w:rPr>
        <w:t xml:space="preserve"> 黄江污水处理厂一期提标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黄江污水处理厂一期提标污水处理规模4万m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/d，总变化系数1.41，峰值流量2350m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/h，出水水质达到《城镇污水处理厂污染物排放标准》（GB18918-2002）一级A标准及广东省地方标准《水污染排放限值》（DB44/26-2001）第二时段的一级标准中的较严值。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黄江污水处理厂一期提标安装TROJAN UV 3000 PLUS型紫外消毒设备1台，单台设备紫外灯管安装数量64根。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20</w:t>
      </w:r>
      <w:r>
        <w:rPr>
          <w:rFonts w:hint="eastAsia" w:ascii="宋体" w:hAnsi="宋体" w:eastAsia="宋体" w:cs="宋体"/>
          <w:b/>
          <w:bCs/>
          <w:color w:val="auto"/>
          <w:sz w:val="21"/>
          <w:szCs w:val="21"/>
        </w:rPr>
        <w:t xml:space="preserve"> 凤岗虾公潭污水处理厂提标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凤岗虾公潭污水处理厂提标污水处理规模2万m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/d，总变化系数1.5，峰值流量1250m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凤岗虾公潭污水处理厂提标安装TROJAN UV 3000PLUS紫外消毒设备1台，单台设备安装数量48根。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bCs/>
          <w:color w:val="auto"/>
          <w:sz w:val="21"/>
          <w:szCs w:val="21"/>
          <w:lang w:val="en-US" w:eastAsia="zh-CN"/>
        </w:rPr>
        <w:t>21</w:t>
      </w:r>
      <w:r>
        <w:rPr>
          <w:rFonts w:hint="eastAsia" w:ascii="宋体" w:hAnsi="宋体" w:eastAsia="宋体" w:cs="宋体"/>
          <w:b/>
          <w:bCs/>
          <w:color w:val="auto"/>
          <w:sz w:val="21"/>
          <w:szCs w:val="21"/>
        </w:rPr>
        <w:t xml:space="preserve"> 凤岗雁田污水处理厂提标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凤岗雁田污水处理厂提标污水处理规模5万m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/d，总变化系数1.38，峰值流量2875m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 ，出水水质达到《城镇污水处理厂污染物排放标准》（GB18918-2002）一级A标准、广东省地方标准《水污染物排放限值》（DB44/26-2001）第二时段一级标准及广东省《淡水河、石马河流域水污染物排放标准》(DB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凤岗雁田污水处理厂提标安装TROJAN UV 3000PLUS紫外消毒设备1台，单台设备安装数量96根。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 xml:space="preserve"> 凤岗竹塘污水处理厂一期提标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凤岗竹塘污水处理厂一期提标污水处理规模4万m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/d，总变化系数1.41，峰值流量2350m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凤岗竹塘污水处理厂一期提标安装TROJAN UV 3000PLUS型紫外消毒设备1台，单台设备安装数量80根灯管。</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 xml:space="preserve"> 塘厦林村污水处理厂一期提标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塘厦林村污水处理厂一期提标污水处理规模12万m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/d，总变化系数1.3，峰值流量6500m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塘厦林村污水处理厂一期提标安装TROJAN UV 3000PLUS型紫外消毒设备2台，单台设备紫外灯管安装数量112根。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 xml:space="preserve"> 塘厦石桥头污水处理厂提标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塘厦石桥头污水处理厂提标污水处理规模4万m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/d，总变化系数1.41，峰值流量2350m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塘厦石桥头污水处理厂提标工程安装TROJAN UV 3000PLUS型紫外消毒设备1台，单台设备紫外灯管安装数量80根。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 xml:space="preserve"> 樟木头污水处理厂一二期提标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樟木头污水处理厂一二期提标污水处理规模6万m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/d，总变化系数1.3，峰值流量3250m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樟木头污水处理厂一二期提标安装TROJAN UV 3000PLUS型紫外消毒设备1台，单台设备紫外灯管安装数量112根。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 xml:space="preserve"> 谢岗污水处理厂一期提标</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谢岗污水处理厂一期提标污水处理规模3万m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/d，总变化系数1.45，峰值流量1812.5m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谢岗污水处理厂一期提标安装TROJAN UV 3000PLUS紫外消毒设备1台，单台设备紫外灯管安装数量64根。</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 xml:space="preserve"> 桥头污水处理厂一期提标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桥头污水处理厂一期提标污水处理规模4万m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/d，总变化系数1.41，峰值流量2350m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/h，出水水质达到《城镇污水处理厂污染物排放标准》（GB18918-2002）一级A标准、广东省地方标准《水污染物排放限值》（DB44/26-2001）第二时段一级标准及广东省《淡水河、石马河流域水污染物排放标准》(DB 44/2050-2017)第二时段排放标准三者中较严值。</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桥头污水处理厂一期提标安装TROJAN UV 3000PLUS紫外消毒设备1台，单台设备紫外灯管安装数量80根。</w:t>
      </w:r>
    </w:p>
    <w:p>
      <w:pPr>
        <w:spacing w:line="160" w:lineRule="exact"/>
        <w:rPr>
          <w:rFonts w:hint="eastAsia" w:ascii="宋体" w:hAnsi="宋体" w:eastAsia="宋体" w:cs="宋体"/>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4.采购清单及要求</w:t>
      </w:r>
    </w:p>
    <w:p>
      <w:pPr>
        <w:spacing w:line="360"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4.1采购</w:t>
      </w:r>
      <w:r>
        <w:rPr>
          <w:rFonts w:hint="eastAsia" w:ascii="宋体" w:hAnsi="宋体" w:eastAsia="宋体" w:cs="宋体"/>
          <w:b/>
          <w:color w:val="auto"/>
          <w:sz w:val="21"/>
          <w:szCs w:val="21"/>
          <w:lang w:val="en-US" w:eastAsia="zh-CN"/>
        </w:rPr>
        <w:t>货物情况</w:t>
      </w:r>
    </w:p>
    <w:p>
      <w:pPr>
        <w:spacing w:line="360" w:lineRule="auto"/>
        <w:ind w:firstLine="0" w:firstLineChars="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（1）采购货物清单如下</w:t>
      </w:r>
    </w:p>
    <w:tbl>
      <w:tblPr>
        <w:tblStyle w:val="36"/>
        <w:tblW w:w="10370" w:type="dxa"/>
        <w:jc w:val="center"/>
        <w:shd w:val="clear" w:color="auto" w:fill="auto"/>
        <w:tblLayout w:type="fixed"/>
        <w:tblCellMar>
          <w:top w:w="0" w:type="dxa"/>
          <w:left w:w="108" w:type="dxa"/>
          <w:bottom w:w="0" w:type="dxa"/>
          <w:right w:w="108" w:type="dxa"/>
        </w:tblCellMar>
      </w:tblPr>
      <w:tblGrid>
        <w:gridCol w:w="694"/>
        <w:gridCol w:w="2040"/>
        <w:gridCol w:w="1376"/>
        <w:gridCol w:w="1392"/>
        <w:gridCol w:w="1896"/>
        <w:gridCol w:w="1178"/>
        <w:gridCol w:w="678"/>
        <w:gridCol w:w="1116"/>
      </w:tblGrid>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污水处理项目</w:t>
            </w: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一、万江污水处理厂二期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二、中堂污水处理厂二期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三、虎门宁洲污水处理厂二期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四、长安新区污水处理厂</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通讯拓展模块</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931088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五、厚街污水处理厂二期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通讯拓展模块</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931088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六、松北污水处理厂二期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七、黄江污水处理厂二期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327125光强探头 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清洗罐连接软管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(英尺)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327030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清洗罐塞子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327095P，10个/包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八、温塘污水处理厂</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九、竹塘污水处理厂二期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十、林村污水处理厂二期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十一、樟木头污水处理厂三期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第2/6个清洗罐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第3/7个清洗罐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327125-020STDMID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第4/5个清洗罐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327125-020STDCYL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第8个清洗罐（底部）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327125-180PLGBOT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十二、谢岗污水处理厂二期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十三、桥头污水处理厂二期</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提标项目</w:t>
            </w: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一、市区污水处理厂提标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蓝色液压软管（含接头、母头）长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907624-04F157BL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蓝色液压软管（含接头、公头）短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907624-04M078BL</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黑色液压软管（含接头、公头）长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907624-04F162BK</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黑色液压软管（含接头、母头）短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907624-04F083BK</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二、麻涌污水处理厂一期提标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三、虎门宁洲污水处理厂一期提标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四、长安锦厦三洲污水处理厂提标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CCB母板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931096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五、松北污水处理厂一期提标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六、黄江污水处理厂一期提标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327125光强探头 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 2～7标准模块清洗罐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 1、8标准模块清洗罐</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擦拭器连接胶管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清洗罐泄压阀</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821161</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蓝色液压软管（含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接头、母头）长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907624-04F157BL</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蓝色液压软管（含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接头、公头）短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907624-04M078BL</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黑色液压软管（含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接头、公头）长</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907624-04F162BK</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黑色液压软管（含接头、母头）短</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907624-04F083BK</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七、虾公潭污水处理厂提标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bidi="ar"/>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第2个清洗罐（中间）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第8个清洗罐（底部）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327125-180PLGBOT</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刮擦清洗圈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编号327021，35*4mm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八、雁田污水处理厂提标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第1个清洗罐(顶部)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327125-180PLGTOP</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第2/6个清洗罐</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327125-180STDMID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液压油</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TELLUS S2 VX15 20L/桶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套管锁紧螺母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316148P，10个/包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套管弹簧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901376P，10个/包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刮擦清洗圈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编号327021，35*4mm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九、竹塘一期污水处理厂提标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光强传感器套管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15239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UV3+（弯头）（白色连接头）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327066P，10个/包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UV3+（直头）（白色连接头）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327027P，10个/包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十、林村污水处理厂提标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十一、石桥头污水处理厂提标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套管密封圈</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316144P，10个/包</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擦拭器密封件(包含一根短氟橡胶管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327122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十二、樟木头污水处理厂提标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316505-078X</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PDC内光强传感器电缆线(连接CCB板和传感器电缆，包含插头)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液压驱动杆</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326411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十三、谢岗污水处理厂一期提标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镇流器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917341-100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紫外灯套管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316136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清洗凝胶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901507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通用除垢剂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力猛威 4L/瓶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润滑脂</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JET-LUB CC LUBE 70550 14oz/支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10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十四、桥头污水处理厂一期提标</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备件名称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设备品牌</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设备型号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原配件编号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采购数量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紫外灯管</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794447-ORD</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光强传感器（含电缆线）</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015393-S-158NB</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u w:val="none"/>
                <w:lang w:bidi="ar"/>
              </w:rPr>
            </w:pPr>
          </w:p>
        </w:tc>
      </w:tr>
      <w:tr>
        <w:tblPrEx>
          <w:shd w:val="clear" w:color="auto" w:fill="auto"/>
          <w:tblCellMar>
            <w:top w:w="0" w:type="dxa"/>
            <w:left w:w="108" w:type="dxa"/>
            <w:bottom w:w="0" w:type="dxa"/>
            <w:right w:w="108" w:type="dxa"/>
          </w:tblCellMar>
        </w:tblPrEx>
        <w:trPr>
          <w:trHeight w:val="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传感器电缆套件（含电缆和扣环）</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特洁安</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UV3000 PLUS</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015509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1"/>
                <w:szCs w:val="21"/>
                <w:u w:val="none"/>
                <w:lang w:bidi="ar"/>
              </w:rPr>
            </w:pPr>
          </w:p>
        </w:tc>
      </w:tr>
    </w:tbl>
    <w:p>
      <w:pPr>
        <w:spacing w:before="164" w:beforeLines="50" w:line="360" w:lineRule="auto"/>
        <w:ind w:firstLine="495" w:firstLineChars="236"/>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备注：以上现有设备的设备品牌、设备型号及原配件编号信息仅供投标人投标时选型参考。</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本次采购数量为暂定数量，仅为便于计算暂定合同价使用，不作为招标人最终采购数量的保证。实际需求数量以招标人各运营项目具体供货通知为准，按实结算。综合单价不随数量的变化而增减。投标人不得因招标人实际采购数量的减少或增加而要求提供任何形式的补偿或赔偿，或者要求招标人按暂定数量采购相应货物。</w:t>
      </w:r>
    </w:p>
    <w:p>
      <w:pPr>
        <w:spacing w:line="360" w:lineRule="auto"/>
        <w:ind w:firstLine="498" w:firstLineChars="236"/>
        <w:rPr>
          <w:rFonts w:hint="eastAsia" w:ascii="宋体" w:hAnsi="宋体" w:eastAsia="宋体" w:cs="宋体"/>
          <w:b/>
          <w:bCs/>
          <w:color w:val="auto"/>
          <w:sz w:val="21"/>
          <w:szCs w:val="21"/>
        </w:rPr>
      </w:pPr>
      <w:r>
        <w:rPr>
          <w:rFonts w:hint="eastAsia" w:ascii="宋体" w:hAnsi="宋体" w:eastAsia="宋体" w:cs="宋体"/>
          <w:b/>
          <w:bCs/>
          <w:i w:val="0"/>
          <w:iCs w:val="0"/>
          <w:caps w:val="0"/>
          <w:color w:val="auto"/>
          <w:spacing w:val="0"/>
          <w:sz w:val="21"/>
          <w:szCs w:val="21"/>
          <w:shd w:val="clear"/>
          <w:lang w:bidi="ar-SA"/>
        </w:rPr>
        <w:t>合同履约过程中，如</w:t>
      </w:r>
      <w:r>
        <w:rPr>
          <w:rFonts w:hint="eastAsia" w:ascii="宋体" w:hAnsi="宋体" w:eastAsia="宋体" w:cs="宋体"/>
          <w:b/>
          <w:bCs/>
          <w:i w:val="0"/>
          <w:iCs w:val="0"/>
          <w:caps w:val="0"/>
          <w:color w:val="auto"/>
          <w:spacing w:val="0"/>
          <w:sz w:val="21"/>
          <w:szCs w:val="21"/>
          <w:shd w:val="clear"/>
          <w:lang w:eastAsia="zh-CN" w:bidi="ar-SA"/>
        </w:rPr>
        <w:t>招标人</w:t>
      </w:r>
      <w:r>
        <w:rPr>
          <w:rFonts w:hint="eastAsia" w:ascii="宋体" w:hAnsi="宋体" w:eastAsia="宋体" w:cs="宋体"/>
          <w:b/>
          <w:bCs/>
          <w:i w:val="0"/>
          <w:iCs w:val="0"/>
          <w:caps w:val="0"/>
          <w:color w:val="auto"/>
          <w:spacing w:val="0"/>
          <w:sz w:val="21"/>
          <w:szCs w:val="21"/>
          <w:shd w:val="clear"/>
          <w:lang w:bidi="ar-SA"/>
        </w:rPr>
        <w:t>有新增的运营项目需要供货的，按不含税中标单价与</w:t>
      </w:r>
      <w:r>
        <w:rPr>
          <w:rFonts w:hint="eastAsia" w:ascii="宋体" w:hAnsi="宋体" w:eastAsia="宋体" w:cs="宋体"/>
          <w:b/>
          <w:bCs/>
          <w:i w:val="0"/>
          <w:iCs w:val="0"/>
          <w:caps w:val="0"/>
          <w:color w:val="auto"/>
          <w:spacing w:val="0"/>
          <w:sz w:val="21"/>
          <w:szCs w:val="21"/>
          <w:shd w:val="clear"/>
          <w:lang w:val="en-US" w:eastAsia="zh-CN" w:bidi="ar-SA"/>
        </w:rPr>
        <w:t>中标人</w:t>
      </w:r>
      <w:r>
        <w:rPr>
          <w:rFonts w:hint="eastAsia" w:ascii="宋体" w:hAnsi="宋体" w:eastAsia="宋体" w:cs="宋体"/>
          <w:b/>
          <w:bCs/>
          <w:i w:val="0"/>
          <w:iCs w:val="0"/>
          <w:caps w:val="0"/>
          <w:color w:val="auto"/>
          <w:spacing w:val="0"/>
          <w:sz w:val="21"/>
          <w:szCs w:val="21"/>
          <w:shd w:val="clear"/>
          <w:lang w:bidi="ar-SA"/>
        </w:rPr>
        <w:t>签订补充协议</w:t>
      </w:r>
      <w:r>
        <w:rPr>
          <w:rFonts w:hint="eastAsia" w:ascii="宋体" w:hAnsi="宋体" w:eastAsia="宋体" w:cs="宋体"/>
          <w:b/>
          <w:bCs/>
          <w:i w:val="0"/>
          <w:iCs w:val="0"/>
          <w:caps w:val="0"/>
          <w:color w:val="auto"/>
          <w:spacing w:val="0"/>
          <w:sz w:val="21"/>
          <w:szCs w:val="21"/>
          <w:shd w:val="clear"/>
          <w:lang w:eastAsia="zh-CN" w:bidi="ar-SA"/>
        </w:rPr>
        <w:t>。</w:t>
      </w:r>
    </w:p>
    <w:p>
      <w:pPr>
        <w:spacing w:line="360" w:lineRule="auto"/>
        <w:ind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4.2 供货要求</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w:t>
      </w:r>
      <w:r>
        <w:rPr>
          <w:rFonts w:hint="eastAsia" w:ascii="宋体" w:hAnsi="宋体" w:eastAsia="宋体" w:cs="宋体"/>
          <w:color w:val="auto"/>
          <w:sz w:val="21"/>
          <w:szCs w:val="21"/>
        </w:rPr>
        <w:t>货</w:t>
      </w:r>
      <w:r>
        <w:rPr>
          <w:rFonts w:hint="eastAsia" w:ascii="宋体" w:hAnsi="宋体" w:eastAsia="宋体" w:cs="宋体"/>
          <w:color w:val="auto"/>
          <w:sz w:val="21"/>
          <w:szCs w:val="21"/>
          <w:lang w:val="en-US" w:eastAsia="zh-CN"/>
        </w:rPr>
        <w:t>时间</w:t>
      </w:r>
      <w:r>
        <w:rPr>
          <w:rFonts w:hint="eastAsia" w:ascii="宋体" w:hAnsi="宋体" w:eastAsia="宋体" w:cs="宋体"/>
          <w:color w:val="auto"/>
          <w:sz w:val="21"/>
          <w:szCs w:val="21"/>
        </w:rPr>
        <w:t>：自招标人书面通知之日</w:t>
      </w:r>
      <w:r>
        <w:rPr>
          <w:rFonts w:hint="eastAsia" w:ascii="宋体" w:hAnsi="宋体" w:eastAsia="宋体" w:cs="宋体"/>
          <w:color w:val="auto"/>
          <w:sz w:val="21"/>
          <w:szCs w:val="21"/>
          <w:lang w:val="en-US" w:eastAsia="zh-CN"/>
        </w:rPr>
        <w:t>起至2025年3月31日</w:t>
      </w:r>
      <w:r>
        <w:rPr>
          <w:rFonts w:hint="eastAsia" w:ascii="宋体" w:hAnsi="宋体" w:eastAsia="宋体" w:cs="宋体"/>
          <w:color w:val="auto"/>
          <w:sz w:val="21"/>
          <w:szCs w:val="21"/>
        </w:rPr>
        <w:t>。供货期限满后，双方经友好协商一致之后，可在保持中标综合单价不变的情况下，签订补充协议延长供货资格期限，延长的供货资格期限原则上不超过三个月。</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交货</w:t>
      </w:r>
      <w:r>
        <w:rPr>
          <w:rFonts w:hint="eastAsia" w:ascii="宋体" w:hAnsi="宋体" w:eastAsia="宋体" w:cs="宋体"/>
          <w:color w:val="auto"/>
          <w:sz w:val="21"/>
          <w:szCs w:val="21"/>
          <w:lang w:val="en-US" w:eastAsia="zh-CN"/>
        </w:rPr>
        <w:t>时间</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在供货时间内，</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自接到</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旗下污水处理项目及提标项目供货货物清单及发货通知后须在</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日内完成供货。对于部分货源不充足的货物，</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lang w:val="en-US" w:eastAsia="zh-CN"/>
        </w:rPr>
        <w:t>应及时</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旗下污水处理项目及提标项目沟通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旗下污水处理项目及提标项目同意后，</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可延长交货期。</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交货地点：</w:t>
      </w:r>
      <w:r>
        <w:rPr>
          <w:rFonts w:hint="eastAsia" w:ascii="宋体" w:hAnsi="宋体" w:eastAsia="宋体" w:cs="宋体"/>
          <w:color w:val="auto"/>
          <w:sz w:val="21"/>
          <w:szCs w:val="21"/>
          <w:lang w:eastAsia="zh-CN"/>
        </w:rPr>
        <w:t>东莞市石鼓净水有限公司</w:t>
      </w:r>
      <w:r>
        <w:rPr>
          <w:rFonts w:hint="eastAsia" w:ascii="宋体" w:hAnsi="宋体" w:eastAsia="宋体" w:cs="宋体"/>
          <w:color w:val="auto"/>
          <w:sz w:val="21"/>
          <w:szCs w:val="21"/>
        </w:rPr>
        <w:t>旗下各污水处理项目及提标项目，各项目地址如下：</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5"/>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965" w:type="dxa"/>
          </w:tcPr>
          <w:p>
            <w:pPr>
              <w:spacing w:line="36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项目名称</w:t>
            </w:r>
          </w:p>
        </w:tc>
        <w:tc>
          <w:tcPr>
            <w:tcW w:w="5410" w:type="dxa"/>
          </w:tcPr>
          <w:p>
            <w:pPr>
              <w:spacing w:line="36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万江污水处理厂二期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东莞市万江区流涌尾社区白水涡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2</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中堂污水处理厂二期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东莞市中堂镇东向村水闸口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3</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虎门宁洲污水处理厂二期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4</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长安新区污水处理厂</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东莞市长安镇乌沙社区兴发南路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5</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厚街沙塘污水处理厂二期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东莞市厚街镇沙塘村沙隆路污水处理厂二期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6</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松山湖北部污水处理厂二期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东莞松山湖高新技术产业开发区工业西三路东莞市松山湖北部污水处理厂二期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7</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黄江污水处理厂二期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东莞市黄江镇合路村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8</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东城温塘污水处理厂</w:t>
            </w:r>
          </w:p>
        </w:tc>
        <w:tc>
          <w:tcPr>
            <w:tcW w:w="5410"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东莞市东城温塘社区东南角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9</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凤岗竹塘污水处理厂二期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东莞市凤岗镇竹塘村浸校塘组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10</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塘厦林村污水处理厂二期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东莞市塘厦镇林村居委会鸡爪桥猪仔沥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11</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樟木头污水处理厂三期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东莞市樟木头镇柏地村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12</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谢岗污水处理厂二期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东莞市谢岗镇谢岗村乌舅湖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13</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桥头污水处理厂二期</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东莞市桥头镇东深路（朗厦段）B区8号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14</w:t>
            </w:r>
          </w:p>
        </w:tc>
        <w:tc>
          <w:tcPr>
            <w:tcW w:w="3965" w:type="dxa"/>
            <w:vAlign w:val="center"/>
          </w:tcPr>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市区污水处理厂提标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东莞市南城区石鼓村王洲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15</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麻涌污水处理厂一期提标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东莞市麻涌镇漳澎村破流水闸旁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16</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虎门宁洲污水处理厂一期提标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东莞市虎门镇南栅第六工业区民昌路十巷5号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17</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长安锦厦三洲水质净化厂提标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东莞市长安镇锦厦社区锦隆路1-1号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18</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松山湖北部污水处理厂一期提标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东莞市松山湖北部工业园区西三路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19</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黄江污水处理厂一期提标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东莞市黄江镇合路村创业一路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20</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凤岗虾公潭污水处理厂提标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东莞市凤岗镇油甘埔村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21</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凤岗雁田污水处理厂提标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东莞市凤岗镇雁田污水处理厂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22</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凤岗竹塘污水处理厂一期提标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东莞市凤岗镇竹塘村浸校组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23</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塘厦林村污水处理厂一期提标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东莞市塘厦镇林村林东路64号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24</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塘厦石桥头污水处理厂提标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东莞市塘厦镇凤凰岗村环市南路132号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25</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樟木头污水处理厂一二期提标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东莞市樟木头镇柏地旗岭村柏峰路169号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26</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谢岗污水处理厂一期提标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东莞市谢岗镇谢岗村工业大道北侧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27</w:t>
            </w:r>
          </w:p>
        </w:tc>
        <w:tc>
          <w:tcPr>
            <w:tcW w:w="396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桥头污水处理厂一期提标</w:t>
            </w:r>
          </w:p>
        </w:tc>
        <w:tc>
          <w:tcPr>
            <w:tcW w:w="5410"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东莞市桥头镇东深路8号</w:t>
            </w:r>
          </w:p>
        </w:tc>
      </w:tr>
    </w:tbl>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自行负责将货物运输至各项目</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指定位置，并承担相应的运输、装卸等费用。</w:t>
      </w:r>
    </w:p>
    <w:p>
      <w:pPr>
        <w:spacing w:line="360" w:lineRule="auto"/>
        <w:ind w:firstLine="495" w:firstLineChars="236"/>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交货方式与风险承担：在货物移交给</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并经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验收合格前，货物的毁损、灭失的风险和责任均由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w:t>
      </w:r>
    </w:p>
    <w:p>
      <w:pPr>
        <w:spacing w:line="360" w:lineRule="auto"/>
        <w:ind w:firstLine="495" w:firstLineChars="236"/>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部分提标项目有移交第三方单位运营的计划，具体移交时间暂未定。若提标项目正式委托运营后，则无需采购</w:t>
      </w:r>
      <w:r>
        <w:rPr>
          <w:rFonts w:hint="eastAsia" w:ascii="宋体" w:hAnsi="宋体" w:eastAsia="宋体" w:cs="宋体"/>
          <w:color w:val="auto"/>
          <w:sz w:val="21"/>
          <w:szCs w:val="21"/>
          <w:lang w:val="en-US" w:eastAsia="zh-CN"/>
        </w:rPr>
        <w:t>紫外设备配件</w:t>
      </w:r>
      <w:r>
        <w:rPr>
          <w:rFonts w:hint="eastAsia" w:ascii="宋体" w:hAnsi="宋体" w:eastAsia="宋体" w:cs="宋体"/>
          <w:color w:val="auto"/>
          <w:sz w:val="21"/>
          <w:szCs w:val="21"/>
          <w:lang w:eastAsia="zh-CN"/>
        </w:rPr>
        <w:t>。因此，本次采购项目数量不作为本项目最终采购数量的保证。</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lang w:eastAsia="zh-CN"/>
        </w:rPr>
        <w:t>不得因</w:t>
      </w:r>
      <w:r>
        <w:rPr>
          <w:rFonts w:hint="eastAsia" w:ascii="宋体" w:hAnsi="宋体" w:eastAsia="宋体" w:cs="宋体"/>
          <w:color w:val="auto"/>
          <w:sz w:val="21"/>
          <w:szCs w:val="21"/>
          <w:lang w:val="en-US" w:eastAsia="zh-CN"/>
        </w:rPr>
        <w:t>招标人</w:t>
      </w:r>
      <w:r>
        <w:rPr>
          <w:rFonts w:hint="eastAsia" w:ascii="宋体" w:hAnsi="宋体" w:eastAsia="宋体" w:cs="宋体"/>
          <w:color w:val="auto"/>
          <w:sz w:val="21"/>
          <w:szCs w:val="21"/>
          <w:lang w:eastAsia="zh-CN"/>
        </w:rPr>
        <w:t>实际采购项目数量的减少而要求提供任何形式的补偿或赔偿，或者要求</w:t>
      </w:r>
      <w:r>
        <w:rPr>
          <w:rFonts w:hint="eastAsia" w:ascii="宋体" w:hAnsi="宋体" w:eastAsia="宋体" w:cs="宋体"/>
          <w:color w:val="auto"/>
          <w:sz w:val="21"/>
          <w:szCs w:val="21"/>
          <w:lang w:val="en-US" w:eastAsia="zh-CN"/>
        </w:rPr>
        <w:t>招标人</w:t>
      </w:r>
      <w:r>
        <w:rPr>
          <w:rFonts w:hint="eastAsia" w:ascii="宋体" w:hAnsi="宋体" w:eastAsia="宋体" w:cs="宋体"/>
          <w:color w:val="auto"/>
          <w:sz w:val="21"/>
          <w:szCs w:val="21"/>
          <w:lang w:eastAsia="zh-CN"/>
        </w:rPr>
        <w:t>拟按项目数量采购相应货物。</w:t>
      </w:r>
    </w:p>
    <w:p>
      <w:pPr>
        <w:spacing w:line="240" w:lineRule="exact"/>
        <w:rPr>
          <w:rFonts w:hint="eastAsia" w:ascii="宋体" w:hAnsi="宋体" w:eastAsia="宋体" w:cs="宋体"/>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4.3货物质量及性能要求</w:t>
      </w:r>
    </w:p>
    <w:p>
      <w:pPr>
        <w:spacing w:line="360" w:lineRule="auto"/>
        <w:ind w:firstLine="247" w:firstLineChars="118"/>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所供货物必须适用于TROJAN UV 3000 PLUS型紫外消毒设备，且功能、指标满足TROJAN UV 3000 PLUS型紫外消毒设备正常使用要求。</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旗下各污水处理项目及提标项目现有紫外消毒设备安装</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所供货物后即可正常投入使用，不得对现有紫外消毒设备进行任何改动。</w:t>
      </w:r>
    </w:p>
    <w:p>
      <w:pPr>
        <w:spacing w:line="360" w:lineRule="auto"/>
        <w:ind w:firstLine="283" w:firstLineChars="135"/>
        <w:rPr>
          <w:rFonts w:hint="eastAsia" w:ascii="宋体" w:hAnsi="宋体" w:eastAsia="宋体" w:cs="宋体"/>
          <w:color w:val="auto"/>
          <w:sz w:val="21"/>
          <w:szCs w:val="21"/>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旗下各污水处理项目及提标项目使用</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所供货物替换现有紫外消毒设备已损坏零配件，紫外消毒设备的消毒效果及消毒剂量需满足各污水处理项目及提标项目出水水质达标排放，同时满足万江污水处理厂二期污水处理规模5万m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/h、中堂污水处理厂二期污水处理规模5万m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/d及峰值处理水量2750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/h、虎门宁洲污水处理厂二期污水处理规模10万m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/d及峰值处理水量5417m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/h、长安新区污水处理厂污水处理规模20万m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/d及峰值处理水量10833m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/h、松山湖北部污水处理厂污水处理规模5万m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/d及峰值处理水量2708m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/h、黄江污水处理厂二期污水处理规模6万m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/d及峰值处理水量3250m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/h、凤岗竹塘污水处理厂二期污水处理规模5万m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/d及峰值处理水量2708m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/h、塘厦林村污水处理厂二期污水处理规模4万m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/d及峰值处理水量2200m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/h、樟木头污水处理厂三期污水处理规模4万m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/d及峰值处理水量2167m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/h、谢岗污水处理厂二期污水处理规模3万m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/d及峰值处理水量1625m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/h、桥头污水处理厂二期污水处理规模4万m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/d及峰值处理水量2167m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/h、市区污水处理厂提标污水处理规模40万m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/d及峰值处理水量21667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/h、麻涌污水处理厂一期提标污水处理规模3万m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/d及峰值处理水量1788m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/h、虎门宁洲污水处理厂一期提标污水处理规模10万m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/d及峰值处理水量5417 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/h、长安锦厦三洲水质净化厂提标污水处理规模15万m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/d及峰值处理水量8125m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/h、松山湖北部污水处理厂一期提标污水处理规模5万m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/h、黄江污水处理厂一期提标污水处理规模4万m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/h、凤岗虾公潭污水处理厂提标污水处理规模2万m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/d及峰值处理水量1250m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/h、凤岗雁田污水处理厂提标污水处理规模5万m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/d及峰值处理水量2875m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/h、竹塘污水处理厂一期提标污水处理规模4万m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/h、塘厦林村污水处理厂一期提标污水处理规模12万m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/d及峰值处理水量6500m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/h、塘厦石桥头污水处理厂提标污水处理规模4万m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/h、樟木头污水处理厂一二期提标污水处理规模6万m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/d及峰值处理水量3250m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/h、谢岗污水处理厂一期提标污水处理规模3万m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/d及峰值处理水量1812.5m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/h、桥头污水处理厂一期提标污水处理规模4万m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/d及峰值处理水量2350m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/h。</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所供货物必须是全新的，所有设备和材料运输到达施工场地时的包装必须是原厂完整的，由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签收后方可拆包安装。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所供货物必须有质量检验合格证、装箱单、产品安装使用说明书、出厂检验报告（或测试性能、测试报告）及</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要求的其他合格证明文件等相关资料。</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(5)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所供货物的安装工作由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负责，</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负责所供货物的指导安装。</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★(6) 紫外灯管技术要求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 紫外灯管的设计必须符合我国《城市给排水紫外线消毒设备》(GB/T19837-2019)标准。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 紫外灯管使用寿命不低于12000小时。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③ </w:t>
      </w:r>
      <w:r>
        <w:rPr>
          <w:rFonts w:hint="eastAsia" w:ascii="宋体" w:hAnsi="宋体" w:eastAsia="宋体" w:cs="宋体"/>
          <w:color w:val="auto"/>
          <w:kern w:val="2"/>
          <w:sz w:val="21"/>
          <w:szCs w:val="21"/>
          <w:lang w:bidi="ar"/>
        </w:rPr>
        <w:t>紫外灯管必须是低压高强灯，单</w:t>
      </w:r>
      <w:r>
        <w:rPr>
          <w:rFonts w:hint="eastAsia" w:ascii="宋体" w:hAnsi="宋体" w:eastAsia="宋体" w:cs="宋体"/>
          <w:color w:val="auto"/>
          <w:sz w:val="21"/>
          <w:szCs w:val="21"/>
        </w:rPr>
        <w:t>灯管的</w:t>
      </w:r>
      <w:r>
        <w:rPr>
          <w:rFonts w:hint="eastAsia" w:ascii="宋体" w:hAnsi="宋体" w:eastAsia="宋体" w:cs="宋体"/>
          <w:color w:val="auto"/>
          <w:sz w:val="21"/>
          <w:szCs w:val="21"/>
          <w:lang w:val="en-US" w:eastAsia="zh-CN"/>
        </w:rPr>
        <w:t>最大灯管</w:t>
      </w:r>
      <w:r>
        <w:rPr>
          <w:rFonts w:hint="eastAsia" w:ascii="宋体" w:hAnsi="宋体" w:eastAsia="宋体" w:cs="宋体"/>
          <w:color w:val="auto"/>
          <w:sz w:val="21"/>
          <w:szCs w:val="21"/>
        </w:rPr>
        <w:t>功率需≥235W</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并≤250W</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bidi="ar"/>
        </w:rPr>
        <w:t>每支紫外</w:t>
      </w:r>
      <w:r>
        <w:rPr>
          <w:rFonts w:hint="eastAsia" w:ascii="宋体" w:hAnsi="宋体" w:eastAsia="宋体" w:cs="宋体"/>
          <w:bCs w:val="0"/>
          <w:color w:val="auto"/>
          <w:sz w:val="21"/>
          <w:szCs w:val="21"/>
        </w:rPr>
        <w:t>灯管运行功率可在60％～100％间</w:t>
      </w:r>
      <w:r>
        <w:rPr>
          <w:rFonts w:hint="eastAsia" w:ascii="宋体" w:hAnsi="宋体" w:eastAsia="宋体" w:cs="宋体"/>
          <w:bCs w:val="0"/>
          <w:color w:val="auto"/>
          <w:sz w:val="21"/>
          <w:szCs w:val="21"/>
          <w:lang w:val="en-US" w:eastAsia="zh-CN"/>
        </w:rPr>
        <w:t>由原设备的控制中心进行调整</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④ 紫外灯管在新灯管运行100小时磨合期后，单根灯管能量输出转化为254nm波长紫外线的</w:t>
      </w:r>
      <w:r>
        <w:rPr>
          <w:rFonts w:hint="eastAsia" w:ascii="宋体" w:hAnsi="宋体" w:eastAsia="宋体" w:cs="宋体"/>
          <w:color w:val="auto"/>
          <w:sz w:val="21"/>
          <w:szCs w:val="21"/>
          <w:lang w:val="en-US" w:eastAsia="zh-CN"/>
        </w:rPr>
        <w:t>电光</w:t>
      </w:r>
      <w:r>
        <w:rPr>
          <w:rFonts w:hint="eastAsia" w:ascii="宋体" w:hAnsi="宋体" w:eastAsia="宋体" w:cs="宋体"/>
          <w:color w:val="auto"/>
          <w:sz w:val="21"/>
          <w:szCs w:val="21"/>
        </w:rPr>
        <w:t>转化效率≥</w:t>
      </w:r>
      <w:r>
        <w:rPr>
          <w:rFonts w:hint="eastAsia" w:ascii="宋体" w:hAnsi="宋体" w:eastAsia="宋体" w:cs="宋体"/>
          <w:color w:val="auto"/>
          <w:sz w:val="21"/>
          <w:szCs w:val="21"/>
          <w:lang w:val="en-US"/>
        </w:rPr>
        <w:t>40</w:t>
      </w:r>
      <w:r>
        <w:rPr>
          <w:rFonts w:hint="eastAsia" w:ascii="宋体" w:hAnsi="宋体" w:eastAsia="宋体" w:cs="宋体"/>
          <w:color w:val="auto"/>
          <w:sz w:val="21"/>
          <w:szCs w:val="21"/>
        </w:rPr>
        <w:t>%（即单根紫外消毒灯管的</w:t>
      </w:r>
      <w:r>
        <w:rPr>
          <w:rFonts w:hint="eastAsia" w:ascii="宋体" w:hAnsi="宋体" w:eastAsia="宋体" w:cs="宋体"/>
          <w:color w:val="auto"/>
          <w:sz w:val="21"/>
          <w:szCs w:val="21"/>
          <w:lang w:val="en-US" w:eastAsia="zh-CN"/>
        </w:rPr>
        <w:t>灯管</w:t>
      </w:r>
      <w:r>
        <w:rPr>
          <w:rFonts w:hint="eastAsia" w:ascii="宋体" w:hAnsi="宋体" w:eastAsia="宋体" w:cs="宋体"/>
          <w:color w:val="auto"/>
          <w:sz w:val="21"/>
          <w:szCs w:val="21"/>
        </w:rPr>
        <w:t>功率为250W</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rPr>
        <w:t>，其254nm波长紫外线能量输出≥</w:t>
      </w:r>
      <w:r>
        <w:rPr>
          <w:rFonts w:hint="eastAsia" w:ascii="宋体" w:hAnsi="宋体" w:eastAsia="宋体" w:cs="宋体"/>
          <w:color w:val="auto"/>
          <w:sz w:val="21"/>
          <w:szCs w:val="21"/>
          <w:lang w:val="en-US"/>
        </w:rPr>
        <w:t>100</w:t>
      </w:r>
      <w:r>
        <w:rPr>
          <w:rFonts w:hint="eastAsia" w:ascii="宋体" w:hAnsi="宋体" w:eastAsia="宋体" w:cs="宋体"/>
          <w:color w:val="auto"/>
          <w:sz w:val="21"/>
          <w:szCs w:val="21"/>
        </w:rPr>
        <w:t>W）。</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⑤ 紫外灯管为低压高强紫外灯管，灯管经过预热处理以提高其寿命。灯管灯丝采用夹式设计，独特的卷曲式可以防震。</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⑥ 紫外灯管的外观尺寸：整体长度1580±1mm，直径19±0.25mm。</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(7) 紫外灯套管技术要求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 紫外灯套管现使用塑料套管螺帽、钢套和压紧式O型圈进行密封安装。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 石英套管紫外透光率大于90%。</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★③ 每根紫外灯管内置安装在一根单独的紫外灯套管内，套管一端开口，开口端采用压紧式O型圈进行密封安装。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★④ 紫外灯套管的外观尺寸：整体长度1950±1mm，直径28±0.25mm，套管壁厚度不大于2mm。</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 镇流器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① 镇流器需为可变输出功率镇流器，功率因数不低于0.98，镇流器的防护等级不低于IP54，适用最高环境温度不低于50℃。</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② 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★(9) </w:t>
      </w:r>
      <w:r>
        <w:rPr>
          <w:rFonts w:hint="eastAsia" w:ascii="宋体" w:hAnsi="宋体" w:eastAsia="宋体" w:cs="宋体"/>
          <w:color w:val="auto"/>
          <w:sz w:val="21"/>
          <w:szCs w:val="21"/>
          <w:lang w:eastAsia="zh-CN"/>
        </w:rPr>
        <w:t>检验报告</w:t>
      </w:r>
      <w:r>
        <w:rPr>
          <w:rFonts w:hint="eastAsia" w:ascii="宋体" w:hAnsi="宋体" w:eastAsia="宋体" w:cs="宋体"/>
          <w:color w:val="auto"/>
          <w:sz w:val="21"/>
          <w:szCs w:val="21"/>
        </w:rPr>
        <w:t>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需提供以下紫外灯管性能指标检验报告：</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color w:val="auto"/>
          <w:sz w:val="21"/>
          <w:szCs w:val="21"/>
        </w:rPr>
        <w:t>（须提供出具检验报告的第三方检测机构的CMA认证证书附表复印件或其他能体现其检测能力范围内的证明文件）</w:t>
      </w:r>
      <w:r>
        <w:rPr>
          <w:rFonts w:hint="eastAsia" w:ascii="宋体" w:hAnsi="宋体" w:eastAsia="宋体" w:cs="宋体"/>
          <w:color w:val="auto"/>
          <w:sz w:val="21"/>
          <w:szCs w:val="21"/>
        </w:rPr>
        <w:t>。</w:t>
      </w:r>
    </w:p>
    <w:p>
      <w:pPr>
        <w:spacing w:line="160" w:lineRule="exact"/>
        <w:rPr>
          <w:rFonts w:hint="eastAsia" w:ascii="宋体" w:hAnsi="宋体" w:eastAsia="宋体" w:cs="宋体"/>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5.验收要求</w:t>
      </w: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5.1 到货验收要求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货物到达交货地点之日起3日内，</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（含</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委托的第三方）、</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代表共同验货。</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按照合同及用户需求书、国家相关法律法规以及规范的要求等相关的规定，对货物的品种、品牌、产地、型号规格、数量、外观质量、资料进行清点和全面的检验，并作详细的记录。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如发现货物与合同不符，或货物短缺、质次损坏等问题，应作详细记录，</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可拒绝收货，或由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30日</w:t>
      </w:r>
      <w:r>
        <w:rPr>
          <w:rFonts w:hint="eastAsia" w:ascii="宋体" w:hAnsi="宋体" w:eastAsia="宋体" w:cs="宋体"/>
          <w:color w:val="auto"/>
          <w:sz w:val="21"/>
          <w:szCs w:val="21"/>
        </w:rPr>
        <w:t>内无条件为</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调换或补齐。调换或补齐后的货物，</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有权按照本条有关验收的约定进行验收，由此产生的制造、修理和运费及保险费等费用均应由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负担，与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无关。</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货物</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旗下污水处理项目及提标项目出具相关签收手续。</w:t>
      </w:r>
    </w:p>
    <w:p>
      <w:pPr>
        <w:spacing w:line="360" w:lineRule="auto"/>
        <w:ind w:firstLine="0" w:firstLineChars="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5.2 最终验收要求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货物</w:t>
      </w:r>
      <w:r>
        <w:rPr>
          <w:rFonts w:hint="eastAsia" w:ascii="宋体" w:hAnsi="宋体" w:eastAsia="宋体" w:cs="宋体"/>
          <w:color w:val="auto"/>
          <w:sz w:val="21"/>
          <w:szCs w:val="21"/>
          <w:lang w:val="en-US" w:eastAsia="zh-CN"/>
        </w:rPr>
        <w:t>完成到货验收后两个月内</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lang w:val="en-US" w:eastAsia="zh-CN"/>
        </w:rPr>
        <w:t>确认中标人所供货物参数符合相关技术要求</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委托第三方</w:t>
      </w:r>
      <w:r>
        <w:rPr>
          <w:rFonts w:hint="eastAsia" w:ascii="宋体" w:hAnsi="宋体" w:eastAsia="宋体" w:cs="宋体"/>
          <w:color w:val="auto"/>
          <w:sz w:val="21"/>
          <w:szCs w:val="21"/>
          <w:lang w:val="en-US" w:eastAsia="zh-CN"/>
        </w:rPr>
        <w:t>检测单位检测</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后，与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代表</w:t>
      </w:r>
      <w:r>
        <w:rPr>
          <w:rFonts w:hint="eastAsia" w:ascii="宋体" w:hAnsi="宋体" w:eastAsia="宋体" w:cs="宋体"/>
          <w:color w:val="auto"/>
          <w:sz w:val="21"/>
          <w:szCs w:val="21"/>
          <w:lang w:val="en-US" w:eastAsia="zh-CN"/>
        </w:rPr>
        <w:t>共同确认后</w:t>
      </w:r>
      <w:r>
        <w:rPr>
          <w:rFonts w:hint="eastAsia" w:ascii="宋体" w:hAnsi="宋体" w:eastAsia="宋体" w:cs="宋体"/>
          <w:color w:val="auto"/>
          <w:sz w:val="21"/>
          <w:szCs w:val="21"/>
        </w:rPr>
        <w:t>，视为</w:t>
      </w:r>
      <w:r>
        <w:rPr>
          <w:rFonts w:hint="eastAsia" w:ascii="宋体" w:hAnsi="宋体" w:eastAsia="宋体" w:cs="宋体"/>
          <w:color w:val="auto"/>
          <w:sz w:val="21"/>
          <w:szCs w:val="21"/>
          <w:lang w:val="en-US" w:eastAsia="zh-CN"/>
        </w:rPr>
        <w:t>通过最终验收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出具</w:t>
      </w:r>
      <w:r>
        <w:rPr>
          <w:rFonts w:hint="eastAsia" w:ascii="宋体" w:hAnsi="宋体" w:eastAsia="宋体" w:cs="宋体"/>
          <w:color w:val="auto"/>
          <w:sz w:val="21"/>
          <w:szCs w:val="21"/>
          <w:lang w:val="en-US" w:eastAsia="zh-CN"/>
        </w:rPr>
        <w:t>最终验收</w:t>
      </w:r>
      <w:r>
        <w:rPr>
          <w:rFonts w:hint="eastAsia" w:ascii="宋体" w:hAnsi="宋体" w:eastAsia="宋体" w:cs="宋体"/>
          <w:color w:val="auto"/>
          <w:sz w:val="21"/>
          <w:szCs w:val="21"/>
        </w:rPr>
        <w:t>相关手续。</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根据本条约定对货物所做出的验收，仅作为起算付款及质保期之用，不视为双方对于货物质量的最终认定。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如最终验收过程中，发现中标人货物参数不符合相关技术要求的，中标人需在30日内完成所有货物的更换，期间因招标人使用造成的货物折旧损失，由中标人自行承担</w:t>
      </w:r>
      <w:r>
        <w:rPr>
          <w:rFonts w:hint="eastAsia" w:ascii="宋体" w:hAnsi="宋体" w:eastAsia="宋体" w:cs="宋体"/>
          <w:color w:val="auto"/>
          <w:sz w:val="21"/>
          <w:szCs w:val="21"/>
        </w:rPr>
        <w:t>。</w:t>
      </w:r>
    </w:p>
    <w:p>
      <w:pPr>
        <w:spacing w:line="360" w:lineRule="auto"/>
        <w:ind w:firstLine="0" w:firstLineChars="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5.3 其他验收要求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对货物所做出的</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验收，仅作为起算付款及质保期之用，不视为双方对于货物质量的最终认定。货物经</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仍应在质保期内对产品质量承担保证责任。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货物在全部经</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验收合格前，其损耗、毁损、灭失等风险及责任由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承担，如因发生前述情形，导致</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所供应的货物不能通过</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应按</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要求予以更换或退货。</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验收过程中，如对检验记录不能取得一致意见时，一方可委托货物交付地有资质权威的第三方检验机构合进行检验。检验结果具有约束力，检验费用由责任方负担。</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由于非</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原因而引起货物的修理或更换的时间，以不影响生产为原则，否则将视为逾期交货。</w:t>
      </w:r>
    </w:p>
    <w:p>
      <w:pPr>
        <w:spacing w:line="160" w:lineRule="exact"/>
        <w:rPr>
          <w:rFonts w:hint="eastAsia" w:ascii="宋体" w:hAnsi="宋体" w:eastAsia="宋体" w:cs="宋体"/>
          <w:b/>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6.质保及售后要求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质保期为自最终验收合格之日起18个月，自货物最终验收合格之日起算。质保期内，</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对本次采购的货物进行免费保修，免费保修包括但不限于由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承担完成质保期的工作而产生的运费、购置费、测试费、人工费等各项费用（包括进口关税和增值税等）。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质保期内，对使用寿命达不到12000小时的紫外灯管，</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应免费给予更换，被更换的紫外灯管质保期从更换之日起重新计算。</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质保期内，若货物经1次维修或维修时间超过1个月，仍不能正常使用的，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应免费给予更换，被更换的货物的质保期为从更换日起重新计算。</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质保期内，</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承诺将在接到</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的故障通知后4小时内响应，24小时内到达项目现场进行维修等服务。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(5) </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在使用货物时所遇技术问题，</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应按</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要求及时向</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无偿提供技术指导服务。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(6)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未按上述要求提供售后服务的，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有权要求其他第三方提供相关服务，因此产生的费用全部由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w:t>
      </w:r>
    </w:p>
    <w:p>
      <w:pPr>
        <w:spacing w:line="160" w:lineRule="exact"/>
        <w:rPr>
          <w:rFonts w:hint="eastAsia" w:ascii="宋体" w:hAnsi="宋体" w:eastAsia="宋体" w:cs="宋体"/>
          <w:b/>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7.违约责任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未在约定的时间内完成交货的，每逾期1天，</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须按所在污水处理项目及提标项目供货货物总价的1%（不含</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销项税）向</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支付违约金，最高不超过所在污水处理项目及提标项目供货货物金额的10%。</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逾期超过10天的，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可单方解除本合同，并追究</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的违约责任。</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未按合同约定履行货物的更换、退货责任，或所交货物经检验累计出现</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次以上（含本数）不合格的情况，</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须按所在污水处理项目及提标项目供货货物总价的3%（不含</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销项税）向采购支付违约金，最高不超过所在污水处理项目及提标项目供货货物金额的10%。</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将有权单方中止或解除合同，没收履约担保。</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未按约定履行售后服务义务的，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有权要求限期改正，如逾期仍未改正的，</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有权要求其他第三方提供相关服务，因此产生的费用全部由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承担，并且</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有权单方解除合同，并没收履约担保。</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无论是否在质保期内，因</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所供货物质量问题导致</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应在接到</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通知后6小时内到达现场确认情况，并承担全部责任及损失赔偿。</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自</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通知货物不合格之时起，</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有权要求</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必须加急供货，在20日内将等量的合格货物送交</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，否则按逾期供货的违约规定进行处理。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应确保所交货物不得侵犯第三方任何权益，否则，由此引起的一切责任及损失都由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承担，造成</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损失，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还需予以足额赔偿。</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因货物的质量问题而发生争议，由广东省或东莞市质检部门进行质量鉴定。货物符合质量标准的，鉴定费用由</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承担；货物不符合质量标准的，鉴定费用由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w:t>
      </w:r>
    </w:p>
    <w:p>
      <w:pPr>
        <w:spacing w:line="160" w:lineRule="exact"/>
        <w:rPr>
          <w:rFonts w:hint="eastAsia" w:ascii="宋体" w:hAnsi="宋体" w:eastAsia="宋体" w:cs="宋体"/>
          <w:color w:val="auto"/>
          <w:sz w:val="21"/>
          <w:szCs w:val="21"/>
        </w:rPr>
      </w:pPr>
    </w:p>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8.价款要求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在合同履行过程中，货物合同单价（即销售额，不含</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销项税额）不随法律法规政策、物价人工、工期调整而进行调整，未经</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书面确认，</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无权增加任何费用。</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货物供货的款项按各污水处理项目及提标项目进行支付、结算。</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旗下污水处理项目及提标项目收到中标人所供全部货物并</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向招标人提交对应项目请款报告及请款金额等额、合法、有效的增值税专用发票等相关请款资料，招标人在收到前述材料并确认无误后</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日内，招标人支付对应项目合同价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%及对应税额款项给</w:t>
      </w:r>
      <w:r>
        <w:rPr>
          <w:rFonts w:hint="eastAsia" w:ascii="宋体" w:hAnsi="宋体" w:eastAsia="宋体" w:cs="宋体"/>
          <w:color w:val="auto"/>
          <w:sz w:val="21"/>
          <w:szCs w:val="21"/>
          <w:lang w:eastAsia="zh-CN"/>
        </w:rPr>
        <w:t>中标人。中标人送达的全部货物经招标人旗下污水处理项目及提标项目</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向招标人提交对应项目请款报告及与请款金额等额、合法、有效的增值税专用发票等相关请款资料，招标人在收到前述材料并确认无误后</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日内，招标人支付对应项目合同价</w:t>
      </w:r>
      <w:r>
        <w:rPr>
          <w:rFonts w:hint="eastAsia" w:ascii="宋体" w:hAnsi="宋体" w:eastAsia="宋体" w:cs="宋体"/>
          <w:color w:val="auto"/>
          <w:sz w:val="21"/>
          <w:szCs w:val="21"/>
          <w:lang w:val="en-US" w:eastAsia="zh-CN"/>
        </w:rPr>
        <w:t>65</w:t>
      </w:r>
      <w:r>
        <w:rPr>
          <w:rFonts w:hint="eastAsia" w:ascii="宋体" w:hAnsi="宋体" w:eastAsia="宋体" w:cs="宋体"/>
          <w:color w:val="auto"/>
          <w:sz w:val="21"/>
          <w:szCs w:val="21"/>
        </w:rPr>
        <w:t>%及对应税额款项给</w:t>
      </w:r>
      <w:r>
        <w:rPr>
          <w:rFonts w:hint="eastAsia" w:ascii="宋体" w:hAnsi="宋体" w:eastAsia="宋体" w:cs="宋体"/>
          <w:color w:val="auto"/>
          <w:sz w:val="21"/>
          <w:szCs w:val="21"/>
          <w:lang w:eastAsia="zh-CN"/>
        </w:rPr>
        <w:t>中标人。对应项目</w:t>
      </w:r>
      <w:r>
        <w:rPr>
          <w:rFonts w:hint="eastAsia" w:ascii="宋体" w:hAnsi="宋体" w:eastAsia="宋体" w:cs="宋体"/>
          <w:color w:val="auto"/>
          <w:sz w:val="21"/>
          <w:szCs w:val="21"/>
        </w:rPr>
        <w:t>剩余的5%合同价款作为质保金。质保期满后，所供货物无质量问题且</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按照合同约定提供质保服务的，由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提供请款报告及与请款金额等额的合法、有效的增值税专用发票等相关请款资料，招标人将对应项目质保金支付给</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。采购人通过银行转账或银行承兑汇票方式支付相应款项至供货单位银行账户中，汇票期限不超过三个月，每期款项支付方式由采购人决定。</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按所供货物向相应污水处理项目及提标项目提供货物请款金额等额合法有效的增值税专用发票、请款报告等请款资料，逾期提交请款资料及发票或提交资料不符合要求的，付款时间顺延，</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并不承担逾期付款违约责任。由于</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提供的发票不符合税法规定，给</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造成的损失由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承担赔偿责任。</w:t>
      </w:r>
    </w:p>
    <w:p>
      <w:pPr>
        <w:spacing w:line="360" w:lineRule="auto"/>
        <w:rPr>
          <w:rFonts w:ascii="宋体" w:hAnsi="宋体" w:eastAsia="宋体" w:cs="Times New Roman"/>
          <w:b/>
          <w:color w:val="auto"/>
          <w:szCs w:val="21"/>
          <w:highlight w:val="none"/>
          <w:lang w:val="zh-CN"/>
        </w:rPr>
      </w:pPr>
    </w:p>
    <w:p>
      <w:pPr>
        <w:spacing w:line="36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附件：《采购清单及预算表》</w:t>
      </w:r>
    </w:p>
    <w:p>
      <w:pPr>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pPr>
        <w:pStyle w:val="17"/>
        <w:spacing w:before="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附件：《采购清单及预算表》</w:t>
      </w:r>
    </w:p>
    <w:p>
      <w:pPr>
        <w:pStyle w:val="17"/>
        <w:spacing w:before="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采购清单及预算表</w:t>
      </w:r>
    </w:p>
    <w:tbl>
      <w:tblPr>
        <w:tblStyle w:val="36"/>
        <w:tblW w:w="9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7"/>
        <w:gridCol w:w="2268"/>
        <w:gridCol w:w="2268"/>
        <w:gridCol w:w="850"/>
        <w:gridCol w:w="850"/>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备件名称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原配件编号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暂定采购数量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不含税预算综合单价（元）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不含税预算合计（元）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镇流器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917341-100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3185.84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305840.64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套管密封圈</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316144P，10个/包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23.35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紫外灯管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794447-ORD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2706535.6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清洗凝胶</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901507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159.29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6053.02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擦拭器密封件(包含一根短氟橡胶管)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175.22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90588.74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紫外灯套管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390.27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65955.63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316505-078X</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278.76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45716.64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套管锁紧螺母</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316148P，10个/包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135.29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擦拭器连接胶管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光强传感器（含电缆线）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015393-S-158NB</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8858.41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115159.33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CCB母板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931096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9019.47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45097.35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通讯拓展模块</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931088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4429.2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光强传感器套管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280.25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润滑脂</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JET-LUB CC LUBE 70550 14oz/支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PDC内光强传感器电缆线(连接CCB板和传感器电缆，包含插头)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15408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513.27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11805.21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 2～7标准模块清洗罐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 1、8标准模块清洗罐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327125光强探头 清洗罐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1256.28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清洗罐连接软管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(英尺)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米</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清洗罐塞子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327095P，10个/包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液压油</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TELLUS S2 VX15 20L/桶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1111.33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套管弹簧</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901376P，10个/包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127.43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通用除垢剂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力猛威 4L/瓶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瓶</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353.98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UV3+（弯头）（白色连接头）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327066P，10个/包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71.68</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UV3+（直头）（白色连接头）</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327027P，10个/包</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54.76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第1个清洗罐(顶部)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327125-180PLGTOP</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第2/6个清洗罐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327125-180STDMID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4082.91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第3/7个清洗罐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327125-020STDMID</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第4/5个清洗罐</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327125-020STDCYL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第8个清洗罐（底部）</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327125-180PLGBOT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314.07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液压驱动杆</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326411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8053.1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蓝色液压软管（含接头、母头）长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907624-04F157BL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918.05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13770.75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蓝色液压软管（含接头、公头）短</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907624-04M078BL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黑色液压软管（含接头、公头）长</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907624-04F162BK</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918.05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13770.75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黑色液压软管（含接头、母头）短</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907624-04F083BK</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789.2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清洗罐泄压阀</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821161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104.69</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刮擦清洗圈</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编号327021，35*4mm</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33.82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传感器电缆套件，UV3000Plus NIST（含电缆和扣环）</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015509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885.84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sz w:val="18"/>
                <w:szCs w:val="18"/>
                <w:u w:val="none"/>
              </w:rPr>
              <w:t>不含税预算</w:t>
            </w:r>
            <w:r>
              <w:rPr>
                <w:rFonts w:hint="eastAsia" w:ascii="宋体" w:hAnsi="宋体" w:eastAsia="宋体" w:cs="宋体"/>
                <w:b/>
                <w:bCs/>
                <w:i w:val="0"/>
                <w:color w:val="auto"/>
                <w:sz w:val="18"/>
                <w:szCs w:val="18"/>
                <w:u w:val="none"/>
                <w:lang w:val="en-US" w:eastAsia="zh-CN"/>
              </w:rPr>
              <w:t>总计</w:t>
            </w:r>
            <w:r>
              <w:rPr>
                <w:rFonts w:hint="eastAsia" w:ascii="宋体" w:hAnsi="宋体" w:eastAsia="宋体" w:cs="宋体"/>
                <w:b/>
                <w:bCs/>
                <w:i w:val="0"/>
                <w:color w:val="auto"/>
                <w:sz w:val="18"/>
                <w:szCs w:val="18"/>
                <w:u w:val="none"/>
              </w:rPr>
              <w:t>（元）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sz w:val="18"/>
                <w:szCs w:val="18"/>
                <w:u w:val="none"/>
              </w:rPr>
              <w:t>3569820.02</w:t>
            </w:r>
          </w:p>
        </w:tc>
      </w:tr>
    </w:tbl>
    <w:p>
      <w:pPr>
        <w:rPr>
          <w:rFonts w:hint="eastAsia"/>
          <w:color w:val="auto"/>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14" w:name="_Toc142508359"/>
      <w:bookmarkStart w:id="315" w:name="_Toc486167707"/>
      <w:bookmarkStart w:id="316" w:name="_Toc11281_WPSOffice_Level1"/>
      <w:bookmarkStart w:id="317" w:name="_Toc19477"/>
      <w:bookmarkStart w:id="318" w:name="_Toc28284"/>
      <w:bookmarkStart w:id="319" w:name="_Toc450662892"/>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14"/>
      <w:bookmarkEnd w:id="315"/>
      <w:bookmarkEnd w:id="316"/>
      <w:bookmarkEnd w:id="317"/>
      <w:bookmarkEnd w:id="318"/>
      <w:bookmarkEnd w:id="319"/>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东莞市石鼓净水有限公司2024年紫外消毒设备零配件采购项目</w:t>
      </w:r>
    </w:p>
    <w:p>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pPr>
        <w:autoSpaceDE w:val="0"/>
        <w:autoSpaceDN w:val="0"/>
        <w:adjustRightInd w:val="0"/>
        <w:spacing w:line="480" w:lineRule="auto"/>
        <w:ind w:firstLine="3351" w:firstLineChars="11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东莞市石鼓净水有限公司</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pPr>
        <w:autoSpaceDE w:val="0"/>
        <w:autoSpaceDN w:val="0"/>
        <w:adjustRightInd w:val="0"/>
        <w:spacing w:line="480" w:lineRule="auto"/>
        <w:ind w:firstLine="3351" w:firstLineChars="11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pPr>
        <w:autoSpaceDE w:val="0"/>
        <w:autoSpaceDN w:val="0"/>
        <w:adjustRightInd w:val="0"/>
        <w:spacing w:line="360" w:lineRule="auto"/>
        <w:ind w:firstLine="3351" w:firstLineChars="11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rPr>
          <w:rFonts w:ascii="宋体" w:hAnsi="宋体" w:eastAsia="宋体" w:cs="宋体"/>
          <w:b/>
          <w:bCs/>
          <w:color w:val="auto"/>
          <w:kern w:val="0"/>
          <w:sz w:val="28"/>
          <w:szCs w:val="28"/>
          <w:highlight w:val="none"/>
        </w:rPr>
      </w:pPr>
    </w:p>
    <w:p>
      <w:pPr>
        <w:rPr>
          <w:rFonts w:ascii="宋体" w:hAnsi="宋体" w:eastAsia="宋体" w:cs="宋体"/>
          <w:b/>
          <w:bCs/>
          <w:color w:val="auto"/>
          <w:kern w:val="0"/>
          <w:sz w:val="28"/>
          <w:szCs w:val="28"/>
          <w:highlight w:val="none"/>
        </w:rPr>
      </w:pPr>
      <w:r>
        <w:rPr>
          <w:rFonts w:ascii="宋体" w:hAnsi="宋体" w:eastAsia="宋体" w:cs="宋体"/>
          <w:b/>
          <w:bCs/>
          <w:color w:val="auto"/>
          <w:kern w:val="0"/>
          <w:sz w:val="28"/>
          <w:szCs w:val="28"/>
          <w:highlight w:val="none"/>
        </w:rPr>
        <w:br w:type="page"/>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 </w:t>
      </w:r>
      <w:r>
        <w:rPr>
          <w:rFonts w:hint="eastAsia" w:ascii="宋体" w:hAnsi="宋体" w:eastAsia="宋体" w:cs="宋体"/>
          <w:color w:val="auto"/>
          <w:sz w:val="21"/>
          <w:szCs w:val="21"/>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根据《中华人民共和国民法典》及</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日通知的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项目中标结果（招标编号：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）和招标文件的要求，经双方协商一致，签订本合同。</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合同项目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1、合同货物清单：详见附件《用户需求书》。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zh-CN"/>
        </w:rPr>
        <w:t>2、本次采购数量为暂定数量仅为便于计算暂定合同价使用，不作为甲方最终采购数量的保证。实际需求数量以甲方各项目/厂区具体供货通知为准，按实结算。综合单价不随数量的变化而增减。乙方不得因甲方实际采购数量的减少或增加而要求提供任何形式的补偿或赔偿，或者要求甲方按暂定数量采购相应货物。合同履约过程中，如甲方有新增的污水处理厂及提标项目需要供货的，按不含税中标综合单价与乙方签订补充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lang w:val="zh-CN"/>
        </w:rPr>
        <w:t>3、本合同的供货期：自</w:t>
      </w:r>
      <w:r>
        <w:rPr>
          <w:rFonts w:hint="eastAsia" w:ascii="宋体" w:hAnsi="宋体" w:eastAsia="宋体" w:cs="宋体"/>
          <w:color w:val="auto"/>
          <w:kern w:val="2"/>
          <w:sz w:val="21"/>
          <w:szCs w:val="21"/>
          <w:lang w:val="en-US" w:eastAsia="zh-CN"/>
        </w:rPr>
        <w:t>甲方</w:t>
      </w:r>
      <w:r>
        <w:rPr>
          <w:rFonts w:hint="eastAsia" w:ascii="宋体" w:hAnsi="宋体" w:eastAsia="宋体" w:cs="宋体"/>
          <w:color w:val="auto"/>
          <w:kern w:val="2"/>
          <w:sz w:val="21"/>
          <w:szCs w:val="21"/>
          <w:lang w:val="zh-CN"/>
        </w:rPr>
        <w:t>书面通知之日起至2025年3月31日。供货期限满后，双方经友好协商一致之后，可在保持中标综合单价不变的情况下，签订补充协议延长供货资格期限，延长的供货资格期限原则上不超过三个月。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rPr>
        <w:t>4</w:t>
      </w:r>
      <w:r>
        <w:rPr>
          <w:rFonts w:hint="eastAsia" w:ascii="宋体" w:hAnsi="宋体" w:eastAsia="宋体" w:cs="宋体"/>
          <w:color w:val="auto"/>
          <w:kern w:val="2"/>
          <w:sz w:val="21"/>
          <w:szCs w:val="21"/>
          <w:lang w:val="zh-CN"/>
        </w:rPr>
        <w:t>、本合同的交货期：在供货时间内，乙方自接到甲方旗下污水处理项目及提标项目供货货物清单及发货通知后须在30日内完成供货。对于部分货源不充足的货物，乙方应及时与甲方旗下污水处理项目及提标项目沟通，并经甲方旗下污水处理项目及提标项目同意后，方可延长交货期。</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 w:val="21"/>
          <w:szCs w:val="21"/>
          <w:lang w:val="zh-CN"/>
        </w:rPr>
      </w:pPr>
      <w:r>
        <w:rPr>
          <w:rFonts w:hint="eastAsia" w:ascii="宋体" w:hAnsi="宋体" w:eastAsia="宋体" w:cs="宋体"/>
          <w:color w:val="auto"/>
          <w:kern w:val="2"/>
          <w:sz w:val="21"/>
          <w:szCs w:val="21"/>
        </w:rPr>
        <w:t>5、</w:t>
      </w:r>
      <w:r>
        <w:rPr>
          <w:rFonts w:hint="eastAsia" w:ascii="宋体" w:hAnsi="宋体" w:eastAsia="宋体" w:cs="宋体"/>
          <w:color w:val="auto"/>
          <w:kern w:val="2"/>
          <w:sz w:val="21"/>
          <w:szCs w:val="21"/>
          <w:lang w:val="zh-CN"/>
        </w:rPr>
        <w:t>交货地点：东莞市石鼓净水有限公司旗下各污水处理项目及提标项目，详见附件《用户需求书》。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6、合同履行中，甲方在本合同约定的供货期和招标范围内，有权根据项目实际情况及有关法律法规、政策的规定对合同的相应条款进行变更调整。在变更调整后，乙方应遵照执行。</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第二条 综合单价、暂定合同价</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1、本合同价采用折扣系数，本项目执行的中标折扣系数为：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合同履约过程中，采购清单中各项货物不含税中标综合单价按以下方式计算：不含税中标综合单价=不含税预算综合单价×中标折扣系数，以实际供货数量进行结算。具体不含税预算综合单价详见附件《采购清单及价格表》，对应招标时暂列采购数量清单计算的暂定合同价（即销售额，不含销项税额）=不含税暂定采购金额×中标折扣系数，即为</w:t>
      </w:r>
      <w:r>
        <w:rPr>
          <w:rFonts w:hint="eastAsia" w:ascii="宋体" w:hAnsi="宋体" w:eastAsia="宋体" w:cs="宋体"/>
          <w:color w:val="auto"/>
          <w:sz w:val="21"/>
          <w:szCs w:val="21"/>
          <w:u w:val="single"/>
        </w:rPr>
        <w:t>¥         元</w:t>
      </w:r>
      <w:r>
        <w:rPr>
          <w:rFonts w:hint="eastAsia" w:ascii="宋体" w:hAnsi="宋体" w:eastAsia="宋体" w:cs="宋体"/>
          <w:color w:val="auto"/>
          <w:sz w:val="21"/>
          <w:szCs w:val="21"/>
        </w:rPr>
        <w:t>（大写人民币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）。出现小数点，保留小数点后2位，从小数点后第3位四舍五入。</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u w:val="words"/>
        </w:rPr>
      </w:pPr>
      <w:r>
        <w:rPr>
          <w:rFonts w:hint="eastAsia" w:ascii="宋体" w:hAnsi="宋体" w:eastAsia="宋体" w:cs="宋体"/>
          <w:color w:val="auto"/>
          <w:sz w:val="21"/>
          <w:szCs w:val="21"/>
          <w:u w:val="words"/>
        </w:rPr>
        <w:t>因乙方未按法定税率计算税额或未根据本合同约定出具对应税额的增值税专用发票等乙方原因导致甲方多支付税额的，乙方必须退还甲方，给甲方造成损失的，乙方须向甲方赔偿相应损失。</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3、综合单价包括了甲方需就购买本合同项下货物及其服务所支付的全部价款，包括但不限于：</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（1）备品备件的采购、制造、检测、试验、送货、搬运（含二次搬运至甲方指定仓储地点）、指导安装、保险、现场仓储、质保期免费上门提供售后服务等相关服务的全部费用；</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（2）货物及其工艺所有制造方、使用方应支付的对专有技术、专利权和版权、设计或其他知识产权而需要向其他方支付的版税；</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kern w:val="2"/>
          <w:sz w:val="21"/>
          <w:szCs w:val="21"/>
          <w:lang w:val="zh-CN"/>
        </w:rPr>
        <w:t>日常技术指导，免费的质保服务，包括但不限于免费现场质量问题处理或更换无效产品；</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（4）合理利润、乙方销项税额以外的税费、中标服务费等；</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（5）法律法规、商业公认、招标文件规定由乙方承担的其他直接及间接费用。</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暂定合同价税合计为</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none"/>
          <w:lang w:val="zh-CN"/>
        </w:rPr>
        <w:t>元</w:t>
      </w:r>
      <w:r>
        <w:rPr>
          <w:rFonts w:hint="eastAsia" w:ascii="宋体" w:hAnsi="宋体" w:eastAsia="宋体" w:cs="宋体"/>
          <w:color w:val="auto"/>
          <w:sz w:val="21"/>
          <w:szCs w:val="21"/>
          <w:highlight w:val="none"/>
          <w:lang w:val="zh-CN"/>
        </w:rPr>
        <w:t>（大写人民币</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），合同履行期间根据本条第2项规定调整销项税额的，结算合同价税合计对应调整。</w:t>
      </w:r>
    </w:p>
    <w:p>
      <w:pPr>
        <w:keepNext w:val="0"/>
        <w:keepLines w:val="0"/>
        <w:pageBreakBefore w:val="0"/>
        <w:kinsoku/>
        <w:wordWrap/>
        <w:overflowPunct/>
        <w:topLinePunct w:val="0"/>
        <w:bidi w:val="0"/>
        <w:adjustRightInd w:val="0"/>
        <w:snapToGrid w:val="0"/>
        <w:spacing w:line="360" w:lineRule="auto"/>
        <w:ind w:firstLine="476" w:firstLineChars="227"/>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第三条 付款方式</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合同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启用履约担保或直接从未付合同款项、质量保证金中直接扣除，且乙方必须按照扣除前述费用前的合同价（销售额）开具增值税专用发票，保证增值税税额符合法律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货物供货的款项按各污水处理项目及提标项目进行支付、结算。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旗下污水处理项目及提标项目收到</w:t>
      </w:r>
      <w:r>
        <w:rPr>
          <w:rFonts w:hint="eastAsia" w:ascii="宋体" w:hAnsi="宋体" w:eastAsia="宋体" w:cs="宋体"/>
          <w:color w:val="auto"/>
          <w:sz w:val="21"/>
          <w:szCs w:val="21"/>
          <w:highlight w:val="none"/>
          <w:lang w:val="en-US" w:eastAsia="zh-CN"/>
        </w:rPr>
        <w:t>乙方所供全部</w:t>
      </w:r>
      <w:r>
        <w:rPr>
          <w:rFonts w:hint="eastAsia" w:ascii="宋体" w:hAnsi="宋体" w:eastAsia="宋体" w:cs="宋体"/>
          <w:color w:val="auto"/>
          <w:sz w:val="21"/>
          <w:szCs w:val="21"/>
          <w:highlight w:val="none"/>
        </w:rPr>
        <w:t>货物并到货验收合格后，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对应项目的</w:t>
      </w:r>
      <w:r>
        <w:rPr>
          <w:rFonts w:hint="eastAsia" w:ascii="宋体" w:hAnsi="宋体" w:eastAsia="宋体" w:cs="宋体"/>
          <w:color w:val="auto"/>
          <w:sz w:val="21"/>
          <w:szCs w:val="21"/>
          <w:highlight w:val="none"/>
        </w:rPr>
        <w:t>请款报告及</w:t>
      </w:r>
      <w:r>
        <w:rPr>
          <w:rFonts w:hint="eastAsia" w:ascii="宋体" w:hAnsi="宋体" w:eastAsia="宋体" w:cs="宋体"/>
          <w:color w:val="auto"/>
          <w:sz w:val="21"/>
          <w:szCs w:val="21"/>
          <w:highlight w:val="none"/>
          <w:lang w:val="en-US" w:eastAsia="zh-CN"/>
        </w:rPr>
        <w:t>与请款</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等额的</w:t>
      </w:r>
      <w:r>
        <w:rPr>
          <w:rFonts w:hint="eastAsia" w:ascii="宋体" w:hAnsi="宋体" w:eastAsia="宋体" w:cs="宋体"/>
          <w:color w:val="auto"/>
          <w:sz w:val="21"/>
          <w:szCs w:val="21"/>
          <w:highlight w:val="none"/>
        </w:rPr>
        <w:t>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在收到前述材料并确认无误后15日内，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价的</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及对应税额</w:t>
      </w:r>
      <w:r>
        <w:rPr>
          <w:rFonts w:hint="eastAsia" w:ascii="宋体" w:hAnsi="宋体" w:eastAsia="宋体" w:cs="宋体"/>
          <w:color w:val="auto"/>
          <w:sz w:val="21"/>
          <w:szCs w:val="21"/>
          <w:highlight w:val="none"/>
        </w:rPr>
        <w:t>款项给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乙方送达的全部货物经甲方</w:t>
      </w:r>
      <w:r>
        <w:rPr>
          <w:rFonts w:hint="eastAsia" w:ascii="宋体" w:hAnsi="宋体" w:eastAsia="宋体" w:cs="宋体"/>
          <w:color w:val="auto"/>
          <w:sz w:val="21"/>
          <w:szCs w:val="21"/>
          <w:highlight w:val="none"/>
        </w:rPr>
        <w:t>旗下污水处理项目及提标项目最终验收合格后，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请款报告及</w:t>
      </w:r>
      <w:r>
        <w:rPr>
          <w:rFonts w:hint="eastAsia" w:ascii="宋体" w:hAnsi="宋体" w:eastAsia="宋体" w:cs="宋体"/>
          <w:color w:val="auto"/>
          <w:sz w:val="21"/>
          <w:szCs w:val="21"/>
          <w:highlight w:val="none"/>
          <w:lang w:val="en-US" w:eastAsia="zh-CN"/>
        </w:rPr>
        <w:t>与请款</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等额的</w:t>
      </w:r>
      <w:r>
        <w:rPr>
          <w:rFonts w:hint="eastAsia" w:ascii="宋体" w:hAnsi="宋体" w:eastAsia="宋体" w:cs="宋体"/>
          <w:color w:val="auto"/>
          <w:sz w:val="21"/>
          <w:szCs w:val="21"/>
          <w:highlight w:val="none"/>
        </w:rPr>
        <w:t>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在收到前述材料并确认无误后15日内，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lang w:val="en-US" w:eastAsia="zh-CN"/>
        </w:rPr>
        <w:t>及对应税额</w:t>
      </w:r>
      <w:r>
        <w:rPr>
          <w:rFonts w:hint="eastAsia" w:ascii="宋体" w:hAnsi="宋体" w:eastAsia="宋体" w:cs="宋体"/>
          <w:color w:val="auto"/>
          <w:sz w:val="21"/>
          <w:szCs w:val="21"/>
          <w:highlight w:val="none"/>
        </w:rPr>
        <w:t>款项给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剩余的5%合同价款作为质保金。质保期满后，所供货物无质量问题且</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按照合同约定提供质保服务的，由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请款报告及与请款金额</w:t>
      </w:r>
      <w:r>
        <w:rPr>
          <w:rFonts w:hint="eastAsia" w:ascii="宋体" w:hAnsi="宋体" w:eastAsia="宋体" w:cs="宋体"/>
          <w:color w:val="auto"/>
          <w:sz w:val="21"/>
          <w:szCs w:val="21"/>
          <w:highlight w:val="none"/>
        </w:rPr>
        <w:t>等额的合法、有效的增值税专用发票等相关请款资料，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对应项目</w:t>
      </w:r>
      <w:r>
        <w:rPr>
          <w:rFonts w:hint="eastAsia" w:ascii="宋体" w:hAnsi="宋体" w:eastAsia="宋体" w:cs="宋体"/>
          <w:color w:val="auto"/>
          <w:sz w:val="21"/>
          <w:szCs w:val="21"/>
          <w:highlight w:val="none"/>
        </w:rPr>
        <w:t>质保金支付给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Times New Roman"/>
          <w:color w:val="auto"/>
          <w:kern w:val="0"/>
          <w:sz w:val="21"/>
          <w:szCs w:val="21"/>
        </w:rPr>
        <w:t>如质保期内乙方未能按合同约定提供质保服务的，在质保期满后由甲方根据乙方实际履行质保服务情况与乙方结算质保金。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通过银行转账或银行承兑汇票方式支付相应款项至</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银行账户中，汇票期限不超过三个月，每期款项支付方式由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决定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按所供货物向相应污水处理项目及提标项目提供货物</w:t>
      </w:r>
      <w:r>
        <w:rPr>
          <w:rFonts w:hint="eastAsia" w:ascii="宋体" w:hAnsi="宋体" w:eastAsia="宋体" w:cs="宋体"/>
          <w:color w:val="auto"/>
          <w:sz w:val="21"/>
          <w:szCs w:val="21"/>
          <w:highlight w:val="none"/>
          <w:lang w:val="en-US" w:eastAsia="zh-CN"/>
        </w:rPr>
        <w:t>请款金额</w:t>
      </w:r>
      <w:r>
        <w:rPr>
          <w:rFonts w:hint="eastAsia" w:ascii="宋体" w:hAnsi="宋体" w:eastAsia="宋体" w:cs="宋体"/>
          <w:color w:val="auto"/>
          <w:sz w:val="21"/>
          <w:szCs w:val="21"/>
          <w:highlight w:val="none"/>
        </w:rPr>
        <w:t>等额合法</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的增值税专用发票、请款报告等请款资料，逾期提交请款资料及发票或提交资料不符合要求的，付款时间顺延，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并不承担逾期付款违约责任。由于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承担赔偿责任。</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lang w:val="en-US" w:eastAsia="zh-CN"/>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第四条 合同组成</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第五条 技术要求</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保证所提供货物均为采用合格材料和工艺制成的全新一手的未使用过的制造商原装产品，并完全符合甲方招标文件、用户需求书、本合同要求及乙方投标文件承诺的质量、规格标准；同时乙方所提供货物，必须符合国家有关法律法规和环保、主管部门要求及甲方的技术要求，不存在侵犯第三人知识产权及其他合法权益的情况，否则</w:t>
      </w:r>
      <w:r>
        <w:rPr>
          <w:rFonts w:hint="eastAsia" w:ascii="宋体" w:hAnsi="宋体" w:eastAsia="宋体" w:cs="宋体"/>
          <w:color w:val="auto"/>
          <w:sz w:val="21"/>
          <w:szCs w:val="21"/>
          <w:lang w:eastAsia="zh-Hans"/>
        </w:rPr>
        <w:t>甲方有权单方解除本合同、不予返还履约担保且要求乙方按暂定合同价税合计金额的【</w:t>
      </w:r>
      <w:r>
        <w:rPr>
          <w:rFonts w:hint="eastAsia" w:ascii="宋体" w:hAnsi="宋体" w:eastAsia="宋体" w:cs="宋体"/>
          <w:color w:val="auto"/>
          <w:sz w:val="21"/>
          <w:szCs w:val="21"/>
        </w:rPr>
        <w:t>20</w:t>
      </w:r>
      <w:r>
        <w:rPr>
          <w:rFonts w:hint="eastAsia" w:ascii="宋体" w:hAnsi="宋体" w:eastAsia="宋体" w:cs="宋体"/>
          <w:color w:val="auto"/>
          <w:sz w:val="21"/>
          <w:szCs w:val="21"/>
          <w:lang w:eastAsia="zh-Hans"/>
        </w:rPr>
        <w:t>】%承担违约责任</w:t>
      </w:r>
      <w:r>
        <w:rPr>
          <w:rFonts w:hint="eastAsia" w:ascii="宋体" w:hAnsi="宋体" w:eastAsia="宋体" w:cs="宋体"/>
          <w:color w:val="auto"/>
          <w:sz w:val="21"/>
          <w:szCs w:val="21"/>
        </w:rPr>
        <w:t>。乙方应当提供货物的质量检验单位出具的检验报告原件（检验报告合格）、出厂合格证明材料、产品性能使用说明书，并具备主管部门的质量认证文件等。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numPr>
          <w:ilvl w:val="0"/>
          <w:numId w:val="3"/>
        </w:numPr>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质量及性能要求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所供货物必须适用于TROJAN UV 3000 PLUS型紫外消毒设备，且功能、指标满足TROJAN UV 3000 PLUS型紫外消毒设备正常使用要求。</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旗下各污水处理项目及提标项目现有紫外消毒设备安装</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所供货物后即可正常投入使用，不得对现有紫外消毒设备进行任何改动。</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旗下各污水处理项目及提标项目使用</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所供货物替换现有紫外消毒设备已损坏零配件，紫外消毒设备的消毒效果及消毒剂量需满足各污水处理项目及提标项目出水水质达标排放，同时满足万江污水处理厂二期污水处理规模5万m3/d及峰值处理水量2875m3/h、中堂污水处理厂二期污水处理规模5万m3/d及峰值处理水量2750 m3/h、虎门宁洲污水处理厂二期污水处理规模10万m3/d及峰值处理水量5417m3/h、长安新区污水处理厂污水处理规模20万m3/d及峰值处理水量10833m3/h、松山湖北部污水处理厂污水处理规模5万m3/d及峰值处理水量2708m3/h、黄江污水处理厂二期污水处理规模6万m3/d及峰值处理水量3250m3/h、凤岗竹塘污水处理厂二期污水处理规模5万m3/d及峰值处理水量2708m3/h、塘厦林村污水处理厂二期污水处理规模4万m3/d及峰值处理水量2200m3/h、樟木头污水处理厂三期污水处理规模4万m3/d及峰值处理水量2167m3/h、谢岗污水处理厂二期污水处理规模3万m3/d及峰值处理水量1625m3/h、桥头污水处理厂二期污水处理规模4万m3/d及峰值处理水量2167m3/h、市区污水处理厂提标污水处理规模40万m3/d及峰值处理水量21667 m3/h、麻涌污水处理厂一期提标污水处理规模3万m3/d及峰值处理水量1788m3/h、虎门宁洲污水处理厂一期提标污水处理规模10万m3/d及峰值处理水量5417 m3/h、长安锦厦三洲水质净化厂提标污水处理规模15万m3/d及峰值处理水量8125m3/h、松山湖北部污水处理厂一期提标污水处理规模5万m3/d及峰值处理水量2875m3/h、黄江污水处理厂一期提标污水处理规模4万m3/d及峰值处理水量2350m3/h、凤岗虾公潭污水处理厂提标污水处理规模2万m3/d及峰值处理水量1250m3/h、凤岗雁田污水处理厂提标污水处理规模5万m3/d及峰值处理水量2875m3/h、竹塘污水处理厂一期提标污水处理规模4万m3/d及峰值处理水量2350m3/h、塘厦林村污水处理厂一期提标污水处理规模12万m3/d及峰值处理水量6500m3/h、塘厦石桥头污水处理厂提标污水处理规模4万m3/d及峰值处理水量2350m3/h、樟木头污水处理厂一二期提标污水处理规模6万m3/d及峰值处理水量3250m3/h、谢岗污水处理厂一期提标污水处理规模3万m3/d及峰值处理水量1812.5m3/h、桥头污水处理厂一期提标污水处理规模4万m3/d及峰值处理水量2350m3/h。</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所供货物必须是全新的，所有设备和材料运输到达施工场地时的包装必须是原厂完整的，由</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签收后方可拆包安装。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所供货物必须有质量检验合格证、装箱单、产品安装使用说明书、出厂检验报告（或测试性能、测试报告）及</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要求的其他合格证明文件等相关资料。</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所供货物的安装工作由</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负责，</w:t>
      </w: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负责所供货物的指导安装。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紫外灯管技术要求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紫外灯管的设计必须符合我国《城市给排水紫外线消毒设备》(GB/T19837-2019)标准。</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紫外灯管使用寿命不低于12000小时。</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紫外灯管必须是低压高强灯，单灯管的最大灯管功率需≥235W，并≤250W，每支紫外灯管运行功率可在60％～100％间由原设备的控制中心进行调整。</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紫外灯管在新灯管运行100小时磨合期后，单根灯管能量输出转化为254nm波长紫外线的电光转化效率≥40%（即单根紫外消毒灯管的灯管功率为250W时，其254nm波长紫外线能量输出≥100W）。</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紫外灯管为低压高强紫外灯管，灯管经过预热处理以提高其寿命。灯管灯丝采用夹式设计，独特的卷曲式可以防震。</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紫外灯管的外观尺寸：整体长度1580±1mm，直径19±0.25mm。</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rPr>
        <w:t>紫外灯套管技术要求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紫外灯套管现使用塑料套管螺帽、钢套和压紧式O型圈进行密封安装。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石英套管紫外透光率大于90%。</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每根紫外灯管内置安装在一根单独的紫外灯套管内，套管一端开口，开口端采用压紧式O型圈进行密封安装。</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紫外灯套管的外观尺寸：整体长度1950±1mm，直径28±0.25mm，套管壁厚度不大于2mm。</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镇流器</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镇流器需为可变输出功率镇流器，功率因数不低于0.98，镇流器的防护等级不低于IP54，适用最高环境温度不低于50℃。</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一个镇流器驱动两根灯管，镇流器由PLC控制，镇流器应能独立控制紫外光灯管，提供每支紫外光灯的工作状况并且把信号输送到紫外消毒设备PLC控制中心，紫外消毒设备PLC控制中心可根据出水流量计流量、紫外光强等实时数据通过镇流器调整紫外灯管的功率输出。</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lang w:eastAsia="zh-CN"/>
        </w:rPr>
        <w:t>检验报告</w:t>
      </w:r>
      <w:r>
        <w:rPr>
          <w:rFonts w:hint="eastAsia" w:ascii="宋体" w:hAnsi="宋体" w:eastAsia="宋体" w:cs="宋体"/>
          <w:color w:val="auto"/>
          <w:kern w:val="2"/>
          <w:sz w:val="21"/>
          <w:szCs w:val="21"/>
        </w:rPr>
        <w:t>要求</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乙方</w:t>
      </w:r>
      <w:r>
        <w:rPr>
          <w:rFonts w:hint="eastAsia" w:ascii="宋体" w:hAnsi="宋体" w:eastAsia="宋体" w:cs="宋体"/>
          <w:color w:val="auto"/>
          <w:kern w:val="2"/>
          <w:sz w:val="21"/>
          <w:szCs w:val="21"/>
        </w:rPr>
        <w:t>需提供以下紫外灯管性能指标检验报告：</w:t>
      </w:r>
    </w:p>
    <w:p>
      <w:pPr>
        <w:keepNext w:val="0"/>
        <w:keepLines w:val="0"/>
        <w:pageBreakBefore w:val="0"/>
        <w:kinsoku/>
        <w:wordWrap/>
        <w:overflowPunct/>
        <w:topLinePunct w:val="0"/>
        <w:bidi w:val="0"/>
        <w:adjustRightInd w:val="0"/>
        <w:snapToGrid w:val="0"/>
        <w:spacing w:line="360" w:lineRule="auto"/>
        <w:ind w:right="-26"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color w:val="auto"/>
          <w:kern w:val="2"/>
          <w:sz w:val="21"/>
          <w:szCs w:val="21"/>
        </w:rPr>
        <w:t>（须提供出具检验报告的第三方检测机构的CMA认证证书附表复印件或其他能体现其检测能力范围内的证明文件）</w:t>
      </w:r>
      <w:r>
        <w:rPr>
          <w:rFonts w:hint="eastAsia" w:ascii="宋体" w:hAnsi="宋体" w:eastAsia="宋体" w:cs="宋体"/>
          <w:color w:val="auto"/>
          <w:kern w:val="2"/>
          <w:sz w:val="21"/>
          <w:szCs w:val="21"/>
        </w:rPr>
        <w:t>。</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第七条 包装、运输</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1、本合同项下货物的包装均应有良好的防湿、防锈、防潮、防雨、防腐及防碰撞的措施，且货物的包装、运输方式均应符合国家及行业相关标准及规定。</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4、各种设备的松散零星部件应采用可靠安全的包装方式，装入尺寸适当的箱内，并尽可能整车发运。栅格式箱子或类似的包装，只能用于盛装不至于被偷窃或被其他物品或雨水造成损坏的设备及零部件。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5、凡设备上需涂油漆部分均需按规定进行处理，会腐蚀的未涂油漆的部分须用高熔点油脂或无酸牛脂或用其它保护剂涂抹，上述这些保护剂在设备安装期间或在安装后是易于抹去的。</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按照甲方的要求，乙方应按时告知设备的运输情况。乙方应负责将合同所供设备运至甲方指定位置，包括到场设备搬卸和采取安全措施。设备相关运输、装卸、保险、关税（进口设备）等费用已包含在合同价中。</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sz w:val="21"/>
          <w:szCs w:val="21"/>
        </w:rPr>
        <w:t>8、乙方对任何甲方不予接收的存在缺损或不符合技术文件规定的设备或有关机件、附件，应立即运走，予以更换。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sz w:val="21"/>
          <w:szCs w:val="21"/>
        </w:rPr>
        <w:t>9、本合同项下货物由于包装不良、运输方式不当或非法运输造成的事故、损失、行政处罚和由此产生的其他全部费用均由乙方全部承担。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10、运输过程中发生的货物毁损、灭失等所有相关风险由乙方自行承担。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第八条 保险</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负责为本合同项下所有货物购买相应的商业保险，投保保险金额应不低于相应设备发票金额的110%，保险费已包含在合同价中。如因乙方未能投保或保险人不予承担相应责任而货物在经甲方验收合格前的运输、装卸等过程中发生毁损、灭失的风险由乙方自行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一旦上述货物发生保险事故，乙方除依法向保险人请求赔偿保险金外，应继续依约向甲方提供满足本合同要求的货物，否则甲方有权按本合同第十七条第二款的约定要求乙方承担违约责任。</w:t>
      </w: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第九条 货物的交付</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将货物运输至甲方指定的交货地点、完成卸货，并向甲方提供产品合格证书、产品质量说明书、出厂检验报告及送货单后，经甲方书面确认最终验收合格后且签订书面验收凭证视为货物交付完成。在货物移交给甲方并经甲方最终验收合格前，货物的所有损毁灭失的风险由乙方承担。</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应自行将货物运至交货地点交货，由于使用第三方送货服务导致货物未能经过双方共同验收、未送到指定地点仓库的，甲方有权拒绝收货。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甲方根据整体项目进度的情况，有权提出对部分或全部货物提前或延迟交货，但应不迟于交货期限届满前7</w:t>
      </w:r>
      <w:r>
        <w:rPr>
          <w:rFonts w:hint="eastAsia" w:ascii="宋体" w:hAnsi="宋体" w:eastAsia="宋体" w:cs="宋体"/>
          <w:color w:val="auto"/>
          <w:sz w:val="21"/>
          <w:szCs w:val="21"/>
          <w:lang w:val="en-US" w:eastAsia="zh-CN"/>
        </w:rPr>
        <w:t>日</w:t>
      </w:r>
      <w:r>
        <w:rPr>
          <w:rFonts w:hint="eastAsia" w:ascii="宋体" w:hAnsi="宋体" w:eastAsia="宋体" w:cs="宋体"/>
          <w:color w:val="auto"/>
          <w:sz w:val="21"/>
          <w:szCs w:val="21"/>
        </w:rPr>
        <w:t xml:space="preserve">告知乙方，甲方无需另行支付任何费用。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3、乙方有义务配合甲方整体项目进度，对整体项目提供协助及配合。</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4、运输方式：由乙方自行选择适当的运输方式，并承担相应费用。</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lang w:val="zh-CN"/>
        </w:rPr>
      </w:pPr>
      <w:r>
        <w:rPr>
          <w:rFonts w:hint="eastAsia" w:ascii="宋体" w:hAnsi="宋体" w:eastAsia="宋体" w:cs="宋体"/>
          <w:bCs/>
          <w:color w:val="auto"/>
          <w:kern w:val="2"/>
          <w:sz w:val="21"/>
          <w:szCs w:val="21"/>
          <w:lang w:val="zh-CN"/>
        </w:rPr>
        <w:t>5、乙方负责所供货物的供货、指导安装、调试、验收及售后服务等相关工作。</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及甲方要求的其他合格证明文件等相关资料。</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乙方所供货物必须与现场设备相匹配，具备或高于原设备配件的功能要求，无瑕疵和缺陷，质量为合格的货物。乙方所供货物安装在现有设备即可正常投入使用，不得对现有设备进行任何改动，并提供与安装所需的零配件。</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8、所有货物运输到达污水厂时的包装必须是完整的，由甲方签收后方可拆包安装。</w:t>
      </w:r>
    </w:p>
    <w:p>
      <w:pPr>
        <w:keepNext w:val="0"/>
        <w:keepLines w:val="0"/>
        <w:pageBreakBefore w:val="0"/>
        <w:kinsoku/>
        <w:wordWrap/>
        <w:overflowPunct/>
        <w:topLinePunct w:val="0"/>
        <w:bidi w:val="0"/>
        <w:adjustRightInd w:val="0"/>
        <w:snapToGrid w:val="0"/>
        <w:spacing w:line="360" w:lineRule="auto"/>
        <w:ind w:right="-26" w:firstLine="426"/>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9、所有货物须满足国家及行业环保和质量标准。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第十条 验收</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1、到货验收要求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货物到达交货地点之日起3日内，</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（含</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委托的第三方）、</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代表共同验货。</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按照合同及用户需求书、国家相关法律法规以及规范的要求等相关的规定，对货物的品种、品牌、产地、型号规格、数量、外观质量、资料进行清点和全面的检验，并作详细的记录。</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如发现货物与合同不符，或货物短缺、质次损坏等问题，应作详细记录，</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可拒绝收货，或由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30日</w:t>
      </w:r>
      <w:r>
        <w:rPr>
          <w:rFonts w:hint="eastAsia" w:ascii="宋体" w:hAnsi="宋体" w:eastAsia="宋体" w:cs="宋体"/>
          <w:color w:val="auto"/>
          <w:sz w:val="21"/>
          <w:szCs w:val="21"/>
        </w:rPr>
        <w:t>内无条件为</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调换或补齐。调换或补齐后的货物，</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有权按照本条有关验收的约定进行验收，由此产生的制造、修理和运费及保险费等费用均应由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负担，与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无关。</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货物</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旗下污水处理项目及提标项目出具相关签收手续。</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2、最终验收要求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货物</w:t>
      </w:r>
      <w:r>
        <w:rPr>
          <w:rFonts w:hint="eastAsia" w:ascii="宋体" w:hAnsi="宋体" w:eastAsia="宋体" w:cs="宋体"/>
          <w:color w:val="auto"/>
          <w:sz w:val="21"/>
          <w:szCs w:val="21"/>
          <w:lang w:val="en-US" w:eastAsia="zh-CN"/>
        </w:rPr>
        <w:t>完成到货验收后两个月内</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经</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lang w:val="en-US" w:eastAsia="zh-CN"/>
        </w:rPr>
        <w:t>确认乙方所供货物参数符合相关技术要求</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委托第三方</w:t>
      </w:r>
      <w:r>
        <w:rPr>
          <w:rFonts w:hint="eastAsia" w:ascii="宋体" w:hAnsi="宋体" w:eastAsia="宋体" w:cs="宋体"/>
          <w:color w:val="auto"/>
          <w:sz w:val="21"/>
          <w:szCs w:val="21"/>
          <w:lang w:val="en-US" w:eastAsia="zh-CN"/>
        </w:rPr>
        <w:t>检测单位检测</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后，与</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代表</w:t>
      </w:r>
      <w:r>
        <w:rPr>
          <w:rFonts w:hint="eastAsia" w:ascii="宋体" w:hAnsi="宋体" w:eastAsia="宋体" w:cs="宋体"/>
          <w:color w:val="auto"/>
          <w:sz w:val="21"/>
          <w:szCs w:val="21"/>
          <w:lang w:val="en-US" w:eastAsia="zh-CN"/>
        </w:rPr>
        <w:t>共同确认后</w:t>
      </w:r>
      <w:r>
        <w:rPr>
          <w:rFonts w:hint="eastAsia" w:ascii="宋体" w:hAnsi="宋体" w:eastAsia="宋体" w:cs="宋体"/>
          <w:color w:val="auto"/>
          <w:sz w:val="21"/>
          <w:szCs w:val="21"/>
        </w:rPr>
        <w:t>，视为</w:t>
      </w:r>
      <w:r>
        <w:rPr>
          <w:rFonts w:hint="eastAsia" w:ascii="宋体" w:hAnsi="宋体" w:eastAsia="宋体" w:cs="宋体"/>
          <w:color w:val="auto"/>
          <w:sz w:val="21"/>
          <w:szCs w:val="21"/>
          <w:lang w:val="en-US" w:eastAsia="zh-CN"/>
        </w:rPr>
        <w:t>通过最终验收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出具</w:t>
      </w:r>
      <w:r>
        <w:rPr>
          <w:rFonts w:hint="eastAsia" w:ascii="宋体" w:hAnsi="宋体" w:eastAsia="宋体" w:cs="宋体"/>
          <w:color w:val="auto"/>
          <w:sz w:val="21"/>
          <w:szCs w:val="21"/>
          <w:lang w:val="en-US" w:eastAsia="zh-CN"/>
        </w:rPr>
        <w:t>最终验收</w:t>
      </w:r>
      <w:r>
        <w:rPr>
          <w:rFonts w:hint="eastAsia" w:ascii="宋体" w:hAnsi="宋体" w:eastAsia="宋体" w:cs="宋体"/>
          <w:color w:val="auto"/>
          <w:sz w:val="21"/>
          <w:szCs w:val="21"/>
        </w:rPr>
        <w:t>相关手续。</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根据本条约定对货物所做出的验收，仅作为起算付款及质保期之用，不视为双方对于货物质量的最终认定。</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如最终验收过程中，发现乙方货物参数不符合相关技术要求的，乙方需在30日内完成所有货物的更换，期间因甲方使用造成的货物折旧损失，由乙方自行承担</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3、其他验收要求</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对货物所做出的</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验收，仅作为起算付款及质保期之用，不视为双方对于货物质量的最终认定。货物经</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验收合格后，</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仍应在质保期内对产品质量承担保证责任。</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货物在全部经</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验收合格前，其损耗、毁损、灭失等风险及责任由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承担，如因发生前述情形，导致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所供应的货物不能通过</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lang w:val="en-US" w:eastAsia="zh-CN"/>
        </w:rPr>
        <w:t>到货</w:t>
      </w:r>
      <w:r>
        <w:rPr>
          <w:rFonts w:hint="eastAsia" w:ascii="宋体" w:hAnsi="宋体" w:eastAsia="宋体" w:cs="宋体"/>
          <w:color w:val="auto"/>
          <w:sz w:val="21"/>
          <w:szCs w:val="21"/>
        </w:rPr>
        <w:t>验收的，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应按</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要求予以更换或退货。</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最终</w:t>
      </w:r>
      <w:r>
        <w:rPr>
          <w:rFonts w:hint="eastAsia" w:ascii="宋体" w:hAnsi="宋体" w:eastAsia="宋体" w:cs="宋体"/>
          <w:color w:val="auto"/>
          <w:sz w:val="21"/>
          <w:szCs w:val="21"/>
        </w:rPr>
        <w:t>验收过程中，如对检验记录不能取得一致意见时，一方可委托货物交付地有资质权威的第三方检验机构合进行检验。检验结果具有约束力，检验费用由责任方负担。</w:t>
      </w:r>
    </w:p>
    <w:p>
      <w:pPr>
        <w:keepNext w:val="0"/>
        <w:keepLines w:val="0"/>
        <w:pageBreakBefore w:val="0"/>
        <w:widowControl/>
        <w:kinsoku/>
        <w:wordWrap/>
        <w:overflowPunct/>
        <w:topLinePunct w:val="0"/>
        <w:autoSpaceDE/>
        <w:autoSpaceDN/>
        <w:bidi w:val="0"/>
        <w:adjustRightInd w:val="0"/>
        <w:snapToGrid w:val="0"/>
        <w:spacing w:line="360" w:lineRule="auto"/>
        <w:ind w:left="2" w:firstLine="449" w:firstLineChars="214"/>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由于非</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原因而引起货物的修理或更换的时间，以不影响生产为原则，否则将视为逾期交货。</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第十一条 权利保证</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包括但不限于本合同所约定得总价款、甲方为维护自身权益所支付的律师费、诉讼费、鉴定费、差旅费等全部费用。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第十二条 质量保证及售后服务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质保期为自最终验收合格之日起18个月，自货物最终验收合格之日起算。质保期内，</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对本次采购的货物进行免费保修，免费保修包括但不限于由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承担完成质保期的工作而产生的运费、购置费、测试费、人工费等各项费用（包括进口关税和增值税等）。</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质保期内，对使用寿命达不到12000小时的紫外灯管，</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应免费给予更换，被更换的紫外灯管质保期从更换之日起重新计算。</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质保期内，若货物经1次维修或维修时间超过1个月，仍不能正常使用的，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应免费给予更换，被更换的货物的质保期为从更换日起重新计算。</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质保期内，</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承诺将在接到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的故障通知后4小时内响应，24小时内到达项目现场进行维修等服务。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在使用货物时所遇技术问题，</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应按</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要求及时向</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无偿提供技术指导服务。</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未按上述要求提供售后服务的，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有权要求其他第三方提供相关服务，因此产生的费用全部由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第十三条 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1、乙方应当根据招标文件的规定在签订本合同前向甲方提供履约担保，履约担保形式及金额由乙方从以下方式中任选一种：</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履约保证金（银行转账形式）金额为¥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不可撤销银行履约保函金额为¥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履约保证保险金额为¥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担保公司履约担保书金额为¥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2、履约担保用于补偿甲方因乙方不能完全履行其合同义务而蒙受的损失，如发生下列任一情况时，甲方除有权依合同追究乙方违约责任外，还有权提取履约担保并进行相应处理：</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（1）乙方将合同项下的权利义务全部转让给第三方，或未经甲方书面同意将部分权利义务转让给第三方的，甲方有权没收其履约担保。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（2）在合同履行期间，乙方怠于履行合同义务，经甲方提出改正，乙方在限期内仍拒不改正的，甲方可依法没收其履约担保。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合同履行期间，因乙方货物、服务质量问题造成损害、侵权损失（包括但不限于甲方（含其人员）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（4）在合同履行期间，乙方违约产生的违约金、赔偿、罚款或其他应付费用等款项，甲方有权直接从未付货物款项中扣除或使用履约担保予以支付。</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（5）合同期内，乙方不能及时完成合同某项义务的，甲方有权使用履约担保用于处理该项工作。</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（6）其他根据本合同约定或法律规定，甲方可使用履约担保的情形。</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履约担保金余额无息退还乙方。</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4、如乙方提供不可撤销银行履约保函或履约保证保险或担保公司履约担保书作为履约担保的，不可撤销银行履约保函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到期前向出具履约担保的机构提取履约担保金。在不可撤销银行履约保函（或履约保证保险或担保公司履约担保书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到期后乙方未按甲方要求重新提供的，甲方有权要求乙方以履约担保金额为限承担违约金。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第十四条 技术资料</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1、乙方需向甲方提供但不限于下述技术资料：</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（1）出厂试验报告、质量检验报告、质量合格证、供货单据；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（2）质量说明书；</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（3）产品安装使用说明书及与货物使用相关的其他文件；</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（4）甲方要求提供的其他检验报告等。</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2、乙方需将上述资料以及其他甲方在使用货物过程中所需的技术资料（若上述资料为复印件的，则须加盖乙方公章）在交货时交给甲方，有关资料的收集和整理由乙方负责，甲方予以配合。</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3、乙方提供的货物必须达到招标文件用户需求书要求和投标文件承诺的质量标准。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第十五条 不可抗力</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要求最迟交货期交货的，则甲方有权单方解除本合同并不承担任何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第十六条 索赔</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auto"/>
          <w:sz w:val="21"/>
          <w:szCs w:val="21"/>
          <w:lang w:eastAsia="zh-Hans"/>
        </w:rPr>
        <w:t>乙方逾期在上述期限作出答复的，视为其同意甲方的索赔方案。</w:t>
      </w:r>
      <w:r>
        <w:rPr>
          <w:rFonts w:hint="eastAsia" w:ascii="宋体" w:hAnsi="宋体" w:eastAsia="宋体" w:cs="宋体"/>
          <w:color w:val="auto"/>
          <w:sz w:val="21"/>
          <w:szCs w:val="21"/>
        </w:rPr>
        <w:t>乙方根据合同约定应承担更换或退货责任的，乙方应立即根据本合同的约定承担免费更换或退货责任。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双方对货物的质量问题存在争议的，双方同意在质量问题发生后7日内提交东莞市质检部门或有资质及鉴定能力的鉴定机构进行质量鉴定后确认，鉴定费由乙方先行垫付，鉴定结果确定后，质量符合合同（含附件）约定的，鉴定费由甲方承担，否则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3、如果乙方对甲方提出的异议及索赔负有责任，乙方应按照甲方同意的下列一种或多种方式解决索赔事宜：</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（1）根据甲方要求予以退货，在甲方发出退货通知后7日内将退货货物运回，返还甲方已支付的全部货款（含该批次价款及税费），并承担因此产生的全部费用，以及赔偿因此给甲方造成的损失。</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根据甲方要求承担货物的更换责任，乙方应于甲方发出更换通知后7日内更换全新并符合本合同的规定的货物，乙方应承担因此产生的全部费用并赔偿甲方因此遭受的损失，更换货物的质保期应按本合同的相关规定重新计算。</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（3）当甲方损失无法计算时，乙方同意按暂定合同价的20%计算赔偿金。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第十七条 违约责任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未在约定的时间内完成交货的，每逾期1日，</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须按所在污水处理项目及提标项目供货货物暂定合同价的1%（不含</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销项税）向</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支付违约金，最高不超过所在污水处理项目及提标项目供货货物暂定合同价的10%。</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逾期超过10日的，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可单方解除本合同，并追究</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的违约责任。</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未按合同约定履行货物的更换、退货责任，或所交货物经检验累计出现2次以上（含本数）不合格的情况，</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须按所在污水处理项目及提标项目供货货物暂定合同价的3%（不含</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销项税）向采购支付违约金，最高不超过所在污水处理项目及提标项目供货货物暂定合同价的10%。</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将有权单方中止或解除合同，没收履约担保。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未按约定履行售后服务义务的，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有权要求限期改正，如逾期仍未改正的，</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有权要求其他第三方提供相关服务，因此产生的费用全部由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承担，并且</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有权单方解除合同，并没收履约担保。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无论是否在质保期内，因</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所供货物质量问题导致</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旗下污水处理项目及提标项目特洁安紫外消毒设备（设备型号：TROJAN UV 3000 PLUS）运行出现异常、故障、发生安全事故或引起其他损失和造成不良后果的，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应在接到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通知后6小时内到达现场确认情况，并承担全部责任及损失赔偿。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自</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通知货物不合格之时起，</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有权要求</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必须加急供货，在20日内将等量的合格货物送交</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，否则按逾期供货的违约规定进行处理。</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应确保所交货物不得侵犯第三方任何权益，否则，由此引起的一切责任及损失都由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承担，造成</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损失，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还需予以足额赔偿。</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因货物的质量问题而发生争议，由双方共同确认的广东省或东莞市质检部门进行质量鉴定。货物符合质量标准的，鉴定费用由</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承担；货物不符合质量标准的，鉴定费用由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乙方所交货物（包括但不限于品种、型号、规格、质量、性能）不符合合同规定的，甲方有权拒收，并要求乙方免费予以更换或退货，同时乙方应向甲方支付该批货款暂定合同价的5%的违约金。若因乙方原因导致乙方无法按照本合同约定供货的，甲方有权单方解除合同，且有权要求乙方支付暂定合同价【20%】的违约金。</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暂定合同价的5%支付违约金或没收履约担保，并有权依法委托有资质的第三方继续履行本合同义务，由此造成的一切损失（包括但不限于再行采购的费用、委托第三人继续履行时超出本合同费用部分等）由乙方全部承担。</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、甲方按本合同约定单方解除合同的，乙方应在收到单方解除合同书面通知之日起30日内与甲方共同确认已完成的供货量及金额，未经甲乙双方共同确认的供货量不得再要求结算。</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、乙方车辆在甲方污水处理厂运营项目厂区行驶时，必须严格遵守厂区道路限行，限速和限重要求，如因乙方未遵守前述要求，对厂区/甲方（含其人员）、乙方人员、第三方造成损失的，</w:t>
      </w:r>
      <w:r>
        <w:rPr>
          <w:rFonts w:hint="eastAsia" w:ascii="宋体" w:hAnsi="宋体" w:eastAsia="宋体" w:cs="宋体"/>
          <w:color w:val="auto"/>
          <w:sz w:val="21"/>
          <w:szCs w:val="21"/>
          <w:lang w:eastAsia="zh-Hans"/>
        </w:rPr>
        <w:t>因此产生</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Hans"/>
        </w:rPr>
        <w:t>相关法律责任均由乙方自行承担</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Hans"/>
        </w:rPr>
        <w:t>因乙方违反本合同约定导致甲方权益受损的，甲方为维护自身权益所支付的所有费用均由乙方承担，包括但不限于甲方为此支付的</w:t>
      </w:r>
      <w:r>
        <w:rPr>
          <w:rFonts w:hint="eastAsia" w:ascii="宋体" w:hAnsi="宋体" w:eastAsia="宋体" w:cs="宋体"/>
          <w:color w:val="auto"/>
          <w:sz w:val="21"/>
          <w:szCs w:val="21"/>
        </w:rPr>
        <w:t>诉讼费、律师费、鉴定费、公证费、交通住宿费等全部</w:t>
      </w:r>
      <w:r>
        <w:rPr>
          <w:rFonts w:hint="eastAsia" w:ascii="宋体" w:hAnsi="宋体" w:eastAsia="宋体" w:cs="宋体"/>
          <w:color w:val="auto"/>
          <w:sz w:val="21"/>
          <w:szCs w:val="21"/>
          <w:lang w:eastAsia="zh-Hans"/>
        </w:rPr>
        <w:t>费用</w:t>
      </w:r>
      <w:r>
        <w:rPr>
          <w:rFonts w:hint="eastAsia" w:ascii="宋体" w:hAnsi="宋体" w:eastAsia="宋体" w:cs="宋体"/>
          <w:color w:val="auto"/>
          <w:sz w:val="21"/>
          <w:szCs w:val="21"/>
        </w:rPr>
        <w:t>。</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第十八条 争议解决</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双方在履约中发生争执和分歧，双方应通过友好协商解决，如不能通过友好协商解决的，任何一方均可向甲方住所地有管辖权的人民法院提起诉讼解决。</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第十九条 其他</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1、基于乙方的专业特长，甲方代表（合同签字者）对关于产品质量指标的确认、变更等，仅是程序性行为，并非就是对乙方产品质量责任的免除，乙方仍要对所供的产品承担全部责任。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2、合同履约过程中，若发现</w:t>
      </w:r>
      <w:r>
        <w:rPr>
          <w:rFonts w:hint="eastAsia" w:ascii="宋体" w:hAnsi="宋体" w:eastAsia="宋体" w:cs="宋体"/>
          <w:color w:val="auto"/>
          <w:kern w:val="2"/>
          <w:sz w:val="21"/>
          <w:szCs w:val="21"/>
          <w:lang w:val="zh-CN"/>
        </w:rPr>
        <w:t>同一种货物或服务存在有选择性的报价或</w:t>
      </w:r>
      <w:r>
        <w:rPr>
          <w:rFonts w:hint="eastAsia" w:ascii="宋体" w:hAnsi="宋体" w:eastAsia="宋体" w:cs="宋体"/>
          <w:color w:val="auto"/>
          <w:sz w:val="21"/>
          <w:szCs w:val="21"/>
          <w:lang w:val="zh-CN"/>
        </w:rPr>
        <w:t>不是固定的报价的</w:t>
      </w:r>
      <w:r>
        <w:rPr>
          <w:rFonts w:hint="eastAsia" w:ascii="宋体" w:hAnsi="宋体" w:eastAsia="宋体" w:cs="宋体"/>
          <w:color w:val="auto"/>
          <w:kern w:val="2"/>
          <w:sz w:val="21"/>
          <w:szCs w:val="21"/>
          <w:lang w:val="zh-CN"/>
        </w:rPr>
        <w:t>，或存在</w:t>
      </w:r>
      <w:r>
        <w:rPr>
          <w:rFonts w:hint="eastAsia" w:ascii="宋体" w:hAnsi="宋体" w:eastAsia="宋体" w:cs="宋体"/>
          <w:color w:val="auto"/>
          <w:sz w:val="21"/>
          <w:szCs w:val="21"/>
        </w:rPr>
        <w:t>多种理解方式的情况发生时，按最有利甲方的方式解释。</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4、本合同壹式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份，招标代理机构执</w:t>
      </w:r>
      <w:r>
        <w:rPr>
          <w:rFonts w:hint="eastAsia" w:ascii="宋体" w:hAnsi="宋体" w:eastAsia="宋体" w:cs="宋体"/>
          <w:color w:val="auto"/>
          <w:sz w:val="21"/>
          <w:szCs w:val="21"/>
          <w:u w:val="single"/>
        </w:rPr>
        <w:t xml:space="preserve"> 壹 </w:t>
      </w:r>
      <w:r>
        <w:rPr>
          <w:rFonts w:hint="eastAsia" w:ascii="宋体" w:hAnsi="宋体" w:eastAsia="宋体" w:cs="宋体"/>
          <w:color w:val="auto"/>
          <w:sz w:val="21"/>
          <w:szCs w:val="21"/>
        </w:rPr>
        <w:t>份，均具有同等法律效力。</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5、本合同自甲乙双方法定代表人或负责人签字并盖章之日起生效,有效期至全部合同义务履行完毕时终止。</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6、合同所有附件及本项目的招标文件、答疑文件、投标文件、补充通知及相关承诺、协议等均为本合同有效组成部分，与本合同同具法律效力，该等文件与本合同正文约定不一致的，以有利于甲方的约定为准。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7、本合同未尽事宜，由双方协商处理。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附件：一、采购清单及</w:t>
      </w:r>
      <w:r>
        <w:rPr>
          <w:rFonts w:hint="eastAsia" w:ascii="宋体" w:hAnsi="宋体" w:eastAsia="宋体" w:cs="宋体"/>
          <w:color w:val="auto"/>
          <w:sz w:val="21"/>
          <w:szCs w:val="21"/>
          <w:lang w:val="en-US" w:eastAsia="zh-CN"/>
        </w:rPr>
        <w:t>价格</w:t>
      </w:r>
      <w:r>
        <w:rPr>
          <w:rFonts w:hint="eastAsia" w:ascii="宋体" w:hAnsi="宋体" w:eastAsia="宋体" w:cs="宋体"/>
          <w:color w:val="auto"/>
          <w:sz w:val="21"/>
          <w:szCs w:val="21"/>
        </w:rPr>
        <w:t>表；二、用户需求书；三、廉洁协议书；四、安全生产管理协议。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pPr>
        <w:keepNext w:val="0"/>
        <w:keepLines w:val="0"/>
        <w:pageBreakBefore w:val="0"/>
        <w:kinsoku/>
        <w:wordWrap/>
        <w:overflowPunct/>
        <w:topLinePunct w:val="0"/>
        <w:bidi w:val="0"/>
        <w:adjustRightInd w:val="0"/>
        <w:snapToGrid w:val="0"/>
        <w:spacing w:line="360" w:lineRule="auto"/>
        <w:ind w:right="-26"/>
        <w:jc w:val="center"/>
        <w:textAlignment w:val="auto"/>
        <w:rPr>
          <w:rFonts w:hint="eastAsia" w:ascii="宋体" w:hAnsi="宋体" w:eastAsia="宋体" w:cs="宋体"/>
          <w:b/>
          <w:bCs/>
          <w:color w:val="auto"/>
          <w:kern w:val="2"/>
          <w:sz w:val="21"/>
          <w:szCs w:val="21"/>
          <w:lang w:val="zh-CN"/>
        </w:rPr>
      </w:pPr>
    </w:p>
    <w:p>
      <w:pPr>
        <w:keepNext w:val="0"/>
        <w:keepLines w:val="0"/>
        <w:pageBreakBefore w:val="0"/>
        <w:kinsoku/>
        <w:wordWrap/>
        <w:overflowPunct/>
        <w:topLinePunct w:val="0"/>
        <w:bidi w:val="0"/>
        <w:adjustRightInd w:val="0"/>
        <w:snapToGrid w:val="0"/>
        <w:spacing w:line="360" w:lineRule="auto"/>
        <w:ind w:firstLine="373" w:firstLineChars="177"/>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甲方：                          </w:t>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乙方：</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法定代表（或负责）人：                  法定代表（或负责）人：</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地址：东莞市南城街道滨河路100号        地址：</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                                  电话：</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                                  传真：</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签约日期：                              签约日期： </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签约地点：广东省东莞市</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pPr>
        <w:keepNext w:val="0"/>
        <w:keepLines w:val="0"/>
        <w:pageBreakBefore w:val="0"/>
        <w:kinsoku/>
        <w:wordWrap/>
        <w:overflowPunct/>
        <w:topLinePunct w:val="0"/>
        <w:bidi w:val="0"/>
        <w:adjustRightInd w:val="0"/>
        <w:snapToGrid w:val="0"/>
        <w:spacing w:line="360" w:lineRule="auto"/>
        <w:ind w:firstLine="371" w:firstLineChars="177"/>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银行账户：                              银行账户：</w:t>
      </w:r>
    </w:p>
    <w:p>
      <w:pPr>
        <w:keepNext w:val="0"/>
        <w:keepLines w:val="0"/>
        <w:pageBreakBefore w:val="0"/>
        <w:kinsoku/>
        <w:wordWrap/>
        <w:overflowPunct/>
        <w:topLinePunct w:val="0"/>
        <w:bidi w:val="0"/>
        <w:adjustRightInd w:val="0"/>
        <w:snapToGrid w:val="0"/>
        <w:spacing w:line="360" w:lineRule="auto"/>
        <w:ind w:firstLine="371" w:firstLineChars="177"/>
        <w:textAlignment w:val="auto"/>
        <w:rPr>
          <w:color w:val="auto"/>
        </w:rPr>
      </w:pPr>
      <w:r>
        <w:rPr>
          <w:rFonts w:hint="eastAsia" w:ascii="宋体" w:hAnsi="宋体" w:eastAsia="宋体" w:cs="宋体"/>
          <w:color w:val="auto"/>
          <w:sz w:val="21"/>
          <w:szCs w:val="21"/>
        </w:rPr>
        <w:t>银行账号：                              银行账号：</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pPr>
        <w:pStyle w:val="6"/>
        <w:rPr>
          <w:rFonts w:ascii="宋体" w:hAnsi="宋体" w:eastAsia="宋体" w:cs="Times New Roman"/>
          <w:color w:val="auto"/>
          <w:kern w:val="0"/>
          <w:szCs w:val="21"/>
          <w:highlight w:val="none"/>
        </w:rPr>
      </w:pPr>
    </w:p>
    <w:p>
      <w:pPr>
        <w:rPr>
          <w:color w:val="auto"/>
        </w:rPr>
      </w:pPr>
      <w:r>
        <w:rPr>
          <w:color w:val="auto"/>
        </w:rPr>
        <w:br w:type="page"/>
      </w:r>
    </w:p>
    <w:p>
      <w:pPr>
        <w:pageBreakBefore/>
        <w:spacing w:line="360" w:lineRule="auto"/>
        <w:rPr>
          <w:rFonts w:hint="eastAsia" w:ascii="宋体" w:hAnsi="Calibri" w:eastAsia="宋体" w:cs="Times New Roman"/>
          <w:b/>
          <w:bCs/>
          <w:color w:val="auto"/>
          <w:kern w:val="0"/>
          <w:sz w:val="24"/>
          <w:szCs w:val="24"/>
        </w:rPr>
      </w:pPr>
      <w:bookmarkStart w:id="320" w:name="_Toc9734"/>
      <w:r>
        <w:rPr>
          <w:rFonts w:hint="eastAsia" w:ascii="宋体" w:hAnsi="Calibri" w:eastAsia="宋体" w:cs="Times New Roman"/>
          <w:b/>
          <w:bCs/>
          <w:color w:val="auto"/>
          <w:kern w:val="0"/>
          <w:sz w:val="24"/>
          <w:szCs w:val="24"/>
        </w:rPr>
        <w:t>附件一：采购清单及价格表（模版）（注：该模版内容届时以合同签订为准）</w:t>
      </w:r>
    </w:p>
    <w:tbl>
      <w:tblPr>
        <w:tblStyle w:val="36"/>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7"/>
        <w:gridCol w:w="1247"/>
        <w:gridCol w:w="680"/>
        <w:gridCol w:w="680"/>
        <w:gridCol w:w="1247"/>
        <w:gridCol w:w="1247"/>
        <w:gridCol w:w="1247"/>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序号</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备件名称</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原配件编号</w:t>
            </w: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暂定采购数量</w:t>
            </w: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单位</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rPr>
            </w:pPr>
            <w:r>
              <w:rPr>
                <w:rFonts w:hint="eastAsia" w:ascii="宋体" w:hAnsi="宋体" w:eastAsia="宋体" w:cs="宋体"/>
                <w:b/>
                <w:i w:val="0"/>
                <w:color w:val="auto"/>
                <w:sz w:val="18"/>
                <w:szCs w:val="18"/>
                <w:u w:val="none"/>
                <w:lang w:val="en-US" w:eastAsia="zh-CN"/>
              </w:rPr>
              <w:t>投标产品产地</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rPr>
            </w:pPr>
            <w:r>
              <w:rPr>
                <w:rFonts w:hint="eastAsia" w:ascii="宋体" w:hAnsi="宋体" w:eastAsia="宋体" w:cs="宋体"/>
                <w:b/>
                <w:i w:val="0"/>
                <w:color w:val="auto"/>
                <w:sz w:val="18"/>
                <w:szCs w:val="18"/>
                <w:u w:val="none"/>
                <w:lang w:val="en-US" w:eastAsia="zh-CN"/>
              </w:rPr>
              <w:t>投标产品品牌</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color w:val="auto"/>
                <w:sz w:val="18"/>
                <w:szCs w:val="18"/>
              </w:rPr>
            </w:pPr>
            <w:r>
              <w:rPr>
                <w:rFonts w:hint="eastAsia" w:ascii="宋体" w:hAnsi="宋体" w:eastAsia="宋体" w:cs="宋体"/>
                <w:b/>
                <w:i w:val="0"/>
                <w:color w:val="auto"/>
                <w:sz w:val="18"/>
                <w:szCs w:val="18"/>
                <w:u w:val="none"/>
                <w:lang w:val="en-US" w:eastAsia="zh-CN"/>
              </w:rPr>
              <w:t>投标产品型号</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不含税预算综合单价（元）</w:t>
            </w: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不含税中标综合单价</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b/>
                <w:color w:val="auto"/>
                <w:sz w:val="18"/>
                <w:szCs w:val="18"/>
              </w:rPr>
            </w:pPr>
            <w:r>
              <w:rPr>
                <w:rFonts w:hint="eastAsia" w:ascii="宋体" w:hAnsi="宋体" w:eastAsia="宋体" w:cs="宋体"/>
                <w:b/>
                <w:color w:val="auto"/>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68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247"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c>
          <w:tcPr>
            <w:tcW w:w="1191"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18"/>
                <w:szCs w:val="18"/>
              </w:rPr>
            </w:pPr>
          </w:p>
        </w:tc>
      </w:tr>
    </w:tbl>
    <w:p>
      <w:pPr>
        <w:pStyle w:val="6"/>
        <w:rPr>
          <w:rFonts w:hint="eastAsia"/>
          <w:b/>
          <w:bCs/>
          <w:color w:val="auto"/>
          <w:lang w:val="en-US" w:eastAsia="zh-CN"/>
        </w:rPr>
      </w:pPr>
      <w:r>
        <w:rPr>
          <w:rFonts w:hint="eastAsia"/>
          <w:b/>
          <w:bCs/>
          <w:color w:val="auto"/>
          <w:lang w:val="en-US" w:eastAsia="zh-CN"/>
        </w:rPr>
        <w:br w:type="page"/>
      </w:r>
    </w:p>
    <w:p>
      <w:pPr>
        <w:pStyle w:val="6"/>
        <w:rPr>
          <w:rFonts w:hint="eastAsia"/>
          <w:b/>
          <w:bCs/>
          <w:color w:val="auto"/>
          <w:lang w:val="en-US" w:eastAsia="zh-CN"/>
        </w:rPr>
      </w:pPr>
      <w:r>
        <w:rPr>
          <w:rFonts w:hint="eastAsia"/>
          <w:b/>
          <w:bCs/>
          <w:color w:val="auto"/>
          <w:lang w:val="en-US" w:eastAsia="zh-CN"/>
        </w:rPr>
        <w:t>附件三：廉洁协议书</w:t>
      </w:r>
      <w:bookmarkEnd w:id="320"/>
    </w:p>
    <w:p>
      <w:pPr>
        <w:pStyle w:val="6"/>
        <w:rPr>
          <w:rFonts w:hint="eastAsia" w:ascii="宋体" w:hAnsi="宋体" w:eastAsia="宋体" w:cs="宋体"/>
          <w:b/>
          <w:color w:val="auto"/>
          <w:sz w:val="30"/>
          <w:szCs w:val="30"/>
          <w:lang w:val="en-US" w:eastAsia="zh-CN"/>
        </w:rPr>
      </w:pP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廉洁协议书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项目名称：</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（招标编号：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甲方（业主单位）：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第一条  甲乙双方的权利和义务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（一）严格遵守党和国家有关法律法规等有关廉洁从业规定。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（二）严格执行本项目的合同文件，自觉按合同办事。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（三）双方的业务活动坚持公开、公正、诚信、透明的原则（除法律认定的商业秘密和合同文件另有规定之外）不得损害国家和集体利益，违反工程建设管理及其他法律法规规章制度。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（四）建立健全廉洁制度，开展廉洁教育，设立廉洁监督公示牌，公布举报电话，监督并认真查处违法违纪行为。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（五）发现对方在业务活动中有违反廉洁规定的行为，有及时提醒对方纠正的权利和义务。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（六）发现对方严重违反本协议义务条款的行为，有向其上级有关部门举报、建议给予处理并要求告知处理结果的权利。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甲方的义务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（二）甲方工作人员不得参加乙方安排的高消费宴请和娱乐活动；不得接受乙方提供的通讯工具、交通工具和高档办公用品。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（三）甲方及其工作人员不得要求或者接受乙方为其住房装修、婚丧嫁娶活动、家属或亲友的工作安排以及出国出境、旅游等提供方便。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（四）甲方工作人员不得向乙方介绍其家属或者亲友（包括家属或亲友开办的公司企业）从事于本项目涉及的经济业务活动。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（六）甲方及其工作人员不得进行违反廉洁规定的其他活动。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第三条  乙方义务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（一）乙方不得以任何理由向甲方及其工作人员馈赠礼金、有价证券、贵重礼品，或报销应由甲方单位或个人支付的任何费用。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（二）乙方及其工作人员不得以考察、参观、洽谈业务、签订合同等的借口邀请甲方及其工作人员参加高消费的宴请、娱乐和健身等活动。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（四）乙方及其工作人员不得为甲方工作人员购买、装修、维修私人住房、汽车等。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（五）乙方及其工作人员不得为甲方工作人员的婚丧嫁娶、家属或亲友的工作安排，及出国出境提供方便以及报销任何私人消费的费用。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（六）乙方及其工作人员不得进行影响甲方及其工作人员公正执行合同和履行职务的其他活动。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第四条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（一）甲方违反本协议第一、第二条给乙方单位造成经济损失的，应予以赔偿。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（二）乙方违反本协议第一、第三条给甲方单位造成经济损失的，应予以赔偿。</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第五条  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甲乙双方的廉洁从业行为由双方或双方上级单位的纪检、监察部门负责监督，对本协议履行情况进行检查。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第六条 举报信访受理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（一）举报受理部门：东莞市水务集团有限公司纪检监察部。</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（二）举报电话：（0769）23076092。</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（三）举报邮箱：</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"mailto:jcsj@dgswjt.cn。" </w:instrText>
      </w:r>
      <w:r>
        <w:rPr>
          <w:rFonts w:hint="eastAsia" w:ascii="宋体" w:hAnsi="宋体" w:eastAsia="宋体" w:cs="宋体"/>
          <w:color w:val="auto"/>
          <w:sz w:val="21"/>
          <w:szCs w:val="21"/>
        </w:rPr>
        <w:fldChar w:fldCharType="separate"/>
      </w:r>
      <w:r>
        <w:rPr>
          <w:rStyle w:val="42"/>
          <w:rFonts w:hint="eastAsia" w:ascii="宋体" w:hAnsi="宋体" w:eastAsia="宋体" w:cs="宋体"/>
          <w:color w:val="auto"/>
          <w:sz w:val="21"/>
          <w:szCs w:val="21"/>
        </w:rPr>
        <w:t>jcsj@dgswjt.cn。</w:t>
      </w:r>
      <w:r>
        <w:rPr>
          <w:rFonts w:hint="eastAsia" w:ascii="宋体" w:hAnsi="宋体" w:eastAsia="宋体" w:cs="宋体"/>
          <w:color w:val="auto"/>
          <w:sz w:val="21"/>
          <w:szCs w:val="21"/>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（四）信访地址：广东省东莞市东城街道育华路1号。</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第七条 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份，甲、乙双方上级主管部门各执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乙方（盖章）：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法定代表（或负责）人：           法定代表（或负责）人：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签订日期：    年  月  日         年  月  日</w:t>
      </w:r>
    </w:p>
    <w:p>
      <w:pPr>
        <w:pStyle w:val="6"/>
        <w:rPr>
          <w:rFonts w:hint="eastAsia"/>
          <w:b/>
          <w:bCs/>
          <w:color w:val="auto"/>
          <w:lang w:val="en-US" w:eastAsia="zh-CN"/>
        </w:rPr>
      </w:pPr>
    </w:p>
    <w:p>
      <w:pPr>
        <w:rPr>
          <w:rFonts w:hint="eastAsia"/>
          <w:b/>
          <w:bCs/>
          <w:color w:val="auto"/>
          <w:lang w:val="en-US" w:eastAsia="zh-CN"/>
        </w:rPr>
      </w:pPr>
      <w:r>
        <w:rPr>
          <w:rFonts w:hint="eastAsia"/>
          <w:b/>
          <w:bCs/>
          <w:color w:val="auto"/>
          <w:lang w:val="en-US" w:eastAsia="zh-CN"/>
        </w:rPr>
        <w:br w:type="page"/>
      </w:r>
    </w:p>
    <w:p>
      <w:pPr>
        <w:pStyle w:val="6"/>
        <w:rPr>
          <w:rFonts w:hint="eastAsia"/>
          <w:b/>
          <w:bCs/>
          <w:color w:val="auto"/>
          <w:lang w:val="en-US" w:eastAsia="zh-CN"/>
        </w:rPr>
      </w:pPr>
      <w:bookmarkStart w:id="321" w:name="_Toc28429"/>
      <w:r>
        <w:rPr>
          <w:rFonts w:hint="eastAsia"/>
          <w:b/>
          <w:bCs/>
          <w:color w:val="auto"/>
          <w:lang w:val="en-US" w:eastAsia="zh-CN"/>
        </w:rPr>
        <w:t>附件四：安全生产管理协议</w:t>
      </w:r>
      <w:bookmarkEnd w:id="321"/>
    </w:p>
    <w:p>
      <w:pPr>
        <w:pStyle w:val="6"/>
        <w:rPr>
          <w:rFonts w:hint="default"/>
          <w:b/>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安全生产管理协议</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甲方：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乙方：</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传真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3、乙方使用被派遣劳动者的，应当将被派遣劳动者纳入本单位从业人员统一管理，对被派遣劳动者进行岗位安全操作规程和安全操作技能的教育和培训。</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5、乙方应当教育和督促从业人员严格执行本单位的安全生产规章制度和安全操作规程；并向从业人员如实告知作业场所和工作岗位存在的危险因素、防范措施以及事故应急措施。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6、乙方应严格遵守国家、地方政府有关安全生产及劳动保护的法律法规、标准、规定，贯彻执行甲方的各项安全管理规章制度。</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7、乙方依法参加工伤保险，为从业人员缴纳保险费，并应当为从事危险作业的人员办理意外伤害保险。</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13、在施工过程中，需要进行动土、动火、登高、吊装、断路、进入限制性空间等危险性较高的作业时，乙方的施工负责人、专职或兼职安全员必须现场确认，确保安全后，方可开始施工。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14、因乙方原因，造成乙方损失，由乙方自负，给甲方造成财产损失和人员伤害，乙方要负全部责任，并全额赔偿甲方。</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15、非因甲方原因，造成乙方损失的，甲方不承担任何责任，由乙方自行承担全部责任。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16、乙方应严格遵守法律法规以及甲方的安全管理要求，并接受甲方的安全生产工作协调和监督，积极消除安全隐患。安全管理的基本要求包括但不限于以下条款：</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①禁火区内严禁吸烟、动火。有火灾危险的作业区域，乙方必须配置足够的灭火设施。</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②焊接、气割作业时两瓶距离必须达到5M及以上，气瓶距可能产生火花的电器、设备和其它火源的间距必须达到10M及以上。</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③严禁在厂内道路、消防通道内搭建临时建筑或堆放物资。</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④施工场所的电动工具、电焊机等须有漏电保护器和相应的安全防护装置。</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⑤施工现场及居住室、办公室内的用电设施必须符合要求，严禁电线乱接、乱拉，刀闸和开关无盖，在电器设施上堆放物品。</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⑥防雷、防静电设施及用电设施要有良好接地。</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⑦施工现场的危险区域，如临边、深坑、土方堆填区等，必须设置围栏和危险标志，夜间要设信号灯。</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17、乙方必须接受甲方的检查与监督，并应主动配合，做好安全工作，凡有违反上述协议的即视为乙方违约，甲方有权视情况从工程结算款/服务价款中扣除（1000-2000）元/次作为违约金。</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19、乙方对施工过程中潜在的安全风险不明确的，不可盲目施工，否则，造成的不良后果由乙方独自承担。</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20、本协议自双方法定代表人或负责人签字并盖章后生效。</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乙方声明：</w:t>
      </w:r>
    </w:p>
    <w:p>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乙方已认真阅读协议内容，对协议条款、</w:t>
      </w:r>
      <w:r>
        <w:rPr>
          <w:rFonts w:hint="eastAsia" w:ascii="宋体" w:hAnsi="宋体" w:eastAsia="宋体" w:cs="宋体"/>
          <w:b/>
          <w:bCs/>
          <w:color w:val="auto"/>
          <w:sz w:val="21"/>
          <w:szCs w:val="21"/>
          <w:u w:val="single"/>
          <w:lang w:eastAsia="zh-CN"/>
        </w:rPr>
        <w:t>东莞市石鼓净水有限公司2024年紫外消毒设备零配件采购项目</w:t>
      </w:r>
      <w:r>
        <w:rPr>
          <w:rFonts w:hint="eastAsia" w:ascii="宋体" w:hAnsi="宋体" w:eastAsia="宋体" w:cs="宋体"/>
          <w:b/>
          <w:bCs/>
          <w:color w:val="auto"/>
          <w:sz w:val="21"/>
          <w:szCs w:val="21"/>
        </w:rPr>
        <w:t>的安全管理要求、安全风险充分理解，并自愿承担因违约造成的一切后果。</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甲方（盖章）：                      乙方（盖章）：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法定代表人或负责人：               法定代表人或负责人：</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签订日期：</w:t>
      </w:r>
    </w:p>
    <w:p>
      <w:pPr>
        <w:spacing w:line="360" w:lineRule="auto"/>
        <w:rPr>
          <w:rFonts w:hint="default" w:eastAsia="宋体"/>
          <w:b/>
          <w:bCs/>
          <w:color w:val="auto"/>
          <w:lang w:val="en-US" w:eastAsia="zh-CN"/>
        </w:rPr>
      </w:pPr>
      <w:r>
        <w:rPr>
          <w:rFonts w:hint="eastAsia" w:ascii="宋体" w:hAnsi="宋体" w:eastAsia="宋体" w:cs="宋体"/>
          <w:color w:val="auto"/>
          <w:sz w:val="21"/>
          <w:szCs w:val="21"/>
        </w:rPr>
        <w:t>签订地点：广东省东莞市</w:t>
      </w: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22" w:name="_Toc447044479"/>
      <w:bookmarkStart w:id="323" w:name="_Toc22246"/>
      <w:bookmarkStart w:id="324" w:name="_Toc447044603"/>
      <w:bookmarkStart w:id="325" w:name="_Toc21812"/>
      <w:bookmarkStart w:id="326" w:name="_Toc512353083"/>
      <w:bookmarkStart w:id="327" w:name="_Toc142508360"/>
      <w:bookmarkStart w:id="328" w:name="_Toc447045090"/>
      <w:bookmarkStart w:id="329" w:name="_Toc24427_WPSOffice_Level1"/>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22"/>
      <w:bookmarkEnd w:id="323"/>
      <w:bookmarkEnd w:id="324"/>
      <w:bookmarkEnd w:id="325"/>
      <w:bookmarkEnd w:id="326"/>
      <w:bookmarkEnd w:id="327"/>
      <w:bookmarkEnd w:id="328"/>
      <w:bookmarkEnd w:id="329"/>
      <w:bookmarkStart w:id="330" w:name="_Toc447045091"/>
      <w:bookmarkStart w:id="331" w:name="_Toc447044604"/>
      <w:bookmarkStart w:id="332" w:name="_Toc447044480"/>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33" w:name="_Toc26521_WPSOffice_Level2"/>
      <w:r>
        <w:rPr>
          <w:rFonts w:hint="eastAsia" w:ascii="宋体" w:hAnsi="宋体" w:eastAsia="宋体" w:cs="Times New Roman"/>
          <w:b/>
          <w:color w:val="auto"/>
          <w:kern w:val="0"/>
          <w:sz w:val="28"/>
          <w:szCs w:val="28"/>
          <w:highlight w:val="none"/>
        </w:rPr>
        <w:t>一、不可撤销银行履约保函格式</w:t>
      </w:r>
      <w:bookmarkEnd w:id="330"/>
      <w:bookmarkEnd w:id="331"/>
      <w:bookmarkEnd w:id="332"/>
      <w:bookmarkEnd w:id="333"/>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宋体"/>
          <w:color w:val="auto"/>
          <w:kern w:val="0"/>
          <w:szCs w:val="21"/>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p>
    <w:p>
      <w:pPr>
        <w:widowControl/>
        <w:autoSpaceDE w:val="0"/>
        <w:autoSpaceDN w:val="0"/>
        <w:adjustRightInd w:val="0"/>
        <w:spacing w:line="360" w:lineRule="auto"/>
        <w:ind w:firstLine="437"/>
        <w:jc w:val="left"/>
        <w:rPr>
          <w:rFonts w:ascii="宋体" w:hAnsi="宋体" w:eastAsia="宋体" w:cs="宋体"/>
          <w:color w:val="auto"/>
          <w:kern w:val="0"/>
          <w:szCs w:val="21"/>
        </w:rPr>
      </w:pP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5" w:type="first"/>
          <w:headerReference r:id="rId3" w:type="default"/>
          <w:footerReference r:id="rId4"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pStyle w:val="6"/>
        <w:numPr>
          <w:ilvl w:val="0"/>
          <w:numId w:val="0"/>
        </w:numPr>
        <w:rPr>
          <w:rFonts w:hint="default"/>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rPr>
        <w:t>鉴于</w:t>
      </w:r>
      <w:r>
        <w:rPr>
          <w:rFonts w:hint="eastAsia" w:ascii="宋体" w:hAnsi="宋体" w:eastAsia="宋体" w:cs="宋体"/>
          <w:color w:val="auto"/>
          <w:kern w:val="0"/>
          <w:szCs w:val="21"/>
          <w:u w:val="single"/>
        </w:rPr>
        <w:t xml:space="preserve">  （申请人的名称与地址）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合同（招标文件）中规定的义务履行合同</w:t>
      </w:r>
      <w:r>
        <w:rPr>
          <w:rFonts w:ascii="宋体" w:hAnsi="宋体" w:eastAsia="宋体" w:cs="Times New Roman"/>
          <w:color w:val="auto"/>
          <w:kern w:val="0"/>
          <w:szCs w:val="21"/>
          <w:highlight w:val="none"/>
        </w:rPr>
        <w:t>。</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rPr>
        <w:t>担保书</w:t>
      </w:r>
      <w:r>
        <w:rPr>
          <w:rFonts w:hint="eastAsia" w:ascii="宋体" w:hAnsi="宋体" w:eastAsia="宋体" w:cs="Times New Roman"/>
          <w:color w:val="auto"/>
          <w:kern w:val="0"/>
          <w:szCs w:val="21"/>
          <w:highlight w:val="none"/>
          <w:lang w:eastAsia="zh-CN"/>
        </w:rPr>
        <w:t>应从合同签订之日起至合同期限届满并全部货物经最终验收合格，受益人向申请人支付全部货款（除质保金）后二十八（28）日内保持有效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34" w:name="_Toc12794"/>
      <w:bookmarkStart w:id="335" w:name="_Toc486167708"/>
      <w:bookmarkStart w:id="336" w:name="_Toc28281"/>
      <w:bookmarkStart w:id="337" w:name="_Toc142508361"/>
      <w:bookmarkStart w:id="338" w:name="_Toc450662895"/>
      <w:bookmarkStart w:id="339" w:name="_Toc32761_WPSOffice_Level1"/>
      <w:r>
        <w:rPr>
          <w:rFonts w:hint="eastAsia" w:ascii="宋体" w:hAnsi="宋体" w:eastAsia="宋体" w:cs="宋体"/>
          <w:b/>
          <w:bCs/>
          <w:color w:val="auto"/>
          <w:kern w:val="44"/>
          <w:sz w:val="32"/>
          <w:szCs w:val="32"/>
          <w:highlight w:val="none"/>
          <w:lang w:val="zh-CN"/>
        </w:rPr>
        <w:t>第六篇 投标文件格式</w:t>
      </w:r>
      <w:bookmarkEnd w:id="334"/>
      <w:bookmarkEnd w:id="335"/>
      <w:bookmarkEnd w:id="336"/>
      <w:bookmarkEnd w:id="337"/>
      <w:bookmarkEnd w:id="338"/>
      <w:bookmarkEnd w:id="339"/>
    </w:p>
    <w:p>
      <w:pPr>
        <w:pStyle w:val="20"/>
        <w:spacing w:line="360" w:lineRule="auto"/>
        <w:jc w:val="center"/>
        <w:rPr>
          <w:rFonts w:hint="eastAsia" w:ascii="宋体" w:hAnsi="宋体" w:eastAsia="宋体" w:cs="宋体"/>
          <w:b/>
          <w:color w:val="auto"/>
          <w:kern w:val="0"/>
          <w:sz w:val="32"/>
          <w:szCs w:val="32"/>
          <w:highlight w:val="none"/>
        </w:rPr>
      </w:pPr>
      <w:bookmarkStart w:id="340" w:name="_Toc1977721"/>
      <w:bookmarkStart w:id="341" w:name="_Toc102860067"/>
      <w:bookmarkStart w:id="342" w:name="_Toc142508362"/>
      <w:bookmarkStart w:id="343" w:name="_Toc102860411"/>
      <w:bookmarkStart w:id="344" w:name="_Toc486167709"/>
      <w:bookmarkStart w:id="345" w:name="_Toc533708121"/>
      <w:bookmarkStart w:id="346" w:name="_Toc94107202"/>
      <w:bookmarkStart w:id="347" w:name="_Toc140596921"/>
      <w:bookmarkStart w:id="348" w:name="_Toc104991868"/>
      <w:bookmarkStart w:id="349" w:name="_Toc21133_WPSOffice_Level2"/>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1786" w:type="dxa"/>
            <w:vAlign w:val="center"/>
          </w:tcPr>
          <w:p>
            <w:pP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50" w:name="_Toc13331"/>
      <w:bookmarkStart w:id="351" w:name="_Toc18706"/>
      <w:bookmarkStart w:id="352" w:name="_Toc20783"/>
      <w:r>
        <w:rPr>
          <w:rFonts w:hint="eastAsia" w:ascii="宋体" w:hAnsi="宋体" w:eastAsia="宋体" w:cs="宋体"/>
          <w:b/>
          <w:color w:val="auto"/>
          <w:kern w:val="0"/>
          <w:sz w:val="32"/>
          <w:szCs w:val="32"/>
          <w:highlight w:val="none"/>
        </w:rPr>
        <w:t>一、投标函格式</w:t>
      </w:r>
      <w:bookmarkEnd w:id="340"/>
      <w:bookmarkEnd w:id="341"/>
      <w:bookmarkEnd w:id="342"/>
      <w:bookmarkEnd w:id="343"/>
      <w:bookmarkEnd w:id="344"/>
      <w:bookmarkEnd w:id="345"/>
      <w:bookmarkEnd w:id="346"/>
      <w:bookmarkEnd w:id="347"/>
      <w:bookmarkEnd w:id="348"/>
      <w:bookmarkEnd w:id="349"/>
      <w:bookmarkEnd w:id="350"/>
      <w:bookmarkEnd w:id="351"/>
      <w:bookmarkEnd w:id="352"/>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353" w:name="_Toc16695_WPSOffice_Level3"/>
      <w:r>
        <w:rPr>
          <w:rFonts w:hint="eastAsia" w:ascii="宋体" w:hAnsi="宋体" w:eastAsia="宋体" w:cs="宋体"/>
          <w:b/>
          <w:bCs/>
          <w:color w:val="auto"/>
          <w:sz w:val="30"/>
          <w:szCs w:val="30"/>
          <w:highlight w:val="none"/>
          <w:lang w:val="zh-CN"/>
        </w:rPr>
        <w:t>投 标 函</w:t>
      </w:r>
      <w:bookmarkEnd w:id="353"/>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东莞市石鼓净水有限公司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东莞市石鼓净水有限公司2024年紫外消毒设备零配件采购项目（第三次招标）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0832-SFCX24DG012A-</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0832-SFCX24DG012A-</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54" w:name="_Toc486167710"/>
      <w:bookmarkStart w:id="355" w:name="_Toc104991869"/>
      <w:bookmarkStart w:id="356" w:name="_Toc1977722"/>
      <w:bookmarkStart w:id="357" w:name="_Toc533708122"/>
      <w:bookmarkStart w:id="358" w:name="_Toc142508363"/>
      <w:bookmarkStart w:id="359" w:name="_Toc102860068"/>
      <w:bookmarkStart w:id="360" w:name="_Toc94107203"/>
      <w:bookmarkStart w:id="361" w:name="_Toc102860412"/>
      <w:bookmarkStart w:id="362" w:name="_Toc10349"/>
      <w:bookmarkStart w:id="363" w:name="_Toc8696"/>
      <w:bookmarkStart w:id="364" w:name="_Toc140596922"/>
      <w:bookmarkStart w:id="365" w:name="_Toc26795"/>
      <w:bookmarkStart w:id="366" w:name="_Toc28613_WPSOffice_Level2"/>
      <w:r>
        <w:rPr>
          <w:rFonts w:hint="eastAsia" w:ascii="宋体" w:hAnsi="宋体" w:eastAsia="宋体" w:cs="宋体"/>
          <w:b/>
          <w:color w:val="auto"/>
          <w:kern w:val="0"/>
          <w:sz w:val="32"/>
          <w:szCs w:val="32"/>
          <w:highlight w:val="none"/>
        </w:rPr>
        <w:t>二、投标承诺书格式</w:t>
      </w:r>
      <w:bookmarkEnd w:id="354"/>
      <w:bookmarkEnd w:id="355"/>
      <w:bookmarkEnd w:id="356"/>
      <w:bookmarkEnd w:id="357"/>
      <w:bookmarkEnd w:id="358"/>
      <w:bookmarkEnd w:id="359"/>
      <w:bookmarkEnd w:id="360"/>
      <w:bookmarkEnd w:id="361"/>
      <w:bookmarkEnd w:id="362"/>
      <w:bookmarkEnd w:id="363"/>
      <w:bookmarkEnd w:id="364"/>
      <w:bookmarkEnd w:id="365"/>
      <w:bookmarkEnd w:id="366"/>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东莞市石鼓净水有限公司2024年紫外消毒设备零配件采购项目（第三次招标）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0832-SFCX24DG012A-</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367" w:name="_Toc311032584"/>
      <w:bookmarkStart w:id="368" w:name="_Toc326768876"/>
      <w:bookmarkStart w:id="369" w:name="_Toc316896755"/>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370" w:name="_Toc94107204"/>
      <w:bookmarkStart w:id="371" w:name="_Toc142508364"/>
      <w:bookmarkStart w:id="372" w:name="_Toc9778"/>
      <w:bookmarkStart w:id="373" w:name="_Toc104991870"/>
      <w:bookmarkStart w:id="374" w:name="_Toc102860069"/>
      <w:bookmarkStart w:id="375" w:name="_Toc140596923"/>
      <w:bookmarkStart w:id="376" w:name="_Toc102860413"/>
      <w:bookmarkStart w:id="377" w:name="_Toc82182546"/>
      <w:bookmarkStart w:id="378" w:name="_Toc17352"/>
      <w:bookmarkStart w:id="379" w:name="_Toc86764083"/>
      <w:bookmarkStart w:id="380" w:name="_Toc12590"/>
      <w:bookmarkStart w:id="381" w:name="_Toc486167711"/>
      <w:bookmarkStart w:id="382" w:name="_Toc1977723"/>
      <w:bookmarkStart w:id="383" w:name="_Toc7024_WPSOffice_Level2"/>
      <w:bookmarkStart w:id="384" w:name="_Toc533708123"/>
      <w:r>
        <w:rPr>
          <w:rFonts w:hint="eastAsia" w:ascii="宋体" w:hAnsi="宋体" w:eastAsia="宋体" w:cs="宋体"/>
          <w:b/>
          <w:color w:val="auto"/>
          <w:kern w:val="44"/>
          <w:sz w:val="32"/>
          <w:szCs w:val="32"/>
          <w:highlight w:val="none"/>
        </w:rPr>
        <w:t>三、供货及/或提供服务过程承诺函格式</w:t>
      </w:r>
      <w:bookmarkEnd w:id="370"/>
      <w:bookmarkEnd w:id="371"/>
      <w:bookmarkEnd w:id="372"/>
      <w:bookmarkEnd w:id="373"/>
      <w:bookmarkEnd w:id="374"/>
      <w:bookmarkEnd w:id="375"/>
      <w:bookmarkEnd w:id="376"/>
      <w:bookmarkEnd w:id="377"/>
      <w:bookmarkEnd w:id="378"/>
      <w:bookmarkEnd w:id="379"/>
      <w:bookmarkEnd w:id="380"/>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东莞市石鼓净水有限公司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东莞市石鼓净水有限公司2024年紫外消毒设备零配件采购项目（第三次招标）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0832-SFCX24DG012A-</w:t>
      </w:r>
      <w:r>
        <w:rPr>
          <w:rFonts w:hint="eastAsia" w:ascii="宋体" w:hAnsi="宋体" w:eastAsia="宋体" w:cs="Times New Roman"/>
          <w:color w:val="auto"/>
          <w:szCs w:val="21"/>
          <w:highlight w:val="none"/>
          <w:lang w:val="en-US" w:eastAsia="zh-CN"/>
        </w:rPr>
        <w:t>2</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385" w:name="_Toc140596924"/>
      <w:bookmarkStart w:id="386" w:name="_Toc102860414"/>
      <w:bookmarkStart w:id="387" w:name="_Toc142508365"/>
      <w:bookmarkStart w:id="388" w:name="_Toc86764084"/>
      <w:bookmarkStart w:id="389" w:name="_Toc94107205"/>
      <w:bookmarkStart w:id="390" w:name="_Toc104991871"/>
      <w:bookmarkStart w:id="391" w:name="_Toc82182547"/>
      <w:bookmarkStart w:id="392" w:name="_Toc102860070"/>
      <w:bookmarkStart w:id="393" w:name="_Toc28901"/>
      <w:bookmarkStart w:id="394" w:name="_Toc3993"/>
      <w:bookmarkStart w:id="395" w:name="_Toc6287"/>
      <w:r>
        <w:rPr>
          <w:rFonts w:hint="eastAsia" w:ascii="宋体" w:hAnsi="宋体" w:eastAsia="宋体" w:cs="宋体"/>
          <w:b/>
          <w:color w:val="auto"/>
          <w:kern w:val="44"/>
          <w:sz w:val="32"/>
          <w:szCs w:val="32"/>
          <w:highlight w:val="none"/>
        </w:rPr>
        <w:t>四</w:t>
      </w:r>
      <w:bookmarkEnd w:id="385"/>
      <w:bookmarkEnd w:id="386"/>
      <w:bookmarkEnd w:id="387"/>
      <w:bookmarkEnd w:id="388"/>
      <w:bookmarkEnd w:id="389"/>
      <w:bookmarkEnd w:id="390"/>
      <w:bookmarkEnd w:id="391"/>
      <w:bookmarkEnd w:id="392"/>
      <w:bookmarkStart w:id="396" w:name="_Toc104991872"/>
      <w:bookmarkStart w:id="397" w:name="_Toc102860071"/>
      <w:bookmarkStart w:id="398" w:name="_Toc140596925"/>
      <w:bookmarkStart w:id="399" w:name="_Toc94107206"/>
      <w:bookmarkStart w:id="400" w:name="_Toc142508366"/>
      <w:bookmarkStart w:id="401" w:name="_Toc102860415"/>
      <w:r>
        <w:rPr>
          <w:rFonts w:hint="eastAsia" w:ascii="宋体" w:hAnsi="宋体" w:eastAsia="宋体" w:cs="宋体"/>
          <w:b/>
          <w:color w:val="auto"/>
          <w:kern w:val="0"/>
          <w:sz w:val="32"/>
          <w:szCs w:val="32"/>
          <w:highlight w:val="none"/>
        </w:rPr>
        <w:t>、投标报价表格式</w:t>
      </w:r>
      <w:bookmarkEnd w:id="381"/>
      <w:bookmarkEnd w:id="382"/>
      <w:bookmarkEnd w:id="383"/>
      <w:bookmarkEnd w:id="384"/>
      <w:bookmarkEnd w:id="393"/>
      <w:bookmarkEnd w:id="394"/>
      <w:bookmarkEnd w:id="395"/>
      <w:bookmarkEnd w:id="396"/>
      <w:bookmarkEnd w:id="397"/>
      <w:bookmarkEnd w:id="398"/>
      <w:bookmarkEnd w:id="399"/>
      <w:bookmarkEnd w:id="400"/>
      <w:bookmarkEnd w:id="401"/>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02" w:name="_Toc94107207"/>
      <w:bookmarkStart w:id="403" w:name="_Toc1105"/>
      <w:bookmarkStart w:id="404" w:name="_Toc2395_WPSOffice_Level3"/>
      <w:bookmarkStart w:id="405" w:name="_Toc18589"/>
      <w:bookmarkStart w:id="406" w:name="_Toc102860072"/>
      <w:bookmarkStart w:id="407" w:name="_Toc102860416"/>
      <w:bookmarkStart w:id="408" w:name="_Toc140596926"/>
      <w:bookmarkStart w:id="409" w:name="_Toc1203"/>
      <w:bookmarkStart w:id="410" w:name="_Toc142508367"/>
      <w:bookmarkStart w:id="411" w:name="_Toc104991873"/>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02"/>
      <w:bookmarkEnd w:id="403"/>
      <w:bookmarkEnd w:id="404"/>
      <w:bookmarkEnd w:id="405"/>
      <w:bookmarkEnd w:id="406"/>
      <w:bookmarkEnd w:id="407"/>
      <w:bookmarkEnd w:id="408"/>
      <w:bookmarkEnd w:id="409"/>
      <w:bookmarkEnd w:id="410"/>
      <w:bookmarkEnd w:id="411"/>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东莞市石鼓净水有限公司2024年紫外消毒设备零配件采购项目（第三次招标）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0832-SFCX24DG012A-</w:t>
      </w:r>
      <w:r>
        <w:rPr>
          <w:rFonts w:hint="eastAsia" w:ascii="宋体" w:hAnsi="宋体" w:eastAsia="宋体" w:cs="宋体"/>
          <w:color w:val="auto"/>
          <w:kern w:val="0"/>
          <w:szCs w:val="21"/>
          <w:highlight w:val="none"/>
          <w:u w:val="single"/>
          <w:lang w:val="en-US" w:eastAsia="zh-CN"/>
        </w:rPr>
        <w:t>2</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投标折扣系数</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4" w:hRule="atLeast"/>
        </w:trPr>
        <w:tc>
          <w:tcPr>
            <w:tcW w:w="1036"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东莞市石鼓净水有限公司2024年紫外消毒设备零配件采购项目（第三次招标）</w:t>
            </w:r>
          </w:p>
        </w:tc>
        <w:tc>
          <w:tcPr>
            <w:tcW w:w="3273" w:type="dxa"/>
            <w:tcBorders>
              <w:top w:val="single" w:color="auto" w:sz="4" w:space="0"/>
              <w:left w:val="single" w:color="auto" w:sz="4" w:space="0"/>
              <w:right w:val="single" w:color="auto" w:sz="4" w:space="0"/>
            </w:tcBorders>
            <w:vAlign w:val="center"/>
          </w:tcPr>
          <w:p>
            <w:pPr>
              <w:tabs>
                <w:tab w:val="left" w:pos="8610"/>
              </w:tabs>
              <w:spacing w:line="360" w:lineRule="auto"/>
              <w:rPr>
                <w:rFonts w:hint="default" w:ascii="宋体" w:hAnsi="宋体" w:eastAsia="宋体" w:cs="Times New Roman"/>
                <w:color w:val="auto"/>
                <w:kern w:val="0"/>
                <w:szCs w:val="21"/>
                <w:highlight w:val="none"/>
                <w:u w:val="single"/>
                <w:lang w:val="en-US" w:eastAsia="zh-CN"/>
              </w:rPr>
            </w:pPr>
            <w:r>
              <w:rPr>
                <w:rFonts w:hint="eastAsia" w:ascii="宋体" w:hAnsi="宋体" w:eastAsia="宋体" w:cs="Times New Roman"/>
                <w:color w:val="auto"/>
                <w:kern w:val="0"/>
                <w:szCs w:val="21"/>
                <w:highlight w:val="none"/>
                <w:u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val="en-US" w:eastAsia="zh-CN"/>
              </w:rPr>
              <w:t xml:space="preserve">     </w:t>
            </w:r>
          </w:p>
          <w:p>
            <w:pPr>
              <w:tabs>
                <w:tab w:val="left" w:pos="8610"/>
              </w:tabs>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b/>
                <w:bCs/>
                <w:color w:val="auto"/>
                <w:kern w:val="0"/>
                <w:sz w:val="18"/>
                <w:szCs w:val="18"/>
                <w:highlight w:val="none"/>
              </w:rPr>
              <w:t>[折扣系数报价不得超过1.00（保留小数点后两位），且不能为0.00或负数]</w:t>
            </w:r>
          </w:p>
        </w:tc>
        <w:tc>
          <w:tcPr>
            <w:tcW w:w="1332" w:type="dxa"/>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w:t>
      </w:r>
      <w:r>
        <w:rPr>
          <w:rFonts w:hint="eastAsia" w:ascii="宋体" w:hAnsi="宋体" w:eastAsia="宋体" w:cs="宋体"/>
          <w:b/>
          <w:bCs/>
          <w:color w:val="auto"/>
          <w:szCs w:val="21"/>
          <w:highlight w:val="none"/>
          <w:u w:val="single"/>
        </w:rPr>
        <w:t>投标人的折扣系数报价不得超过1.00，且不能为0.00或负数，投标人未按招标文件要求进行折扣系数报价的</w:t>
      </w:r>
      <w:r>
        <w:rPr>
          <w:rFonts w:hint="eastAsia" w:ascii="宋体" w:hAnsi="宋体" w:eastAsia="宋体" w:cs="宋体"/>
          <w:b/>
          <w:bCs/>
          <w:color w:val="auto"/>
          <w:kern w:val="0"/>
          <w:szCs w:val="24"/>
          <w:highlight w:val="none"/>
          <w:u w:val="single"/>
        </w:rPr>
        <w:t>，该投标人的投标文件将被视为无效投标</w:t>
      </w:r>
      <w:r>
        <w:rPr>
          <w:rFonts w:hint="eastAsia" w:ascii="宋体" w:hAnsi="宋体" w:eastAsia="宋体" w:cs="宋体"/>
          <w:b/>
          <w:color w:val="auto"/>
          <w:szCs w:val="21"/>
          <w:highlight w:val="none"/>
          <w:u w:val="single"/>
          <w:lang w:val="zh-CN"/>
        </w:rPr>
        <w:t>。折扣系数报价需保留小数点后两位，否则评标委员会按去“尾”或补“零”的方式进行修正为保留小数点后两位，投标人须接受被修正后的报价</w:t>
      </w:r>
      <w:r>
        <w:rPr>
          <w:rFonts w:hint="eastAsia" w:ascii="宋体" w:hAnsi="宋体" w:eastAsia="宋体" w:cs="宋体"/>
          <w:b w:val="0"/>
          <w:bCs/>
          <w:color w:val="auto"/>
          <w:szCs w:val="21"/>
          <w:highlight w:val="none"/>
          <w:u w:val="single"/>
          <w:lang w:val="zh-CN"/>
        </w:rPr>
        <w:t>（例：如投标折扣系数为0.789，则被修正为0.78；如投标折扣系数为0.7，则被修正为0.70）</w:t>
      </w:r>
      <w:r>
        <w:rPr>
          <w:rFonts w:hint="eastAsia" w:ascii="宋体" w:hAnsi="宋体" w:eastAsia="宋体" w:cs="宋体"/>
          <w:b/>
          <w:color w:val="auto"/>
          <w:szCs w:val="21"/>
          <w:highlight w:val="none"/>
          <w:u w:val="singl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496" w:hanging="495" w:hangingChars="236"/>
        <w:jc w:val="left"/>
        <w:outlineLvl w:val="2"/>
        <w:rPr>
          <w:rFonts w:hint="eastAsia" w:ascii="宋体" w:hAnsi="宋体" w:eastAsia="宋体" w:cs="宋体"/>
          <w:b/>
          <w:color w:val="auto"/>
          <w:sz w:val="30"/>
          <w:szCs w:val="30"/>
          <w:highlight w:val="none"/>
          <w:lang w:val="zh-CN" w:eastAsia="zh-CN"/>
        </w:rPr>
      </w:pPr>
      <w:r>
        <w:rPr>
          <w:rFonts w:ascii="宋体" w:hAnsi="宋体" w:eastAsia="宋体" w:cs="Times New Roman"/>
          <w:color w:val="auto"/>
          <w:szCs w:val="24"/>
          <w:highlight w:val="none"/>
          <w:lang w:val="zh-CN"/>
        </w:rPr>
        <w:br w:type="page"/>
      </w:r>
      <w:bookmarkStart w:id="412" w:name="_Toc142508368"/>
      <w:bookmarkStart w:id="413" w:name="_Toc102860073"/>
      <w:bookmarkStart w:id="414" w:name="_Toc140596927"/>
      <w:bookmarkStart w:id="415" w:name="_Toc104991874"/>
      <w:bookmarkStart w:id="416" w:name="_Toc27734"/>
      <w:bookmarkStart w:id="417" w:name="_Toc102860417"/>
      <w:bookmarkStart w:id="418" w:name="_Toc94107208"/>
      <w:bookmarkStart w:id="419" w:name="_Toc30859"/>
      <w:bookmarkStart w:id="420" w:name="_Toc28105"/>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bookmarkEnd w:id="412"/>
      <w:bookmarkEnd w:id="413"/>
      <w:bookmarkEnd w:id="414"/>
      <w:bookmarkEnd w:id="415"/>
      <w:bookmarkEnd w:id="416"/>
      <w:bookmarkEnd w:id="417"/>
      <w:bookmarkEnd w:id="418"/>
      <w:bookmarkEnd w:id="419"/>
      <w:r>
        <w:rPr>
          <w:rFonts w:hint="eastAsia" w:ascii="宋体" w:hAnsi="宋体" w:eastAsia="宋体" w:cs="宋体"/>
          <w:b/>
          <w:color w:val="auto"/>
          <w:kern w:val="0"/>
          <w:sz w:val="30"/>
          <w:szCs w:val="30"/>
          <w:highlight w:val="none"/>
          <w:lang w:eastAsia="zh-CN"/>
        </w:rPr>
        <w:t>投标产品信息表</w:t>
      </w:r>
      <w:bookmarkEnd w:id="420"/>
    </w:p>
    <w:p>
      <w:pPr>
        <w:autoSpaceDE w:val="0"/>
        <w:autoSpaceDN w:val="0"/>
        <w:adjustRightInd w:val="0"/>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投标产品信息表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东莞市石鼓净水有限公司2024年紫外消毒设备零配件采购项目（第三次招标）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0832-SFCX24DG012A-</w:t>
      </w:r>
      <w:r>
        <w:rPr>
          <w:rFonts w:hint="eastAsia" w:ascii="宋体" w:hAnsi="宋体" w:eastAsia="宋体" w:cs="宋体"/>
          <w:color w:val="auto"/>
          <w:kern w:val="0"/>
          <w:szCs w:val="21"/>
          <w:highlight w:val="none"/>
          <w:u w:val="single"/>
          <w:lang w:val="en-US" w:eastAsia="zh-CN"/>
        </w:rPr>
        <w:t>2</w:t>
      </w:r>
    </w:p>
    <w:tbl>
      <w:tblPr>
        <w:tblStyle w:val="36"/>
        <w:tblW w:w="10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2110"/>
        <w:gridCol w:w="2110"/>
        <w:gridCol w:w="791"/>
        <w:gridCol w:w="791"/>
        <w:gridCol w:w="1319"/>
        <w:gridCol w:w="1319"/>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序号</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备件名称</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原配件编号</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暂定采购数量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lang w:val="en-US" w:eastAsia="zh-CN"/>
              </w:rPr>
            </w:pPr>
            <w:r>
              <w:rPr>
                <w:rFonts w:hint="eastAsia" w:ascii="宋体" w:hAnsi="宋体" w:eastAsia="宋体" w:cs="宋体"/>
                <w:b/>
                <w:i w:val="0"/>
                <w:color w:val="auto"/>
                <w:sz w:val="18"/>
                <w:szCs w:val="18"/>
                <w:u w:val="none"/>
                <w:lang w:val="en-US" w:eastAsia="zh-CN"/>
              </w:rPr>
              <w:t>投标产品产地</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lang w:val="en-US" w:eastAsia="zh-CN"/>
              </w:rPr>
            </w:pPr>
            <w:r>
              <w:rPr>
                <w:rFonts w:hint="eastAsia" w:ascii="宋体" w:hAnsi="宋体" w:eastAsia="宋体" w:cs="宋体"/>
                <w:b/>
                <w:i w:val="0"/>
                <w:color w:val="auto"/>
                <w:sz w:val="18"/>
                <w:szCs w:val="18"/>
                <w:u w:val="none"/>
                <w:lang w:val="en-US" w:eastAsia="zh-CN"/>
              </w:rPr>
              <w:t>投标产品品牌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lang w:val="en-US" w:eastAsia="zh-CN"/>
              </w:rPr>
            </w:pPr>
            <w:r>
              <w:rPr>
                <w:rFonts w:hint="eastAsia" w:ascii="宋体" w:hAnsi="宋体" w:eastAsia="宋体" w:cs="宋体"/>
                <w:b/>
                <w:i w:val="0"/>
                <w:color w:val="auto"/>
                <w:sz w:val="18"/>
                <w:szCs w:val="18"/>
                <w:u w:val="none"/>
                <w:lang w:val="en-US" w:eastAsia="zh-CN"/>
              </w:rPr>
              <w:t>投标产品型号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镇流器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917341-100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套管密封圈</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316144P，10个/包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紫外灯管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794447-ORD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2614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清洗凝胶</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901507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擦拭器密封件(包含一根短氟橡胶管)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紫外灯套管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316136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316505-078X</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套管锁紧螺母</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316148P，10个/包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擦拭器连接胶管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光强传感器（含电缆线）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015393-S-158NB</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CCB母板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931096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通讯拓展模块</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931088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光强传感器套管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15239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润滑脂</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JET-LUB CC LUBE 70550 14oz/支</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PDC内光强传感器电缆线(连接CCB板和传感器电缆，包含插头)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15408</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 2～7标准模块清洗罐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 1、8标准模块清洗罐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327125光强探头 清洗罐</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清洗罐连接软管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(英尺)</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清洗罐塞子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327095P，10个/包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液压油</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TELLUS S2 VX15 20L/桶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套管弹簧</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901376P，10个/包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通用除垢剂</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力猛威 4L/瓶</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瓶</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UV3+（弯头）（白色连接头）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327066P，10个/包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UV3+（直头）（白色连接头）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327027P，10个/包</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第1个清洗罐(顶部)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327125-180PLGTOP</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第2/6个清洗罐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327125-180STDMID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第3/7个清洗罐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327125-020STDMID</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第4/5个清洗罐</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327125-020STDCYL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第8个清洗罐（底部）</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327125-180PLGBOT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液压驱动杆</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326411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蓝色液压软管（含接头、母头）长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907624-04F157BL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蓝色液压软管（含接头、公头）短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907624-04M078BL</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黑色液压软管（含接头、公头）长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907624-04F162BK</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黑色液压软管（含接头、母头）短</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907624-04F083BK</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清洗罐泄压阀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821161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包</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刮擦清洗圈</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编号327021，35*4mm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传感器电缆套件，UV3000Plus NIST（含电缆和扣环）</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015509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jc w:val="center"/>
              <w:rPr>
                <w:rFonts w:hint="eastAsia" w:ascii="宋体" w:hAnsi="宋体" w:eastAsia="宋体" w:cs="宋体"/>
                <w:i w:val="0"/>
                <w:color w:val="auto"/>
                <w:sz w:val="18"/>
                <w:szCs w:val="18"/>
                <w:u w:val="none"/>
              </w:rPr>
            </w:pPr>
          </w:p>
        </w:tc>
      </w:tr>
    </w:tbl>
    <w:p>
      <w:pPr>
        <w:autoSpaceDE w:val="0"/>
        <w:autoSpaceDN w:val="0"/>
        <w:adjustRightInd w:val="0"/>
        <w:spacing w:line="360" w:lineRule="auto"/>
        <w:jc w:val="left"/>
        <w:rPr>
          <w:rFonts w:ascii="宋体" w:hAnsi="宋体" w:eastAsia="宋体" w:cs="宋体"/>
          <w:b/>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left="0" w:leftChars="0"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ind w:left="0" w:leftChars="0" w:firstLine="420" w:firstLineChars="2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投标产品信息表的内容不能理解为本次采购所需要的全部货物及相关服务、工作的要求，投标人应根据《用户需求书》中的功能需求、配置、技术要求，合格优质的完成采购内容和包含的全部服务</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315" w:firstLineChars="150"/>
        <w:jc w:val="righ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righ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21" w:name="_Toc18828"/>
      <w:bookmarkStart w:id="422" w:name="_Toc104991875"/>
      <w:bookmarkStart w:id="423" w:name="_Toc102860074"/>
      <w:bookmarkStart w:id="424" w:name="_Toc1977725"/>
      <w:bookmarkStart w:id="425" w:name="_Toc94107209"/>
      <w:bookmarkStart w:id="426" w:name="_Toc142508369"/>
      <w:bookmarkStart w:id="427" w:name="_Toc9011"/>
      <w:bookmarkStart w:id="428" w:name="_Toc102860418"/>
      <w:bookmarkStart w:id="429" w:name="_Toc24015"/>
      <w:bookmarkStart w:id="430" w:name="_Toc140596928"/>
      <w:bookmarkStart w:id="431" w:name="_Toc20759_WPSOffice_Level2"/>
      <w:bookmarkStart w:id="432" w:name="_Toc486167712"/>
      <w:bookmarkStart w:id="433"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21"/>
      <w:bookmarkEnd w:id="422"/>
      <w:bookmarkEnd w:id="423"/>
      <w:bookmarkEnd w:id="424"/>
      <w:bookmarkEnd w:id="425"/>
      <w:bookmarkEnd w:id="426"/>
      <w:bookmarkEnd w:id="427"/>
      <w:bookmarkEnd w:id="428"/>
      <w:bookmarkEnd w:id="429"/>
      <w:bookmarkEnd w:id="430"/>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34" w:name="_Toc94107210"/>
      <w:bookmarkStart w:id="435" w:name="_Toc102860419"/>
      <w:bookmarkStart w:id="436" w:name="_Toc22117"/>
      <w:bookmarkStart w:id="437" w:name="_Toc28382"/>
      <w:bookmarkStart w:id="438" w:name="_Toc102860075"/>
      <w:bookmarkStart w:id="439" w:name="_Toc104991876"/>
      <w:bookmarkStart w:id="440" w:name="_Toc142508370"/>
      <w:bookmarkStart w:id="441" w:name="_Toc31420"/>
      <w:bookmarkStart w:id="442" w:name="_Toc140596929"/>
      <w:bookmarkStart w:id="44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34"/>
      <w:bookmarkEnd w:id="435"/>
      <w:bookmarkEnd w:id="436"/>
      <w:bookmarkEnd w:id="437"/>
      <w:bookmarkEnd w:id="438"/>
      <w:bookmarkEnd w:id="439"/>
      <w:bookmarkEnd w:id="440"/>
      <w:bookmarkEnd w:id="441"/>
      <w:bookmarkEnd w:id="442"/>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44" w:name="_Toc102860076"/>
      <w:bookmarkStart w:id="445" w:name="_Toc104991877"/>
      <w:bookmarkStart w:id="446" w:name="_Toc26345"/>
      <w:bookmarkStart w:id="447" w:name="_Toc4653"/>
      <w:bookmarkStart w:id="448" w:name="_Toc102860420"/>
      <w:bookmarkStart w:id="449" w:name="_Toc140596930"/>
      <w:bookmarkStart w:id="450" w:name="_Toc142508371"/>
      <w:bookmarkStart w:id="451" w:name="_Toc94107211"/>
      <w:bookmarkStart w:id="452" w:name="_Toc948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44"/>
      <w:bookmarkEnd w:id="445"/>
      <w:bookmarkEnd w:id="446"/>
      <w:bookmarkEnd w:id="447"/>
      <w:bookmarkEnd w:id="448"/>
      <w:bookmarkEnd w:id="449"/>
      <w:bookmarkEnd w:id="450"/>
      <w:bookmarkEnd w:id="451"/>
      <w:bookmarkEnd w:id="452"/>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53" w:name="_Toc102860077"/>
      <w:bookmarkStart w:id="454" w:name="_Toc12199"/>
      <w:bookmarkStart w:id="455" w:name="_Toc644"/>
      <w:bookmarkStart w:id="456" w:name="_Toc142508372"/>
      <w:bookmarkStart w:id="457" w:name="_Toc94107212"/>
      <w:bookmarkStart w:id="458" w:name="_Toc21657"/>
      <w:bookmarkStart w:id="459" w:name="_Toc140596931"/>
      <w:bookmarkStart w:id="460" w:name="_Toc104991878"/>
      <w:bookmarkStart w:id="461" w:name="_Toc10286042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53"/>
      <w:bookmarkEnd w:id="454"/>
      <w:bookmarkEnd w:id="455"/>
      <w:bookmarkEnd w:id="456"/>
      <w:bookmarkEnd w:id="457"/>
      <w:bookmarkEnd w:id="458"/>
      <w:bookmarkEnd w:id="459"/>
      <w:bookmarkEnd w:id="460"/>
      <w:bookmarkEnd w:id="461"/>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31"/>
      <w:bookmarkEnd w:id="432"/>
      <w:bookmarkEnd w:id="433"/>
      <w:bookmarkEnd w:id="443"/>
    </w:p>
    <w:p>
      <w:pPr>
        <w:spacing w:before="120" w:after="120" w:line="360" w:lineRule="auto"/>
        <w:ind w:firstLine="608" w:firstLineChars="202"/>
        <w:jc w:val="center"/>
        <w:rPr>
          <w:rFonts w:ascii="宋体" w:hAnsi="宋体" w:eastAsia="宋体" w:cs="宋体"/>
          <w:b/>
          <w:color w:val="auto"/>
          <w:sz w:val="30"/>
          <w:szCs w:val="30"/>
          <w:highlight w:val="none"/>
        </w:rPr>
      </w:pPr>
    </w:p>
    <w:p>
      <w:pPr>
        <w:spacing w:before="120" w:after="120" w:line="360" w:lineRule="auto"/>
        <w:ind w:firstLine="608" w:firstLineChars="202"/>
        <w:jc w:val="center"/>
        <w:rPr>
          <w:rFonts w:ascii="宋体" w:hAnsi="宋体" w:eastAsia="宋体" w:cs="宋体"/>
          <w:b/>
          <w:bCs/>
          <w:color w:val="auto"/>
          <w:sz w:val="30"/>
          <w:szCs w:val="30"/>
          <w:highlight w:val="none"/>
        </w:rPr>
      </w:pPr>
      <w:bookmarkStart w:id="462" w:name="_Toc11033_WPSOffice_Level3"/>
      <w:r>
        <w:rPr>
          <w:rFonts w:hint="eastAsia" w:ascii="宋体" w:hAnsi="宋体" w:eastAsia="宋体" w:cs="宋体"/>
          <w:b/>
          <w:color w:val="auto"/>
          <w:sz w:val="30"/>
          <w:szCs w:val="30"/>
          <w:highlight w:val="none"/>
        </w:rPr>
        <w:t>法定代</w:t>
      </w:r>
      <w:bookmarkStart w:id="463" w:name="_Toc36971359"/>
      <w:bookmarkStart w:id="464" w:name="_Toc45995270"/>
      <w:r>
        <w:rPr>
          <w:rFonts w:hint="eastAsia" w:ascii="宋体" w:hAnsi="宋体" w:eastAsia="宋体" w:cs="宋体"/>
          <w:b/>
          <w:color w:val="auto"/>
          <w:sz w:val="30"/>
          <w:szCs w:val="30"/>
          <w:highlight w:val="none"/>
        </w:rPr>
        <w:t>表人身份证明书</w:t>
      </w:r>
      <w:bookmarkEnd w:id="462"/>
    </w:p>
    <w:bookmarkEnd w:id="463"/>
    <w:bookmarkEnd w:id="464"/>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67"/>
      <w:bookmarkEnd w:id="368"/>
      <w:bookmarkEnd w:id="369"/>
      <w:bookmarkStart w:id="465" w:name="_Toc6240_WPSOffice_Level2"/>
      <w:bookmarkStart w:id="466" w:name="_Toc533708125"/>
      <w:bookmarkStart w:id="467" w:name="_Toc1977727"/>
      <w:bookmarkStart w:id="468" w:name="_Toc486167713"/>
      <w:r>
        <w:rPr>
          <w:rFonts w:hint="eastAsia" w:ascii="宋体" w:hAnsi="宋体" w:eastAsia="宋体" w:cs="宋体"/>
          <w:b/>
          <w:color w:val="auto"/>
          <w:szCs w:val="24"/>
          <w:highlight w:val="none"/>
        </w:rPr>
        <w:t>（2）法定代表人授权书格式</w:t>
      </w:r>
      <w:bookmarkEnd w:id="465"/>
      <w:bookmarkEnd w:id="466"/>
      <w:bookmarkEnd w:id="467"/>
      <w:bookmarkEnd w:id="468"/>
    </w:p>
    <w:p>
      <w:pPr>
        <w:autoSpaceDE w:val="0"/>
        <w:autoSpaceDN w:val="0"/>
        <w:adjustRightInd w:val="0"/>
        <w:spacing w:line="360" w:lineRule="auto"/>
        <w:jc w:val="center"/>
        <w:rPr>
          <w:rFonts w:ascii="宋体" w:hAnsi="宋体" w:eastAsia="宋体" w:cs="宋体"/>
          <w:b/>
          <w:bCs/>
          <w:color w:val="auto"/>
          <w:sz w:val="30"/>
          <w:szCs w:val="30"/>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69" w:name="_Toc29146_WPSOffice_Level3"/>
      <w:r>
        <w:rPr>
          <w:rFonts w:hint="eastAsia" w:ascii="宋体" w:hAnsi="宋体" w:eastAsia="宋体" w:cs="宋体"/>
          <w:b/>
          <w:bCs/>
          <w:color w:val="auto"/>
          <w:sz w:val="30"/>
          <w:szCs w:val="30"/>
          <w:highlight w:val="none"/>
          <w:lang w:val="zh-CN"/>
        </w:rPr>
        <w:t>法定代表人授权书</w:t>
      </w:r>
      <w:bookmarkEnd w:id="469"/>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致：东莞市石鼓净水有限公司</w:t>
      </w:r>
    </w:p>
    <w:p>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东莞市石鼓净水有限公司2024年紫外消毒设备零配件采购项目（第三次招标）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0832-SFCX24DG012A-</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7" w:type="first"/>
          <w:footerReference r:id="rId6"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6"/>
        <w:pageBreakBefore/>
        <w:spacing w:line="360" w:lineRule="auto"/>
        <w:rPr>
          <w:rFonts w:hint="eastAsia" w:hAnsi="宋体" w:cs="宋体"/>
          <w:b/>
          <w:color w:val="auto"/>
          <w:kern w:val="0"/>
          <w:sz w:val="30"/>
          <w:szCs w:val="30"/>
          <w:highlight w:val="none"/>
          <w:lang w:val="en-US" w:eastAsia="zh-CN"/>
        </w:rPr>
      </w:pPr>
      <w:bookmarkStart w:id="470" w:name="_Toc12790"/>
      <w:bookmarkStart w:id="471" w:name="_Toc30070"/>
      <w:bookmarkStart w:id="472" w:name="_Toc8338"/>
      <w:bookmarkStart w:id="473" w:name="_Toc142508373"/>
      <w:bookmarkStart w:id="474" w:name="_Toc94107214"/>
      <w:bookmarkStart w:id="475" w:name="_Toc140596933"/>
      <w:bookmarkStart w:id="476" w:name="_Toc104991880"/>
      <w:bookmarkStart w:id="477" w:name="_Toc197773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hint="eastAsia" w:hAnsi="宋体" w:cs="宋体"/>
          <w:b/>
          <w:color w:val="auto"/>
          <w:kern w:val="0"/>
          <w:sz w:val="30"/>
          <w:szCs w:val="30"/>
          <w:highlight w:val="none"/>
          <w:lang w:val="en-US" w:eastAsia="zh-CN"/>
        </w:rPr>
        <w:t xml:space="preserve"> 制造商资格声明和制造商售后服务承诺函及独家授权书</w:t>
      </w:r>
      <w:bookmarkEnd w:id="470"/>
    </w:p>
    <w:p>
      <w:pPr>
        <w:snapToGrid w:val="0"/>
        <w:spacing w:line="360" w:lineRule="auto"/>
        <w:rPr>
          <w:rFonts w:ascii="宋体" w:hAnsi="宋体" w:eastAsia="宋体" w:cs="宋体"/>
          <w:b/>
          <w:color w:val="auto"/>
          <w:szCs w:val="21"/>
        </w:rPr>
      </w:pPr>
      <w:r>
        <w:rPr>
          <w:rFonts w:hint="eastAsia" w:ascii="宋体" w:hAnsi="宋体" w:eastAsia="宋体" w:cs="宋体"/>
          <w:b/>
          <w:color w:val="auto"/>
          <w:szCs w:val="21"/>
        </w:rPr>
        <w:t>（1）制造商资格声明</w:t>
      </w:r>
    </w:p>
    <w:p>
      <w:pPr>
        <w:snapToGrid w:val="0"/>
        <w:spacing w:line="360" w:lineRule="auto"/>
        <w:ind w:firstLine="517" w:firstLineChars="245"/>
        <w:rPr>
          <w:rFonts w:ascii="宋体" w:hAnsi="宋体" w:eastAsia="宋体" w:cs="宋体"/>
          <w:color w:val="auto"/>
          <w:szCs w:val="21"/>
        </w:rPr>
      </w:pPr>
      <w:r>
        <w:rPr>
          <w:rFonts w:hint="eastAsia" w:ascii="宋体" w:hAnsi="宋体" w:eastAsia="宋体" w:cs="宋体"/>
          <w:b/>
          <w:color w:val="auto"/>
          <w:szCs w:val="21"/>
        </w:rPr>
        <w:t>[投标人根据实际情况选用，本格式适用于：（1）</w:t>
      </w:r>
      <w:r>
        <w:rPr>
          <w:rFonts w:hint="eastAsia" w:ascii="宋体" w:hAnsi="宋体" w:eastAsia="宋体" w:cs="宋体"/>
          <w:b/>
          <w:color w:val="auto"/>
          <w:szCs w:val="21"/>
          <w:u w:val="single"/>
        </w:rPr>
        <w:t>投标人为在境内依法登记注册、能独立承担民事责任，具有生产制造所投紫外灯管产品能力的制造商时提供</w:t>
      </w:r>
      <w:r>
        <w:rPr>
          <w:rFonts w:hint="eastAsia" w:ascii="宋体" w:hAnsi="宋体" w:eastAsia="宋体" w:cs="宋体"/>
          <w:b/>
          <w:color w:val="auto"/>
          <w:szCs w:val="21"/>
        </w:rPr>
        <w:t>；（2）</w:t>
      </w:r>
      <w:r>
        <w:rPr>
          <w:rFonts w:hint="eastAsia" w:ascii="宋体" w:hAnsi="宋体" w:eastAsia="宋体" w:cs="宋体"/>
          <w:b/>
          <w:color w:val="auto"/>
          <w:szCs w:val="21"/>
          <w:u w:val="single"/>
        </w:rPr>
        <w:t>投标人为所投紫外灯管产品制造商直接就本项目独家授权的在境内依法登记注册成立、能独立承担民事责任的经销商时提供。]</w:t>
      </w:r>
    </w:p>
    <w:p>
      <w:pPr>
        <w:numPr>
          <w:ilvl w:val="0"/>
          <w:numId w:val="4"/>
        </w:numPr>
        <w:tabs>
          <w:tab w:val="left" w:pos="426"/>
          <w:tab w:val="left" w:pos="2700"/>
        </w:tabs>
        <w:snapToGrid w:val="0"/>
        <w:spacing w:line="360" w:lineRule="auto"/>
        <w:rPr>
          <w:rFonts w:ascii="宋体" w:hAnsi="宋体" w:eastAsia="宋体" w:cs="宋体"/>
          <w:color w:val="auto"/>
          <w:szCs w:val="21"/>
        </w:rPr>
      </w:pPr>
      <w:bookmarkStart w:id="478" w:name="_Toc23247"/>
      <w:r>
        <w:rPr>
          <w:rFonts w:hint="eastAsia" w:ascii="宋体" w:hAnsi="宋体" w:eastAsia="宋体" w:cs="宋体"/>
          <w:color w:val="auto"/>
          <w:szCs w:val="21"/>
        </w:rPr>
        <w:t>名称及概况：</w:t>
      </w:r>
      <w:bookmarkEnd w:id="478"/>
    </w:p>
    <w:p>
      <w:pPr>
        <w:numPr>
          <w:ilvl w:val="0"/>
          <w:numId w:val="5"/>
        </w:numPr>
        <w:tabs>
          <w:tab w:val="left" w:pos="426"/>
        </w:tabs>
        <w:snapToGrid w:val="0"/>
        <w:spacing w:line="360" w:lineRule="auto"/>
        <w:ind w:left="0"/>
        <w:rPr>
          <w:rFonts w:ascii="宋体" w:hAnsi="宋体" w:eastAsia="宋体" w:cs="宋体"/>
          <w:color w:val="auto"/>
          <w:szCs w:val="21"/>
        </w:rPr>
      </w:pPr>
      <w:r>
        <w:rPr>
          <w:rFonts w:hint="eastAsia" w:ascii="宋体" w:hAnsi="宋体" w:eastAsia="宋体" w:cs="宋体"/>
          <w:color w:val="auto"/>
          <w:szCs w:val="21"/>
        </w:rPr>
        <w:t>产品制造商名称：</w:t>
      </w:r>
      <w:r>
        <w:rPr>
          <w:rFonts w:hint="eastAsia" w:ascii="宋体" w:hAnsi="宋体" w:eastAsia="宋体" w:cs="宋体"/>
          <w:color w:val="auto"/>
          <w:szCs w:val="21"/>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rPr>
      </w:pPr>
      <w:r>
        <w:rPr>
          <w:rFonts w:hint="eastAsia" w:ascii="宋体" w:hAnsi="宋体" w:eastAsia="宋体" w:cs="宋体"/>
          <w:color w:val="auto"/>
          <w:szCs w:val="21"/>
        </w:rPr>
        <w:t>总部地址：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pPr>
        <w:tabs>
          <w:tab w:val="left" w:pos="426"/>
          <w:tab w:val="left" w:pos="900"/>
        </w:tabs>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电话号码：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rPr>
      </w:pPr>
      <w:r>
        <w:rPr>
          <w:rFonts w:hint="eastAsia" w:ascii="宋体" w:hAnsi="宋体" w:eastAsia="宋体" w:cs="宋体"/>
          <w:color w:val="auto"/>
          <w:szCs w:val="21"/>
        </w:rPr>
        <w:t>成立和/或注册日期：</w:t>
      </w:r>
      <w:r>
        <w:rPr>
          <w:rFonts w:hint="eastAsia" w:ascii="宋体" w:hAnsi="宋体" w:eastAsia="宋体" w:cs="宋体"/>
          <w:color w:val="auto"/>
          <w:szCs w:val="21"/>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rPr>
      </w:pPr>
      <w:r>
        <w:rPr>
          <w:rFonts w:hint="eastAsia" w:ascii="宋体" w:hAnsi="宋体" w:eastAsia="宋体" w:cs="宋体"/>
          <w:color w:val="auto"/>
          <w:szCs w:val="21"/>
        </w:rPr>
        <w:t>法定代表人姓名：</w:t>
      </w:r>
      <w:r>
        <w:rPr>
          <w:rFonts w:hint="eastAsia" w:ascii="宋体" w:hAnsi="宋体" w:eastAsia="宋体" w:cs="宋体"/>
          <w:color w:val="auto"/>
          <w:szCs w:val="21"/>
          <w:u w:val="single"/>
        </w:rPr>
        <w:t xml:space="preserve">            </w:t>
      </w:r>
    </w:p>
    <w:p>
      <w:pPr>
        <w:numPr>
          <w:ilvl w:val="0"/>
          <w:numId w:val="5"/>
        </w:numPr>
        <w:tabs>
          <w:tab w:val="left" w:pos="426"/>
        </w:tabs>
        <w:snapToGrid w:val="0"/>
        <w:spacing w:line="360" w:lineRule="auto"/>
        <w:ind w:left="0"/>
        <w:rPr>
          <w:rFonts w:ascii="宋体" w:hAnsi="宋体" w:eastAsia="宋体" w:cs="宋体"/>
          <w:color w:val="auto"/>
          <w:szCs w:val="21"/>
        </w:rPr>
      </w:pPr>
      <w:r>
        <w:rPr>
          <w:rFonts w:hint="eastAsia" w:ascii="宋体" w:hAnsi="宋体" w:eastAsia="宋体" w:cs="宋体"/>
          <w:color w:val="auto"/>
          <w:szCs w:val="21"/>
        </w:rPr>
        <w:t>产品制造商代表姓名、联系电话和地址：</w:t>
      </w:r>
    </w:p>
    <w:p>
      <w:pPr>
        <w:tabs>
          <w:tab w:val="left" w:pos="426"/>
        </w:tabs>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p>
    <w:p>
      <w:pPr>
        <w:numPr>
          <w:ilvl w:val="0"/>
          <w:numId w:val="4"/>
        </w:numPr>
        <w:tabs>
          <w:tab w:val="left" w:pos="426"/>
          <w:tab w:val="left" w:pos="2700"/>
        </w:tabs>
        <w:snapToGrid w:val="0"/>
        <w:spacing w:line="360" w:lineRule="auto"/>
        <w:rPr>
          <w:rFonts w:ascii="宋体" w:hAnsi="宋体" w:eastAsia="宋体" w:cs="宋体"/>
          <w:color w:val="auto"/>
          <w:szCs w:val="21"/>
        </w:rPr>
      </w:pPr>
      <w:r>
        <w:rPr>
          <w:rFonts w:hint="eastAsia" w:ascii="宋体" w:hAnsi="宋体" w:eastAsia="宋体" w:cs="宋体"/>
          <w:color w:val="auto"/>
          <w:szCs w:val="21"/>
        </w:rPr>
        <w:t>(1)制造投标货物的主要设备、设施及有关情况：</w:t>
      </w:r>
    </w:p>
    <w:tbl>
      <w:tblPr>
        <w:tblStyle w:val="36"/>
        <w:tblW w:w="103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2192"/>
        <w:gridCol w:w="1827"/>
        <w:gridCol w:w="1645"/>
        <w:gridCol w:w="164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6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制造投标货物的工厂名称</w:t>
            </w:r>
          </w:p>
        </w:tc>
        <w:tc>
          <w:tcPr>
            <w:tcW w:w="2192"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制造投标货物的工厂地址</w:t>
            </w:r>
          </w:p>
        </w:tc>
        <w:tc>
          <w:tcPr>
            <w:tcW w:w="1827" w:type="dxa"/>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制造投标货物的主要生产设备设施名称及数量</w:t>
            </w:r>
          </w:p>
        </w:tc>
        <w:tc>
          <w:tcPr>
            <w:tcW w:w="1645"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购买年份</w:t>
            </w:r>
          </w:p>
        </w:tc>
        <w:tc>
          <w:tcPr>
            <w:tcW w:w="1645"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年生产能力</w:t>
            </w:r>
          </w:p>
        </w:tc>
        <w:tc>
          <w:tcPr>
            <w:tcW w:w="1417"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44" w:type="dxa"/>
            <w:vAlign w:val="center"/>
          </w:tcPr>
          <w:p>
            <w:pPr>
              <w:snapToGrid w:val="0"/>
              <w:spacing w:line="360" w:lineRule="auto"/>
              <w:jc w:val="center"/>
              <w:rPr>
                <w:rFonts w:ascii="宋体" w:hAnsi="宋体" w:eastAsia="宋体" w:cs="宋体"/>
                <w:color w:val="auto"/>
                <w:szCs w:val="21"/>
              </w:rPr>
            </w:pPr>
          </w:p>
        </w:tc>
        <w:tc>
          <w:tcPr>
            <w:tcW w:w="2192" w:type="dxa"/>
            <w:vAlign w:val="center"/>
          </w:tcPr>
          <w:p>
            <w:pPr>
              <w:snapToGrid w:val="0"/>
              <w:spacing w:line="360" w:lineRule="auto"/>
              <w:jc w:val="center"/>
              <w:rPr>
                <w:rFonts w:ascii="宋体" w:hAnsi="宋体" w:eastAsia="宋体" w:cs="宋体"/>
                <w:color w:val="auto"/>
                <w:szCs w:val="21"/>
              </w:rPr>
            </w:pPr>
          </w:p>
        </w:tc>
        <w:tc>
          <w:tcPr>
            <w:tcW w:w="1827"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417" w:type="dxa"/>
            <w:vAlign w:val="center"/>
          </w:tcPr>
          <w:p>
            <w:pPr>
              <w:snapToGrid w:val="0"/>
              <w:spacing w:line="360" w:lineRule="auto"/>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6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2192" w:type="dxa"/>
            <w:vAlign w:val="center"/>
          </w:tcPr>
          <w:p>
            <w:pPr>
              <w:snapToGrid w:val="0"/>
              <w:spacing w:line="360" w:lineRule="auto"/>
              <w:jc w:val="center"/>
              <w:rPr>
                <w:rFonts w:ascii="宋体" w:hAnsi="宋体" w:eastAsia="宋体" w:cs="宋体"/>
                <w:color w:val="auto"/>
                <w:szCs w:val="21"/>
              </w:rPr>
            </w:pPr>
          </w:p>
        </w:tc>
        <w:tc>
          <w:tcPr>
            <w:tcW w:w="1827"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417" w:type="dxa"/>
            <w:vAlign w:val="center"/>
          </w:tcPr>
          <w:p>
            <w:pPr>
              <w:snapToGrid w:val="0"/>
              <w:spacing w:line="360" w:lineRule="auto"/>
              <w:jc w:val="center"/>
              <w:rPr>
                <w:rFonts w:ascii="宋体" w:hAnsi="宋体" w:eastAsia="宋体" w:cs="宋体"/>
                <w:color w:val="auto"/>
                <w:szCs w:val="21"/>
              </w:rPr>
            </w:pPr>
          </w:p>
        </w:tc>
      </w:tr>
    </w:tbl>
    <w:p>
      <w:pPr>
        <w:tabs>
          <w:tab w:val="left" w:pos="426"/>
          <w:tab w:val="left" w:pos="2700"/>
        </w:tabs>
        <w:snapToGrid w:val="0"/>
        <w:spacing w:line="360" w:lineRule="auto"/>
        <w:ind w:left="720"/>
        <w:rPr>
          <w:rFonts w:ascii="宋体" w:hAnsi="宋体" w:eastAsia="宋体" w:cs="宋体"/>
          <w:color w:val="auto"/>
          <w:szCs w:val="21"/>
        </w:rPr>
      </w:pPr>
    </w:p>
    <w:p>
      <w:pPr>
        <w:snapToGrid w:val="0"/>
        <w:spacing w:line="360" w:lineRule="auto"/>
        <w:ind w:firstLine="358"/>
        <w:rPr>
          <w:rFonts w:ascii="宋体" w:hAnsi="宋体" w:eastAsia="宋体" w:cs="宋体"/>
          <w:color w:val="auto"/>
          <w:szCs w:val="21"/>
        </w:rPr>
      </w:pPr>
      <w:r>
        <w:rPr>
          <w:rFonts w:hint="eastAsia" w:ascii="宋体" w:hAnsi="宋体" w:eastAsia="宋体" w:cs="宋体"/>
          <w:color w:val="auto"/>
          <w:szCs w:val="21"/>
        </w:rPr>
        <w:t>(2)投标货物中本制造商不生产，而需从其它制造商购买的主要零部件：</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464"/>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主要零部件名称</w:t>
            </w:r>
          </w:p>
        </w:tc>
        <w:tc>
          <w:tcPr>
            <w:tcW w:w="346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制造厂名称</w:t>
            </w:r>
          </w:p>
        </w:tc>
        <w:tc>
          <w:tcPr>
            <w:tcW w:w="3462" w:type="dxa"/>
            <w:vAlign w:val="center"/>
          </w:tcPr>
          <w:p>
            <w:pPr>
              <w:snapToGrid w:val="0"/>
              <w:spacing w:line="360" w:lineRule="auto"/>
              <w:ind w:firstLine="1050" w:firstLineChars="500"/>
              <w:rPr>
                <w:rFonts w:ascii="宋体" w:hAnsi="宋体" w:eastAsia="宋体" w:cs="宋体"/>
                <w:color w:val="auto"/>
                <w:szCs w:val="21"/>
              </w:rPr>
            </w:pPr>
            <w:r>
              <w:rPr>
                <w:rFonts w:hint="eastAsia" w:ascii="宋体" w:hAnsi="宋体" w:eastAsia="宋体" w:cs="宋体"/>
                <w:color w:val="auto"/>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44" w:type="dxa"/>
            <w:vAlign w:val="center"/>
          </w:tcPr>
          <w:p>
            <w:pPr>
              <w:snapToGrid w:val="0"/>
              <w:spacing w:line="360" w:lineRule="auto"/>
              <w:jc w:val="center"/>
              <w:rPr>
                <w:rFonts w:ascii="宋体" w:hAnsi="宋体" w:eastAsia="宋体" w:cs="宋体"/>
                <w:color w:val="auto"/>
                <w:szCs w:val="21"/>
              </w:rPr>
            </w:pPr>
          </w:p>
        </w:tc>
        <w:tc>
          <w:tcPr>
            <w:tcW w:w="3464" w:type="dxa"/>
            <w:vAlign w:val="center"/>
          </w:tcPr>
          <w:p>
            <w:pPr>
              <w:snapToGrid w:val="0"/>
              <w:spacing w:line="360" w:lineRule="auto"/>
              <w:jc w:val="center"/>
              <w:rPr>
                <w:rFonts w:ascii="宋体" w:hAnsi="宋体" w:eastAsia="宋体" w:cs="宋体"/>
                <w:color w:val="auto"/>
                <w:szCs w:val="21"/>
              </w:rPr>
            </w:pPr>
          </w:p>
        </w:tc>
        <w:tc>
          <w:tcPr>
            <w:tcW w:w="3462" w:type="dxa"/>
            <w:vAlign w:val="center"/>
          </w:tcPr>
          <w:p>
            <w:pPr>
              <w:snapToGrid w:val="0"/>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3464" w:type="dxa"/>
            <w:vAlign w:val="center"/>
          </w:tcPr>
          <w:p>
            <w:pPr>
              <w:snapToGrid w:val="0"/>
              <w:spacing w:line="360" w:lineRule="auto"/>
              <w:jc w:val="center"/>
              <w:rPr>
                <w:rFonts w:ascii="宋体" w:hAnsi="宋体" w:eastAsia="宋体" w:cs="宋体"/>
                <w:color w:val="auto"/>
                <w:szCs w:val="21"/>
              </w:rPr>
            </w:pPr>
          </w:p>
        </w:tc>
        <w:tc>
          <w:tcPr>
            <w:tcW w:w="3462" w:type="dxa"/>
            <w:vAlign w:val="center"/>
          </w:tcPr>
          <w:p>
            <w:pPr>
              <w:snapToGrid w:val="0"/>
              <w:spacing w:line="360" w:lineRule="auto"/>
              <w:jc w:val="center"/>
              <w:rPr>
                <w:rFonts w:ascii="宋体" w:hAnsi="宋体" w:eastAsia="宋体" w:cs="宋体"/>
                <w:color w:val="auto"/>
                <w:szCs w:val="21"/>
              </w:rPr>
            </w:pPr>
          </w:p>
        </w:tc>
      </w:tr>
    </w:tbl>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 xml:space="preserve">3、易损件供应商的名称和地址： </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易损件名称</w:t>
            </w:r>
          </w:p>
        </w:tc>
        <w:tc>
          <w:tcPr>
            <w:tcW w:w="3458"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供应商名称</w:t>
            </w:r>
          </w:p>
        </w:tc>
        <w:tc>
          <w:tcPr>
            <w:tcW w:w="3456"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rPr>
            </w:pPr>
          </w:p>
        </w:tc>
        <w:tc>
          <w:tcPr>
            <w:tcW w:w="3458" w:type="dxa"/>
            <w:vAlign w:val="center"/>
          </w:tcPr>
          <w:p>
            <w:pPr>
              <w:snapToGrid w:val="0"/>
              <w:spacing w:line="360" w:lineRule="auto"/>
              <w:ind w:left="342"/>
              <w:jc w:val="center"/>
              <w:rPr>
                <w:rFonts w:ascii="宋体" w:hAnsi="宋体" w:eastAsia="宋体" w:cs="宋体"/>
                <w:snapToGrid w:val="0"/>
                <w:color w:val="auto"/>
                <w:szCs w:val="21"/>
              </w:rPr>
            </w:pPr>
          </w:p>
        </w:tc>
        <w:tc>
          <w:tcPr>
            <w:tcW w:w="3456" w:type="dxa"/>
            <w:vAlign w:val="center"/>
          </w:tcPr>
          <w:p>
            <w:pPr>
              <w:snapToGrid w:val="0"/>
              <w:spacing w:line="360" w:lineRule="auto"/>
              <w:ind w:left="342"/>
              <w:jc w:val="center"/>
              <w:rPr>
                <w:rFonts w:ascii="宋体" w:hAnsi="宋体" w:eastAsia="宋体" w:cs="宋体"/>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rPr>
            </w:pPr>
            <w:r>
              <w:rPr>
                <w:rFonts w:hint="eastAsia" w:ascii="宋体" w:hAnsi="宋体" w:eastAsia="宋体" w:cs="宋体"/>
                <w:color w:val="auto"/>
                <w:szCs w:val="21"/>
              </w:rPr>
              <w:t>……</w:t>
            </w:r>
          </w:p>
        </w:tc>
        <w:tc>
          <w:tcPr>
            <w:tcW w:w="3458" w:type="dxa"/>
            <w:vAlign w:val="center"/>
          </w:tcPr>
          <w:p>
            <w:pPr>
              <w:snapToGrid w:val="0"/>
              <w:spacing w:line="360" w:lineRule="auto"/>
              <w:ind w:left="357"/>
              <w:jc w:val="center"/>
              <w:rPr>
                <w:rFonts w:ascii="宋体" w:hAnsi="宋体" w:eastAsia="宋体" w:cs="宋体"/>
                <w:snapToGrid w:val="0"/>
                <w:color w:val="auto"/>
                <w:szCs w:val="21"/>
              </w:rPr>
            </w:pPr>
          </w:p>
        </w:tc>
        <w:tc>
          <w:tcPr>
            <w:tcW w:w="3456" w:type="dxa"/>
            <w:vAlign w:val="center"/>
          </w:tcPr>
          <w:p>
            <w:pPr>
              <w:snapToGrid w:val="0"/>
              <w:spacing w:line="360" w:lineRule="auto"/>
              <w:ind w:left="357"/>
              <w:jc w:val="center"/>
              <w:rPr>
                <w:rFonts w:ascii="宋体" w:hAnsi="宋体" w:eastAsia="宋体" w:cs="宋体"/>
                <w:snapToGrid w:val="0"/>
                <w:color w:val="auto"/>
                <w:szCs w:val="21"/>
              </w:rPr>
            </w:pPr>
          </w:p>
        </w:tc>
      </w:tr>
    </w:tbl>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4、近三年该货物主要销售给国内、外主要客户的名称地址：</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客户名称</w:t>
            </w:r>
          </w:p>
        </w:tc>
        <w:tc>
          <w:tcPr>
            <w:tcW w:w="3458"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销售货物</w:t>
            </w:r>
          </w:p>
        </w:tc>
        <w:tc>
          <w:tcPr>
            <w:tcW w:w="3456"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rPr>
            </w:pPr>
          </w:p>
        </w:tc>
        <w:tc>
          <w:tcPr>
            <w:tcW w:w="3458" w:type="dxa"/>
            <w:vAlign w:val="center"/>
          </w:tcPr>
          <w:p>
            <w:pPr>
              <w:snapToGrid w:val="0"/>
              <w:spacing w:line="360" w:lineRule="auto"/>
              <w:ind w:left="342"/>
              <w:jc w:val="center"/>
              <w:rPr>
                <w:rFonts w:ascii="宋体" w:hAnsi="宋体" w:eastAsia="宋体" w:cs="宋体"/>
                <w:snapToGrid w:val="0"/>
                <w:color w:val="auto"/>
                <w:szCs w:val="21"/>
              </w:rPr>
            </w:pPr>
          </w:p>
        </w:tc>
        <w:tc>
          <w:tcPr>
            <w:tcW w:w="3456" w:type="dxa"/>
            <w:vAlign w:val="center"/>
          </w:tcPr>
          <w:p>
            <w:pPr>
              <w:snapToGrid w:val="0"/>
              <w:spacing w:line="360" w:lineRule="auto"/>
              <w:ind w:left="342"/>
              <w:jc w:val="center"/>
              <w:rPr>
                <w:rFonts w:ascii="宋体" w:hAnsi="宋体" w:eastAsia="宋体" w:cs="宋体"/>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rPr>
            </w:pPr>
            <w:r>
              <w:rPr>
                <w:rFonts w:hint="eastAsia" w:ascii="宋体" w:hAnsi="宋体" w:eastAsia="宋体" w:cs="宋体"/>
                <w:color w:val="auto"/>
                <w:szCs w:val="21"/>
              </w:rPr>
              <w:t>……</w:t>
            </w:r>
          </w:p>
        </w:tc>
        <w:tc>
          <w:tcPr>
            <w:tcW w:w="3458" w:type="dxa"/>
            <w:vAlign w:val="center"/>
          </w:tcPr>
          <w:p>
            <w:pPr>
              <w:snapToGrid w:val="0"/>
              <w:spacing w:line="360" w:lineRule="auto"/>
              <w:ind w:left="357"/>
              <w:jc w:val="center"/>
              <w:rPr>
                <w:rFonts w:ascii="宋体" w:hAnsi="宋体" w:eastAsia="宋体" w:cs="宋体"/>
                <w:snapToGrid w:val="0"/>
                <w:color w:val="auto"/>
                <w:szCs w:val="21"/>
              </w:rPr>
            </w:pPr>
          </w:p>
        </w:tc>
        <w:tc>
          <w:tcPr>
            <w:tcW w:w="3456" w:type="dxa"/>
            <w:vAlign w:val="center"/>
          </w:tcPr>
          <w:p>
            <w:pPr>
              <w:snapToGrid w:val="0"/>
              <w:spacing w:line="360" w:lineRule="auto"/>
              <w:ind w:left="357"/>
              <w:jc w:val="center"/>
              <w:rPr>
                <w:rFonts w:ascii="宋体" w:hAnsi="宋体" w:eastAsia="宋体" w:cs="宋体"/>
                <w:snapToGrid w:val="0"/>
                <w:color w:val="auto"/>
                <w:szCs w:val="21"/>
              </w:rPr>
            </w:pPr>
          </w:p>
        </w:tc>
      </w:tr>
    </w:tbl>
    <w:p>
      <w:pPr>
        <w:snapToGrid w:val="0"/>
        <w:spacing w:line="360" w:lineRule="auto"/>
        <w:rPr>
          <w:rFonts w:ascii="宋体" w:hAnsi="宋体" w:eastAsia="宋体" w:cs="宋体"/>
          <w:color w:val="auto"/>
          <w:szCs w:val="21"/>
        </w:rPr>
      </w:pPr>
    </w:p>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5、其他情况：(公司简介、技术力量、本制造商生产投标货物的经验等)</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兹证明上述声明是真实的、正确的，并提供了全部能提供的资料和数据，我们同意遵照贵方要求出示有关证明文件。</w:t>
      </w:r>
    </w:p>
    <w:p>
      <w:pPr>
        <w:snapToGrid w:val="0"/>
        <w:spacing w:line="360" w:lineRule="auto"/>
        <w:ind w:left="567" w:leftChars="270" w:firstLine="420"/>
        <w:rPr>
          <w:rFonts w:ascii="宋体" w:hAnsi="宋体" w:eastAsia="宋体" w:cs="宋体"/>
          <w:color w:val="auto"/>
          <w:szCs w:val="21"/>
        </w:rPr>
      </w:pP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产品制造商名称：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（境内工商注册的产品制造商必须同时加盖法人公章）</w:t>
      </w:r>
    </w:p>
    <w:p>
      <w:pPr>
        <w:snapToGrid w:val="0"/>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（签名或盖私章）</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签署人职务：</w:t>
      </w:r>
      <w:r>
        <w:rPr>
          <w:rFonts w:hint="eastAsia" w:ascii="宋体" w:hAnsi="宋体" w:eastAsia="宋体" w:cs="宋体"/>
          <w:color w:val="auto"/>
          <w:szCs w:val="21"/>
          <w:u w:val="single"/>
        </w:rPr>
        <w:t xml:space="preserve">                                     </w:t>
      </w:r>
    </w:p>
    <w:p>
      <w:pPr>
        <w:snapToGrid w:val="0"/>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网址：</w:t>
      </w:r>
      <w:r>
        <w:rPr>
          <w:rFonts w:hint="eastAsia" w:ascii="宋体" w:hAnsi="宋体" w:eastAsia="宋体" w:cs="宋体"/>
          <w:color w:val="auto"/>
          <w:szCs w:val="21"/>
          <w:u w:val="single"/>
        </w:rPr>
        <w:t xml:space="preserve">                                          </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联系地址：</w:t>
      </w:r>
      <w:r>
        <w:rPr>
          <w:rFonts w:hint="eastAsia" w:ascii="宋体" w:hAnsi="宋体" w:eastAsia="宋体" w:cs="宋体"/>
          <w:color w:val="auto"/>
          <w:szCs w:val="21"/>
          <w:u w:val="single"/>
        </w:rPr>
        <w:t xml:space="preserve">                                      </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pPr>
        <w:snapToGrid w:val="0"/>
        <w:spacing w:line="360" w:lineRule="auto"/>
        <w:ind w:firstLine="600"/>
        <w:rPr>
          <w:rFonts w:ascii="宋体" w:hAnsi="宋体" w:eastAsia="宋体" w:cs="宋体"/>
          <w:color w:val="auto"/>
          <w:szCs w:val="21"/>
          <w:u w:val="single"/>
        </w:rPr>
      </w:pPr>
    </w:p>
    <w:p>
      <w:pPr>
        <w:snapToGrid w:val="0"/>
        <w:spacing w:line="360" w:lineRule="auto"/>
        <w:rPr>
          <w:rFonts w:ascii="宋体" w:hAnsi="宋体" w:eastAsia="宋体" w:cs="宋体"/>
          <w:b/>
          <w:color w:val="auto"/>
          <w:szCs w:val="21"/>
        </w:rPr>
      </w:pPr>
      <w:r>
        <w:rPr>
          <w:rFonts w:hint="eastAsia" w:ascii="宋体" w:hAnsi="宋体" w:eastAsia="宋体" w:cs="宋体"/>
          <w:b/>
          <w:color w:val="auto"/>
          <w:szCs w:val="21"/>
        </w:rPr>
        <w:t>备注：投标文件正本内必须提供原件，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pPr>
        <w:pageBreakBefore/>
        <w:snapToGrid w:val="0"/>
        <w:spacing w:line="360" w:lineRule="auto"/>
        <w:rPr>
          <w:rFonts w:ascii="宋体" w:hAnsi="宋体" w:eastAsia="宋体" w:cs="宋体"/>
          <w:b/>
          <w:color w:val="auto"/>
          <w:szCs w:val="21"/>
        </w:rPr>
      </w:pPr>
      <w:bookmarkStart w:id="479" w:name="_Toc8109"/>
      <w:r>
        <w:rPr>
          <w:rFonts w:hint="eastAsia" w:ascii="宋体" w:hAnsi="宋体" w:eastAsia="宋体" w:cs="宋体"/>
          <w:b/>
          <w:bCs/>
          <w:color w:val="auto"/>
          <w:szCs w:val="21"/>
          <w:lang w:val="zh-CN"/>
        </w:rPr>
        <w:t>（2）</w:t>
      </w:r>
      <w:r>
        <w:rPr>
          <w:rFonts w:hint="eastAsia" w:ascii="宋体" w:hAnsi="宋体" w:eastAsia="宋体" w:cs="宋体"/>
          <w:b/>
          <w:color w:val="auto"/>
          <w:szCs w:val="21"/>
        </w:rPr>
        <w:t>制造商资格声明</w:t>
      </w:r>
      <w:bookmarkEnd w:id="479"/>
    </w:p>
    <w:p>
      <w:pPr>
        <w:snapToGrid w:val="0"/>
        <w:spacing w:line="360" w:lineRule="auto"/>
        <w:ind w:firstLine="422" w:firstLineChars="200"/>
        <w:rPr>
          <w:rFonts w:ascii="宋体" w:hAnsi="宋体" w:eastAsia="宋体" w:cs="宋体"/>
          <w:b/>
          <w:color w:val="auto"/>
          <w:szCs w:val="21"/>
          <w:u w:val="single"/>
        </w:rPr>
      </w:pPr>
      <w:r>
        <w:rPr>
          <w:rFonts w:hint="eastAsia" w:ascii="宋体" w:hAnsi="宋体" w:eastAsia="宋体" w:cs="宋体"/>
          <w:b/>
          <w:color w:val="auto"/>
          <w:szCs w:val="21"/>
        </w:rPr>
        <w:t>（投标人根据实际情况选用，本格式适用于：</w:t>
      </w:r>
      <w:r>
        <w:rPr>
          <w:rFonts w:hint="eastAsia" w:ascii="宋体" w:hAnsi="宋体" w:eastAsia="宋体" w:cs="宋体"/>
          <w:b/>
          <w:color w:val="auto"/>
          <w:szCs w:val="21"/>
          <w:u w:val="single"/>
        </w:rPr>
        <w:t>境外品牌境外生产所投紫外灯管产品的生产制造商通过境内的办事机构授权在境内依法登记注册成立、能独立承担民事责任的经销商参与投标时提供</w:t>
      </w:r>
      <w:r>
        <w:rPr>
          <w:rFonts w:hint="eastAsia" w:ascii="宋体" w:hAnsi="宋体" w:eastAsia="宋体" w:cs="宋体"/>
          <w:b/>
          <w:color w:val="auto"/>
          <w:szCs w:val="21"/>
        </w:rPr>
        <w:t>。）</w:t>
      </w:r>
    </w:p>
    <w:p>
      <w:pPr>
        <w:numPr>
          <w:ilvl w:val="0"/>
          <w:numId w:val="6"/>
        </w:numPr>
        <w:tabs>
          <w:tab w:val="left" w:pos="567"/>
          <w:tab w:val="left" w:pos="2700"/>
        </w:tabs>
        <w:snapToGrid w:val="0"/>
        <w:spacing w:line="360" w:lineRule="auto"/>
        <w:ind w:left="567" w:hanging="567"/>
        <w:rPr>
          <w:rFonts w:ascii="宋体" w:hAnsi="宋体" w:eastAsia="宋体" w:cs="宋体"/>
          <w:color w:val="auto"/>
          <w:szCs w:val="21"/>
        </w:rPr>
      </w:pPr>
      <w:bookmarkStart w:id="480" w:name="_Toc10012"/>
      <w:r>
        <w:rPr>
          <w:rFonts w:hint="eastAsia" w:ascii="宋体" w:hAnsi="宋体" w:eastAsia="宋体" w:cs="宋体"/>
          <w:color w:val="auto"/>
          <w:szCs w:val="21"/>
        </w:rPr>
        <w:t>名称及概况：</w:t>
      </w:r>
      <w:bookmarkEnd w:id="480"/>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产品制造商名称：</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总部地址：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pPr>
        <w:tabs>
          <w:tab w:val="left" w:pos="567"/>
          <w:tab w:val="left" w:pos="900"/>
        </w:tabs>
        <w:snapToGrid w:val="0"/>
        <w:spacing w:line="360" w:lineRule="auto"/>
        <w:ind w:left="504" w:leftChars="220" w:hanging="42" w:hangingChars="20"/>
        <w:rPr>
          <w:rFonts w:ascii="宋体" w:hAnsi="宋体" w:eastAsia="宋体" w:cs="宋体"/>
          <w:color w:val="auto"/>
          <w:szCs w:val="21"/>
        </w:rPr>
      </w:pPr>
      <w:r>
        <w:rPr>
          <w:rFonts w:hint="eastAsia" w:ascii="宋体" w:hAnsi="宋体" w:eastAsia="宋体" w:cs="宋体"/>
          <w:color w:val="auto"/>
          <w:szCs w:val="21"/>
        </w:rPr>
        <w:t>电话号码：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成立和/或注册日期：</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法定代表人姓名：</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制造商代表姓名、联系电话和地址：</w:t>
      </w:r>
    </w:p>
    <w:p>
      <w:pPr>
        <w:tabs>
          <w:tab w:val="left" w:pos="567"/>
        </w:tabs>
        <w:snapToGrid w:val="0"/>
        <w:spacing w:line="360" w:lineRule="auto"/>
        <w:ind w:left="567" w:hanging="567"/>
        <w:rPr>
          <w:rFonts w:ascii="宋体" w:hAnsi="宋体" w:eastAsia="宋体" w:cs="宋体"/>
          <w:color w:val="auto"/>
          <w:szCs w:val="21"/>
          <w:u w:val="single"/>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5" w:leftChars="-1" w:hanging="567"/>
        <w:rPr>
          <w:rFonts w:ascii="宋体" w:hAnsi="宋体" w:eastAsia="宋体" w:cs="宋体"/>
          <w:color w:val="auto"/>
          <w:szCs w:val="21"/>
        </w:rPr>
      </w:pPr>
      <w:r>
        <w:rPr>
          <w:rFonts w:hint="eastAsia" w:ascii="宋体" w:hAnsi="宋体" w:eastAsia="宋体" w:cs="宋体"/>
          <w:color w:val="auto"/>
          <w:szCs w:val="21"/>
        </w:rPr>
        <w:t>境内办事机构名称：</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总部地址：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pPr>
        <w:tabs>
          <w:tab w:val="left" w:pos="567"/>
          <w:tab w:val="left" w:pos="900"/>
        </w:tabs>
        <w:snapToGrid w:val="0"/>
        <w:spacing w:line="360" w:lineRule="auto"/>
        <w:ind w:left="500" w:leftChars="238"/>
        <w:rPr>
          <w:rFonts w:ascii="宋体" w:hAnsi="宋体" w:eastAsia="宋体" w:cs="宋体"/>
          <w:color w:val="auto"/>
          <w:szCs w:val="21"/>
        </w:rPr>
      </w:pPr>
      <w:r>
        <w:rPr>
          <w:rFonts w:hint="eastAsia" w:ascii="宋体" w:hAnsi="宋体" w:eastAsia="宋体" w:cs="宋体"/>
          <w:color w:val="auto"/>
          <w:szCs w:val="21"/>
        </w:rPr>
        <w:t>电话号码：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成立和/或注册日期：</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法定代表人姓名：</w:t>
      </w:r>
      <w:r>
        <w:rPr>
          <w:rFonts w:hint="eastAsia" w:ascii="宋体" w:hAnsi="宋体" w:eastAsia="宋体" w:cs="宋体"/>
          <w:color w:val="auto"/>
          <w:szCs w:val="21"/>
          <w:u w:val="single"/>
        </w:rPr>
        <w:t xml:space="preserve">            </w:t>
      </w:r>
    </w:p>
    <w:p>
      <w:pPr>
        <w:numPr>
          <w:ilvl w:val="0"/>
          <w:numId w:val="7"/>
        </w:numPr>
        <w:tabs>
          <w:tab w:val="left" w:pos="567"/>
        </w:tabs>
        <w:snapToGrid w:val="0"/>
        <w:spacing w:line="360" w:lineRule="auto"/>
        <w:ind w:left="567" w:hanging="567"/>
        <w:rPr>
          <w:rFonts w:ascii="宋体" w:hAnsi="宋体" w:eastAsia="宋体" w:cs="宋体"/>
          <w:color w:val="auto"/>
          <w:szCs w:val="21"/>
        </w:rPr>
      </w:pPr>
      <w:r>
        <w:rPr>
          <w:rFonts w:hint="eastAsia" w:ascii="宋体" w:hAnsi="宋体" w:eastAsia="宋体" w:cs="宋体"/>
          <w:color w:val="auto"/>
          <w:szCs w:val="21"/>
        </w:rPr>
        <w:t>境内办事机构代表姓名、联系电话和地址：</w:t>
      </w:r>
    </w:p>
    <w:p>
      <w:pPr>
        <w:tabs>
          <w:tab w:val="left" w:pos="567"/>
        </w:tabs>
        <w:snapToGrid w:val="0"/>
        <w:spacing w:line="360" w:lineRule="auto"/>
        <w:ind w:left="567" w:hanging="567"/>
        <w:rPr>
          <w:rFonts w:ascii="宋体" w:hAnsi="宋体" w:eastAsia="宋体" w:cs="宋体"/>
          <w:color w:val="auto"/>
          <w:szCs w:val="21"/>
          <w:u w:val="single"/>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p>
    <w:p>
      <w:pPr>
        <w:numPr>
          <w:ilvl w:val="0"/>
          <w:numId w:val="6"/>
        </w:numPr>
        <w:tabs>
          <w:tab w:val="left" w:pos="426"/>
          <w:tab w:val="left" w:pos="2700"/>
        </w:tabs>
        <w:snapToGrid w:val="0"/>
        <w:spacing w:line="360" w:lineRule="auto"/>
        <w:rPr>
          <w:rFonts w:ascii="宋体" w:hAnsi="宋体" w:eastAsia="宋体" w:cs="宋体"/>
          <w:b/>
          <w:bCs/>
          <w:color w:val="auto"/>
          <w:szCs w:val="21"/>
        </w:rPr>
      </w:pPr>
      <w:r>
        <w:rPr>
          <w:rFonts w:hint="eastAsia" w:ascii="宋体" w:hAnsi="宋体" w:eastAsia="宋体" w:cs="宋体"/>
          <w:color w:val="auto"/>
          <w:szCs w:val="21"/>
        </w:rPr>
        <w:t xml:space="preserve"> (1) 产品制造商制造投标货物的主要设备、设施及有关情况：</w:t>
      </w:r>
    </w:p>
    <w:tbl>
      <w:tblPr>
        <w:tblStyle w:val="36"/>
        <w:tblW w:w="103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2192"/>
        <w:gridCol w:w="1827"/>
        <w:gridCol w:w="1645"/>
        <w:gridCol w:w="164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6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制造投标货物的工厂名称</w:t>
            </w:r>
          </w:p>
        </w:tc>
        <w:tc>
          <w:tcPr>
            <w:tcW w:w="2192"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制造投标货物的工厂地址</w:t>
            </w:r>
          </w:p>
        </w:tc>
        <w:tc>
          <w:tcPr>
            <w:tcW w:w="1827" w:type="dxa"/>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制造投标货物的主要生产设备设施名称及数量</w:t>
            </w:r>
          </w:p>
        </w:tc>
        <w:tc>
          <w:tcPr>
            <w:tcW w:w="1645"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购买年份</w:t>
            </w:r>
          </w:p>
        </w:tc>
        <w:tc>
          <w:tcPr>
            <w:tcW w:w="1645"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年生产能力</w:t>
            </w:r>
          </w:p>
        </w:tc>
        <w:tc>
          <w:tcPr>
            <w:tcW w:w="1417"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44" w:type="dxa"/>
            <w:vAlign w:val="center"/>
          </w:tcPr>
          <w:p>
            <w:pPr>
              <w:snapToGrid w:val="0"/>
              <w:spacing w:line="360" w:lineRule="auto"/>
              <w:jc w:val="center"/>
              <w:rPr>
                <w:rFonts w:ascii="宋体" w:hAnsi="宋体" w:eastAsia="宋体" w:cs="宋体"/>
                <w:color w:val="auto"/>
                <w:szCs w:val="21"/>
              </w:rPr>
            </w:pPr>
          </w:p>
        </w:tc>
        <w:tc>
          <w:tcPr>
            <w:tcW w:w="2192" w:type="dxa"/>
            <w:vAlign w:val="center"/>
          </w:tcPr>
          <w:p>
            <w:pPr>
              <w:snapToGrid w:val="0"/>
              <w:spacing w:line="360" w:lineRule="auto"/>
              <w:jc w:val="center"/>
              <w:rPr>
                <w:rFonts w:ascii="宋体" w:hAnsi="宋体" w:eastAsia="宋体" w:cs="宋体"/>
                <w:color w:val="auto"/>
                <w:szCs w:val="21"/>
              </w:rPr>
            </w:pPr>
          </w:p>
        </w:tc>
        <w:tc>
          <w:tcPr>
            <w:tcW w:w="1827"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417" w:type="dxa"/>
            <w:vAlign w:val="center"/>
          </w:tcPr>
          <w:p>
            <w:pPr>
              <w:snapToGrid w:val="0"/>
              <w:spacing w:line="360" w:lineRule="auto"/>
              <w:jc w:val="center"/>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6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2192" w:type="dxa"/>
            <w:vAlign w:val="center"/>
          </w:tcPr>
          <w:p>
            <w:pPr>
              <w:snapToGrid w:val="0"/>
              <w:spacing w:line="360" w:lineRule="auto"/>
              <w:jc w:val="center"/>
              <w:rPr>
                <w:rFonts w:ascii="宋体" w:hAnsi="宋体" w:eastAsia="宋体" w:cs="宋体"/>
                <w:color w:val="auto"/>
                <w:szCs w:val="21"/>
              </w:rPr>
            </w:pPr>
          </w:p>
        </w:tc>
        <w:tc>
          <w:tcPr>
            <w:tcW w:w="1827"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645" w:type="dxa"/>
            <w:vAlign w:val="center"/>
          </w:tcPr>
          <w:p>
            <w:pPr>
              <w:snapToGrid w:val="0"/>
              <w:spacing w:line="360" w:lineRule="auto"/>
              <w:jc w:val="center"/>
              <w:rPr>
                <w:rFonts w:ascii="宋体" w:hAnsi="宋体" w:eastAsia="宋体" w:cs="宋体"/>
                <w:color w:val="auto"/>
                <w:szCs w:val="21"/>
              </w:rPr>
            </w:pPr>
          </w:p>
        </w:tc>
        <w:tc>
          <w:tcPr>
            <w:tcW w:w="1417" w:type="dxa"/>
            <w:vAlign w:val="center"/>
          </w:tcPr>
          <w:p>
            <w:pPr>
              <w:snapToGrid w:val="0"/>
              <w:spacing w:line="360" w:lineRule="auto"/>
              <w:jc w:val="center"/>
              <w:rPr>
                <w:rFonts w:ascii="宋体" w:hAnsi="宋体" w:eastAsia="宋体" w:cs="宋体"/>
                <w:color w:val="auto"/>
                <w:szCs w:val="21"/>
              </w:rPr>
            </w:pPr>
          </w:p>
        </w:tc>
      </w:tr>
    </w:tbl>
    <w:p>
      <w:pPr>
        <w:snapToGrid w:val="0"/>
        <w:spacing w:line="360" w:lineRule="auto"/>
        <w:ind w:right="-26"/>
        <w:rPr>
          <w:rFonts w:ascii="宋体" w:hAnsi="宋体" w:eastAsia="宋体" w:cs="宋体"/>
          <w:b/>
          <w:bCs/>
          <w:color w:val="auto"/>
          <w:szCs w:val="21"/>
        </w:rPr>
      </w:pPr>
    </w:p>
    <w:p>
      <w:pPr>
        <w:snapToGrid w:val="0"/>
        <w:spacing w:line="360" w:lineRule="auto"/>
        <w:ind w:firstLine="358"/>
        <w:rPr>
          <w:rFonts w:ascii="宋体" w:hAnsi="宋体" w:eastAsia="宋体" w:cs="宋体"/>
          <w:color w:val="auto"/>
          <w:szCs w:val="21"/>
        </w:rPr>
      </w:pPr>
      <w:r>
        <w:rPr>
          <w:rFonts w:hint="eastAsia" w:ascii="宋体" w:hAnsi="宋体" w:eastAsia="宋体" w:cs="宋体"/>
          <w:color w:val="auto"/>
          <w:szCs w:val="21"/>
        </w:rPr>
        <w:t xml:space="preserve"> (2) 投标货物中本产品制造商不生产，而需从其它制造商购买的主要零部件：</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4"/>
        <w:gridCol w:w="3464"/>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4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主要零部件名称</w:t>
            </w:r>
          </w:p>
        </w:tc>
        <w:tc>
          <w:tcPr>
            <w:tcW w:w="346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制造厂名称</w:t>
            </w:r>
          </w:p>
        </w:tc>
        <w:tc>
          <w:tcPr>
            <w:tcW w:w="3462" w:type="dxa"/>
            <w:vAlign w:val="center"/>
          </w:tcPr>
          <w:p>
            <w:pPr>
              <w:snapToGrid w:val="0"/>
              <w:spacing w:line="360" w:lineRule="auto"/>
              <w:ind w:firstLine="1050" w:firstLineChars="500"/>
              <w:rPr>
                <w:rFonts w:ascii="宋体" w:hAnsi="宋体" w:eastAsia="宋体" w:cs="宋体"/>
                <w:color w:val="auto"/>
                <w:szCs w:val="21"/>
              </w:rPr>
            </w:pPr>
            <w:r>
              <w:rPr>
                <w:rFonts w:hint="eastAsia" w:ascii="宋体" w:hAnsi="宋体" w:eastAsia="宋体" w:cs="宋体"/>
                <w:color w:val="auto"/>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44" w:type="dxa"/>
            <w:vAlign w:val="center"/>
          </w:tcPr>
          <w:p>
            <w:pPr>
              <w:snapToGrid w:val="0"/>
              <w:spacing w:line="360" w:lineRule="auto"/>
              <w:jc w:val="center"/>
              <w:rPr>
                <w:rFonts w:ascii="宋体" w:hAnsi="宋体" w:eastAsia="宋体" w:cs="宋体"/>
                <w:color w:val="auto"/>
                <w:szCs w:val="21"/>
              </w:rPr>
            </w:pPr>
          </w:p>
        </w:tc>
        <w:tc>
          <w:tcPr>
            <w:tcW w:w="3464" w:type="dxa"/>
            <w:vAlign w:val="center"/>
          </w:tcPr>
          <w:p>
            <w:pPr>
              <w:snapToGrid w:val="0"/>
              <w:spacing w:line="360" w:lineRule="auto"/>
              <w:rPr>
                <w:rFonts w:ascii="宋体" w:hAnsi="宋体" w:eastAsia="宋体" w:cs="宋体"/>
                <w:color w:val="auto"/>
                <w:szCs w:val="21"/>
              </w:rPr>
            </w:pPr>
          </w:p>
        </w:tc>
        <w:tc>
          <w:tcPr>
            <w:tcW w:w="3462" w:type="dxa"/>
            <w:vAlign w:val="center"/>
          </w:tcPr>
          <w:p>
            <w:pPr>
              <w:snapToGrid w:val="0"/>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44"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3464" w:type="dxa"/>
            <w:vAlign w:val="center"/>
          </w:tcPr>
          <w:p>
            <w:pPr>
              <w:snapToGrid w:val="0"/>
              <w:spacing w:line="360" w:lineRule="auto"/>
              <w:jc w:val="center"/>
              <w:rPr>
                <w:rFonts w:ascii="宋体" w:hAnsi="宋体" w:eastAsia="宋体" w:cs="宋体"/>
                <w:color w:val="auto"/>
                <w:szCs w:val="21"/>
              </w:rPr>
            </w:pPr>
          </w:p>
        </w:tc>
        <w:tc>
          <w:tcPr>
            <w:tcW w:w="3462" w:type="dxa"/>
            <w:vAlign w:val="center"/>
          </w:tcPr>
          <w:p>
            <w:pPr>
              <w:snapToGrid w:val="0"/>
              <w:spacing w:line="360" w:lineRule="auto"/>
              <w:jc w:val="center"/>
              <w:rPr>
                <w:rFonts w:ascii="宋体" w:hAnsi="宋体" w:eastAsia="宋体" w:cs="宋体"/>
                <w:color w:val="auto"/>
                <w:szCs w:val="21"/>
              </w:rPr>
            </w:pPr>
          </w:p>
        </w:tc>
      </w:tr>
    </w:tbl>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 xml:space="preserve">3、易损件供应商的名称和地址： </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易损件名称</w:t>
            </w:r>
          </w:p>
        </w:tc>
        <w:tc>
          <w:tcPr>
            <w:tcW w:w="3458"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供应商名称</w:t>
            </w:r>
          </w:p>
        </w:tc>
        <w:tc>
          <w:tcPr>
            <w:tcW w:w="3456"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56" w:type="dxa"/>
            <w:vAlign w:val="center"/>
          </w:tcPr>
          <w:p>
            <w:pPr>
              <w:snapToGrid w:val="0"/>
              <w:spacing w:line="360" w:lineRule="auto"/>
              <w:jc w:val="center"/>
              <w:rPr>
                <w:rFonts w:ascii="宋体" w:hAnsi="宋体" w:eastAsia="宋体" w:cs="宋体"/>
                <w:color w:val="auto"/>
                <w:szCs w:val="21"/>
              </w:rPr>
            </w:pPr>
          </w:p>
        </w:tc>
        <w:tc>
          <w:tcPr>
            <w:tcW w:w="3458" w:type="dxa"/>
            <w:vAlign w:val="center"/>
          </w:tcPr>
          <w:p>
            <w:pPr>
              <w:snapToGrid w:val="0"/>
              <w:spacing w:line="360" w:lineRule="auto"/>
              <w:ind w:left="342"/>
              <w:jc w:val="center"/>
              <w:rPr>
                <w:rFonts w:ascii="宋体" w:hAnsi="宋体" w:eastAsia="宋体" w:cs="宋体"/>
                <w:snapToGrid w:val="0"/>
                <w:color w:val="auto"/>
                <w:szCs w:val="21"/>
              </w:rPr>
            </w:pPr>
          </w:p>
        </w:tc>
        <w:tc>
          <w:tcPr>
            <w:tcW w:w="3456" w:type="dxa"/>
            <w:vAlign w:val="center"/>
          </w:tcPr>
          <w:p>
            <w:pPr>
              <w:snapToGrid w:val="0"/>
              <w:spacing w:line="360" w:lineRule="auto"/>
              <w:ind w:left="342"/>
              <w:jc w:val="center"/>
              <w:rPr>
                <w:rFonts w:ascii="宋体" w:hAnsi="宋体" w:eastAsia="宋体" w:cs="宋体"/>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rPr>
            </w:pPr>
            <w:r>
              <w:rPr>
                <w:rFonts w:hint="eastAsia" w:ascii="宋体" w:hAnsi="宋体" w:eastAsia="宋体" w:cs="宋体"/>
                <w:color w:val="auto"/>
                <w:szCs w:val="21"/>
              </w:rPr>
              <w:t>……</w:t>
            </w:r>
          </w:p>
        </w:tc>
        <w:tc>
          <w:tcPr>
            <w:tcW w:w="3458" w:type="dxa"/>
            <w:vAlign w:val="center"/>
          </w:tcPr>
          <w:p>
            <w:pPr>
              <w:snapToGrid w:val="0"/>
              <w:spacing w:line="360" w:lineRule="auto"/>
              <w:ind w:left="357"/>
              <w:jc w:val="center"/>
              <w:rPr>
                <w:rFonts w:ascii="宋体" w:hAnsi="宋体" w:eastAsia="宋体" w:cs="宋体"/>
                <w:snapToGrid w:val="0"/>
                <w:color w:val="auto"/>
                <w:szCs w:val="21"/>
              </w:rPr>
            </w:pPr>
          </w:p>
        </w:tc>
        <w:tc>
          <w:tcPr>
            <w:tcW w:w="3456" w:type="dxa"/>
            <w:vAlign w:val="center"/>
          </w:tcPr>
          <w:p>
            <w:pPr>
              <w:snapToGrid w:val="0"/>
              <w:spacing w:line="360" w:lineRule="auto"/>
              <w:ind w:left="357"/>
              <w:jc w:val="center"/>
              <w:rPr>
                <w:rFonts w:ascii="宋体" w:hAnsi="宋体" w:eastAsia="宋体" w:cs="宋体"/>
                <w:snapToGrid w:val="0"/>
                <w:color w:val="auto"/>
                <w:szCs w:val="21"/>
              </w:rPr>
            </w:pPr>
          </w:p>
        </w:tc>
      </w:tr>
    </w:tbl>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4、近三年该货物主要销售给国内、外主要客户的名称地址：</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34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56"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客户名称</w:t>
            </w:r>
          </w:p>
        </w:tc>
        <w:tc>
          <w:tcPr>
            <w:tcW w:w="3458"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销售货物</w:t>
            </w:r>
          </w:p>
        </w:tc>
        <w:tc>
          <w:tcPr>
            <w:tcW w:w="3456" w:type="dxa"/>
            <w:vAlign w:val="center"/>
          </w:tcPr>
          <w:p>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rPr>
            </w:pPr>
          </w:p>
        </w:tc>
        <w:tc>
          <w:tcPr>
            <w:tcW w:w="3458" w:type="dxa"/>
            <w:vAlign w:val="center"/>
          </w:tcPr>
          <w:p>
            <w:pPr>
              <w:snapToGrid w:val="0"/>
              <w:spacing w:line="360" w:lineRule="auto"/>
              <w:ind w:left="357"/>
              <w:jc w:val="center"/>
              <w:rPr>
                <w:rFonts w:ascii="宋体" w:hAnsi="宋体" w:eastAsia="宋体" w:cs="宋体"/>
                <w:snapToGrid w:val="0"/>
                <w:color w:val="auto"/>
                <w:szCs w:val="21"/>
              </w:rPr>
            </w:pPr>
          </w:p>
        </w:tc>
        <w:tc>
          <w:tcPr>
            <w:tcW w:w="3456" w:type="dxa"/>
            <w:vAlign w:val="center"/>
          </w:tcPr>
          <w:p>
            <w:pPr>
              <w:snapToGrid w:val="0"/>
              <w:spacing w:line="360" w:lineRule="auto"/>
              <w:ind w:left="357"/>
              <w:jc w:val="center"/>
              <w:rPr>
                <w:rFonts w:ascii="宋体" w:hAnsi="宋体" w:eastAsia="宋体" w:cs="宋体"/>
                <w:snapToGrid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456" w:type="dxa"/>
            <w:vAlign w:val="center"/>
          </w:tcPr>
          <w:p>
            <w:pPr>
              <w:snapToGrid w:val="0"/>
              <w:spacing w:line="360" w:lineRule="auto"/>
              <w:jc w:val="center"/>
              <w:rPr>
                <w:rFonts w:ascii="宋体" w:hAnsi="宋体" w:eastAsia="宋体" w:cs="宋体"/>
                <w:snapToGrid w:val="0"/>
                <w:color w:val="auto"/>
                <w:szCs w:val="21"/>
              </w:rPr>
            </w:pPr>
            <w:r>
              <w:rPr>
                <w:rFonts w:hint="eastAsia" w:ascii="宋体" w:hAnsi="宋体" w:eastAsia="宋体" w:cs="宋体"/>
                <w:color w:val="auto"/>
                <w:szCs w:val="21"/>
              </w:rPr>
              <w:t>……</w:t>
            </w:r>
          </w:p>
        </w:tc>
        <w:tc>
          <w:tcPr>
            <w:tcW w:w="3458" w:type="dxa"/>
            <w:vAlign w:val="center"/>
          </w:tcPr>
          <w:p>
            <w:pPr>
              <w:snapToGrid w:val="0"/>
              <w:spacing w:line="360" w:lineRule="auto"/>
              <w:ind w:left="357"/>
              <w:jc w:val="center"/>
              <w:rPr>
                <w:rFonts w:ascii="宋体" w:hAnsi="宋体" w:eastAsia="宋体" w:cs="宋体"/>
                <w:snapToGrid w:val="0"/>
                <w:color w:val="auto"/>
                <w:szCs w:val="21"/>
              </w:rPr>
            </w:pPr>
          </w:p>
        </w:tc>
        <w:tc>
          <w:tcPr>
            <w:tcW w:w="3456" w:type="dxa"/>
            <w:vAlign w:val="center"/>
          </w:tcPr>
          <w:p>
            <w:pPr>
              <w:snapToGrid w:val="0"/>
              <w:spacing w:line="360" w:lineRule="auto"/>
              <w:ind w:left="357"/>
              <w:jc w:val="center"/>
              <w:rPr>
                <w:rFonts w:ascii="宋体" w:hAnsi="宋体" w:eastAsia="宋体" w:cs="宋体"/>
                <w:snapToGrid w:val="0"/>
                <w:color w:val="auto"/>
                <w:szCs w:val="21"/>
              </w:rPr>
            </w:pPr>
          </w:p>
        </w:tc>
      </w:tr>
    </w:tbl>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5、其他情况：(公司简介、技术力量、产品制造商生产投标货物的经验等)</w:t>
      </w:r>
    </w:p>
    <w:p>
      <w:pPr>
        <w:snapToGrid w:val="0"/>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u w:val="single"/>
        </w:rPr>
        <w:t xml:space="preserve">                                                                      </w:t>
      </w:r>
    </w:p>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pPr>
        <w:snapToGrid w:val="0"/>
        <w:spacing w:line="360" w:lineRule="auto"/>
        <w:rPr>
          <w:rFonts w:ascii="宋体" w:hAnsi="宋体" w:eastAsia="宋体" w:cs="宋体"/>
          <w:color w:val="auto"/>
          <w:szCs w:val="21"/>
        </w:rPr>
      </w:pPr>
    </w:p>
    <w:p>
      <w:pPr>
        <w:snapToGrid w:val="0"/>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兹证明上述声明是真实的、正确的，并提供了全部能提供的资料和数据，我们同意遵照贵方要求出示有关证明文件。</w:t>
      </w:r>
    </w:p>
    <w:p>
      <w:pPr>
        <w:snapToGrid w:val="0"/>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境外品牌境外生产的产品生产制造商</w:t>
      </w:r>
      <w:r>
        <w:rPr>
          <w:rFonts w:hint="eastAsia" w:ascii="宋体" w:hAnsi="宋体" w:eastAsia="宋体" w:cs="宋体"/>
          <w:bCs/>
          <w:color w:val="auto"/>
          <w:szCs w:val="21"/>
        </w:rPr>
        <w:t>在境内的办事机构</w:t>
      </w:r>
      <w:r>
        <w:rPr>
          <w:rFonts w:hint="eastAsia" w:ascii="宋体" w:hAnsi="宋体" w:eastAsia="宋体" w:cs="宋体"/>
          <w:color w:val="auto"/>
          <w:szCs w:val="21"/>
        </w:rPr>
        <w:t>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（在境内工商注册的办事机构必须同时加盖公章）</w:t>
      </w:r>
    </w:p>
    <w:p>
      <w:pPr>
        <w:snapToGrid w:val="0"/>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（签名或盖私章）</w:t>
      </w:r>
    </w:p>
    <w:p>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签署人职务：</w:t>
      </w:r>
      <w:r>
        <w:rPr>
          <w:rFonts w:hint="eastAsia" w:ascii="宋体" w:hAnsi="宋体" w:eastAsia="宋体" w:cs="宋体"/>
          <w:color w:val="auto"/>
          <w:szCs w:val="21"/>
          <w:u w:val="single"/>
        </w:rPr>
        <w:t xml:space="preserve">                                     </w:t>
      </w:r>
    </w:p>
    <w:p>
      <w:pPr>
        <w:snapToGrid w:val="0"/>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p>
    <w:p>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网址：</w:t>
      </w:r>
      <w:r>
        <w:rPr>
          <w:rFonts w:hint="eastAsia" w:ascii="宋体" w:hAnsi="宋体" w:eastAsia="宋体" w:cs="宋体"/>
          <w:color w:val="auto"/>
          <w:szCs w:val="21"/>
          <w:u w:val="single"/>
        </w:rPr>
        <w:t xml:space="preserve">                                          </w:t>
      </w:r>
    </w:p>
    <w:p>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p>
    <w:p>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联系地址：</w:t>
      </w:r>
      <w:r>
        <w:rPr>
          <w:rFonts w:hint="eastAsia" w:ascii="宋体" w:hAnsi="宋体" w:eastAsia="宋体" w:cs="宋体"/>
          <w:color w:val="auto"/>
          <w:szCs w:val="21"/>
          <w:u w:val="single"/>
        </w:rPr>
        <w:t xml:space="preserve">                                      </w:t>
      </w:r>
    </w:p>
    <w:p>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pPr>
        <w:snapToGrid w:val="0"/>
        <w:spacing w:line="360" w:lineRule="auto"/>
        <w:rPr>
          <w:rFonts w:ascii="宋体" w:hAnsi="宋体" w:eastAsia="宋体" w:cs="宋体"/>
          <w:b/>
          <w:color w:val="auto"/>
          <w:szCs w:val="21"/>
        </w:rPr>
      </w:pPr>
    </w:p>
    <w:p>
      <w:pPr>
        <w:snapToGrid w:val="0"/>
        <w:spacing w:line="360" w:lineRule="auto"/>
        <w:rPr>
          <w:rFonts w:ascii="宋体" w:hAnsi="宋体" w:eastAsia="宋体" w:cs="宋体"/>
          <w:b/>
          <w:color w:val="auto"/>
          <w:szCs w:val="21"/>
        </w:rPr>
      </w:pPr>
      <w:r>
        <w:rPr>
          <w:rFonts w:hint="eastAsia" w:ascii="宋体" w:hAnsi="宋体" w:eastAsia="宋体" w:cs="宋体"/>
          <w:b/>
          <w:color w:val="auto"/>
          <w:szCs w:val="21"/>
        </w:rPr>
        <w:t>备注：</w:t>
      </w:r>
      <w:r>
        <w:rPr>
          <w:rFonts w:hint="eastAsia" w:ascii="宋体" w:hAnsi="宋体" w:eastAsia="宋体" w:cs="宋体"/>
          <w:color w:val="auto"/>
          <w:szCs w:val="21"/>
        </w:rPr>
        <w:t xml:space="preserve"> </w:t>
      </w:r>
      <w:r>
        <w:rPr>
          <w:rFonts w:hint="eastAsia" w:ascii="宋体" w:hAnsi="宋体" w:eastAsia="宋体" w:cs="宋体"/>
          <w:b/>
          <w:color w:val="auto"/>
          <w:szCs w:val="21"/>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pPr>
        <w:rPr>
          <w:rFonts w:ascii="宋体" w:hAnsi="宋体" w:eastAsia="宋体" w:cs="宋体"/>
          <w:b/>
          <w:bCs/>
          <w:color w:val="auto"/>
          <w:szCs w:val="21"/>
          <w:lang w:val="zh-CN"/>
        </w:rPr>
      </w:pPr>
      <w:bookmarkStart w:id="481" w:name="_Toc23334"/>
      <w:r>
        <w:rPr>
          <w:rFonts w:hint="eastAsia" w:ascii="宋体" w:hAnsi="宋体" w:eastAsia="宋体" w:cs="宋体"/>
          <w:b/>
          <w:bCs/>
          <w:color w:val="auto"/>
          <w:szCs w:val="21"/>
          <w:lang w:val="zh-CN"/>
        </w:rPr>
        <w:br w:type="page"/>
      </w:r>
    </w:p>
    <w:p>
      <w:pPr>
        <w:snapToGrid w:val="0"/>
        <w:spacing w:line="360" w:lineRule="auto"/>
        <w:rPr>
          <w:rFonts w:ascii="宋体" w:hAnsi="宋体" w:eastAsia="宋体" w:cs="宋体"/>
          <w:b/>
          <w:color w:val="auto"/>
          <w:szCs w:val="21"/>
        </w:rPr>
      </w:pPr>
      <w:r>
        <w:rPr>
          <w:rFonts w:hint="eastAsia" w:ascii="宋体" w:hAnsi="宋体" w:eastAsia="宋体" w:cs="宋体"/>
          <w:b/>
          <w:bCs/>
          <w:color w:val="auto"/>
          <w:szCs w:val="21"/>
          <w:lang w:val="zh-CN"/>
        </w:rPr>
        <w:t>（3）</w:t>
      </w:r>
      <w:r>
        <w:rPr>
          <w:rFonts w:hint="eastAsia" w:ascii="宋体" w:hAnsi="宋体" w:eastAsia="宋体" w:cs="宋体"/>
          <w:b/>
          <w:color w:val="auto"/>
          <w:szCs w:val="21"/>
        </w:rPr>
        <w:t>制造商售后服务承诺函及独家授权书</w:t>
      </w:r>
      <w:bookmarkEnd w:id="481"/>
    </w:p>
    <w:p>
      <w:pPr>
        <w:snapToGrid w:val="0"/>
        <w:spacing w:line="360" w:lineRule="auto"/>
        <w:ind w:firstLine="3584" w:firstLineChars="1700"/>
        <w:rPr>
          <w:rFonts w:ascii="宋体" w:hAnsi="宋体" w:eastAsia="宋体" w:cs="宋体"/>
          <w:b/>
          <w:color w:val="auto"/>
          <w:szCs w:val="21"/>
        </w:rPr>
      </w:pPr>
      <w:bookmarkStart w:id="482" w:name="_Toc15027"/>
      <w:r>
        <w:rPr>
          <w:rFonts w:hint="eastAsia" w:ascii="宋体" w:hAnsi="宋体" w:eastAsia="宋体" w:cs="宋体"/>
          <w:b/>
          <w:color w:val="auto"/>
          <w:szCs w:val="21"/>
        </w:rPr>
        <w:t>①制造商售后服务承诺函</w:t>
      </w:r>
      <w:bookmarkEnd w:id="482"/>
    </w:p>
    <w:p>
      <w:pPr>
        <w:snapToGrid w:val="0"/>
        <w:spacing w:line="360" w:lineRule="auto"/>
        <w:ind w:firstLine="1054" w:firstLineChars="500"/>
        <w:rPr>
          <w:rFonts w:ascii="宋体" w:hAnsi="宋体" w:eastAsia="宋体" w:cs="宋体"/>
          <w:b/>
          <w:color w:val="auto"/>
          <w:szCs w:val="21"/>
          <w:u w:val="single"/>
        </w:rPr>
      </w:pPr>
      <w:r>
        <w:rPr>
          <w:rFonts w:hint="eastAsia" w:ascii="宋体" w:hAnsi="宋体" w:eastAsia="宋体" w:cs="宋体"/>
          <w:b/>
          <w:color w:val="auto"/>
          <w:szCs w:val="21"/>
        </w:rPr>
        <w:t>（投标人根据实际情况选用，本格式适用于：投标人为制造商时提供。）</w:t>
      </w:r>
    </w:p>
    <w:p>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致：</w:t>
      </w:r>
      <w:r>
        <w:rPr>
          <w:rFonts w:hint="eastAsia" w:ascii="宋体" w:hAnsi="宋体" w:eastAsia="宋体" w:cs="宋体"/>
          <w:color w:val="auto"/>
          <w:szCs w:val="21"/>
          <w:lang w:eastAsia="zh-CN"/>
        </w:rPr>
        <w:t>东莞市石鼓净水有限公司</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我方就</w:t>
      </w:r>
      <w:r>
        <w:rPr>
          <w:rFonts w:hint="eastAsia" w:ascii="宋体" w:hAnsi="宋体" w:eastAsia="宋体" w:cs="宋体"/>
          <w:b/>
          <w:bCs/>
          <w:color w:val="auto"/>
          <w:szCs w:val="21"/>
          <w:lang w:eastAsia="zh-CN"/>
        </w:rPr>
        <w:t>东莞市石鼓净水有限公司</w:t>
      </w:r>
      <w:r>
        <w:rPr>
          <w:rFonts w:hint="eastAsia" w:ascii="宋体" w:hAnsi="宋体" w:eastAsia="宋体" w:cs="宋体"/>
          <w:b/>
          <w:bCs/>
          <w:color w:val="auto"/>
          <w:szCs w:val="21"/>
        </w:rPr>
        <w:t>2024年紫外消毒设备零配件采购项目</w:t>
      </w:r>
      <w:r>
        <w:rPr>
          <w:rFonts w:hint="eastAsia" w:ascii="宋体" w:hAnsi="宋体" w:eastAsia="宋体" w:cs="宋体"/>
          <w:b/>
          <w:bCs/>
          <w:color w:val="auto"/>
          <w:szCs w:val="21"/>
          <w:lang w:eastAsia="zh-CN"/>
        </w:rPr>
        <w:t>（第三次招标）</w:t>
      </w:r>
      <w:r>
        <w:rPr>
          <w:rFonts w:hint="eastAsia" w:ascii="宋体" w:hAnsi="宋体" w:eastAsia="宋体" w:cs="宋体"/>
          <w:color w:val="auto"/>
          <w:szCs w:val="21"/>
        </w:rPr>
        <w:t>售后服务事宜承诺如下：</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1、我方向贵方提供技术支持，包括但不限于直接委派专业技术人员参与配件使用指导、到达现场进行指导安装，相关费用无需贵方负责。</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2、我方对我方提供货物的质量和售后服务承担全部责任。本次提供的货物按以下方式提供售后服务：</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Cs w:val="21"/>
        </w:rPr>
        <w:t>在</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个月</w:t>
      </w:r>
      <w:r>
        <w:rPr>
          <w:rFonts w:hint="eastAsia" w:ascii="宋体" w:hAnsi="宋体" w:eastAsia="宋体" w:cs="宋体"/>
          <w:color w:val="auto"/>
          <w:szCs w:val="21"/>
        </w:rPr>
        <w:t>内提供免费的质保期保修服务，质保期自本项目所有货物最终验收合格之日起算。</w:t>
      </w:r>
      <w:r>
        <w:rPr>
          <w:rFonts w:hint="eastAsia" w:ascii="宋体" w:hAnsi="宋体" w:eastAsia="宋体" w:cs="宋体"/>
          <w:b/>
          <w:color w:val="auto"/>
          <w:szCs w:val="21"/>
        </w:rPr>
        <w:t>若上述质保期填写数值为非整数，我方同意按小数点后的数字向上取整的方式调整承诺的质保期数值。</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pPr>
        <w:snapToGrid w:val="0"/>
        <w:spacing w:line="360" w:lineRule="auto"/>
        <w:ind w:firstLine="420" w:firstLineChars="200"/>
        <w:rPr>
          <w:rFonts w:ascii="宋体" w:hAnsi="宋体" w:eastAsia="宋体" w:cs="宋体"/>
          <w:color w:val="auto"/>
          <w:szCs w:val="21"/>
        </w:rPr>
      </w:pPr>
      <w:bookmarkStart w:id="483" w:name="_Toc22779"/>
      <w:r>
        <w:rPr>
          <w:rFonts w:hint="eastAsia" w:ascii="宋体" w:hAnsi="宋体" w:eastAsia="宋体" w:cs="宋体"/>
          <w:color w:val="auto"/>
          <w:szCs w:val="21"/>
        </w:rPr>
        <w:t>3、我方此次参与贵方投标的产品如下：</w:t>
      </w:r>
      <w:bookmarkEnd w:id="48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49"/>
        <w:gridCol w:w="1329"/>
        <w:gridCol w:w="1611"/>
        <w:gridCol w:w="1419"/>
        <w:gridCol w:w="161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产品名称</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品牌</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产地</w:t>
            </w: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1</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2</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rPr>
              <w:t>……</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宋体" w:cs="宋体"/>
                <w:color w:val="auto"/>
                <w:szCs w:val="21"/>
              </w:rPr>
            </w:pPr>
          </w:p>
        </w:tc>
      </w:tr>
    </w:tbl>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我方保证：我方提供的产品既非试验产品也非积压产品，而是于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年投产的成熟产品，且生产（完工）日期不早于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月；在可以预见的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（天）内，我方没有对该型号产品进行升级、停产、淘汰的计划。    </w:t>
      </w:r>
    </w:p>
    <w:p>
      <w:pPr>
        <w:snapToGrid w:val="0"/>
        <w:spacing w:line="360" w:lineRule="auto"/>
        <w:ind w:firstLine="420" w:firstLineChars="200"/>
        <w:rPr>
          <w:rFonts w:ascii="宋体" w:hAnsi="宋体" w:eastAsia="宋体" w:cs="宋体"/>
          <w:color w:val="auto"/>
          <w:szCs w:val="21"/>
        </w:rPr>
      </w:pPr>
      <w:bookmarkStart w:id="484" w:name="_Toc30601"/>
      <w:r>
        <w:rPr>
          <w:rFonts w:hint="eastAsia" w:ascii="宋体" w:hAnsi="宋体" w:eastAsia="宋体" w:cs="宋体"/>
          <w:color w:val="auto"/>
          <w:szCs w:val="21"/>
        </w:rPr>
        <w:t>4、我方同意按照贵方要求提供与投标产品有关的一切数据或资料。</w:t>
      </w:r>
      <w:bookmarkEnd w:id="484"/>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（签名或盖私章）</w:t>
      </w:r>
    </w:p>
    <w:p>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签署人职务：</w:t>
      </w:r>
      <w:r>
        <w:rPr>
          <w:rFonts w:hint="eastAsia" w:ascii="宋体" w:hAnsi="宋体" w:eastAsia="宋体" w:cs="宋体"/>
          <w:color w:val="auto"/>
          <w:szCs w:val="21"/>
          <w:u w:val="single"/>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网址：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签发日期：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360" w:lineRule="auto"/>
        <w:rPr>
          <w:rFonts w:ascii="宋体" w:hAnsi="宋体" w:eastAsia="宋体" w:cs="宋体"/>
          <w:b/>
          <w:color w:val="auto"/>
          <w:szCs w:val="21"/>
        </w:rPr>
      </w:pPr>
    </w:p>
    <w:p>
      <w:pPr>
        <w:snapToGrid w:val="0"/>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备注: 投标文件正本内必须提供原件，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pPr>
        <w:widowControl/>
        <w:jc w:val="left"/>
        <w:rPr>
          <w:rFonts w:ascii="宋体" w:hAnsi="宋体" w:eastAsia="宋体" w:cs="宋体"/>
          <w:b/>
          <w:color w:val="auto"/>
          <w:szCs w:val="21"/>
        </w:rPr>
      </w:pPr>
      <w:bookmarkStart w:id="485" w:name="_Toc24350"/>
      <w:r>
        <w:rPr>
          <w:rFonts w:hint="eastAsia" w:ascii="宋体" w:hAnsi="宋体" w:eastAsia="宋体" w:cs="宋体"/>
          <w:b/>
          <w:color w:val="auto"/>
          <w:szCs w:val="21"/>
        </w:rPr>
        <w:br w:type="page"/>
      </w:r>
    </w:p>
    <w:p>
      <w:pPr>
        <w:pageBreakBefore/>
        <w:snapToGrid w:val="0"/>
        <w:spacing w:line="360" w:lineRule="auto"/>
        <w:jc w:val="center"/>
        <w:rPr>
          <w:rFonts w:ascii="宋体" w:hAnsi="宋体" w:eastAsia="宋体" w:cs="宋体"/>
          <w:b/>
          <w:bCs/>
          <w:color w:val="auto"/>
          <w:szCs w:val="21"/>
          <w:lang w:val="zh-CN"/>
        </w:rPr>
      </w:pPr>
      <w:r>
        <w:rPr>
          <w:rFonts w:hint="eastAsia" w:ascii="宋体" w:hAnsi="宋体" w:eastAsia="宋体" w:cs="宋体"/>
          <w:b/>
          <w:color w:val="auto"/>
          <w:szCs w:val="21"/>
        </w:rPr>
        <w:t>②</w:t>
      </w:r>
      <w:r>
        <w:rPr>
          <w:rFonts w:hint="eastAsia" w:ascii="宋体" w:hAnsi="宋体" w:eastAsia="宋体" w:cs="宋体"/>
          <w:b/>
          <w:bCs/>
          <w:color w:val="auto"/>
          <w:szCs w:val="21"/>
          <w:lang w:val="zh-CN"/>
        </w:rPr>
        <w:t>制造商独家授权书</w:t>
      </w:r>
      <w:bookmarkEnd w:id="485"/>
    </w:p>
    <w:p>
      <w:pPr>
        <w:snapToGrid w:val="0"/>
        <w:spacing w:line="360" w:lineRule="auto"/>
        <w:ind w:firstLine="422" w:firstLineChars="200"/>
        <w:rPr>
          <w:rFonts w:ascii="宋体" w:hAnsi="宋体" w:eastAsia="宋体" w:cs="宋体"/>
          <w:color w:val="auto"/>
          <w:szCs w:val="21"/>
        </w:rPr>
      </w:pPr>
      <w:r>
        <w:rPr>
          <w:rFonts w:hint="eastAsia" w:ascii="宋体" w:hAnsi="宋体" w:eastAsia="宋体" w:cs="宋体"/>
          <w:b/>
          <w:color w:val="auto"/>
          <w:szCs w:val="21"/>
        </w:rPr>
        <w:t>（投标人根据实际情况选用，本格式适用于：</w:t>
      </w:r>
      <w:r>
        <w:rPr>
          <w:rFonts w:hint="eastAsia" w:ascii="宋体" w:hAnsi="宋体" w:eastAsia="宋体" w:cs="宋体"/>
          <w:b/>
          <w:color w:val="auto"/>
          <w:szCs w:val="21"/>
          <w:u w:val="single"/>
        </w:rPr>
        <w:t>投标人是经销商时提供</w:t>
      </w:r>
      <w:r>
        <w:rPr>
          <w:rFonts w:hint="eastAsia" w:ascii="宋体" w:hAnsi="宋体" w:eastAsia="宋体" w:cs="宋体"/>
          <w:b/>
          <w:color w:val="auto"/>
          <w:szCs w:val="21"/>
        </w:rPr>
        <w:t>。）</w:t>
      </w:r>
    </w:p>
    <w:p>
      <w:pPr>
        <w:snapToGrid w:val="0"/>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致：</w:t>
      </w:r>
      <w:r>
        <w:rPr>
          <w:rFonts w:hint="eastAsia" w:ascii="宋体" w:hAnsi="宋体" w:eastAsia="宋体" w:cs="宋体"/>
          <w:color w:val="auto"/>
          <w:szCs w:val="21"/>
          <w:lang w:eastAsia="zh-CN"/>
        </w:rPr>
        <w:t>东莞市石鼓净水有限公司</w:t>
      </w:r>
    </w:p>
    <w:p>
      <w:pPr>
        <w:snapToGrid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（产品制造商名称）是按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（国家名称）法律成立的一家公司，主要营业地址设在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。兹证明参加贵方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项目（招标编号：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）的按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（国家名称）法律成立的、主要营业地址在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（下称“投标人”）作为我方真正的、</w:t>
      </w:r>
      <w:r>
        <w:rPr>
          <w:rFonts w:hint="eastAsia" w:ascii="宋体" w:hAnsi="宋体" w:eastAsia="宋体" w:cs="宋体"/>
          <w:b/>
          <w:color w:val="auto"/>
          <w:szCs w:val="21"/>
        </w:rPr>
        <w:t>唯一合法</w:t>
      </w:r>
      <w:r>
        <w:rPr>
          <w:rFonts w:hint="eastAsia" w:ascii="宋体" w:hAnsi="宋体" w:eastAsia="宋体" w:cs="宋体"/>
          <w:color w:val="auto"/>
          <w:szCs w:val="21"/>
        </w:rPr>
        <w:t>的授权参与本项目投标、合同签订、售后服务等相关事项的经销商：</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1、我方确认，投标人就</w:t>
      </w:r>
      <w:r>
        <w:rPr>
          <w:rFonts w:hint="eastAsia" w:ascii="宋体" w:hAnsi="宋体" w:eastAsia="宋体" w:cs="宋体"/>
          <w:b/>
          <w:bCs/>
          <w:color w:val="auto"/>
          <w:szCs w:val="21"/>
          <w:lang w:eastAsia="zh-CN"/>
        </w:rPr>
        <w:t>东莞市石鼓净水有限公司</w:t>
      </w:r>
      <w:r>
        <w:rPr>
          <w:rFonts w:hint="eastAsia" w:ascii="宋体" w:hAnsi="宋体" w:eastAsia="宋体" w:cs="宋体"/>
          <w:b/>
          <w:bCs/>
          <w:color w:val="auto"/>
          <w:szCs w:val="21"/>
        </w:rPr>
        <w:t>2024年紫外消毒设备零配件采购项目</w:t>
      </w:r>
      <w:r>
        <w:rPr>
          <w:rFonts w:hint="eastAsia" w:ascii="宋体" w:hAnsi="宋体" w:eastAsia="宋体" w:cs="宋体"/>
          <w:b/>
          <w:bCs/>
          <w:color w:val="auto"/>
          <w:szCs w:val="21"/>
          <w:lang w:eastAsia="zh-CN"/>
        </w:rPr>
        <w:t>（第三次招标）</w:t>
      </w:r>
      <w:r>
        <w:rPr>
          <w:rFonts w:hint="eastAsia" w:ascii="宋体" w:hAnsi="宋体" w:eastAsia="宋体" w:cs="宋体"/>
          <w:color w:val="auto"/>
          <w:szCs w:val="21"/>
        </w:rPr>
        <w:t>提供货物时附带的出厂质量标准、售后服务承诺等合法有效，并对我方具有约束力。</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2、我方向贵方提供技术支持，包括但不限于直接委派专业技术人员参与配件使用指导、到达现场进行指导安装，相关费用无需贵方负责。</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3、作为产品制造商，我方对我方提供货物的质量和售后服务承担全部责任。本次提供的货物按以下方式提供售后服务：</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szCs w:val="21"/>
        </w:rPr>
        <w:t>在</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个月</w:t>
      </w:r>
      <w:r>
        <w:rPr>
          <w:rFonts w:hint="eastAsia" w:ascii="宋体" w:hAnsi="宋体" w:eastAsia="宋体" w:cs="宋体"/>
          <w:color w:val="auto"/>
          <w:szCs w:val="21"/>
        </w:rPr>
        <w:t>内提供免费的质保期保修服务，质保期自本项目所有货物最终验收合格之日起算。</w:t>
      </w:r>
      <w:r>
        <w:rPr>
          <w:rFonts w:hint="eastAsia" w:ascii="宋体" w:hAnsi="宋体" w:eastAsia="宋体" w:cs="宋体"/>
          <w:b/>
          <w:color w:val="auto"/>
          <w:szCs w:val="21"/>
        </w:rPr>
        <w:t>若上述质保期填写数值为非整数，我方同意按小数点后的数字向上取整的方式调整承诺的质保期数值。</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pPr>
        <w:snapToGrid w:val="0"/>
        <w:spacing w:line="360" w:lineRule="auto"/>
        <w:ind w:firstLine="420" w:firstLineChars="200"/>
        <w:rPr>
          <w:rFonts w:ascii="宋体" w:hAnsi="宋体" w:eastAsia="宋体" w:cs="宋体"/>
          <w:color w:val="auto"/>
          <w:szCs w:val="21"/>
        </w:rPr>
      </w:pPr>
      <w:bookmarkStart w:id="486" w:name="_Toc4174"/>
      <w:r>
        <w:rPr>
          <w:rFonts w:hint="eastAsia" w:ascii="宋体" w:hAnsi="宋体" w:eastAsia="宋体" w:cs="宋体"/>
          <w:color w:val="auto"/>
          <w:szCs w:val="21"/>
        </w:rPr>
        <w:t>4、我方此次参与贵方投标的产品如下：</w:t>
      </w:r>
      <w:bookmarkEnd w:id="486"/>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49"/>
        <w:gridCol w:w="1329"/>
        <w:gridCol w:w="1611"/>
        <w:gridCol w:w="1419"/>
        <w:gridCol w:w="161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产品名称</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品牌</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产地</w:t>
            </w: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单位</w:t>
            </w: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21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p>
        </w:tc>
      </w:tr>
    </w:tbl>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我方保证：我方提供的产品既非试验产品也非积压产品，而是于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年投产的成熟产品，且生产（完工）日期不早于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月；在可以预见的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（天）内，我方没有对该型号产品进行升级、停产、淘汰的计划。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5、我方同意按照贵方要求提供与投标产品有关的一切数据或资料。</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6、本授权函不得进行二次授权或转授权，否则无效。</w:t>
      </w:r>
    </w:p>
    <w:p>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出具授权书的产品制造商（或境外品牌境外生产的产品生产制造商</w:t>
      </w:r>
      <w:r>
        <w:rPr>
          <w:rFonts w:hint="eastAsia" w:ascii="宋体" w:hAnsi="宋体" w:eastAsia="宋体" w:cs="宋体"/>
          <w:bCs/>
          <w:color w:val="auto"/>
          <w:szCs w:val="21"/>
        </w:rPr>
        <w:t>境内的办事机构）</w:t>
      </w:r>
      <w:r>
        <w:rPr>
          <w:rFonts w:hint="eastAsia" w:ascii="宋体" w:hAnsi="宋体" w:eastAsia="宋体" w:cs="宋体"/>
          <w:color w:val="auto"/>
          <w:szCs w:val="21"/>
        </w:rPr>
        <w:t>名称：</w:t>
      </w:r>
      <w:r>
        <w:rPr>
          <w:rFonts w:hint="eastAsia" w:ascii="宋体" w:hAnsi="宋体" w:eastAsia="宋体" w:cs="宋体"/>
          <w:color w:val="auto"/>
          <w:szCs w:val="21"/>
          <w:u w:val="single"/>
        </w:rPr>
        <w:t xml:space="preserve">  </w:t>
      </w:r>
    </w:p>
    <w:p>
      <w:pPr>
        <w:snapToGrid w:val="0"/>
        <w:spacing w:line="360" w:lineRule="auto"/>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(其中，境内工商注册的产品制造商必须同时加盖法人公章，若境外品牌境外生产的产品生产制造商</w:t>
      </w:r>
      <w:r>
        <w:rPr>
          <w:rFonts w:hint="eastAsia" w:ascii="宋体" w:hAnsi="宋体" w:eastAsia="宋体" w:cs="宋体"/>
          <w:bCs/>
          <w:color w:val="auto"/>
          <w:szCs w:val="21"/>
        </w:rPr>
        <w:t>境内的办事机构</w:t>
      </w:r>
      <w:r>
        <w:rPr>
          <w:rFonts w:hint="eastAsia" w:ascii="宋体" w:hAnsi="宋体" w:eastAsia="宋体" w:cs="宋体"/>
          <w:color w:val="auto"/>
          <w:szCs w:val="21"/>
        </w:rPr>
        <w:t>在境内工商注册的，必须同时加盖公章)</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（签名或盖私章）</w:t>
      </w:r>
    </w:p>
    <w:p>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签署人职务：</w:t>
      </w:r>
      <w:r>
        <w:rPr>
          <w:rFonts w:hint="eastAsia" w:ascii="宋体" w:hAnsi="宋体" w:eastAsia="宋体" w:cs="宋体"/>
          <w:color w:val="auto"/>
          <w:szCs w:val="21"/>
          <w:u w:val="single"/>
        </w:rPr>
        <w:t xml:space="preserve">                    </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传真：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网址：</w:t>
      </w:r>
      <w:r>
        <w:rPr>
          <w:rFonts w:hint="eastAsia" w:ascii="宋体" w:hAnsi="宋体" w:eastAsia="宋体" w:cs="宋体"/>
          <w:color w:val="auto"/>
          <w:szCs w:val="21"/>
          <w:u w:val="single"/>
        </w:rPr>
        <w:t xml:space="preserve">                                                </w:t>
      </w:r>
    </w:p>
    <w:p>
      <w:pPr>
        <w:snapToGri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签发日期：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napToGrid w:val="0"/>
        <w:spacing w:line="360" w:lineRule="auto"/>
        <w:ind w:firstLine="420" w:firstLineChars="200"/>
        <w:rPr>
          <w:rFonts w:hint="eastAsia" w:ascii="宋体" w:hAnsi="宋体" w:eastAsia="宋体" w:cs="宋体"/>
          <w:color w:val="auto"/>
          <w:szCs w:val="21"/>
        </w:rPr>
      </w:pPr>
    </w:p>
    <w:p>
      <w:pPr>
        <w:snapToGrid w:val="0"/>
        <w:spacing w:line="360" w:lineRule="auto"/>
        <w:ind w:firstLine="422" w:firstLineChars="200"/>
        <w:rPr>
          <w:rFonts w:hint="eastAsia"/>
          <w:color w:val="auto"/>
          <w:lang w:val="en-US" w:eastAsia="zh-CN"/>
        </w:rPr>
      </w:pPr>
      <w:r>
        <w:rPr>
          <w:rFonts w:hint="eastAsia" w:ascii="宋体" w:hAnsi="宋体" w:eastAsia="宋体" w:cs="宋体"/>
          <w:b/>
          <w:bCs/>
          <w:color w:val="auto"/>
          <w:szCs w:val="21"/>
        </w:rPr>
        <w:t>备注：投标文件正本内必须提供原件，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r>
        <w:rPr>
          <w:rFonts w:hint="eastAsia" w:ascii="宋体" w:hAnsi="宋体" w:eastAsia="宋体" w:cs="宋体"/>
          <w:b/>
          <w:bCs/>
          <w:color w:val="auto"/>
          <w:szCs w:val="21"/>
          <w:lang w:eastAsia="zh-CN"/>
        </w:rPr>
        <w:t>。</w:t>
      </w:r>
    </w:p>
    <w:p>
      <w:pPr>
        <w:pStyle w:val="6"/>
        <w:pageBreakBefore/>
        <w:spacing w:line="360" w:lineRule="auto"/>
        <w:rPr>
          <w:rFonts w:hint="eastAsia" w:hAnsi="宋体" w:eastAsia="宋体"/>
          <w:b/>
          <w:color w:val="auto"/>
          <w:sz w:val="30"/>
          <w:szCs w:val="30"/>
          <w:highlight w:val="none"/>
          <w:lang w:val="zh-CN" w:eastAsia="zh-CN"/>
        </w:rPr>
      </w:pPr>
      <w:bookmarkStart w:id="487" w:name="_Toc2951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【投标人提供一份</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日以来投标品牌紫外灯管产品供货（销售）</w:t>
      </w:r>
      <w:r>
        <w:rPr>
          <w:rFonts w:hint="eastAsia" w:ascii="宋体" w:hAnsi="宋体" w:eastAsia="宋体" w:cs="宋体"/>
          <w:b/>
          <w:bCs/>
          <w:color w:val="auto"/>
          <w:sz w:val="32"/>
          <w:szCs w:val="32"/>
          <w:highlight w:val="none"/>
        </w:rPr>
        <w:t>业绩</w:t>
      </w:r>
      <w:r>
        <w:rPr>
          <w:rFonts w:hint="eastAsia" w:ascii="宋体" w:hAnsi="宋体" w:eastAsia="宋体"/>
          <w:b/>
          <w:bCs/>
          <w:color w:val="auto"/>
          <w:sz w:val="32"/>
          <w:szCs w:val="32"/>
          <w:highlight w:val="none"/>
        </w:rPr>
        <w:t>（合同签订日期为</w:t>
      </w:r>
      <w:r>
        <w:rPr>
          <w:rFonts w:hint="eastAsia" w:hAnsi="宋体"/>
          <w:b/>
          <w:bCs/>
          <w:color w:val="auto"/>
          <w:sz w:val="32"/>
          <w:szCs w:val="32"/>
          <w:highlight w:val="none"/>
          <w:lang w:val="en-US" w:eastAsia="zh-CN"/>
        </w:rPr>
        <w:t>2021</w:t>
      </w:r>
      <w:r>
        <w:rPr>
          <w:rFonts w:hint="eastAsia" w:ascii="宋体" w:hAnsi="宋体" w:eastAsia="宋体"/>
          <w:b/>
          <w:bCs/>
          <w:color w:val="auto"/>
          <w:sz w:val="32"/>
          <w:szCs w:val="32"/>
          <w:highlight w:val="none"/>
        </w:rPr>
        <w:t>年</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月</w:t>
      </w:r>
      <w:r>
        <w:rPr>
          <w:rFonts w:hint="eastAsia" w:hAnsi="宋体"/>
          <w:b/>
          <w:bCs/>
          <w:color w:val="auto"/>
          <w:sz w:val="32"/>
          <w:szCs w:val="32"/>
          <w:highlight w:val="none"/>
          <w:lang w:val="en-US" w:eastAsia="zh-CN"/>
        </w:rPr>
        <w:t>1</w:t>
      </w:r>
      <w:r>
        <w:rPr>
          <w:rFonts w:hint="eastAsia" w:ascii="宋体" w:hAnsi="宋体" w:eastAsia="宋体"/>
          <w:b/>
          <w:bCs/>
          <w:color w:val="auto"/>
          <w:sz w:val="32"/>
          <w:szCs w:val="32"/>
          <w:highlight w:val="none"/>
        </w:rPr>
        <w:t>日或以后）</w:t>
      </w:r>
      <w:bookmarkEnd w:id="471"/>
      <w:bookmarkEnd w:id="472"/>
      <w:bookmarkEnd w:id="487"/>
      <w:r>
        <w:rPr>
          <w:rFonts w:hint="eastAsia" w:hAnsi="宋体"/>
          <w:b/>
          <w:bCs/>
          <w:color w:val="auto"/>
          <w:sz w:val="32"/>
          <w:szCs w:val="32"/>
          <w:highlight w:val="none"/>
          <w:lang w:eastAsia="zh-CN"/>
        </w:rPr>
        <w:t>】</w:t>
      </w:r>
    </w:p>
    <w:p>
      <w:pPr>
        <w:spacing w:line="360" w:lineRule="auto"/>
        <w:rPr>
          <w:rFonts w:hAnsi="宋体"/>
          <w:color w:val="auto"/>
          <w:szCs w:val="21"/>
          <w:highlight w:val="none"/>
          <w:lang w:val="zh-CN"/>
        </w:rPr>
      </w:pPr>
    </w:p>
    <w:tbl>
      <w:tblPr>
        <w:tblStyle w:val="36"/>
        <w:tblW w:w="10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857"/>
        <w:gridCol w:w="1434"/>
        <w:gridCol w:w="1145"/>
        <w:gridCol w:w="1241"/>
        <w:gridCol w:w="1321"/>
        <w:gridCol w:w="898"/>
        <w:gridCol w:w="1603"/>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序号</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项目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名称</w:t>
            </w: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合同标的货物名称</w:t>
            </w: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宋体"/>
                <w:color w:val="auto"/>
                <w:kern w:val="0"/>
                <w:sz w:val="18"/>
                <w:szCs w:val="18"/>
                <w:highlight w:val="none"/>
              </w:rPr>
              <w:t>合同标的货物品牌</w:t>
            </w: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合同期限</w:t>
            </w: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签约</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日期</w:t>
            </w: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hint="eastAsia" w:ascii="宋体" w:hAnsi="宋体" w:eastAsia="宋体" w:cs="Times New Roman"/>
                <w:color w:val="auto"/>
                <w:kern w:val="0"/>
                <w:sz w:val="18"/>
                <w:szCs w:val="18"/>
                <w:highlight w:val="none"/>
                <w:lang w:val="zh-CN"/>
              </w:rPr>
              <w:t>完成</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情况</w:t>
            </w: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买方单位联系人及电话</w:t>
            </w: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1</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2</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3</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r>
              <w:rPr>
                <w:rFonts w:ascii="宋体" w:hAnsi="宋体" w:eastAsia="宋体" w:cs="Courier New"/>
                <w:color w:val="auto"/>
                <w:kern w:val="0"/>
                <w:sz w:val="18"/>
                <w:szCs w:val="18"/>
                <w:highlight w:val="none"/>
              </w:rPr>
              <w:t>…</w:t>
            </w:r>
          </w:p>
        </w:tc>
        <w:tc>
          <w:tcPr>
            <w:tcW w:w="85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14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24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32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898"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60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c>
          <w:tcPr>
            <w:tcW w:w="104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ascii="宋体" w:hAnsi="宋体" w:eastAsia="宋体" w:cs="Times New Roman"/>
                <w:color w:val="auto"/>
                <w:kern w:val="0"/>
                <w:sz w:val="18"/>
                <w:szCs w:val="18"/>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bookmarkStart w:id="488" w:name="_Toc3404"/>
      <w:bookmarkStart w:id="489" w:name="_Toc14967"/>
      <w:bookmarkStart w:id="490" w:name="_Toc6253"/>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）业绩须附合同复印件（合同卖方必须为投标人）；</w:t>
      </w:r>
    </w:p>
    <w:p>
      <w:pPr>
        <w:tabs>
          <w:tab w:val="left" w:pos="567"/>
        </w:tabs>
        <w:autoSpaceDE w:val="0"/>
        <w:autoSpaceDN w:val="0"/>
        <w:adjustRightInd w:val="0"/>
        <w:spacing w:line="360" w:lineRule="auto"/>
        <w:jc w:val="left"/>
        <w:outlineLvl w:val="2"/>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）若合同无法反映</w:t>
      </w:r>
      <w:r>
        <w:rPr>
          <w:rFonts w:hint="eastAsia" w:ascii="宋体" w:hAnsi="宋体" w:eastAsia="宋体" w:cs="宋体"/>
          <w:b/>
          <w:color w:val="auto"/>
          <w:szCs w:val="21"/>
          <w:highlight w:val="none"/>
          <w:lang w:val="en-US" w:eastAsia="zh-CN"/>
        </w:rPr>
        <w:t>资格业绩</w:t>
      </w:r>
      <w:r>
        <w:rPr>
          <w:rFonts w:hint="eastAsia" w:ascii="宋体" w:hAnsi="宋体" w:eastAsia="宋体" w:cs="宋体"/>
          <w:b/>
          <w:color w:val="auto"/>
          <w:szCs w:val="21"/>
          <w:highlight w:val="none"/>
          <w:lang w:val="zh-CN"/>
        </w:rPr>
        <w:t>条件（合同签订日期为2021年1月1日或以后，合同标的必须包含投标品牌紫外灯管）的，还需提供产品购买方出具的书面补充说明文件复印件作为辅助证明（补充说明文件复印件能显示购买方公章）；</w:t>
      </w:r>
      <w:bookmarkEnd w:id="488"/>
      <w:bookmarkStart w:id="491" w:name="_Toc9928"/>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（3）</w:t>
      </w:r>
      <w:bookmarkEnd w:id="489"/>
      <w:bookmarkEnd w:id="490"/>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491"/>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92" w:name="_Toc6096"/>
      <w:bookmarkStart w:id="493" w:name="_Toc31879"/>
      <w:bookmarkStart w:id="494" w:name="_Toc897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473"/>
      <w:bookmarkEnd w:id="474"/>
      <w:bookmarkEnd w:id="475"/>
      <w:bookmarkEnd w:id="476"/>
      <w:bookmarkEnd w:id="477"/>
      <w:bookmarkEnd w:id="492"/>
      <w:bookmarkEnd w:id="493"/>
      <w:bookmarkEnd w:id="494"/>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495" w:name="_Toc1977731"/>
      <w:bookmarkStart w:id="496" w:name="_Toc94107215"/>
      <w:bookmarkStart w:id="497" w:name="_Toc140596934"/>
      <w:bookmarkStart w:id="498" w:name="_Toc13237"/>
      <w:bookmarkStart w:id="499" w:name="_Toc142508374"/>
      <w:bookmarkStart w:id="500" w:name="_Toc2031_WPSOffice_Level2"/>
      <w:bookmarkStart w:id="501" w:name="_Toc486167714"/>
      <w:bookmarkStart w:id="502" w:name="_Toc533708126"/>
      <w:bookmarkStart w:id="503" w:name="_Toc104991881"/>
      <w:bookmarkStart w:id="504" w:name="_Toc102860423"/>
      <w:bookmarkStart w:id="505" w:name="_Toc102860079"/>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06" w:name="_Toc11148"/>
      <w:bookmarkStart w:id="507" w:name="_Toc31241"/>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495"/>
      <w:bookmarkEnd w:id="496"/>
      <w:bookmarkEnd w:id="497"/>
      <w:bookmarkEnd w:id="498"/>
      <w:bookmarkEnd w:id="499"/>
      <w:bookmarkEnd w:id="500"/>
      <w:bookmarkEnd w:id="501"/>
      <w:bookmarkEnd w:id="502"/>
      <w:bookmarkEnd w:id="503"/>
      <w:bookmarkEnd w:id="504"/>
      <w:bookmarkEnd w:id="505"/>
      <w:bookmarkEnd w:id="506"/>
      <w:bookmarkEnd w:id="50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08" w:name="_Toc2773_WPSOffice_Level3"/>
      <w:r>
        <w:rPr>
          <w:rFonts w:hint="eastAsia" w:ascii="宋体" w:hAnsi="宋体" w:eastAsia="宋体" w:cs="宋体"/>
          <w:b/>
          <w:bCs/>
          <w:color w:val="auto"/>
          <w:sz w:val="30"/>
          <w:szCs w:val="30"/>
          <w:highlight w:val="none"/>
          <w:lang w:val="zh-CN"/>
        </w:rPr>
        <w:t>投标人基本情况一览表</w:t>
      </w:r>
      <w:bookmarkEnd w:id="508"/>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w:t>
      </w:r>
      <w:r>
        <w:rPr>
          <w:rFonts w:hint="eastAsia" w:ascii="宋体" w:hAnsi="宋体" w:eastAsia="宋体" w:cs="宋体"/>
          <w:color w:val="auto"/>
          <w:szCs w:val="24"/>
          <w:highlight w:val="none"/>
          <w:lang w:val="en-US" w:eastAsia="zh-CN"/>
        </w:rPr>
        <w:t>_</w:t>
      </w:r>
      <w:r>
        <w:rPr>
          <w:rFonts w:hint="eastAsia" w:ascii="宋体" w:hAnsi="宋体" w:eastAsia="宋体" w:cs="宋体"/>
          <w:color w:val="auto"/>
          <w:szCs w:val="24"/>
          <w:highlight w:val="none"/>
          <w:lang w:val="zh-CN"/>
        </w:rPr>
        <w:t>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rPr>
        <w:t>_____________________________________________</w:t>
      </w:r>
      <w:r>
        <w:rPr>
          <w:rFonts w:hint="eastAsia" w:ascii="宋体" w:hAnsi="宋体" w:eastAsia="宋体" w:cs="宋体"/>
          <w:color w:val="auto"/>
          <w:szCs w:val="24"/>
          <w:highlight w:val="none"/>
          <w:lang w:val="en-US" w:eastAsia="zh-CN"/>
        </w:rPr>
        <w:t>_____</w:t>
      </w:r>
    </w:p>
    <w:p>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09" w:name="_Toc4495"/>
      <w:bookmarkStart w:id="510" w:name="_Toc102860080"/>
      <w:bookmarkStart w:id="511" w:name="_Toc3711"/>
      <w:bookmarkStart w:id="512" w:name="_Toc142508375"/>
      <w:bookmarkStart w:id="513" w:name="_Toc16860"/>
      <w:bookmarkStart w:id="514" w:name="_Toc140596935"/>
      <w:bookmarkStart w:id="515" w:name="_Toc94107216"/>
      <w:bookmarkStart w:id="516" w:name="_Toc104991882"/>
      <w:bookmarkStart w:id="517" w:name="_Toc102860424"/>
      <w:bookmarkStart w:id="518" w:name="_Toc533708128"/>
      <w:bookmarkStart w:id="519" w:name="_Toc9051_WPSOffice_Level2"/>
      <w:bookmarkStart w:id="520" w:name="_Toc1977733"/>
      <w:bookmarkStart w:id="521"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09"/>
      <w:bookmarkEnd w:id="510"/>
      <w:bookmarkEnd w:id="511"/>
      <w:bookmarkEnd w:id="512"/>
      <w:bookmarkEnd w:id="513"/>
      <w:bookmarkEnd w:id="514"/>
      <w:bookmarkEnd w:id="515"/>
      <w:bookmarkEnd w:id="516"/>
      <w:bookmarkEnd w:id="517"/>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8" w:type="default"/>
          <w:pgSz w:w="12240" w:h="15840"/>
          <w:pgMar w:top="1191" w:right="1043" w:bottom="1191" w:left="1043" w:header="720" w:footer="720" w:gutter="0"/>
          <w:cols w:space="0" w:num="1"/>
          <w:titlePg/>
          <w:rtlGutter w:val="0"/>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518"/>
    <w:bookmarkEnd w:id="519"/>
    <w:bookmarkEnd w:id="520"/>
    <w:bookmarkEnd w:id="521"/>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22" w:name="_Toc102860081"/>
      <w:bookmarkStart w:id="523" w:name="_Toc13211"/>
      <w:bookmarkStart w:id="524" w:name="_Toc739_WPSOffice_Level2"/>
      <w:bookmarkStart w:id="525" w:name="_Toc142508376"/>
      <w:bookmarkStart w:id="526" w:name="_Toc20034"/>
      <w:bookmarkStart w:id="527" w:name="_Toc1977736"/>
      <w:bookmarkStart w:id="528" w:name="_Toc140596936"/>
      <w:bookmarkStart w:id="529" w:name="_Toc15551"/>
      <w:bookmarkStart w:id="530" w:name="_Toc533708130"/>
      <w:bookmarkStart w:id="531" w:name="_Toc104991883"/>
      <w:bookmarkStart w:id="532" w:name="_Toc486167716"/>
      <w:bookmarkStart w:id="533" w:name="_Toc102860425"/>
      <w:bookmarkStart w:id="534" w:name="_Toc94107217"/>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22"/>
      <w:bookmarkEnd w:id="523"/>
      <w:bookmarkEnd w:id="524"/>
      <w:bookmarkEnd w:id="525"/>
      <w:bookmarkEnd w:id="526"/>
      <w:bookmarkEnd w:id="527"/>
      <w:bookmarkEnd w:id="528"/>
      <w:bookmarkEnd w:id="529"/>
      <w:bookmarkEnd w:id="530"/>
      <w:bookmarkEnd w:id="531"/>
      <w:bookmarkEnd w:id="532"/>
      <w:bookmarkEnd w:id="533"/>
      <w:bookmarkEnd w:id="534"/>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535" w:name="_Toc26412_WPSOffice_Level3"/>
      <w:r>
        <w:rPr>
          <w:rFonts w:hint="eastAsia" w:ascii="宋体" w:hAnsi="宋体" w:eastAsia="宋体" w:cs="宋体"/>
          <w:b/>
          <w:bCs/>
          <w:color w:val="auto"/>
          <w:kern w:val="0"/>
          <w:sz w:val="28"/>
          <w:szCs w:val="30"/>
          <w:highlight w:val="none"/>
          <w:lang w:val="zh-CN"/>
        </w:rPr>
        <w:t>东莞市石鼓净水有限公司2024年紫外消毒设备零配件采购项目（第三次招标）</w:t>
      </w:r>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535"/>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第一条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合同项目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第二条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综合单价、暂定合同价</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第三条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付款方式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第四条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合同组成</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第五条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技术要求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第六条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质量要求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第七条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包装、运输</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第八条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保险</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第九条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货物的交付</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验收</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第十一条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权利保证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第十二条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质量保证及售后服务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第十三条</w:t>
            </w:r>
          </w:p>
        </w:tc>
        <w:tc>
          <w:tcPr>
            <w:tcW w:w="3055" w:type="dxa"/>
            <w:vAlign w:val="center"/>
          </w:tcPr>
          <w:p>
            <w:pPr>
              <w:pStyle w:val="61"/>
              <w:snapToGrid w:val="0"/>
              <w:spacing w:line="240" w:lineRule="auto"/>
              <w:ind w:firstLine="0" w:firstLineChars="0"/>
              <w:rPr>
                <w:rFonts w:ascii="宋体" w:hAnsi="宋体" w:eastAsia="宋体" w:cs="Times New Roman"/>
                <w:color w:val="auto"/>
                <w:kern w:val="0"/>
                <w:szCs w:val="21"/>
                <w:highlight w:val="none"/>
              </w:rPr>
            </w:pPr>
            <w:r>
              <w:rPr>
                <w:rFonts w:hint="eastAsia" w:ascii="宋体" w:eastAsia="宋体"/>
                <w:color w:val="auto"/>
                <w:sz w:val="21"/>
                <w:szCs w:val="21"/>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第十四条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技术资料</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第十五条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第十六条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索赔</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第十七条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第十八条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争议解决</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第十九条</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其他</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附件一</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附件二</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安全生产管理协议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一</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二</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pPr>
              <w:pStyle w:val="61"/>
              <w:snapToGrid w:val="0"/>
              <w:spacing w:line="240" w:lineRule="auto"/>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rPr>
              <w:t>三</w:t>
            </w:r>
          </w:p>
        </w:tc>
        <w:tc>
          <w:tcPr>
            <w:tcW w:w="3055" w:type="dxa"/>
            <w:vAlign w:val="center"/>
          </w:tcPr>
          <w:p>
            <w:pPr>
              <w:pStyle w:val="61"/>
              <w:snapToGrid w:val="0"/>
              <w:spacing w:line="240" w:lineRule="auto"/>
              <w:ind w:firstLine="0" w:firstLineChars="0"/>
              <w:rPr>
                <w:rFonts w:ascii="宋体" w:hAnsi="宋体" w:eastAsia="宋体" w:cs="宋体"/>
                <w:color w:val="auto"/>
                <w:kern w:val="0"/>
                <w:szCs w:val="21"/>
                <w:highlight w:val="none"/>
              </w:rPr>
            </w:pPr>
            <w:r>
              <w:rPr>
                <w:rFonts w:hint="eastAsia" w:ascii="宋体" w:eastAsia="宋体"/>
                <w:color w:val="auto"/>
                <w:sz w:val="21"/>
                <w:szCs w:val="21"/>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left="357" w:leftChars="-100" w:hanging="567" w:hangingChars="270"/>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36" w:name="_Toc142508377"/>
      <w:bookmarkStart w:id="537" w:name="_Toc13348"/>
      <w:bookmarkStart w:id="538" w:name="_Toc2075"/>
      <w:bookmarkStart w:id="539" w:name="_Toc102860082"/>
      <w:bookmarkStart w:id="540" w:name="_Toc94107218"/>
      <w:bookmarkStart w:id="541" w:name="_Toc1192"/>
      <w:bookmarkStart w:id="542" w:name="_Toc140596937"/>
      <w:bookmarkStart w:id="543" w:name="_Toc104991884"/>
      <w:bookmarkStart w:id="544" w:name="_Toc102860426"/>
      <w:bookmarkStart w:id="545" w:name="_Toc486167717"/>
      <w:bookmarkStart w:id="546"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36"/>
      <w:bookmarkEnd w:id="537"/>
      <w:bookmarkEnd w:id="538"/>
      <w:bookmarkEnd w:id="539"/>
      <w:bookmarkEnd w:id="540"/>
      <w:bookmarkEnd w:id="541"/>
      <w:bookmarkEnd w:id="542"/>
      <w:bookmarkEnd w:id="543"/>
      <w:bookmarkEnd w:id="544"/>
    </w:p>
    <w:p>
      <w:pPr>
        <w:autoSpaceDE w:val="0"/>
        <w:autoSpaceDN w:val="0"/>
        <w:adjustRightInd w:val="0"/>
        <w:spacing w:line="360" w:lineRule="auto"/>
        <w:ind w:firstLine="602"/>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20</w:t>
      </w:r>
      <w:r>
        <w:rPr>
          <w:rFonts w:hint="eastAsia" w:ascii="宋体" w:hAnsi="宋体" w:eastAsia="宋体" w:cs="Times New Roman"/>
          <w:b/>
          <w:bCs/>
          <w:color w:val="auto"/>
          <w:sz w:val="30"/>
          <w:szCs w:val="30"/>
          <w:highlight w:val="none"/>
          <w:lang w:val="en-US" w:eastAsia="zh-CN"/>
        </w:rPr>
        <w:t>21</w:t>
      </w:r>
      <w:r>
        <w:rPr>
          <w:rFonts w:hint="eastAsia" w:ascii="宋体" w:hAnsi="宋体" w:eastAsia="宋体" w:cs="Times New Roman"/>
          <w:b/>
          <w:bCs/>
          <w:color w:val="auto"/>
          <w:sz w:val="30"/>
          <w:szCs w:val="30"/>
          <w:highlight w:val="none"/>
          <w:lang w:val="zh-CN"/>
        </w:rPr>
        <w:t>年1月1日以来投标品牌紫外灯管产品在国内具有的供货业绩表</w:t>
      </w:r>
    </w:p>
    <w:tbl>
      <w:tblPr>
        <w:tblStyle w:val="36"/>
        <w:tblW w:w="10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合同标的货物数量</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8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合同期限</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）业绩须附合同复印件，否则不得分</w:t>
      </w:r>
      <w:r>
        <w:rPr>
          <w:rFonts w:hint="eastAsia" w:ascii="宋体" w:hAnsi="宋体" w:eastAsia="宋体" w:cs="Times New Roman"/>
          <w:b/>
          <w:bCs/>
          <w:color w:val="auto"/>
          <w:szCs w:val="24"/>
          <w:highlight w:val="none"/>
          <w:lang w:val="zh-CN"/>
        </w:rPr>
        <w:t>（合同卖方可为投标品牌紫外灯管的制造商，也可为投标品牌紫外灯管的代理商/经销商）</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若合同无法反映评分条件（合同签订日期为2021年1月1日或以后，合同标的必须包含投标品牌紫外灯管，合同金额和产品数量满足评分要求）的，还需提供产品购买方出具的书面补充说明文件复印件作为辅助证明（补充说明文件复印件能显示购买方公章），否则不得分；</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（4）若业绩为框架式协议或资格入围无明确金额的合同，必须同时提供合同期限内已供货产品发票金额统计表和供货发票复印件，否则，视为无效业绩；</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（5）同一批产品不重复计分，投标人将同一批产品的不同销售环节合同同时放入业绩统计表的，视为虚假投标，按无效投标文件处理；</w:t>
      </w:r>
    </w:p>
    <w:p>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547" w:name="_Toc22742"/>
      <w:r>
        <w:rPr>
          <w:rFonts w:hint="eastAsia" w:ascii="宋体" w:hAnsi="宋体" w:eastAsia="宋体" w:cs="宋体"/>
          <w:b/>
          <w:color w:val="auto"/>
          <w:kern w:val="0"/>
          <w:sz w:val="32"/>
          <w:szCs w:val="32"/>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附表：已供货产品发票金额统计表</w:t>
      </w:r>
      <w:bookmarkEnd w:id="547"/>
    </w:p>
    <w:tbl>
      <w:tblPr>
        <w:tblStyle w:val="3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rPr>
            </w:pPr>
            <w:r>
              <w:rPr>
                <w:rFonts w:ascii="宋体" w:hAnsi="宋体"/>
                <w:color w:val="auto"/>
                <w:sz w:val="21"/>
                <w:szCs w:val="21"/>
              </w:rPr>
              <w:t>项目名称</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合同约定的供货期</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发票抬头（</w:t>
            </w:r>
            <w:r>
              <w:rPr>
                <w:rFonts w:hint="eastAsia" w:ascii="宋体" w:hAnsi="宋体"/>
                <w:color w:val="auto"/>
                <w:sz w:val="21"/>
              </w:rPr>
              <w:t>合同买方）</w:t>
            </w:r>
          </w:p>
        </w:tc>
        <w:tc>
          <w:tcPr>
            <w:tcW w:w="5503" w:type="dxa"/>
            <w:gridSpan w:val="5"/>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序号</w:t>
            </w:r>
          </w:p>
        </w:tc>
        <w:tc>
          <w:tcPr>
            <w:tcW w:w="3202"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发票名目</w:t>
            </w:r>
          </w:p>
        </w:tc>
        <w:tc>
          <w:tcPr>
            <w:tcW w:w="1416"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发票金额（单位：万元）</w:t>
            </w:r>
          </w:p>
        </w:tc>
        <w:tc>
          <w:tcPr>
            <w:tcW w:w="1274"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发票号码</w:t>
            </w:r>
          </w:p>
        </w:tc>
        <w:tc>
          <w:tcPr>
            <w:tcW w:w="1558"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发票所属时期</w:t>
            </w:r>
          </w:p>
        </w:tc>
        <w:tc>
          <w:tcPr>
            <w:tcW w:w="1241"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rPr>
            </w:pPr>
            <w:r>
              <w:rPr>
                <w:rFonts w:ascii="宋体" w:hAnsi="宋体"/>
                <w:color w:val="auto"/>
                <w:sz w:val="21"/>
                <w:szCs w:val="21"/>
              </w:rPr>
              <w:t>1</w:t>
            </w:r>
          </w:p>
        </w:tc>
        <w:tc>
          <w:tcPr>
            <w:tcW w:w="3202" w:type="dxa"/>
            <w:noWrap w:val="0"/>
            <w:vAlign w:val="center"/>
          </w:tcPr>
          <w:p>
            <w:pPr>
              <w:pStyle w:val="20"/>
              <w:snapToGrid w:val="0"/>
              <w:spacing w:line="360" w:lineRule="auto"/>
              <w:ind w:left="0" w:leftChars="0"/>
              <w:jc w:val="center"/>
              <w:rPr>
                <w:rFonts w:ascii="宋体" w:hAnsi="宋体"/>
                <w:color w:val="auto"/>
                <w:sz w:val="21"/>
                <w:szCs w:val="21"/>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rPr>
            </w:pPr>
            <w:r>
              <w:rPr>
                <w:rFonts w:ascii="宋体" w:hAnsi="宋体"/>
                <w:color w:val="auto"/>
                <w:sz w:val="21"/>
                <w:szCs w:val="21"/>
              </w:rPr>
              <w:t>2</w:t>
            </w:r>
          </w:p>
        </w:tc>
        <w:tc>
          <w:tcPr>
            <w:tcW w:w="3202" w:type="dxa"/>
            <w:noWrap w:val="0"/>
            <w:vAlign w:val="center"/>
          </w:tcPr>
          <w:p>
            <w:pPr>
              <w:pStyle w:val="20"/>
              <w:snapToGrid w:val="0"/>
              <w:spacing w:line="360" w:lineRule="auto"/>
              <w:ind w:left="0" w:leftChars="0"/>
              <w:jc w:val="center"/>
              <w:rPr>
                <w:rFonts w:ascii="宋体" w:hAnsi="宋体"/>
                <w:color w:val="auto"/>
                <w:sz w:val="21"/>
                <w:szCs w:val="21"/>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3</w:t>
            </w:r>
          </w:p>
        </w:tc>
        <w:tc>
          <w:tcPr>
            <w:tcW w:w="3202" w:type="dxa"/>
            <w:noWrap w:val="0"/>
            <w:vAlign w:val="center"/>
          </w:tcPr>
          <w:p>
            <w:pPr>
              <w:pStyle w:val="20"/>
              <w:snapToGrid w:val="0"/>
              <w:spacing w:line="360" w:lineRule="auto"/>
              <w:ind w:left="0" w:leftChars="0"/>
              <w:jc w:val="center"/>
              <w:rPr>
                <w:rFonts w:ascii="宋体" w:hAnsi="宋体"/>
                <w:color w:val="auto"/>
                <w:sz w:val="21"/>
                <w:szCs w:val="21"/>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w:t>
            </w:r>
          </w:p>
        </w:tc>
        <w:tc>
          <w:tcPr>
            <w:tcW w:w="3202" w:type="dxa"/>
            <w:noWrap w:val="0"/>
            <w:vAlign w:val="center"/>
          </w:tcPr>
          <w:p>
            <w:pPr>
              <w:pStyle w:val="20"/>
              <w:snapToGrid w:val="0"/>
              <w:spacing w:line="360" w:lineRule="auto"/>
              <w:ind w:left="0" w:leftChars="0"/>
              <w:jc w:val="center"/>
              <w:rPr>
                <w:rFonts w:ascii="宋体" w:hAnsi="宋体"/>
                <w:color w:val="auto"/>
                <w:sz w:val="21"/>
                <w:szCs w:val="21"/>
              </w:rPr>
            </w:pPr>
          </w:p>
        </w:tc>
        <w:tc>
          <w:tcPr>
            <w:tcW w:w="1416" w:type="dxa"/>
            <w:noWrap w:val="0"/>
            <w:vAlign w:val="center"/>
          </w:tcPr>
          <w:p>
            <w:pPr>
              <w:pStyle w:val="20"/>
              <w:snapToGrid w:val="0"/>
              <w:spacing w:line="360" w:lineRule="auto"/>
              <w:ind w:left="0" w:leftChars="0"/>
              <w:jc w:val="center"/>
              <w:rPr>
                <w:rFonts w:ascii="宋体" w:hAnsi="宋体"/>
                <w:color w:val="auto"/>
                <w:sz w:val="21"/>
                <w:szCs w:val="21"/>
              </w:rPr>
            </w:pPr>
          </w:p>
        </w:tc>
        <w:tc>
          <w:tcPr>
            <w:tcW w:w="1274" w:type="dxa"/>
            <w:noWrap w:val="0"/>
            <w:vAlign w:val="center"/>
          </w:tcPr>
          <w:p>
            <w:pPr>
              <w:pStyle w:val="20"/>
              <w:snapToGrid w:val="0"/>
              <w:spacing w:line="360" w:lineRule="auto"/>
              <w:ind w:left="0" w:leftChars="0"/>
              <w:jc w:val="center"/>
              <w:rPr>
                <w:rFonts w:ascii="宋体" w:hAnsi="宋体"/>
                <w:color w:val="auto"/>
                <w:sz w:val="21"/>
                <w:szCs w:val="21"/>
              </w:rPr>
            </w:pPr>
          </w:p>
        </w:tc>
        <w:tc>
          <w:tcPr>
            <w:tcW w:w="1558" w:type="dxa"/>
            <w:noWrap w:val="0"/>
            <w:vAlign w:val="center"/>
          </w:tcPr>
          <w:p>
            <w:pPr>
              <w:pStyle w:val="20"/>
              <w:snapToGrid w:val="0"/>
              <w:spacing w:line="360" w:lineRule="auto"/>
              <w:ind w:left="0" w:leftChars="0"/>
              <w:jc w:val="center"/>
              <w:rPr>
                <w:rFonts w:ascii="宋体" w:hAnsi="宋体"/>
                <w:color w:val="auto"/>
                <w:sz w:val="21"/>
                <w:szCs w:val="21"/>
              </w:rPr>
            </w:pPr>
          </w:p>
        </w:tc>
        <w:tc>
          <w:tcPr>
            <w:tcW w:w="1241" w:type="dxa"/>
            <w:noWrap w:val="0"/>
            <w:vAlign w:val="center"/>
          </w:tcPr>
          <w:p>
            <w:pPr>
              <w:pStyle w:val="20"/>
              <w:snapToGrid w:val="0"/>
              <w:spacing w:line="360" w:lineRule="auto"/>
              <w:ind w:left="0" w:leftChars="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pPr>
              <w:pStyle w:val="20"/>
              <w:snapToGrid w:val="0"/>
              <w:spacing w:line="360" w:lineRule="auto"/>
              <w:ind w:left="0" w:leftChars="0"/>
              <w:jc w:val="center"/>
              <w:rPr>
                <w:rFonts w:ascii="宋体" w:hAnsi="宋体"/>
                <w:color w:val="auto"/>
                <w:sz w:val="21"/>
                <w:szCs w:val="21"/>
              </w:rPr>
            </w:pPr>
            <w:r>
              <w:rPr>
                <w:rFonts w:hint="eastAsia" w:ascii="宋体" w:hAnsi="宋体"/>
                <w:color w:val="auto"/>
                <w:sz w:val="21"/>
                <w:szCs w:val="21"/>
              </w:rPr>
              <w:t>发票金额合计（单位：万元）</w:t>
            </w:r>
          </w:p>
        </w:tc>
        <w:tc>
          <w:tcPr>
            <w:tcW w:w="5489" w:type="dxa"/>
            <w:gridSpan w:val="4"/>
            <w:noWrap w:val="0"/>
            <w:vAlign w:val="center"/>
          </w:tcPr>
          <w:p>
            <w:pPr>
              <w:pStyle w:val="20"/>
              <w:snapToGrid w:val="0"/>
              <w:spacing w:line="360" w:lineRule="auto"/>
              <w:ind w:left="0" w:leftChars="0"/>
              <w:jc w:val="center"/>
              <w:rPr>
                <w:rFonts w:ascii="宋体" w:hAnsi="宋体"/>
                <w:color w:val="auto"/>
                <w:sz w:val="21"/>
                <w:szCs w:val="21"/>
              </w:rPr>
            </w:pPr>
          </w:p>
        </w:tc>
      </w:tr>
    </w:tbl>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21"/>
          <w:szCs w:val="21"/>
          <w:highlight w:val="none"/>
          <w:lang w:val="en-US" w:eastAsia="zh-CN"/>
        </w:rPr>
      </w:pPr>
    </w:p>
    <w:p>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548" w:name="_Toc6076"/>
      <w:r>
        <w:rPr>
          <w:rFonts w:hint="eastAsia" w:ascii="宋体" w:hAnsi="宋体" w:eastAsia="宋体" w:cs="宋体"/>
          <w:b w:val="0"/>
          <w:bCs/>
          <w:color w:val="auto"/>
          <w:kern w:val="0"/>
          <w:sz w:val="21"/>
          <w:szCs w:val="21"/>
          <w:highlight w:val="none"/>
          <w:lang w:val="en-US" w:eastAsia="zh-CN"/>
        </w:rPr>
        <w:t>备注：</w:t>
      </w:r>
      <w:bookmarkEnd w:id="548"/>
    </w:p>
    <w:p>
      <w:pPr>
        <w:tabs>
          <w:tab w:val="left" w:pos="567"/>
        </w:tabs>
        <w:autoSpaceDE w:val="0"/>
        <w:autoSpaceDN w:val="0"/>
        <w:adjustRightInd w:val="0"/>
        <w:spacing w:line="360" w:lineRule="auto"/>
        <w:jc w:val="left"/>
        <w:outlineLvl w:val="2"/>
        <w:rPr>
          <w:rFonts w:hint="eastAsia" w:ascii="宋体" w:hAnsi="宋体" w:eastAsia="宋体" w:cs="宋体"/>
          <w:b w:val="0"/>
          <w:bCs/>
          <w:color w:val="auto"/>
          <w:kern w:val="0"/>
          <w:sz w:val="21"/>
          <w:szCs w:val="21"/>
          <w:highlight w:val="none"/>
          <w:lang w:val="en-US" w:eastAsia="zh-CN"/>
        </w:rPr>
      </w:pPr>
      <w:bookmarkStart w:id="549" w:name="_Toc13421"/>
      <w:r>
        <w:rPr>
          <w:rFonts w:hint="eastAsia" w:ascii="宋体" w:hAnsi="宋体" w:eastAsia="宋体" w:cs="宋体"/>
          <w:b w:val="0"/>
          <w:bCs/>
          <w:color w:val="auto"/>
          <w:kern w:val="0"/>
          <w:sz w:val="21"/>
          <w:szCs w:val="21"/>
          <w:highlight w:val="none"/>
          <w:lang w:val="en-US" w:eastAsia="zh-CN"/>
        </w:rPr>
        <w:t>（1）本统计表及供货发票复印件应后附于合同复印件；</w:t>
      </w:r>
      <w:bookmarkEnd w:id="549"/>
    </w:p>
    <w:p>
      <w:pPr>
        <w:tabs>
          <w:tab w:val="left" w:pos="567"/>
        </w:tabs>
        <w:autoSpaceDE w:val="0"/>
        <w:autoSpaceDN w:val="0"/>
        <w:adjustRightInd w:val="0"/>
        <w:spacing w:line="360" w:lineRule="auto"/>
        <w:ind w:left="420" w:hanging="420" w:hangingChars="200"/>
        <w:jc w:val="left"/>
        <w:outlineLvl w:val="2"/>
        <w:rPr>
          <w:rFonts w:hint="eastAsia" w:ascii="宋体" w:hAnsi="宋体" w:eastAsia="宋体" w:cs="宋体"/>
          <w:b w:val="0"/>
          <w:bCs/>
          <w:color w:val="auto"/>
          <w:kern w:val="0"/>
          <w:sz w:val="21"/>
          <w:szCs w:val="21"/>
          <w:highlight w:val="none"/>
          <w:lang w:val="en-US" w:eastAsia="zh-CN"/>
        </w:rPr>
      </w:pPr>
      <w:bookmarkStart w:id="550" w:name="_Toc28449"/>
      <w:r>
        <w:rPr>
          <w:rFonts w:hint="eastAsia" w:ascii="宋体" w:hAnsi="宋体" w:eastAsia="宋体" w:cs="宋体"/>
          <w:b w:val="0"/>
          <w:bCs/>
          <w:color w:val="auto"/>
          <w:kern w:val="0"/>
          <w:sz w:val="21"/>
          <w:szCs w:val="21"/>
          <w:highlight w:val="none"/>
          <w:lang w:val="en-US" w:eastAsia="zh-CN"/>
        </w:rPr>
        <w:t>（2）发票抬头应为合同买方，收款人应为合同卖方，且发票名目、所属时期应与合同约定内容一致，否则不计分。</w:t>
      </w:r>
      <w:bookmarkEnd w:id="550"/>
    </w:p>
    <w:bookmarkEnd w:id="545"/>
    <w:bookmarkEnd w:id="546"/>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51" w:name="_Toc18175_WPSOffice_Level2"/>
      <w:bookmarkStart w:id="552" w:name="_Toc13822"/>
      <w:bookmarkStart w:id="553" w:name="_Toc30172"/>
      <w:bookmarkStart w:id="554" w:name="_Toc1977737"/>
      <w:bookmarkStart w:id="555" w:name="_Toc11745"/>
      <w:bookmarkStart w:id="556" w:name="_Toc486167719"/>
      <w:bookmarkStart w:id="557" w:name="_Toc102860427"/>
      <w:bookmarkStart w:id="558" w:name="_Toc140596938"/>
      <w:bookmarkStart w:id="559" w:name="_Toc102860083"/>
      <w:bookmarkStart w:id="560" w:name="_Toc104991885"/>
      <w:bookmarkStart w:id="561" w:name="_Toc142508378"/>
      <w:bookmarkStart w:id="562" w:name="_Toc533708132"/>
      <w:bookmarkStart w:id="563" w:name="_Toc94107220"/>
      <w:r>
        <w:rPr>
          <w:rFonts w:hint="eastAsia" w:ascii="宋体" w:hAnsi="宋体" w:eastAsia="宋体" w:cs="宋体"/>
          <w:b/>
          <w:bCs/>
          <w:color w:val="auto"/>
          <w:kern w:val="0"/>
          <w:sz w:val="32"/>
          <w:szCs w:val="32"/>
          <w:highlight w:val="none"/>
          <w:lang w:val="zh-CN"/>
        </w:rPr>
        <w:t>十、投标保证金汇入情况说明</w:t>
      </w:r>
      <w:bookmarkEnd w:id="551"/>
      <w:bookmarkEnd w:id="552"/>
      <w:bookmarkEnd w:id="553"/>
      <w:bookmarkEnd w:id="554"/>
      <w:bookmarkEnd w:id="555"/>
      <w:bookmarkEnd w:id="556"/>
      <w:bookmarkEnd w:id="557"/>
      <w:bookmarkEnd w:id="558"/>
      <w:bookmarkEnd w:id="559"/>
      <w:bookmarkEnd w:id="560"/>
      <w:bookmarkEnd w:id="561"/>
      <w:bookmarkEnd w:id="562"/>
      <w:bookmarkEnd w:id="563"/>
    </w:p>
    <w:p>
      <w:pPr>
        <w:autoSpaceDE w:val="0"/>
        <w:autoSpaceDN w:val="0"/>
        <w:adjustRightInd w:val="0"/>
        <w:spacing w:line="360" w:lineRule="auto"/>
        <w:jc w:val="left"/>
        <w:rPr>
          <w:rFonts w:ascii="宋体" w:hAnsi="宋体" w:eastAsia="宋体" w:cs="宋体"/>
          <w:color w:val="auto"/>
          <w:szCs w:val="24"/>
          <w:highlight w:val="none"/>
        </w:rPr>
      </w:pPr>
    </w:p>
    <w:p>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64" w:name="_Toc31832_WPSOffice_Level3"/>
      <w:r>
        <w:rPr>
          <w:rFonts w:hint="eastAsia" w:ascii="宋体" w:hAnsi="宋体" w:eastAsia="宋体" w:cs="宋体"/>
          <w:b/>
          <w:bCs/>
          <w:color w:val="auto"/>
          <w:kern w:val="0"/>
          <w:sz w:val="24"/>
          <w:szCs w:val="24"/>
          <w:highlight w:val="none"/>
        </w:rPr>
        <w:t>投标保证金汇入情况说明</w:t>
      </w:r>
      <w:bookmarkEnd w:id="564"/>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东莞市石鼓净水有限公司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东莞市石鼓净水有限公司2024年紫外消毒设备零配件采购项目（第三次招标）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0832-SFCX24DG012A-</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565" w:name="_Toc26208_WPSOffice_Level3"/>
      <w:r>
        <w:rPr>
          <w:rFonts w:hint="eastAsia" w:ascii="宋体" w:hAnsi="宋体" w:eastAsia="宋体" w:cs="宋体"/>
          <w:b/>
          <w:bCs/>
          <w:color w:val="auto"/>
          <w:szCs w:val="21"/>
          <w:highlight w:val="none"/>
        </w:rPr>
        <w:t>附：1、我方投标保证金汇款凭证（复印件）</w:t>
      </w:r>
      <w:bookmarkEnd w:id="565"/>
    </w:p>
    <w:p>
      <w:pPr>
        <w:spacing w:line="360" w:lineRule="auto"/>
        <w:ind w:left="340" w:leftChars="162" w:firstLine="839" w:firstLineChars="398"/>
        <w:rPr>
          <w:rFonts w:ascii="宋体" w:hAnsi="宋体" w:eastAsia="宋体" w:cs="宋体"/>
          <w:b/>
          <w:bCs/>
          <w:color w:val="auto"/>
          <w:szCs w:val="21"/>
          <w:highlight w:val="none"/>
        </w:rPr>
      </w:pPr>
      <w:bookmarkStart w:id="566" w:name="_Toc12992_WPSOffice_Level3"/>
      <w:r>
        <w:rPr>
          <w:rFonts w:hint="eastAsia" w:ascii="宋体" w:hAnsi="宋体" w:eastAsia="宋体" w:cs="宋体"/>
          <w:b/>
          <w:bCs/>
          <w:color w:val="auto"/>
          <w:szCs w:val="21"/>
          <w:highlight w:val="none"/>
        </w:rPr>
        <w:t>2、我方基本账户开户许可证（复印件）</w:t>
      </w:r>
      <w:bookmarkEnd w:id="566"/>
    </w:p>
    <w:p>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567" w:name="_Toc486167721"/>
    </w:p>
    <w:p>
      <w:pPr>
        <w:spacing w:line="360" w:lineRule="auto"/>
        <w:ind w:firstLine="424" w:firstLineChars="202"/>
        <w:rPr>
          <w:rFonts w:ascii="宋体" w:hAnsi="宋体" w:eastAsia="宋体" w:cs="宋体"/>
          <w:color w:val="auto"/>
          <w:szCs w:val="24"/>
          <w:highlight w:val="none"/>
        </w:rPr>
      </w:pPr>
      <w:bookmarkStart w:id="568"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69" w:name="_Toc140596939"/>
      <w:bookmarkStart w:id="570" w:name="_Toc94107221"/>
      <w:bookmarkStart w:id="571" w:name="_Toc16791"/>
      <w:bookmarkStart w:id="572" w:name="_Toc102860428"/>
      <w:bookmarkStart w:id="573" w:name="_Toc18032"/>
      <w:bookmarkStart w:id="574" w:name="_Toc102860084"/>
      <w:bookmarkStart w:id="575" w:name="_Toc104991886"/>
      <w:bookmarkStart w:id="576" w:name="_Toc142508379"/>
      <w:bookmarkStart w:id="577" w:name="_Toc1977738"/>
      <w:bookmarkStart w:id="578" w:name="_Toc1629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69"/>
      <w:bookmarkEnd w:id="570"/>
      <w:bookmarkEnd w:id="571"/>
      <w:bookmarkEnd w:id="572"/>
      <w:bookmarkEnd w:id="573"/>
      <w:bookmarkEnd w:id="574"/>
      <w:bookmarkEnd w:id="575"/>
      <w:bookmarkEnd w:id="576"/>
      <w:bookmarkEnd w:id="577"/>
      <w:bookmarkEnd w:id="578"/>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9" w:name="_Toc102860085"/>
      <w:bookmarkStart w:id="580" w:name="_Toc142508380"/>
      <w:bookmarkStart w:id="581" w:name="_Toc104991887"/>
      <w:bookmarkStart w:id="582" w:name="_Toc140596940"/>
      <w:bookmarkStart w:id="583" w:name="_Toc14341"/>
      <w:bookmarkStart w:id="584" w:name="_Toc1977739"/>
      <w:bookmarkStart w:id="585" w:name="_Toc29008"/>
      <w:bookmarkStart w:id="586" w:name="_Toc94107222"/>
      <w:bookmarkStart w:id="587" w:name="_Toc102860429"/>
      <w:bookmarkStart w:id="588" w:name="_Toc15051"/>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568"/>
      <w:bookmarkEnd w:id="579"/>
      <w:bookmarkEnd w:id="580"/>
      <w:bookmarkEnd w:id="581"/>
      <w:bookmarkEnd w:id="582"/>
      <w:bookmarkEnd w:id="583"/>
      <w:bookmarkEnd w:id="584"/>
      <w:bookmarkEnd w:id="585"/>
      <w:bookmarkEnd w:id="586"/>
      <w:bookmarkEnd w:id="587"/>
      <w:bookmarkEnd w:id="588"/>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2、供货货物清单表（</w:t>
      </w:r>
      <w:r>
        <w:rPr>
          <w:rFonts w:hint="eastAsia" w:ascii="宋体" w:hAnsi="宋体" w:eastAsia="宋体" w:cs="Times New Roman"/>
          <w:color w:val="auto"/>
          <w:kern w:val="0"/>
          <w:szCs w:val="21"/>
          <w:highlight w:val="none"/>
          <w:lang w:val="zh-CN"/>
        </w:rPr>
        <w:t>货物明细中的货物名称、品牌、产地、规格、型号、数量及服务明细中的内容和服务标准等，必须与分项报价明细表完全一致</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所投紫外灯管产品的性能说明（投标人自行提供书面说明和资料），包括但不限于如下证明文件：</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color w:val="auto"/>
          <w:kern w:val="0"/>
          <w:szCs w:val="21"/>
          <w:highlight w:val="none"/>
          <w:lang w:val="zh-CN"/>
        </w:rPr>
        <w:t>（须提供出具检验报告的第三方检测机构的CMA认证证书附表复印件或其他能体现其检测能力范围内的证明文件）</w:t>
      </w:r>
      <w:r>
        <w:rPr>
          <w:rFonts w:hint="eastAsia" w:ascii="宋体" w:hAnsi="宋体" w:eastAsia="宋体" w:cs="宋体"/>
          <w:color w:val="auto"/>
          <w:kern w:val="0"/>
          <w:szCs w:val="21"/>
          <w:highlight w:val="none"/>
          <w:lang w:val="zh-CN"/>
        </w:rPr>
        <w:t>。</w:t>
      </w:r>
    </w:p>
    <w:p>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4、所投紫外灯管等配件的性能说明（投标人自行提供书面说明和资料）；</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供货计划及进度保证措施方案</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售后服务质量保证和承诺</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auto"/>
                <w:szCs w:val="21"/>
                <w:highlight w:val="none"/>
              </w:rPr>
            </w:pPr>
          </w:p>
        </w:tc>
        <w:tc>
          <w:tcPr>
            <w:tcW w:w="2773" w:type="dxa"/>
            <w:vAlign w:val="center"/>
          </w:tcPr>
          <w:p>
            <w:pPr>
              <w:rPr>
                <w:rFonts w:hint="eastAsia" w:ascii="宋体" w:hAnsi="宋体" w:eastAsia="宋体" w:cs="宋体"/>
                <w:bCs/>
                <w:color w:val="auto"/>
                <w:szCs w:val="21"/>
                <w:highlight w:val="none"/>
              </w:rPr>
            </w:pPr>
          </w:p>
        </w:tc>
        <w:tc>
          <w:tcPr>
            <w:tcW w:w="1786" w:type="dxa"/>
            <w:vAlign w:val="center"/>
          </w:tcPr>
          <w:p>
            <w:pP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67"/>
      <w:bookmarkStart w:id="589" w:name="_Toc533708135"/>
      <w:bookmarkStart w:id="590" w:name="_Toc20826"/>
      <w:bookmarkStart w:id="591" w:name="_Toc1558"/>
      <w:bookmarkStart w:id="592" w:name="_Toc142508381"/>
      <w:bookmarkStart w:id="593" w:name="_Toc1977740"/>
      <w:bookmarkStart w:id="594" w:name="_Toc20630"/>
      <w:bookmarkStart w:id="595" w:name="_Toc102860430"/>
      <w:bookmarkStart w:id="596" w:name="_Toc102860086"/>
      <w:bookmarkStart w:id="597" w:name="_Toc94107223"/>
      <w:bookmarkStart w:id="598" w:name="_Toc104991888"/>
      <w:bookmarkStart w:id="599" w:name="_Toc14059694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589"/>
      <w:bookmarkEnd w:id="590"/>
      <w:bookmarkEnd w:id="591"/>
      <w:bookmarkEnd w:id="592"/>
      <w:bookmarkEnd w:id="593"/>
      <w:bookmarkEnd w:id="594"/>
      <w:bookmarkEnd w:id="595"/>
      <w:bookmarkEnd w:id="596"/>
      <w:bookmarkEnd w:id="597"/>
      <w:bookmarkEnd w:id="598"/>
      <w:bookmarkEnd w:id="599"/>
    </w:p>
    <w:p>
      <w:pPr>
        <w:spacing w:before="120" w:after="120" w:line="360" w:lineRule="auto"/>
        <w:jc w:val="center"/>
        <w:rPr>
          <w:rFonts w:ascii="宋体" w:hAnsi="宋体" w:eastAsia="宋体" w:cs="Times New Roman"/>
          <w:color w:val="auto"/>
          <w:kern w:val="0"/>
          <w:szCs w:val="21"/>
          <w:highlight w:val="none"/>
        </w:rPr>
      </w:pPr>
      <w:bookmarkStart w:id="600" w:name="_Toc17449_WPSOffice_Level3"/>
      <w:r>
        <w:rPr>
          <w:rFonts w:hint="eastAsia" w:ascii="宋体" w:hAnsi="宋体" w:eastAsia="宋体" w:cs="宋体"/>
          <w:b/>
          <w:color w:val="auto"/>
          <w:kern w:val="0"/>
          <w:sz w:val="30"/>
          <w:szCs w:val="30"/>
          <w:highlight w:val="none"/>
          <w:lang w:val="zh-CN"/>
        </w:rPr>
        <w:t>用户需求偏离表</w:t>
      </w:r>
      <w:bookmarkEnd w:id="600"/>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6" w:type="dxa"/>
            <w:gridSpan w:val="2"/>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pPr>
              <w:keepNext/>
              <w:keepLines/>
              <w:spacing w:line="240" w:lineRule="auto"/>
              <w:jc w:val="center"/>
              <w:outlineLvl w:val="0"/>
              <w:rPr>
                <w:rFonts w:hint="eastAsia" w:ascii="宋体" w:hAnsi="宋体" w:eastAsia="宋体" w:cs="宋体"/>
                <w:color w:val="auto"/>
                <w:kern w:val="0"/>
                <w:sz w:val="18"/>
                <w:szCs w:val="18"/>
                <w:highlight w:val="none"/>
              </w:rPr>
            </w:pPr>
          </w:p>
        </w:tc>
        <w:tc>
          <w:tcPr>
            <w:tcW w:w="952" w:type="dxa"/>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4" w:type="dxa"/>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22" w:type="dxa"/>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67" w:type="dxa"/>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5" w:type="dxa"/>
            <w:vAlign w:val="center"/>
          </w:tcPr>
          <w:p>
            <w:pPr>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采购清单及要求</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验收要求</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质保及售后要求</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违约责任</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价款要求</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附件</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《采购清单及预算表》</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370" w:type="dxa"/>
            <w:gridSpan w:val="6"/>
            <w:vAlign w:val="center"/>
          </w:tcPr>
          <w:p>
            <w:pPr>
              <w:keepNext/>
              <w:keepLines/>
              <w:spacing w:line="240" w:lineRule="auto"/>
              <w:jc w:val="both"/>
              <w:outlineLvl w:val="2"/>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用户需求书“★”条款汇总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 中标人所供货物必须适用于TROJAN UV 3000 PLUS型紫外消毒设备，且功能、指标满足TROJAN UV 3000 PLUS型紫外消毒设备正常使用要求。招标人旗下各污水处理项目及提标项目现有紫外消毒设备安装中标人所供货物后即可正常投入使用，不得对现有紫外消毒设备进行任何改动。</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 xml:space="preserve">★(2) </w:t>
            </w:r>
            <w:r>
              <w:rPr>
                <w:rFonts w:hint="eastAsia" w:ascii="宋体" w:hAnsi="宋体" w:eastAsia="宋体" w:cs="宋体"/>
                <w:color w:val="auto"/>
                <w:sz w:val="18"/>
                <w:szCs w:val="18"/>
                <w:highlight w:val="none"/>
                <w:lang w:eastAsia="zh-CN"/>
              </w:rPr>
              <w:t>招标人</w:t>
            </w:r>
            <w:r>
              <w:rPr>
                <w:rFonts w:hint="eastAsia" w:ascii="宋体" w:hAnsi="宋体" w:eastAsia="宋体" w:cs="宋体"/>
                <w:color w:val="auto"/>
                <w:sz w:val="18"/>
                <w:szCs w:val="18"/>
                <w:highlight w:val="none"/>
              </w:rPr>
              <w:t>旗下各污水处理项目及提标项目使用</w:t>
            </w:r>
            <w:r>
              <w:rPr>
                <w:rFonts w:hint="eastAsia" w:ascii="宋体" w:hAnsi="宋体" w:eastAsia="宋体" w:cs="宋体"/>
                <w:color w:val="auto"/>
                <w:sz w:val="18"/>
                <w:szCs w:val="18"/>
                <w:highlight w:val="none"/>
                <w:lang w:eastAsia="zh-CN"/>
              </w:rPr>
              <w:t>中标人</w:t>
            </w:r>
            <w:r>
              <w:rPr>
                <w:rFonts w:hint="eastAsia" w:ascii="宋体" w:hAnsi="宋体" w:eastAsia="宋体" w:cs="宋体"/>
                <w:color w:val="auto"/>
                <w:sz w:val="18"/>
                <w:szCs w:val="18"/>
                <w:highlight w:val="none"/>
              </w:rPr>
              <w:t>所供货物替换现有紫外消毒设备已损坏零配件，紫外消毒设备的消毒效果及消毒剂量需满足各污水处理项目及提标项目出水水质达标排放，同时满足万江污水处理厂二期污水处理规模5万m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/d及峰值处理水量2875m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/h、中堂污水处理厂二期污水处理规模5万m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/d及峰值处理水量2750 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/h、虎门宁洲污水处理厂二期污水处理规模10万m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/d及峰值处理水量5417m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/h、长安新区污水处理厂污水处理规模20万m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/d及峰值处理水量10833m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/h、松山湖北部污水处理厂污水处理规模5万m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/d及峰值处理水量2708m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/h、黄江污水处理厂二期污水处理规模6万m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/d及峰值处理水量3250m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/h、凤岗竹塘污水处理厂二期污水处理规模5万m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/d及峰值处理水量2708m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/h、塘厦林村污水处理厂二期污水处理规模4万m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/d及峰值处理水量2200m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/h、樟木头污水处理厂三期污水处理规模4万m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/d及峰值处理水量2167m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/h、谢岗污水处理厂二期污水处理规模3万m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/d及峰值处理水量1625m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/h、桥头污水处理厂二期污水处理规模4万m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/d及峰值处理水量2167m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/h、市区污水处理厂提标污水处理规模40万m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/d及峰值处理水量21667 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/h、麻涌污水处理厂一期提标污水处理规模3万m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/d及峰值处理水量1788m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/h、虎门宁洲污水处理厂一期提标污水处理规模10万m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/d及峰值处理水量5417 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/h、长安锦厦三洲水质净化厂提标污水处理规模15万m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/d及峰值处理水量8125m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/h、松山湖北部污水处理厂一期提标污水处理规模5万m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/d及峰值处理水量2875m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/h、黄江污水处理厂一期提标污水处理规模4万m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/d及峰值处理水量2350m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/h、凤岗虾公潭污水处理厂提标污水处理规模2万m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/d及峰值处理水量1250m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/h、凤岗雁田污水处理厂提标污水处理规模5万m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/d及峰值处理水量2875m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/h、竹塘污水处理厂一期提标污水处理规模4万m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/d及峰值处理水量2350m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/h、塘厦林村污水处理厂一期提标污水处理规模12万m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/d及峰值处理水量6500m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/h、塘厦石桥头污水处理厂提标污水处理规模4万m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/d及峰值处理水量2350m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/h、樟木头污水处理厂一二期提标污水处理规模6万m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/d及峰值处理水量3250m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/h、谢岗污水处理厂一期提标污水处理规模3万m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/d及峰值处理水量1812.5m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/h、桥头污水处理厂一期提标污水处理规模4万m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/d及峰值处理水量2350m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/h。</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 紫外灯管技术要求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① 紫外灯管的设计必须符合我国《城市给排水紫外线消毒设备》(GB/T19837-2019)标准。</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② 紫外灯管使用寿命不低于12000小时。</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③ 紫外灯管必须是低压高强灯，单灯管的最大灯管功率需≥235W，并≤250W，每支紫外灯管运行功率可在60％～100％间由原设备的控制中心进行调整。</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④ 紫外灯管在新灯管运行100小时磨合期后，单根灯管能量输出转化为254nm波长紫外线的电光转化效率≥40%（即单根紫外消毒灯管的灯管功率为250W时，其254nm波长紫外线能量输出≥100W）。</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⑤ 紫外灯管为低压高强紫外灯管，灯管经过预热处理以提高其寿命。灯管灯丝采用夹式设计，独特的卷曲式可以防震。</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⑥ 紫外灯管的外观尺寸：整体长度1580±1mm，直径19±0.25mm。</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 紫外灯套管技术要求要求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★② 石英套管紫外透光率大于90%。</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 紫外灯套管技术要求要求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★③ 每根紫外灯管内置安装在一根单独的紫外灯套管内，套管一端开口，开口端采用压紧式O型圈进行密封安装。</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 紫外灯套管技术要求要求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★④ 紫外灯套管的外观尺寸：整体长度1950±1mm，直径28±0.25mm，套管壁厚度不大于2mm。</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9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64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4.采购清单及要求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1" w:firstLineChars="200"/>
              <w:jc w:val="both"/>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4.3货物质量及性能要求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 检验报告要求</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投标人需提供以下紫外灯管性能指标检验报告：</w:t>
            </w:r>
          </w:p>
          <w:p>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color w:val="auto"/>
                <w:kern w:val="0"/>
                <w:sz w:val="18"/>
                <w:szCs w:val="18"/>
                <w:highlight w:val="none"/>
                <w:lang w:val="en-US" w:eastAsia="zh-CN"/>
              </w:rPr>
              <w:t>（须提供出具检验报告的第三方检测机构的CMA认证证书附表复印件或其他能体现其检测能力范围内的证明文件）</w:t>
            </w:r>
            <w:r>
              <w:rPr>
                <w:rFonts w:hint="eastAsia" w:ascii="宋体" w:hAnsi="宋体" w:eastAsia="宋体" w:cs="宋体"/>
                <w:color w:val="auto"/>
                <w:kern w:val="0"/>
                <w:sz w:val="18"/>
                <w:szCs w:val="18"/>
                <w:highlight w:val="none"/>
                <w:lang w:val="en-US" w:eastAsia="zh-CN"/>
              </w:rPr>
              <w:t>。</w:t>
            </w:r>
          </w:p>
        </w:tc>
        <w:tc>
          <w:tcPr>
            <w:tcW w:w="7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c>
          <w:tcPr>
            <w:tcW w:w="8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（其中“1.项目信息”、“2.项目概况”、“3.运营项目概况”除外）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01" w:name="_Toc102860087"/>
      <w:bookmarkStart w:id="602" w:name="_Toc140596942"/>
      <w:bookmarkStart w:id="603" w:name="_Toc94107224"/>
      <w:bookmarkStart w:id="604" w:name="_Toc104991889"/>
      <w:bookmarkStart w:id="605" w:name="_Toc28623"/>
      <w:bookmarkStart w:id="606" w:name="_Toc102860431"/>
      <w:bookmarkStart w:id="607" w:name="_Toc11215"/>
      <w:bookmarkStart w:id="608" w:name="_Toc20665"/>
      <w:bookmarkStart w:id="609" w:name="_Toc142508382"/>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供货货物清单表格式</w:t>
      </w:r>
      <w:bookmarkEnd w:id="601"/>
      <w:bookmarkEnd w:id="602"/>
      <w:bookmarkEnd w:id="603"/>
      <w:bookmarkEnd w:id="604"/>
      <w:bookmarkEnd w:id="605"/>
      <w:bookmarkEnd w:id="606"/>
      <w:bookmarkEnd w:id="607"/>
      <w:bookmarkEnd w:id="608"/>
      <w:bookmarkEnd w:id="609"/>
    </w:p>
    <w:p>
      <w:pPr>
        <w:autoSpaceDE w:val="0"/>
        <w:autoSpaceDN w:val="0"/>
        <w:adjustRightInd w:val="0"/>
        <w:ind w:right="-23" w:rightChars="-11"/>
        <w:jc w:val="center"/>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lang w:val="zh-CN"/>
        </w:rPr>
        <w:t>供货货物清单表</w:t>
      </w:r>
    </w:p>
    <w:p>
      <w:pPr>
        <w:autoSpaceDE w:val="0"/>
        <w:autoSpaceDN w:val="0"/>
        <w:adjustRightInd w:val="0"/>
        <w:snapToGrid w:val="0"/>
        <w:spacing w:line="360" w:lineRule="auto"/>
        <w:jc w:val="left"/>
        <w:rPr>
          <w:rFonts w:ascii="宋体" w:hAnsi="宋体" w:eastAsia="宋体" w:cs="Times New Roman"/>
          <w:color w:val="auto"/>
          <w:kern w:val="0"/>
          <w:szCs w:val="21"/>
          <w:highlight w:val="none"/>
        </w:rPr>
      </w:pPr>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14"/>
        <w:gridCol w:w="1105"/>
        <w:gridCol w:w="1037"/>
        <w:gridCol w:w="1170"/>
        <w:gridCol w:w="1103"/>
        <w:gridCol w:w="1103"/>
        <w:gridCol w:w="1103"/>
        <w:gridCol w:w="1104"/>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037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货物明细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货物名称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品牌</w:t>
            </w: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产地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规格、型号</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生产厂家</w:t>
            </w: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主要技术参数</w:t>
            </w:r>
          </w:p>
        </w:tc>
        <w:tc>
          <w:tcPr>
            <w:tcW w:w="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1</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15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eastAsia="宋体"/>
                <w:color w:val="auto"/>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p>
        </w:tc>
        <w:tc>
          <w:tcPr>
            <w:tcW w:w="15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Times New Roman"/>
                <w:color w:val="auto"/>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110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Times New Roman"/>
                <w:color w:val="auto"/>
                <w:kern w:val="0"/>
                <w:szCs w:val="21"/>
                <w:highlight w:val="none"/>
              </w:rPr>
            </w:pPr>
          </w:p>
        </w:tc>
        <w:tc>
          <w:tcPr>
            <w:tcW w:w="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p>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（1）投标人应列明按《用户需求书》所要求的全部货物及其服务的明细清单；</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rPr>
        <w:t>（2）货物明细中的</w:t>
      </w:r>
      <w:r>
        <w:rPr>
          <w:rFonts w:hint="eastAsia" w:ascii="宋体" w:hAnsi="宋体" w:eastAsia="宋体" w:cs="Times New Roman"/>
          <w:color w:val="auto"/>
          <w:kern w:val="0"/>
          <w:szCs w:val="21"/>
          <w:highlight w:val="none"/>
          <w:lang w:val="zh-CN"/>
        </w:rPr>
        <w:t>货物名称、品牌、产地、规格、型号及数量等必须与分项报价明细表的货物名称、品牌、产地、规格、型号及数量完全一致；</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w:t>
      </w: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lang w:val="zh-CN"/>
        </w:rPr>
        <w:t>）表格可根据实际货物种类自行扩展。</w:t>
      </w: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pPr>
        <w:widowControl/>
        <w:jc w:val="left"/>
        <w:rPr>
          <w:rFonts w:ascii="宋体" w:hAnsi="宋体" w:eastAsia="宋体" w:cs="Times New Roman"/>
          <w:color w:val="auto"/>
          <w:kern w:val="0"/>
          <w:szCs w:val="21"/>
          <w:highlight w:val="none"/>
        </w:rPr>
      </w:pPr>
      <w:bookmarkStart w:id="610" w:name="_Toc94107225"/>
      <w:r>
        <w:rPr>
          <w:rFonts w:ascii="宋体" w:hAnsi="宋体" w:eastAsia="宋体" w:cs="Times New Roman"/>
          <w:color w:val="auto"/>
          <w:kern w:val="0"/>
          <w:szCs w:val="21"/>
          <w:highlight w:val="none"/>
        </w:rPr>
        <w:br w:type="page"/>
      </w:r>
    </w:p>
    <w:bookmarkEnd w:id="610"/>
    <w:p>
      <w:pPr>
        <w:rPr>
          <w:rFonts w:hint="eastAsia" w:ascii="宋体" w:hAnsi="宋体" w:eastAsia="宋体" w:cs="宋体"/>
          <w:b/>
          <w:color w:val="auto"/>
          <w:kern w:val="0"/>
          <w:sz w:val="30"/>
          <w:szCs w:val="30"/>
          <w:highlight w:val="none"/>
          <w:lang w:val="en-US" w:eastAsia="zh-CN"/>
        </w:rPr>
      </w:pPr>
      <w:bookmarkStart w:id="611" w:name="_Toc104991896"/>
      <w:bookmarkStart w:id="612" w:name="_Toc102860438"/>
      <w:bookmarkStart w:id="613" w:name="_Toc102860094"/>
      <w:bookmarkStart w:id="614" w:name="_Toc142508389"/>
      <w:bookmarkStart w:id="615" w:name="_Toc140596949"/>
      <w:bookmarkStart w:id="616" w:name="_Toc533708139"/>
      <w:r>
        <w:rPr>
          <w:rFonts w:hint="eastAsia" w:ascii="宋体" w:hAnsi="宋体" w:eastAsia="宋体" w:cs="宋体"/>
          <w:b/>
          <w:color w:val="auto"/>
          <w:kern w:val="0"/>
          <w:sz w:val="30"/>
          <w:szCs w:val="30"/>
          <w:highlight w:val="none"/>
          <w:lang w:val="en-US" w:eastAsia="zh-CN"/>
        </w:rPr>
        <w:t>12.3 所投紫外灯管产品的性能说明（投标人自行提供书面说明和资料），包括但不限于如下证明文件：</w:t>
      </w:r>
    </w:p>
    <w:p>
      <w:pP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符合紫外灯管技术要求的紫外灯管电光转化效率、紫外输出功率检验报告，报告日期为2021年1月1日以后。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val="0"/>
          <w:color w:val="auto"/>
          <w:kern w:val="0"/>
          <w:sz w:val="24"/>
          <w:szCs w:val="24"/>
          <w:highlight w:val="none"/>
          <w:lang w:val="en-US" w:eastAsia="zh-CN"/>
        </w:rPr>
        <w:t>（须提供出具检验报告的第三方检测机构的CMA认证证书附表复印件或其他能体现其检测能力范围内的证明文件）</w:t>
      </w:r>
      <w:r>
        <w:rPr>
          <w:rFonts w:hint="eastAsia" w:ascii="宋体" w:hAnsi="宋体" w:eastAsia="宋体" w:cs="宋体"/>
          <w:b w:val="0"/>
          <w:bCs/>
          <w:color w:val="auto"/>
          <w:kern w:val="0"/>
          <w:sz w:val="24"/>
          <w:szCs w:val="24"/>
          <w:highlight w:val="none"/>
          <w:lang w:val="en-US" w:eastAsia="zh-CN"/>
        </w:rPr>
        <w:t>。</w:t>
      </w:r>
    </w:p>
    <w:p>
      <w:pPr>
        <w:pStyle w:val="6"/>
        <w:rPr>
          <w:rFonts w:hint="eastAsia"/>
          <w:color w:val="auto"/>
          <w:lang w:val="en-US" w:eastAsia="zh-CN"/>
        </w:rPr>
      </w:pPr>
    </w:p>
    <w:p>
      <w:pPr>
        <w:rPr>
          <w:rFonts w:hint="eastAsia" w:ascii="宋体" w:hAnsi="宋体" w:eastAsia="宋体" w:cs="宋体"/>
          <w:b/>
          <w:color w:val="auto"/>
          <w:kern w:val="0"/>
          <w:sz w:val="30"/>
          <w:szCs w:val="30"/>
          <w:highlight w:val="none"/>
          <w:lang w:val="en-US" w:eastAsia="zh-CN"/>
        </w:rPr>
      </w:pPr>
      <w:bookmarkStart w:id="617" w:name="_Toc1222"/>
      <w:bookmarkStart w:id="618" w:name="_Toc770"/>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619" w:name="_Toc5158"/>
      <w:r>
        <w:rPr>
          <w:rFonts w:hint="eastAsia" w:ascii="宋体" w:hAnsi="宋体" w:eastAsia="宋体" w:cs="宋体"/>
          <w:b/>
          <w:color w:val="auto"/>
          <w:kern w:val="0"/>
          <w:sz w:val="30"/>
          <w:szCs w:val="30"/>
          <w:highlight w:val="none"/>
          <w:lang w:val="en-US" w:eastAsia="zh-CN"/>
        </w:rPr>
        <w:t>12.4 所投紫外灯管等配件的性能说明（投标人自行提供书面说明和资料）</w:t>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pStyle w:val="6"/>
        <w:rPr>
          <w:rFonts w:hint="eastAsia" w:ascii="宋体" w:hAnsi="宋体" w:eastAsia="宋体" w:cs="宋体"/>
          <w:b/>
          <w:color w:val="auto"/>
          <w:kern w:val="0"/>
          <w:sz w:val="30"/>
          <w:szCs w:val="30"/>
          <w:highlight w:val="none"/>
          <w:lang w:val="en-US" w:eastAsia="zh-CN"/>
        </w:rPr>
      </w:pPr>
    </w:p>
    <w:p>
      <w:pPr>
        <w:rPr>
          <w:rFonts w:hint="eastAsia"/>
          <w:color w:val="auto"/>
          <w:lang w:val="en-US" w:eastAsia="zh-CN"/>
        </w:rPr>
      </w:pPr>
      <w:r>
        <w:rPr>
          <w:rFonts w:hint="eastAsia" w:asciiTheme="minorHAnsi" w:eastAsiaTheme="minorEastAsia"/>
          <w:color w:val="auto"/>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12.5 供货计划及进度保证措施方案（投标人自行编写）</w:t>
      </w:r>
      <w:bookmarkEnd w:id="619"/>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p>
    <w:p>
      <w:pPr>
        <w:pStyle w:val="6"/>
        <w:rPr>
          <w:rFonts w:hint="eastAsia" w:ascii="宋体" w:hAnsi="宋体" w:eastAsia="宋体" w:cs="宋体"/>
          <w:b/>
          <w:color w:val="auto"/>
          <w:kern w:val="0"/>
          <w:sz w:val="30"/>
          <w:szCs w:val="30"/>
          <w:highlight w:val="none"/>
          <w:lang w:val="en-US" w:eastAsia="zh-CN"/>
        </w:rPr>
      </w:pPr>
    </w:p>
    <w:p>
      <w:pPr>
        <w:rPr>
          <w:rFonts w:hint="eastAsia"/>
          <w:color w:val="auto"/>
          <w:lang w:val="en-US" w:eastAsia="zh-CN"/>
        </w:rPr>
      </w:pPr>
      <w:r>
        <w:rPr>
          <w:rFonts w:hint="eastAsia"/>
          <w:color w:val="auto"/>
          <w:lang w:val="en-US" w:eastAsia="zh-CN"/>
        </w:rPr>
        <w:br w:type="page"/>
      </w:r>
    </w:p>
    <w:p>
      <w:pPr>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620" w:name="_Toc32173"/>
      <w:r>
        <w:rPr>
          <w:rFonts w:hint="eastAsia" w:ascii="宋体" w:hAnsi="宋体" w:eastAsia="宋体" w:cs="宋体"/>
          <w:b/>
          <w:color w:val="auto"/>
          <w:kern w:val="0"/>
          <w:sz w:val="30"/>
          <w:szCs w:val="30"/>
          <w:highlight w:val="none"/>
          <w:lang w:val="en-US" w:eastAsia="zh-CN"/>
        </w:rPr>
        <w:t>12.6 售后服务质量保证和承诺（投标人自行编写）</w:t>
      </w:r>
      <w:bookmarkEnd w:id="620"/>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21" w:name="_Toc31843"/>
      <w:r>
        <w:rPr>
          <w:rFonts w:hint="eastAsia" w:ascii="宋体" w:hAnsi="宋体" w:eastAsia="宋体" w:cs="宋体"/>
          <w:b/>
          <w:color w:val="auto"/>
          <w:kern w:val="0"/>
          <w:sz w:val="30"/>
          <w:szCs w:val="30"/>
          <w:highlight w:val="none"/>
          <w:lang w:val="en-US" w:eastAsia="zh-CN"/>
        </w:rPr>
        <w:t xml:space="preserve">12.7 </w:t>
      </w:r>
      <w:r>
        <w:rPr>
          <w:rFonts w:hint="eastAsia" w:ascii="宋体" w:hAnsi="宋体" w:eastAsia="宋体" w:cs="宋体"/>
          <w:b/>
          <w:color w:val="auto"/>
          <w:kern w:val="0"/>
          <w:sz w:val="30"/>
          <w:szCs w:val="30"/>
          <w:highlight w:val="none"/>
        </w:rPr>
        <w:t>投标人认为有必要提供的其它材料（不做强制要求）</w:t>
      </w:r>
      <w:bookmarkEnd w:id="611"/>
      <w:bookmarkEnd w:id="612"/>
      <w:bookmarkEnd w:id="613"/>
      <w:bookmarkEnd w:id="614"/>
      <w:bookmarkEnd w:id="615"/>
      <w:bookmarkEnd w:id="617"/>
      <w:bookmarkEnd w:id="618"/>
      <w:bookmarkEnd w:id="621"/>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autoSpaceDE w:val="0"/>
        <w:autoSpaceDN w:val="0"/>
        <w:adjustRightInd w:val="0"/>
        <w:jc w:val="left"/>
        <w:rPr>
          <w:rFonts w:ascii="宋体" w:hAnsi="宋体" w:eastAsia="宋体" w:cs="Times New Roman"/>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22" w:name="_Toc142508390"/>
      <w:bookmarkStart w:id="623" w:name="_Toc28845"/>
      <w:bookmarkStart w:id="624" w:name="_Toc9614"/>
      <w:bookmarkStart w:id="625" w:name="_Toc522047402"/>
      <w:bookmarkStart w:id="626" w:name="_Toc22601_WPSOffice_Level1"/>
      <w:bookmarkStart w:id="627" w:name="_Toc521918141"/>
      <w:r>
        <w:rPr>
          <w:rFonts w:hint="eastAsia" w:ascii="宋体" w:hAnsi="宋体" w:eastAsia="宋体" w:cs="宋体"/>
          <w:b/>
          <w:bCs/>
          <w:color w:val="auto"/>
          <w:kern w:val="44"/>
          <w:sz w:val="32"/>
          <w:szCs w:val="32"/>
          <w:highlight w:val="none"/>
          <w:lang w:val="zh-CN"/>
        </w:rPr>
        <w:t>附件一：评标工作大纲</w:t>
      </w:r>
      <w:bookmarkEnd w:id="622"/>
      <w:bookmarkEnd w:id="623"/>
      <w:bookmarkEnd w:id="624"/>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东莞市石鼓净水有限公司2024年紫外消毒设备零配件采购项目（第三次招标）</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628" w:name="_Toc14752_WPSOffice_Level1"/>
      <w:r>
        <w:rPr>
          <w:rFonts w:hint="eastAsia" w:ascii="宋体" w:hAnsi="宋体" w:eastAsia="宋体" w:cs="宋体"/>
          <w:b/>
          <w:bCs/>
          <w:color w:val="auto"/>
          <w:sz w:val="36"/>
          <w:szCs w:val="36"/>
          <w:highlight w:val="none"/>
          <w:lang w:val="zh-CN"/>
        </w:rPr>
        <w:t>（招标编号：0832-SFCX24DG012A-</w:t>
      </w:r>
      <w:r>
        <w:rPr>
          <w:rFonts w:hint="eastAsia" w:ascii="宋体" w:hAnsi="宋体" w:eastAsia="宋体" w:cs="宋体"/>
          <w:b/>
          <w:bCs/>
          <w:color w:val="auto"/>
          <w:sz w:val="36"/>
          <w:szCs w:val="36"/>
          <w:highlight w:val="none"/>
          <w:lang w:val="en-US" w:eastAsia="zh-CN"/>
        </w:rPr>
        <w:t>2</w:t>
      </w:r>
      <w:r>
        <w:rPr>
          <w:rFonts w:hint="eastAsia" w:ascii="宋体" w:hAnsi="宋体" w:eastAsia="宋体" w:cs="宋体"/>
          <w:b/>
          <w:bCs/>
          <w:color w:val="auto"/>
          <w:sz w:val="36"/>
          <w:szCs w:val="36"/>
          <w:highlight w:val="none"/>
          <w:lang w:val="zh-CN"/>
        </w:rPr>
        <w:t>）</w:t>
      </w:r>
      <w:bookmarkEnd w:id="628"/>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29" w:name="_Toc18947_WPSOffice_Level2"/>
      <w:r>
        <w:rPr>
          <w:rFonts w:hint="eastAsia" w:ascii="宋体" w:hAnsi="宋体" w:eastAsia="宋体" w:cs="宋体"/>
          <w:b/>
          <w:bCs/>
          <w:color w:val="auto"/>
          <w:sz w:val="72"/>
          <w:szCs w:val="72"/>
          <w:highlight w:val="none"/>
          <w:lang w:val="zh-CN"/>
        </w:rPr>
        <w:t>评标工作大纲</w:t>
      </w:r>
      <w:bookmarkEnd w:id="629"/>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30" w:name="_Toc32395_WPSOffice_Level1"/>
      <w:r>
        <w:rPr>
          <w:rFonts w:hint="eastAsia" w:ascii="宋体" w:hAnsi="宋体" w:eastAsia="宋体" w:cs="宋体"/>
          <w:b/>
          <w:bCs/>
          <w:color w:val="auto"/>
          <w:sz w:val="36"/>
          <w:szCs w:val="36"/>
          <w:highlight w:val="none"/>
          <w:lang w:val="zh-CN"/>
        </w:rPr>
        <w:t>目录</w:t>
      </w:r>
      <w:bookmarkEnd w:id="630"/>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631"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31"/>
    </w:p>
    <w:p>
      <w:pPr>
        <w:autoSpaceDE w:val="0"/>
        <w:autoSpaceDN w:val="0"/>
        <w:adjustRightInd w:val="0"/>
        <w:spacing w:line="360" w:lineRule="auto"/>
        <w:ind w:left="567" w:hanging="567"/>
        <w:rPr>
          <w:rFonts w:ascii="宋体" w:hAnsi="宋体" w:eastAsia="宋体" w:cs="宋体"/>
          <w:color w:val="auto"/>
          <w:szCs w:val="30"/>
          <w:highlight w:val="none"/>
        </w:rPr>
      </w:pPr>
      <w:bookmarkStart w:id="632"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32"/>
    </w:p>
    <w:p>
      <w:pPr>
        <w:autoSpaceDE w:val="0"/>
        <w:autoSpaceDN w:val="0"/>
        <w:adjustRightInd w:val="0"/>
        <w:spacing w:line="360" w:lineRule="auto"/>
        <w:ind w:left="567" w:hanging="567"/>
        <w:rPr>
          <w:rFonts w:ascii="宋体" w:hAnsi="宋体" w:eastAsia="宋体" w:cs="宋体"/>
          <w:color w:val="auto"/>
          <w:szCs w:val="30"/>
          <w:highlight w:val="none"/>
        </w:rPr>
      </w:pPr>
      <w:bookmarkStart w:id="633"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33"/>
    </w:p>
    <w:p>
      <w:pPr>
        <w:autoSpaceDE w:val="0"/>
        <w:autoSpaceDN w:val="0"/>
        <w:adjustRightInd w:val="0"/>
        <w:spacing w:line="360" w:lineRule="auto"/>
        <w:ind w:left="567" w:hanging="567"/>
        <w:rPr>
          <w:rFonts w:ascii="宋体" w:hAnsi="宋体" w:eastAsia="宋体" w:cs="宋体"/>
          <w:color w:val="auto"/>
          <w:szCs w:val="30"/>
          <w:highlight w:val="none"/>
        </w:rPr>
      </w:pPr>
      <w:bookmarkStart w:id="634" w:name="_Toc1206_WPSOffice_Level1"/>
      <w:r>
        <w:rPr>
          <w:rFonts w:hint="eastAsia" w:ascii="宋体" w:hAnsi="宋体" w:eastAsia="宋体" w:cs="宋体"/>
          <w:color w:val="auto"/>
          <w:szCs w:val="30"/>
          <w:highlight w:val="none"/>
        </w:rPr>
        <w:t>四、 比较和评价</w:t>
      </w:r>
      <w:bookmarkEnd w:id="634"/>
    </w:p>
    <w:p>
      <w:pPr>
        <w:autoSpaceDE w:val="0"/>
        <w:autoSpaceDN w:val="0"/>
        <w:adjustRightInd w:val="0"/>
        <w:spacing w:line="360" w:lineRule="auto"/>
        <w:ind w:left="567" w:hanging="567"/>
        <w:rPr>
          <w:rFonts w:ascii="宋体" w:hAnsi="宋体" w:eastAsia="宋体" w:cs="宋体"/>
          <w:color w:val="auto"/>
          <w:szCs w:val="30"/>
          <w:highlight w:val="none"/>
        </w:rPr>
      </w:pPr>
      <w:bookmarkStart w:id="635"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35"/>
    </w:p>
    <w:p>
      <w:pPr>
        <w:autoSpaceDE w:val="0"/>
        <w:autoSpaceDN w:val="0"/>
        <w:adjustRightInd w:val="0"/>
        <w:spacing w:line="360" w:lineRule="auto"/>
        <w:ind w:left="567" w:hanging="567"/>
        <w:rPr>
          <w:rFonts w:ascii="宋体" w:hAnsi="宋体" w:eastAsia="宋体" w:cs="宋体"/>
          <w:color w:val="auto"/>
          <w:szCs w:val="30"/>
          <w:highlight w:val="none"/>
        </w:rPr>
      </w:pPr>
      <w:bookmarkStart w:id="636"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36"/>
    </w:p>
    <w:p>
      <w:pPr>
        <w:autoSpaceDE w:val="0"/>
        <w:autoSpaceDN w:val="0"/>
        <w:adjustRightInd w:val="0"/>
        <w:spacing w:line="360" w:lineRule="auto"/>
        <w:ind w:left="567" w:hanging="567"/>
        <w:rPr>
          <w:rFonts w:ascii="宋体" w:hAnsi="宋体" w:eastAsia="宋体" w:cs="宋体"/>
          <w:color w:val="auto"/>
          <w:szCs w:val="30"/>
          <w:highlight w:val="none"/>
        </w:rPr>
      </w:pPr>
      <w:bookmarkStart w:id="637"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37"/>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38"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38"/>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东莞市石鼓净水有限公司2024年紫外消毒设备零配件采购项目（第三次招标）</w:t>
      </w:r>
      <w:r>
        <w:rPr>
          <w:rFonts w:hint="eastAsia" w:ascii="宋体" w:hAnsi="宋体" w:eastAsia="宋体" w:cs="宋体"/>
          <w:color w:val="auto"/>
          <w:szCs w:val="21"/>
          <w:highlight w:val="none"/>
          <w:lang w:val="zh-CN"/>
        </w:rPr>
        <w:t>(招标编号：0832-SFCX24DG012A-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8"/>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39" w:name="_Toc19435_WPSOffice_Level1"/>
      <w:r>
        <w:rPr>
          <w:rFonts w:hint="eastAsia" w:ascii="宋体" w:hAnsi="宋体" w:eastAsia="宋体" w:cs="宋体"/>
          <w:b/>
          <w:bCs/>
          <w:color w:val="auto"/>
          <w:sz w:val="28"/>
          <w:szCs w:val="28"/>
          <w:highlight w:val="none"/>
          <w:lang w:val="zh-CN"/>
        </w:rPr>
        <w:t>二、投标文件的初审</w:t>
      </w:r>
      <w:bookmarkEnd w:id="639"/>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  投标文件中的投标报价未按照招标文件要求进行折扣系数报价的；</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hint="eastAsia"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7.12  所投紫外灯管产品的制造商</w:t>
      </w:r>
      <w:r>
        <w:rPr>
          <w:rFonts w:hint="eastAsia" w:ascii="宋体" w:hAnsi="宋体" w:eastAsia="宋体" w:cs="Times New Roman"/>
          <w:b/>
          <w:color w:val="auto"/>
          <w:kern w:val="0"/>
          <w:szCs w:val="21"/>
          <w:highlight w:val="none"/>
          <w:lang w:val="en-US" w:eastAsia="zh-CN"/>
        </w:rPr>
        <w:t>及其</w:t>
      </w:r>
      <w:r>
        <w:rPr>
          <w:rFonts w:hint="eastAsia" w:ascii="宋体" w:hAnsi="宋体" w:eastAsia="宋体" w:cs="Times New Roman"/>
          <w:b/>
          <w:color w:val="auto"/>
          <w:kern w:val="0"/>
          <w:szCs w:val="21"/>
          <w:highlight w:val="none"/>
        </w:rPr>
        <w:t>就本次投标独家授权的经销商同时参与本项目投标的。</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40" w:name="_Toc4109_WPSOffice_Level1"/>
      <w:r>
        <w:rPr>
          <w:rFonts w:hint="eastAsia" w:ascii="宋体" w:hAnsi="宋体" w:eastAsia="宋体" w:cs="宋体"/>
          <w:b/>
          <w:bCs/>
          <w:color w:val="auto"/>
          <w:sz w:val="28"/>
          <w:szCs w:val="28"/>
          <w:highlight w:val="none"/>
          <w:lang w:val="zh-CN"/>
        </w:rPr>
        <w:t>三、澄清有关问题</w:t>
      </w:r>
      <w:bookmarkEnd w:id="640"/>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626" w:leftChars="298" w:firstLine="10" w:firstLineChars="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投标报价当以数字表示的报价系数与以文字表示的报价系数不一致时，以文字表示的报价系数为准。</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41"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41"/>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w:t>
      </w:r>
      <w:r>
        <w:rPr>
          <w:rFonts w:hint="eastAsia" w:ascii="宋体" w:hAnsi="宋体" w:eastAsia="宋体" w:cs="宋体"/>
          <w:color w:val="auto"/>
          <w:sz w:val="21"/>
          <w:szCs w:val="21"/>
          <w:highlight w:val="none"/>
          <w:lang w:val="en-US" w:eastAsia="zh-CN"/>
        </w:rPr>
        <w:t>或“优、中、差”</w:t>
      </w:r>
      <w:r>
        <w:rPr>
          <w:rFonts w:hint="eastAsia" w:ascii="宋体" w:hAnsi="宋体" w:eastAsia="宋体" w:cs="宋体"/>
          <w:color w:val="auto"/>
          <w:sz w:val="21"/>
          <w:szCs w:val="21"/>
          <w:highlight w:val="none"/>
        </w:rPr>
        <w:t>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en-US" w:eastAsia="zh-CN"/>
              </w:rPr>
              <w:t>20</w:t>
            </w:r>
            <w:r>
              <w:rPr>
                <w:rFonts w:hint="eastAsia" w:ascii="宋体" w:hAnsi="宋体" w:eastAsia="宋体" w:cs="宋体"/>
                <w:bCs/>
                <w:color w:val="auto"/>
                <w:kern w:val="0"/>
                <w:sz w:val="22"/>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en-US" w:eastAsia="zh-CN"/>
              </w:rPr>
              <w:t>30</w:t>
            </w:r>
            <w:r>
              <w:rPr>
                <w:rFonts w:hint="eastAsia" w:ascii="宋体" w:hAnsi="宋体" w:eastAsia="宋体" w:cs="宋体"/>
                <w:bCs/>
                <w:color w:val="auto"/>
                <w:kern w:val="0"/>
                <w:sz w:val="22"/>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en-US" w:eastAsia="zh-CN"/>
              </w:rPr>
              <w:t>50</w:t>
            </w:r>
            <w:r>
              <w:rPr>
                <w:rFonts w:hint="eastAsia" w:ascii="宋体" w:hAnsi="宋体" w:eastAsia="宋体" w:cs="宋体"/>
                <w:bCs/>
                <w:color w:val="auto"/>
                <w:kern w:val="0"/>
                <w:sz w:val="22"/>
                <w:highlight w:val="none"/>
                <w:lang w:val="zh-CN"/>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642"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642"/>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en-US" w:eastAsia="zh-CN"/>
              </w:rPr>
              <w:t>2023</w:t>
            </w:r>
            <w:r>
              <w:rPr>
                <w:rFonts w:hint="eastAsia" w:ascii="宋体" w:hAnsi="宋体" w:eastAsia="宋体" w:cs="宋体"/>
                <w:color w:val="auto"/>
                <w:sz w:val="21"/>
                <w:szCs w:val="21"/>
                <w:lang w:val="zh-CN"/>
              </w:rPr>
              <w:t>年三个年度，每具有1个年度盈利的得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分，满分</w:t>
            </w:r>
            <w:r>
              <w:rPr>
                <w:rFonts w:hint="eastAsia" w:ascii="宋体" w:hAnsi="宋体" w:eastAsia="宋体" w:cs="宋体"/>
                <w:color w:val="auto"/>
                <w:sz w:val="21"/>
                <w:szCs w:val="21"/>
              </w:rPr>
              <w:t>3</w:t>
            </w:r>
            <w:r>
              <w:rPr>
                <w:rFonts w:hint="eastAsia" w:ascii="宋体" w:hAnsi="宋体" w:eastAsia="宋体" w:cs="宋体"/>
                <w:color w:val="auto"/>
                <w:sz w:val="21"/>
                <w:szCs w:val="21"/>
                <w:lang w:val="zh-CN"/>
              </w:rPr>
              <w:t>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备注：</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盈利指净利润为正数（非零、非负数），</w:t>
            </w:r>
            <w:r>
              <w:rPr>
                <w:rFonts w:hint="eastAsia" w:ascii="宋体" w:hAnsi="宋体" w:eastAsia="宋体" w:cs="宋体"/>
                <w:b/>
                <w:color w:val="auto"/>
                <w:kern w:val="0"/>
                <w:sz w:val="21"/>
                <w:szCs w:val="21"/>
                <w:highlight w:val="none"/>
                <w:lang w:val="zh-CN"/>
              </w:rPr>
              <w:t>投标人应提供</w:t>
            </w:r>
            <w:r>
              <w:rPr>
                <w:rFonts w:hint="eastAsia" w:ascii="宋体" w:hAnsi="宋体" w:eastAsia="宋体" w:cs="宋体"/>
                <w:b/>
                <w:color w:val="auto"/>
                <w:kern w:val="0"/>
                <w:sz w:val="21"/>
                <w:szCs w:val="21"/>
                <w:highlight w:val="none"/>
                <w:lang w:val="en-US" w:eastAsia="zh-CN"/>
              </w:rPr>
              <w:t>2021</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2022</w:t>
            </w:r>
            <w:r>
              <w:rPr>
                <w:rFonts w:hint="eastAsia" w:ascii="宋体" w:hAnsi="宋体" w:eastAsia="宋体" w:cs="宋体"/>
                <w:b/>
                <w:color w:val="auto"/>
                <w:kern w:val="0"/>
                <w:sz w:val="21"/>
                <w:szCs w:val="21"/>
                <w:highlight w:val="none"/>
                <w:lang w:val="zh-CN"/>
              </w:rPr>
              <w:t>年、</w:t>
            </w:r>
            <w:r>
              <w:rPr>
                <w:rFonts w:hint="eastAsia" w:ascii="宋体" w:hAnsi="宋体" w:eastAsia="宋体" w:cs="宋体"/>
                <w:b/>
                <w:color w:val="auto"/>
                <w:kern w:val="0"/>
                <w:sz w:val="21"/>
                <w:szCs w:val="21"/>
                <w:highlight w:val="none"/>
                <w:lang w:val="en-US" w:eastAsia="zh-CN"/>
              </w:rPr>
              <w:t>2023</w:t>
            </w:r>
            <w:r>
              <w:rPr>
                <w:rFonts w:hint="eastAsia" w:ascii="宋体" w:hAnsi="宋体" w:eastAsia="宋体" w:cs="宋体"/>
                <w:b/>
                <w:color w:val="auto"/>
                <w:kern w:val="0"/>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643" w:name="_Hlk104987354"/>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业绩</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年1月1日以来投标品牌紫外灯管产品在国内具有的供货业绩，按下列情况评分，业绩评审满分</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①单项合同金额≥</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万元或单项合同不少于</w:t>
            </w:r>
            <w:r>
              <w:rPr>
                <w:rFonts w:hint="eastAsia" w:ascii="宋体" w:hAnsi="宋体" w:eastAsia="宋体" w:cs="宋体"/>
                <w:color w:val="auto"/>
                <w:sz w:val="21"/>
                <w:szCs w:val="21"/>
                <w:lang w:val="en-US" w:eastAsia="zh-CN"/>
              </w:rPr>
              <w:t>800</w:t>
            </w:r>
            <w:r>
              <w:rPr>
                <w:rFonts w:hint="eastAsia" w:ascii="宋体" w:hAnsi="宋体" w:eastAsia="宋体" w:cs="宋体"/>
                <w:color w:val="auto"/>
                <w:sz w:val="21"/>
                <w:szCs w:val="21"/>
              </w:rPr>
              <w:t>根投标品牌紫外灯管的供货业绩，每项得3分；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万元≤单项合同金额＜</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万元或单项合同不少于</w:t>
            </w:r>
            <w:r>
              <w:rPr>
                <w:rFonts w:hint="eastAsia" w:ascii="宋体" w:hAnsi="宋体" w:eastAsia="宋体" w:cs="宋体"/>
                <w:color w:val="auto"/>
                <w:sz w:val="21"/>
                <w:szCs w:val="21"/>
                <w:lang w:val="en-US" w:eastAsia="zh-CN"/>
              </w:rPr>
              <w:t>400</w:t>
            </w:r>
            <w:r>
              <w:rPr>
                <w:rFonts w:hint="eastAsia" w:ascii="宋体" w:hAnsi="宋体" w:eastAsia="宋体" w:cs="宋体"/>
                <w:color w:val="auto"/>
                <w:sz w:val="21"/>
                <w:szCs w:val="21"/>
              </w:rPr>
              <w:t>根投标品牌紫外灯管的供货业绩，每项得2分；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万元≤单项合同金额＜</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万元或单项合同不少于</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根投标品牌紫外灯管的供货业绩，每项得1分，本子项满分12分；</w:t>
            </w:r>
          </w:p>
          <w:p>
            <w:pPr>
              <w:pStyle w:val="6"/>
              <w:keepNext w:val="0"/>
              <w:keepLines w:val="0"/>
              <w:pageBreakBefore w:val="0"/>
              <w:widowControl w:val="0"/>
              <w:kinsoku/>
              <w:wordWrap/>
              <w:overflowPunct/>
              <w:topLinePunct w:val="0"/>
              <w:bidi w:val="0"/>
              <w:snapToGrid/>
              <w:spacing w:line="360" w:lineRule="auto"/>
              <w:ind w:firstLine="420" w:firstLineChars="200"/>
              <w:textAlignment w:val="auto"/>
              <w:outlineLvl w:val="2"/>
              <w:rPr>
                <w:rFonts w:hint="eastAsia" w:ascii="宋体" w:hAnsi="宋体" w:eastAsia="宋体" w:cs="宋体"/>
                <w:color w:val="auto"/>
                <w:sz w:val="21"/>
                <w:szCs w:val="21"/>
              </w:rPr>
            </w:pPr>
            <w:bookmarkStart w:id="644" w:name="_Toc29850"/>
            <w:r>
              <w:rPr>
                <w:rFonts w:hint="eastAsia" w:ascii="宋体" w:hAnsi="宋体" w:eastAsia="宋体" w:cs="宋体"/>
                <w:color w:val="auto"/>
                <w:sz w:val="21"/>
                <w:szCs w:val="21"/>
              </w:rPr>
              <w:t>④</w:t>
            </w:r>
            <w:r>
              <w:rPr>
                <w:rFonts w:hint="eastAsia" w:hAnsi="宋体" w:cs="宋体"/>
                <w:color w:val="auto"/>
                <w:sz w:val="21"/>
                <w:szCs w:val="21"/>
                <w:lang w:val="en-US" w:eastAsia="zh-CN"/>
              </w:rPr>
              <w:t>5</w:t>
            </w:r>
            <w:r>
              <w:rPr>
                <w:rFonts w:hint="eastAsia" w:ascii="宋体" w:hAnsi="宋体" w:eastAsia="宋体" w:cs="宋体"/>
                <w:color w:val="auto"/>
                <w:sz w:val="21"/>
                <w:szCs w:val="21"/>
              </w:rPr>
              <w:t>万元≤单项合同金额＜</w:t>
            </w:r>
            <w:r>
              <w:rPr>
                <w:rFonts w:hint="eastAsia" w:hAnsi="宋体" w:cs="宋体"/>
                <w:color w:val="auto"/>
                <w:sz w:val="21"/>
                <w:szCs w:val="21"/>
                <w:lang w:val="en-US" w:eastAsia="zh-CN"/>
              </w:rPr>
              <w:t>10</w:t>
            </w:r>
            <w:r>
              <w:rPr>
                <w:rFonts w:hint="eastAsia" w:ascii="宋体" w:hAnsi="宋体" w:eastAsia="宋体" w:cs="宋体"/>
                <w:color w:val="auto"/>
                <w:sz w:val="21"/>
                <w:szCs w:val="21"/>
              </w:rPr>
              <w:t>万元或单项合同不少于</w:t>
            </w:r>
            <w:r>
              <w:rPr>
                <w:rFonts w:hint="eastAsia" w:hAnsi="宋体" w:cs="宋体"/>
                <w:color w:val="auto"/>
                <w:sz w:val="21"/>
                <w:szCs w:val="21"/>
                <w:lang w:val="en-US" w:eastAsia="zh-CN"/>
              </w:rPr>
              <w:t>40</w:t>
            </w:r>
            <w:r>
              <w:rPr>
                <w:rFonts w:hint="eastAsia" w:ascii="宋体" w:hAnsi="宋体" w:eastAsia="宋体" w:cs="宋体"/>
                <w:color w:val="auto"/>
                <w:sz w:val="21"/>
                <w:szCs w:val="21"/>
              </w:rPr>
              <w:t>根投标品牌紫外灯管的供货业绩，每项得0.5分，本子项满分4分。</w:t>
            </w:r>
            <w:bookmarkEnd w:id="644"/>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①业绩须附合同复印件，否则不得分（合同卖方可为投标品牌紫外灯管的制造商，也可为投标品牌紫外灯管的代理商/经销商）；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②若合同无法反映评分条件（合同签订日期为2</w:t>
            </w:r>
            <w:r>
              <w:rPr>
                <w:rFonts w:hint="eastAsia" w:ascii="宋体" w:hAnsi="宋体" w:eastAsia="宋体" w:cs="宋体"/>
                <w:b/>
                <w:bCs/>
                <w:color w:val="auto"/>
                <w:sz w:val="21"/>
                <w:szCs w:val="21"/>
                <w:lang w:val="en-US" w:eastAsia="zh-CN"/>
              </w:rPr>
              <w:t>021</w:t>
            </w:r>
            <w:r>
              <w:rPr>
                <w:rFonts w:hint="eastAsia" w:ascii="宋体" w:hAnsi="宋体" w:eastAsia="宋体" w:cs="宋体"/>
                <w:b/>
                <w:bCs/>
                <w:color w:val="auto"/>
                <w:sz w:val="21"/>
                <w:szCs w:val="21"/>
              </w:rPr>
              <w:t>年1月1日或以后，合同标的必须包含投标品牌紫外灯管，合同金额</w:t>
            </w:r>
            <w:r>
              <w:rPr>
                <w:rFonts w:hint="eastAsia" w:ascii="宋体" w:hAnsi="宋体" w:eastAsia="宋体" w:cs="宋体"/>
                <w:b/>
                <w:bCs/>
                <w:color w:val="auto"/>
                <w:sz w:val="21"/>
                <w:szCs w:val="21"/>
                <w:lang w:val="en-US" w:eastAsia="zh-CN"/>
              </w:rPr>
              <w:t>和产品数量</w:t>
            </w:r>
            <w:r>
              <w:rPr>
                <w:rFonts w:hint="eastAsia" w:ascii="宋体" w:hAnsi="宋体" w:eastAsia="宋体" w:cs="宋体"/>
                <w:b/>
                <w:bCs/>
                <w:color w:val="auto"/>
                <w:sz w:val="21"/>
                <w:szCs w:val="21"/>
              </w:rPr>
              <w:t>满足评分要求）的，还需提供产品购买方出具的书面补充说明文件复印件作为辅助证明（补充说明文件复印件能显示购买方公章），否则不得分；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③</w:t>
            </w:r>
            <w:r>
              <w:rPr>
                <w:rFonts w:hint="eastAsia" w:ascii="宋体" w:hAnsi="宋体" w:eastAsia="宋体" w:cs="宋体"/>
                <w:b/>
                <w:color w:val="auto"/>
                <w:sz w:val="21"/>
                <w:szCs w:val="21"/>
              </w:rPr>
              <w:t>若业绩为框架式协议或资格入围无明确金额的合同，必须同时提供合同期限内已供货产品发票金额统计表和供货发票复印件，否则，视为无效业绩；</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rPr>
              <w:t>④</w:t>
            </w:r>
            <w:r>
              <w:rPr>
                <w:rFonts w:hint="eastAsia" w:ascii="宋体" w:hAnsi="宋体" w:eastAsia="宋体" w:cs="宋体"/>
                <w:b/>
                <w:color w:val="auto"/>
                <w:sz w:val="21"/>
                <w:szCs w:val="21"/>
                <w:lang w:val="en-US" w:eastAsia="zh-CN"/>
              </w:rPr>
              <w:t>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分</w:t>
            </w:r>
          </w:p>
        </w:tc>
      </w:tr>
      <w:bookmarkEnd w:id="643"/>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645" w:name="_Toc1163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45"/>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bookmarkStart w:id="646" w:name="_Hlk104987779"/>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根据用户需求偏离表的偏离情况进行评审计分，完全满足用户需求的要求得满分，每一处负偏离，扣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所投紫外灯管产品性能</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对各投标人所投紫外灯管的电光转化效率进行评审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①电光转化效率≥</w:t>
            </w: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%≤电光转化效率＜4</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③4</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%≤电光转化效率＜4</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④其他情况不得分</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备注：投标人必须提供所投产品的证明文件复印件</w:t>
            </w:r>
            <w:r>
              <w:rPr>
                <w:rFonts w:hint="eastAsia" w:ascii="宋体" w:hAnsi="宋体" w:eastAsia="宋体" w:cs="宋体"/>
                <w:b/>
                <w:bCs/>
                <w:color w:val="auto"/>
                <w:sz w:val="21"/>
                <w:szCs w:val="21"/>
                <w:lang w:eastAsia="zh-CN"/>
              </w:rPr>
              <w:t>，否则本项不得分。</w:t>
            </w:r>
            <w:r>
              <w:rPr>
                <w:rFonts w:hint="eastAsia" w:ascii="宋体" w:hAnsi="宋体" w:eastAsia="宋体" w:cs="宋体"/>
                <w:b/>
                <w:bCs/>
                <w:color w:val="auto"/>
                <w:sz w:val="21"/>
                <w:szCs w:val="21"/>
                <w:lang w:val="en-US" w:eastAsia="zh-CN"/>
              </w:rPr>
              <w:t>其中，</w:t>
            </w:r>
            <w:r>
              <w:rPr>
                <w:rFonts w:hint="eastAsia" w:ascii="宋体" w:hAnsi="宋体" w:eastAsia="宋体" w:cs="宋体"/>
                <w:b/>
                <w:bCs/>
                <w:color w:val="auto"/>
                <w:sz w:val="21"/>
                <w:szCs w:val="21"/>
              </w:rPr>
              <w:t>紫外灯管电光转化效率、紫外输出功率检验报告，报告日期为2021年1月1日以后</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紫外灯管电光转化效率、紫外输出功率检验报告无需CMA认证标志，但出具此报告的检测机构须具备独立检测能力且证明其在紫外线杀菌灯检测领域具备专业的技术能力和资质认可</w:t>
            </w:r>
            <w:r>
              <w:rPr>
                <w:rFonts w:hint="eastAsia" w:ascii="宋体" w:hAnsi="宋体" w:eastAsia="宋体" w:cs="宋体"/>
                <w:b/>
                <w:bCs/>
                <w:i w:val="0"/>
                <w:iCs w:val="0"/>
                <w:color w:val="auto"/>
                <w:sz w:val="21"/>
                <w:szCs w:val="21"/>
              </w:rPr>
              <w:t>（</w:t>
            </w:r>
            <w:r>
              <w:rPr>
                <w:rFonts w:hint="eastAsia" w:ascii="宋体" w:hAnsi="宋体" w:eastAsia="宋体" w:cs="宋体"/>
                <w:b/>
                <w:bCs/>
                <w:i/>
                <w:iCs/>
                <w:color w:val="auto"/>
                <w:sz w:val="21"/>
                <w:szCs w:val="21"/>
              </w:rPr>
              <w:t>须提供出具检验报告的第三方检测机构的CMA认证证书附表复印件或其他能体现其检测能力范围内的证明文件</w:t>
            </w:r>
            <w:r>
              <w:rPr>
                <w:rFonts w:hint="eastAsia" w:ascii="宋体" w:hAnsi="宋体" w:eastAsia="宋体" w:cs="宋体"/>
                <w:b/>
                <w:bCs/>
                <w:i w:val="0"/>
                <w:iCs w:val="0"/>
                <w:color w:val="auto"/>
                <w:sz w:val="21"/>
                <w:szCs w:val="21"/>
              </w:rPr>
              <w:t>）</w:t>
            </w:r>
            <w:r>
              <w:rPr>
                <w:rFonts w:hint="eastAsia" w:ascii="宋体" w:hAnsi="宋体" w:eastAsia="宋体" w:cs="宋体"/>
                <w:b/>
                <w:bCs/>
                <w:color w:val="auto"/>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所投紫外灯管等配件性能</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对各投标人所投紫外灯套管的紫外透光率等技术参数、性能，品牌，以及与原紫外消毒成套设备的匹配程度，对清洗刮擦件等其他配件的材质、结构、性能进行评审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优</w:t>
            </w:r>
            <w:r>
              <w:rPr>
                <w:rFonts w:hint="eastAsia" w:ascii="宋体" w:hAnsi="宋体" w:eastAsia="宋体" w:cs="宋体"/>
                <w:color w:val="auto"/>
                <w:sz w:val="21"/>
                <w:szCs w:val="21"/>
                <w:lang w:eastAsia="zh-CN"/>
              </w:rPr>
              <w:t>：技术参数符合行业标准，能够</w:t>
            </w:r>
            <w:r>
              <w:rPr>
                <w:rFonts w:hint="eastAsia" w:ascii="宋体" w:hAnsi="宋体" w:eastAsia="宋体" w:cs="宋体"/>
                <w:color w:val="auto"/>
                <w:sz w:val="21"/>
                <w:szCs w:val="21"/>
                <w:lang w:val="en-US" w:eastAsia="zh-CN"/>
              </w:rPr>
              <w:t>完全</w:t>
            </w:r>
            <w:r>
              <w:rPr>
                <w:rFonts w:hint="eastAsia" w:ascii="宋体" w:hAnsi="宋体" w:eastAsia="宋体" w:cs="宋体"/>
                <w:color w:val="auto"/>
                <w:sz w:val="21"/>
                <w:szCs w:val="21"/>
                <w:lang w:eastAsia="zh-CN"/>
              </w:rPr>
              <w:t>满足使用需求，性能稳定可靠，售后服务较为完善，兼容性良好，需简单配置即可与原设备协同工作；</w:t>
            </w:r>
            <w:r>
              <w:rPr>
                <w:rFonts w:hint="eastAsia" w:ascii="宋体" w:hAnsi="宋体" w:eastAsia="宋体" w:cs="宋体"/>
                <w:color w:val="auto"/>
                <w:sz w:val="21"/>
                <w:szCs w:val="21"/>
              </w:rPr>
              <w:t>对清洗刮擦件等其他配件的材质具有极高的耐磨损、耐腐蚀、耐高温或低温等特性，长期使用不易损坏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结构</w:t>
            </w:r>
            <w:r>
              <w:rPr>
                <w:rFonts w:hint="eastAsia" w:ascii="宋体" w:hAnsi="宋体" w:eastAsia="宋体" w:cs="宋体"/>
                <w:color w:val="auto"/>
                <w:sz w:val="21"/>
                <w:szCs w:val="21"/>
                <w:lang w:val="en-US" w:eastAsia="zh-CN"/>
              </w:rPr>
              <w:t>设计精密、</w:t>
            </w:r>
            <w:r>
              <w:rPr>
                <w:rFonts w:hint="eastAsia" w:ascii="宋体" w:hAnsi="宋体" w:eastAsia="宋体" w:cs="宋体"/>
                <w:color w:val="auto"/>
                <w:sz w:val="21"/>
                <w:szCs w:val="21"/>
              </w:rPr>
              <w:t>稳固且高效，易于安装和维护，充分考虑了使用便利性</w:t>
            </w:r>
            <w:r>
              <w:rPr>
                <w:rFonts w:hint="eastAsia" w:ascii="宋体" w:hAnsi="宋体" w:eastAsia="宋体" w:cs="宋体"/>
                <w:color w:val="auto"/>
                <w:sz w:val="21"/>
                <w:szCs w:val="21"/>
                <w:lang w:eastAsia="zh-CN"/>
              </w:rPr>
              <w:t>，性能卓越，远超同类产品平均水平，能高效完成清洁或刮擦任务，且对被清洁表面无损伤</w:t>
            </w:r>
            <w:r>
              <w:rPr>
                <w:rFonts w:hint="eastAsia" w:ascii="宋体" w:hAnsi="宋体" w:eastAsia="宋体" w:cs="宋体"/>
                <w:color w:val="auto"/>
                <w:sz w:val="21"/>
                <w:szCs w:val="21"/>
                <w:lang w:val="en-US" w:eastAsia="zh-CN"/>
              </w:rPr>
              <w:t>的，得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良：技术参数符合行业标准，能够完全满足使用需求，性能稳定可靠，售后服务较为完善，兼容性良好，需简单配置即可与原设备协同工作的；对清洗刮擦件等其他配件的材质具备较好的耐用性和抗环境影响能力，能够满足常规使用需求，结构合理，安装和使用相对便捷，能够有效实现其功能，性能良好，满足大多数使用场景要求，对表面处理温和有效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技术参数达到行业基本标准，能满足一般应用需求，性能一般，能满足基本操作但可能在长时间或高强度使用下出现性能下降，售后服务一般，存在一定兼容性问题，需要专业人员进行调整或适配，可能影响使用体验</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对清洗刮擦件等其他配件的材质能够在一般环境下使用，但耐用性或抗腐蚀性相对较低</w:t>
            </w:r>
            <w:r>
              <w:rPr>
                <w:rFonts w:hint="eastAsia" w:ascii="宋体" w:hAnsi="宋体" w:eastAsia="宋体" w:cs="宋体"/>
                <w:color w:val="auto"/>
                <w:sz w:val="21"/>
                <w:szCs w:val="21"/>
                <w:lang w:eastAsia="zh-CN"/>
              </w:rPr>
              <w:t>，结构基本满足使用，但可能存在设计上的小瑕疵，如安装不便或维护困难，性能一般，能在标准条件下工作，但可能在处理特定污渍或材质时效率较低</w:t>
            </w:r>
            <w:r>
              <w:rPr>
                <w:rFonts w:hint="eastAsia" w:ascii="宋体" w:hAnsi="宋体" w:eastAsia="宋体" w:cs="宋体"/>
                <w:color w:val="auto"/>
                <w:sz w:val="21"/>
                <w:szCs w:val="21"/>
                <w:lang w:val="en-US" w:eastAsia="zh-CN"/>
              </w:rPr>
              <w:t>的，得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差</w:t>
            </w:r>
            <w:r>
              <w:rPr>
                <w:rFonts w:hint="eastAsia" w:ascii="宋体" w:hAnsi="宋体" w:eastAsia="宋体" w:cs="宋体"/>
                <w:color w:val="auto"/>
                <w:sz w:val="21"/>
                <w:szCs w:val="21"/>
                <w:lang w:eastAsia="zh-CN"/>
              </w:rPr>
              <w:t>：低于行业标准，可能会影响设备正常运行或导致性能低下，性能不佳，频繁出现故障或无法达到预期的工作效果，售后服务难以保障，兼容</w:t>
            </w:r>
            <w:r>
              <w:rPr>
                <w:rFonts w:hint="eastAsia" w:ascii="宋体" w:hAnsi="宋体" w:eastAsia="宋体" w:cs="宋体"/>
                <w:color w:val="auto"/>
                <w:sz w:val="21"/>
                <w:szCs w:val="21"/>
                <w:lang w:val="en-US" w:eastAsia="zh-CN"/>
              </w:rPr>
              <w:t>性差</w:t>
            </w:r>
            <w:r>
              <w:rPr>
                <w:rFonts w:hint="eastAsia" w:ascii="宋体" w:hAnsi="宋体" w:eastAsia="宋体" w:cs="宋体"/>
                <w:color w:val="auto"/>
                <w:sz w:val="21"/>
                <w:szCs w:val="21"/>
                <w:lang w:eastAsia="zh-CN"/>
              </w:rPr>
              <w:t>，安装后可能导致设备故障或功能缺失</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对清洗刮擦件等其他配件的材质</w:t>
            </w:r>
            <w:r>
              <w:rPr>
                <w:rFonts w:hint="eastAsia" w:ascii="宋体" w:hAnsi="宋体" w:eastAsia="宋体" w:cs="宋体"/>
                <w:color w:val="auto"/>
                <w:sz w:val="21"/>
                <w:szCs w:val="21"/>
                <w:lang w:val="en-US" w:eastAsia="zh-CN"/>
              </w:rPr>
              <w:t>易磨损、腐蚀或损坏，严重影响使用寿命和安全性能，结构设计不合理，导致安装困难、使用不便，甚至存在安全隐患，性能低下，难以有效完成清洁或刮擦工作，甚至可能对被清洁物体造成损害</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p>
          <w:p>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备注：投标人必须提供所投产品的证明文件复印件</w:t>
            </w:r>
            <w:r>
              <w:rPr>
                <w:rFonts w:hint="eastAsia" w:ascii="宋体" w:hAnsi="宋体" w:eastAsia="宋体" w:cs="宋体"/>
                <w:b/>
                <w:bCs/>
                <w:color w:val="auto"/>
                <w:sz w:val="21"/>
                <w:szCs w:val="21"/>
                <w:lang w:eastAsia="zh-CN"/>
              </w:rPr>
              <w:t>，否则本项不得分</w:t>
            </w:r>
            <w:r>
              <w:rPr>
                <w:rFonts w:hint="eastAsia" w:ascii="宋体" w:hAnsi="宋体" w:eastAsia="宋体" w:cs="宋体"/>
                <w:b/>
                <w:bCs/>
                <w:color w:val="auto"/>
                <w:sz w:val="21"/>
                <w:szCs w:val="21"/>
              </w:rPr>
              <w:t>。</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zh-CN"/>
              </w:rPr>
              <w:t>供货计划及进度保证措施方案</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对各投标人所提供的供货计划是否实质性满足或优于本项目需求，进度保证措施具体、可行性进行评审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eastAsia="zh-CN"/>
              </w:rPr>
              <w:t>：供货计划全面覆盖项目所有需求，提供超出预期的解决方案或增值选项，如备选方案、定制化服务、先进技术应用等，能显著提升项目成效。提供了详尽且实际可行的进度管理方案，包括但不限于生产调度优化、物流跟踪系统、应急响应机制、定期进度报告及透明沟通渠道</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供货计划勉强覆盖项目基本需求，缺乏对特定需求的深入考量，可能需要后期调整或补充，对项目进度和成本控制有潜在风险。提出了基本的进度计划，但缺乏具体的实施细节或风险管理策略，进度监控和调整机制较为模糊，可能影响实际执行效果</w:t>
            </w:r>
            <w:r>
              <w:rPr>
                <w:rFonts w:hint="eastAsia" w:ascii="宋体" w:hAnsi="宋体" w:eastAsia="宋体" w:cs="宋体"/>
                <w:color w:val="auto"/>
                <w:sz w:val="21"/>
                <w:szCs w:val="21"/>
                <w:lang w:val="en-US" w:eastAsia="zh-CN"/>
              </w:rPr>
              <w:t>的，得</w:t>
            </w:r>
            <w:r>
              <w:rPr>
                <w:rFonts w:hint="eastAsia" w:ascii="宋体" w:hAnsi="宋体" w:eastAsia="宋体" w:cs="宋体"/>
                <w:color w:val="auto"/>
                <w:sz w:val="21"/>
                <w:szCs w:val="21"/>
              </w:rPr>
              <w:t>（2-1]分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差</w:t>
            </w:r>
            <w:r>
              <w:rPr>
                <w:rFonts w:hint="eastAsia" w:ascii="宋体" w:hAnsi="宋体" w:eastAsia="宋体" w:cs="宋体"/>
                <w:color w:val="auto"/>
                <w:sz w:val="21"/>
                <w:szCs w:val="21"/>
                <w:lang w:eastAsia="zh-CN"/>
              </w:rPr>
              <w:t>：供货计划未能充分理解或响应项目需求，存在重大遗漏或不匹配之处，无法直接应用于项目，需大幅修改或重新制定。进度保证措施模糊不清，缺乏具体实施方案和有效的风险管理，存在严重延误风险</w:t>
            </w:r>
            <w:r>
              <w:rPr>
                <w:rFonts w:hint="eastAsia" w:ascii="宋体" w:hAnsi="宋体" w:eastAsia="宋体" w:cs="宋体"/>
                <w:color w:val="auto"/>
                <w:sz w:val="21"/>
                <w:szCs w:val="21"/>
                <w:lang w:val="en-US" w:eastAsia="zh-CN"/>
              </w:rPr>
              <w:t>的，得</w:t>
            </w:r>
            <w:r>
              <w:rPr>
                <w:rFonts w:hint="eastAsia" w:ascii="宋体" w:hAnsi="宋体" w:eastAsia="宋体" w:cs="宋体"/>
                <w:color w:val="auto"/>
                <w:sz w:val="21"/>
                <w:szCs w:val="21"/>
              </w:rPr>
              <w:t>（1-0]分。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5</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售后服务质量保证和承诺</w:t>
            </w:r>
          </w:p>
        </w:tc>
        <w:tc>
          <w:tcPr>
            <w:tcW w:w="76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横向对比投标人售后服务质量保证和承诺方案内容的完整性、可行性，售后服务机构的便利性、技术服务人员数量及水平，以及服务响应时间等方面进行评审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eastAsia="宋体" w:cs="宋体"/>
                <w:color w:val="auto"/>
                <w:sz w:val="21"/>
                <w:szCs w:val="21"/>
                <w:lang w:eastAsia="zh-CN"/>
              </w:rPr>
              <w:t>：售后服务质量保证和承诺方案提供全面、详细的质保政策和承诺方案，包括但不限于长期保修、快速更换、无理由退换等条款，方案内容具体明确，覆盖各种可能的售后场景，且有清晰的操作流程和责任界定。售后服务网点广泛分布，易于到达、上门服务等多种便捷服务方式。拥有大量经过严格培训、认证的技术服务人员，具备丰富经验和专业知识，能够高效解决各类技术问题。服务响应时间提供24/7全天候服务热线，紧急响应时间短，非紧急问题也能在短时间内得到回复和解决</w:t>
            </w:r>
            <w:r>
              <w:rPr>
                <w:rFonts w:hint="eastAsia" w:ascii="宋体" w:hAnsi="宋体" w:eastAsia="宋体" w:cs="宋体"/>
                <w:color w:val="auto"/>
                <w:sz w:val="21"/>
                <w:szCs w:val="21"/>
                <w:lang w:val="en-US" w:eastAsia="zh-CN"/>
              </w:rPr>
              <w:t>的，得</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售后服务质量保证和承诺方案提供基础的质保承诺，但条款不够详尽，可能在某些关键环节留有模糊空间，导致用户权益保护不充分。服务网点较少，服务预约过程不够顺畅。技术人员数量偏少，或部分人员技能水平有待提高，可能影响问题解决的效率和质量。响应时间较长，特别是在非工作日或夜间，用户等待时间</w:t>
            </w:r>
            <w:r>
              <w:rPr>
                <w:rFonts w:hint="eastAsia" w:ascii="宋体" w:hAnsi="宋体" w:eastAsia="宋体" w:cs="宋体"/>
                <w:color w:val="auto"/>
                <w:sz w:val="21"/>
                <w:szCs w:val="21"/>
                <w:lang w:val="en-US" w:eastAsia="zh-CN"/>
              </w:rPr>
              <w:t>较长的，得</w:t>
            </w:r>
            <w:r>
              <w:rPr>
                <w:rFonts w:hint="eastAsia" w:ascii="宋体" w:hAnsi="宋体" w:eastAsia="宋体" w:cs="宋体"/>
                <w:color w:val="auto"/>
                <w:sz w:val="21"/>
                <w:szCs w:val="21"/>
              </w:rPr>
              <w:t>（2-1]分</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差</w:t>
            </w:r>
            <w:r>
              <w:rPr>
                <w:rFonts w:hint="eastAsia" w:ascii="宋体" w:hAnsi="宋体" w:eastAsia="宋体" w:cs="宋体"/>
                <w:color w:val="auto"/>
                <w:sz w:val="21"/>
                <w:szCs w:val="21"/>
                <w:lang w:eastAsia="zh-CN"/>
              </w:rPr>
              <w:t>：售后服务质量保证和承诺方案</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质保承诺缺失或极为有限，未明确服务范围和责任，无法为用户提供足够的保障感。售后服务网点极度稀缺，用户难以获得面对面的服务支持，严重影响用户体验。技术人员极度短缺，缺乏专业培训，无法有效应对用户的技术服务需求。服务响应极其缓慢，经常出现无人接听或长时间未得到回复的情况</w:t>
            </w:r>
            <w:r>
              <w:rPr>
                <w:rFonts w:hint="eastAsia" w:ascii="宋体" w:hAnsi="宋体" w:eastAsia="宋体" w:cs="宋体"/>
                <w:color w:val="auto"/>
                <w:sz w:val="21"/>
                <w:szCs w:val="21"/>
                <w:lang w:val="en-US" w:eastAsia="zh-CN"/>
              </w:rPr>
              <w:t>的，得</w:t>
            </w:r>
            <w:r>
              <w:rPr>
                <w:rFonts w:hint="eastAsia" w:ascii="宋体" w:hAnsi="宋体" w:eastAsia="宋体" w:cs="宋体"/>
                <w:color w:val="auto"/>
                <w:sz w:val="21"/>
                <w:szCs w:val="21"/>
              </w:rPr>
              <w:t>（1-0]分。</w:t>
            </w:r>
          </w:p>
        </w:tc>
        <w:tc>
          <w:tcPr>
            <w:tcW w:w="90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bookmarkEnd w:id="646"/>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③上述“评分项目”中按“优、良、中、差”或“优、中、差”区间评审的，若低于该项满分分值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pPr>
        <w:spacing w:line="360" w:lineRule="auto"/>
        <w:ind w:left="420" w:leftChars="200"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价格得分=(基准系数／投标“折扣系数”)×</w:t>
      </w:r>
      <w:r>
        <w:rPr>
          <w:rFonts w:hint="eastAsia" w:ascii="宋体" w:hAnsi="宋体" w:eastAsia="宋体" w:cs="宋体"/>
          <w:color w:val="auto"/>
          <w:kern w:val="0"/>
          <w:szCs w:val="21"/>
          <w:highlight w:val="none"/>
          <w:lang w:val="en-US" w:eastAsia="zh-CN"/>
        </w:rPr>
        <w:t>50</w:t>
      </w:r>
    </w:p>
    <w:p>
      <w:pPr>
        <w:autoSpaceDN w:val="0"/>
        <w:adjustRightInd w:val="0"/>
        <w:snapToGrid w:val="0"/>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left="420" w:leftChars="200" w:firstLine="420" w:firstLineChars="200"/>
        <w:rPr>
          <w:rFonts w:ascii="宋体" w:hAnsi="宋体" w:eastAsia="宋体" w:cs="宋体"/>
          <w:color w:val="auto"/>
          <w:kern w:val="0"/>
          <w:szCs w:val="28"/>
          <w:highlight w:val="none"/>
          <w:lang w:val="zh-CN"/>
        </w:rPr>
      </w:pPr>
      <w:bookmarkStart w:id="647" w:name="_Toc31624_WPSOffice_Level2"/>
      <w:r>
        <w:rPr>
          <w:rFonts w:hint="eastAsia" w:ascii="宋体" w:hAnsi="宋体" w:eastAsia="宋体" w:cs="宋体"/>
          <w:color w:val="auto"/>
          <w:kern w:val="0"/>
          <w:szCs w:val="28"/>
          <w:highlight w:val="none"/>
          <w:lang w:val="zh-CN"/>
        </w:rPr>
        <w:t>评标总得分=F1＋F2＋……+Fn</w:t>
      </w:r>
      <w:bookmarkEnd w:id="647"/>
    </w:p>
    <w:p>
      <w:pPr>
        <w:widowControl/>
        <w:autoSpaceDE w:val="0"/>
        <w:autoSpaceDN w:val="0"/>
        <w:adjustRightInd w:val="0"/>
        <w:spacing w:line="400" w:lineRule="exact"/>
        <w:ind w:left="420" w:leftChars="200" w:firstLine="420" w:firstLineChars="200"/>
        <w:jc w:val="left"/>
        <w:rPr>
          <w:rFonts w:ascii="宋体" w:hAnsi="宋体" w:eastAsia="宋体" w:cs="宋体"/>
          <w:color w:val="auto"/>
          <w:kern w:val="0"/>
          <w:szCs w:val="21"/>
          <w:highlight w:val="none"/>
        </w:rPr>
      </w:pPr>
      <w:bookmarkStart w:id="648" w:name="_Toc13236_WPSOffice_Level2"/>
      <w:r>
        <w:rPr>
          <w:rFonts w:hint="eastAsia" w:ascii="宋体" w:hAnsi="宋体" w:eastAsia="宋体" w:cs="宋体"/>
          <w:color w:val="auto"/>
          <w:kern w:val="0"/>
          <w:szCs w:val="21"/>
          <w:highlight w:val="none"/>
        </w:rPr>
        <w:t>F1、F2、……Fn分别为各项评分因素的得分</w:t>
      </w:r>
      <w:bookmarkEnd w:id="648"/>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649" w:name="_Toc518_WPSOffice_Level1"/>
      <w:r>
        <w:rPr>
          <w:rFonts w:hint="eastAsia" w:ascii="宋体" w:hAnsi="宋体" w:eastAsia="宋体" w:cs="宋体"/>
          <w:b/>
          <w:bCs/>
          <w:color w:val="auto"/>
          <w:sz w:val="28"/>
          <w:szCs w:val="28"/>
          <w:highlight w:val="none"/>
          <w:lang w:val="zh-CN"/>
        </w:rPr>
        <w:t>五、推荐中标人</w:t>
      </w:r>
      <w:bookmarkEnd w:id="649"/>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50" w:name="_Toc22724_WPSOffice_Level1"/>
      <w:r>
        <w:rPr>
          <w:rFonts w:hint="eastAsia" w:ascii="宋体" w:hAnsi="宋体" w:eastAsia="宋体" w:cs="宋体"/>
          <w:b/>
          <w:bCs/>
          <w:color w:val="auto"/>
          <w:sz w:val="28"/>
          <w:szCs w:val="28"/>
          <w:highlight w:val="none"/>
          <w:lang w:val="zh-CN"/>
        </w:rPr>
        <w:t>六、编写评标报告</w:t>
      </w:r>
      <w:bookmarkEnd w:id="650"/>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51" w:name="_Toc23773_WPSOffice_Level1"/>
      <w:r>
        <w:rPr>
          <w:rFonts w:hint="eastAsia" w:ascii="宋体" w:hAnsi="宋体" w:eastAsia="宋体" w:cs="宋体"/>
          <w:b/>
          <w:bCs/>
          <w:color w:val="auto"/>
          <w:sz w:val="28"/>
          <w:szCs w:val="28"/>
          <w:highlight w:val="none"/>
          <w:lang w:val="zh-CN"/>
        </w:rPr>
        <w:t>七、注意事项</w:t>
      </w:r>
      <w:bookmarkEnd w:id="651"/>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16"/>
    <w:bookmarkEnd w:id="625"/>
    <w:bookmarkEnd w:id="626"/>
    <w:bookmarkEnd w:id="627"/>
    <w:p>
      <w:pPr>
        <w:widowControl/>
        <w:jc w:val="left"/>
        <w:rPr>
          <w:rFonts w:ascii="宋体" w:hAnsi="宋体" w:eastAsia="宋体" w:cs="宋体"/>
          <w:color w:val="auto"/>
          <w:szCs w:val="24"/>
          <w:highlight w:val="none"/>
          <w:lang w:val="zh-CN"/>
        </w:rPr>
      </w:pPr>
    </w:p>
    <w:p>
      <w:pPr>
        <w:rPr>
          <w:color w:val="auto"/>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2F378"/>
    <w:multiLevelType w:val="singleLevel"/>
    <w:tmpl w:val="E4B2F378"/>
    <w:lvl w:ilvl="0" w:tentative="0">
      <w:start w:val="6"/>
      <w:numFmt w:val="chineseCounting"/>
      <w:suff w:val="space"/>
      <w:lvlText w:val="第%1条"/>
      <w:lvlJc w:val="left"/>
      <w:rPr>
        <w:rFonts w:hint="eastAsia"/>
      </w:rPr>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5B1BFD"/>
    <w:multiLevelType w:val="singleLevel"/>
    <w:tmpl w:val="465B1BFD"/>
    <w:lvl w:ilvl="0" w:tentative="0">
      <w:start w:val="3"/>
      <w:numFmt w:val="decimal"/>
      <w:suff w:val="space"/>
      <w:lvlText w:val="%1."/>
      <w:lvlJc w:val="left"/>
    </w:lvl>
  </w:abstractNum>
  <w:abstractNum w:abstractNumId="6">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ZDAwOTZkOGMwZDIzZTExMGYxYWE0OWFmOTJlZDYifQ=="/>
    <w:docVar w:name="KSO_WPS_MARK_KEY" w:val="e1f0e268-c754-4dc4-a62f-7dc2883b98c3"/>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FE5AC7"/>
    <w:rsid w:val="039B1F5B"/>
    <w:rsid w:val="03EB687C"/>
    <w:rsid w:val="052A7376"/>
    <w:rsid w:val="0589095D"/>
    <w:rsid w:val="05892FD6"/>
    <w:rsid w:val="058F7720"/>
    <w:rsid w:val="06447858"/>
    <w:rsid w:val="06A75D00"/>
    <w:rsid w:val="06D2466E"/>
    <w:rsid w:val="09EF6925"/>
    <w:rsid w:val="0AF22E67"/>
    <w:rsid w:val="0CF103CF"/>
    <w:rsid w:val="0D8969C3"/>
    <w:rsid w:val="0D8D0DBF"/>
    <w:rsid w:val="0E2C3A9B"/>
    <w:rsid w:val="0E5651E5"/>
    <w:rsid w:val="0EAD0259"/>
    <w:rsid w:val="0F241091"/>
    <w:rsid w:val="10786EB9"/>
    <w:rsid w:val="10D508A6"/>
    <w:rsid w:val="120038EF"/>
    <w:rsid w:val="12374125"/>
    <w:rsid w:val="123862C3"/>
    <w:rsid w:val="128A306A"/>
    <w:rsid w:val="1299128B"/>
    <w:rsid w:val="12B3371A"/>
    <w:rsid w:val="130F4A87"/>
    <w:rsid w:val="135274FF"/>
    <w:rsid w:val="13A42D76"/>
    <w:rsid w:val="14AD06B6"/>
    <w:rsid w:val="16266991"/>
    <w:rsid w:val="16484904"/>
    <w:rsid w:val="16B57167"/>
    <w:rsid w:val="17300D4A"/>
    <w:rsid w:val="179174CA"/>
    <w:rsid w:val="199F52B5"/>
    <w:rsid w:val="1A126430"/>
    <w:rsid w:val="1A91246B"/>
    <w:rsid w:val="1A93020C"/>
    <w:rsid w:val="1B0940FF"/>
    <w:rsid w:val="1DA676DE"/>
    <w:rsid w:val="1E2471AC"/>
    <w:rsid w:val="1EAF4A3F"/>
    <w:rsid w:val="1F7B7AC2"/>
    <w:rsid w:val="20035D2D"/>
    <w:rsid w:val="20167F3D"/>
    <w:rsid w:val="207A1985"/>
    <w:rsid w:val="20FC3894"/>
    <w:rsid w:val="214822AA"/>
    <w:rsid w:val="21B042D1"/>
    <w:rsid w:val="230422F1"/>
    <w:rsid w:val="24F45147"/>
    <w:rsid w:val="264D10EC"/>
    <w:rsid w:val="26922766"/>
    <w:rsid w:val="286E02B3"/>
    <w:rsid w:val="288323EF"/>
    <w:rsid w:val="28CD7B64"/>
    <w:rsid w:val="28DA73F5"/>
    <w:rsid w:val="2A0C1E88"/>
    <w:rsid w:val="2A6A6072"/>
    <w:rsid w:val="2B6928B9"/>
    <w:rsid w:val="2BD867FA"/>
    <w:rsid w:val="2C4E54D4"/>
    <w:rsid w:val="2C85114F"/>
    <w:rsid w:val="2CFC2BFE"/>
    <w:rsid w:val="2D125C2F"/>
    <w:rsid w:val="2DB11966"/>
    <w:rsid w:val="2DC22AB1"/>
    <w:rsid w:val="2E8E3D25"/>
    <w:rsid w:val="2FEF6701"/>
    <w:rsid w:val="305A54BE"/>
    <w:rsid w:val="3066323D"/>
    <w:rsid w:val="30BD39F7"/>
    <w:rsid w:val="314D028A"/>
    <w:rsid w:val="316F58F8"/>
    <w:rsid w:val="32DB32F1"/>
    <w:rsid w:val="32DE478B"/>
    <w:rsid w:val="33316A30"/>
    <w:rsid w:val="337431B3"/>
    <w:rsid w:val="33AD6D0D"/>
    <w:rsid w:val="355530AA"/>
    <w:rsid w:val="360B77BD"/>
    <w:rsid w:val="362200FD"/>
    <w:rsid w:val="364631D7"/>
    <w:rsid w:val="368928C2"/>
    <w:rsid w:val="37CD7FBF"/>
    <w:rsid w:val="39060349"/>
    <w:rsid w:val="397A6507"/>
    <w:rsid w:val="3A354264"/>
    <w:rsid w:val="3A61665F"/>
    <w:rsid w:val="3B1F29B6"/>
    <w:rsid w:val="3B8120B7"/>
    <w:rsid w:val="3B8E088C"/>
    <w:rsid w:val="3B9971A7"/>
    <w:rsid w:val="3DB4514D"/>
    <w:rsid w:val="3F323D3F"/>
    <w:rsid w:val="3F583CDA"/>
    <w:rsid w:val="3F5B255F"/>
    <w:rsid w:val="40D64D12"/>
    <w:rsid w:val="413C3771"/>
    <w:rsid w:val="42735518"/>
    <w:rsid w:val="42AC7EA2"/>
    <w:rsid w:val="43810E7D"/>
    <w:rsid w:val="43B50E83"/>
    <w:rsid w:val="44A02DC8"/>
    <w:rsid w:val="45E6344A"/>
    <w:rsid w:val="4684018C"/>
    <w:rsid w:val="47742363"/>
    <w:rsid w:val="48541414"/>
    <w:rsid w:val="49005821"/>
    <w:rsid w:val="4937653D"/>
    <w:rsid w:val="4A65649A"/>
    <w:rsid w:val="4B2C30AD"/>
    <w:rsid w:val="4C567E51"/>
    <w:rsid w:val="4C9B0664"/>
    <w:rsid w:val="4CE46E70"/>
    <w:rsid w:val="4CFC0ABB"/>
    <w:rsid w:val="4DC05698"/>
    <w:rsid w:val="4EC74518"/>
    <w:rsid w:val="4F0A4599"/>
    <w:rsid w:val="4F5640C8"/>
    <w:rsid w:val="4F6216ED"/>
    <w:rsid w:val="4F966470"/>
    <w:rsid w:val="4FCD1AFA"/>
    <w:rsid w:val="5008042A"/>
    <w:rsid w:val="50C61400"/>
    <w:rsid w:val="51394833"/>
    <w:rsid w:val="51525257"/>
    <w:rsid w:val="51B6494C"/>
    <w:rsid w:val="52F80915"/>
    <w:rsid w:val="53F60477"/>
    <w:rsid w:val="54C47921"/>
    <w:rsid w:val="56313392"/>
    <w:rsid w:val="568802DB"/>
    <w:rsid w:val="56B37004"/>
    <w:rsid w:val="56C705CE"/>
    <w:rsid w:val="578425AD"/>
    <w:rsid w:val="58103DAD"/>
    <w:rsid w:val="59633BAD"/>
    <w:rsid w:val="59AB43DE"/>
    <w:rsid w:val="5A1522A3"/>
    <w:rsid w:val="5A9604CE"/>
    <w:rsid w:val="5B01059D"/>
    <w:rsid w:val="5B124E51"/>
    <w:rsid w:val="5BD3736E"/>
    <w:rsid w:val="5BE12FA3"/>
    <w:rsid w:val="5C8D3811"/>
    <w:rsid w:val="5D6836E1"/>
    <w:rsid w:val="5D7B7514"/>
    <w:rsid w:val="5D8866EC"/>
    <w:rsid w:val="5EBF421E"/>
    <w:rsid w:val="5F2B15E7"/>
    <w:rsid w:val="6052390D"/>
    <w:rsid w:val="60A305BA"/>
    <w:rsid w:val="60D23E1E"/>
    <w:rsid w:val="60F74BF7"/>
    <w:rsid w:val="62B13874"/>
    <w:rsid w:val="635263D8"/>
    <w:rsid w:val="63672753"/>
    <w:rsid w:val="637F07C8"/>
    <w:rsid w:val="63A541F6"/>
    <w:rsid w:val="6428524E"/>
    <w:rsid w:val="645779AB"/>
    <w:rsid w:val="64D75675"/>
    <w:rsid w:val="65E62E7A"/>
    <w:rsid w:val="66424514"/>
    <w:rsid w:val="669E4DEE"/>
    <w:rsid w:val="66C2051B"/>
    <w:rsid w:val="67025C30"/>
    <w:rsid w:val="67BB5990"/>
    <w:rsid w:val="67C91D62"/>
    <w:rsid w:val="67E81252"/>
    <w:rsid w:val="684F34B9"/>
    <w:rsid w:val="698A426B"/>
    <w:rsid w:val="69A12B65"/>
    <w:rsid w:val="69D97F5B"/>
    <w:rsid w:val="6A737282"/>
    <w:rsid w:val="6AAD178D"/>
    <w:rsid w:val="6AC913FD"/>
    <w:rsid w:val="6AE606B8"/>
    <w:rsid w:val="6B2C395E"/>
    <w:rsid w:val="6C705773"/>
    <w:rsid w:val="6CC649E7"/>
    <w:rsid w:val="6DD30A18"/>
    <w:rsid w:val="6E242E71"/>
    <w:rsid w:val="6E5D3D30"/>
    <w:rsid w:val="6E644F7F"/>
    <w:rsid w:val="6F5F71DE"/>
    <w:rsid w:val="6F6F261D"/>
    <w:rsid w:val="6F904159"/>
    <w:rsid w:val="71166CF2"/>
    <w:rsid w:val="72010C56"/>
    <w:rsid w:val="72A03F09"/>
    <w:rsid w:val="73177FDB"/>
    <w:rsid w:val="743D7CF2"/>
    <w:rsid w:val="74C116F8"/>
    <w:rsid w:val="74EA07C1"/>
    <w:rsid w:val="74F900F2"/>
    <w:rsid w:val="74FF729A"/>
    <w:rsid w:val="75346373"/>
    <w:rsid w:val="79B73D64"/>
    <w:rsid w:val="79BE32C5"/>
    <w:rsid w:val="7C001866"/>
    <w:rsid w:val="7D6457E7"/>
    <w:rsid w:val="7E02133A"/>
    <w:rsid w:val="7E5F1447"/>
    <w:rsid w:val="7EE0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6"/>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First Indent"/>
    <w:basedOn w:val="2"/>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customStyle="1" w:styleId="10">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1"/>
    <w:unhideWhenUsed/>
    <w:qFormat/>
    <w:uiPriority w:val="99"/>
    <w:pPr>
      <w:jc w:val="left"/>
    </w:pPr>
  </w:style>
  <w:style w:type="paragraph" w:styleId="19">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8"/>
    <w:next w:val="18"/>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5"/>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7"/>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11"/>
    <w:qFormat/>
    <w:uiPriority w:val="9"/>
    <w:rPr>
      <w:rFonts w:ascii="Times New Roman" w:hAnsi="Calibri" w:eastAsia="黑体" w:cs="Times New Roman"/>
      <w:b/>
      <w:bCs/>
      <w:kern w:val="0"/>
      <w:sz w:val="28"/>
      <w:szCs w:val="24"/>
    </w:rPr>
  </w:style>
  <w:style w:type="character" w:customStyle="1" w:styleId="52">
    <w:name w:val="标题 8 Char"/>
    <w:basedOn w:val="38"/>
    <w:link w:val="12"/>
    <w:qFormat/>
    <w:uiPriority w:val="9"/>
    <w:rPr>
      <w:rFonts w:ascii="Times New Roman" w:hAnsi="Calibri" w:eastAsia="黑体" w:cs="Times New Roman"/>
      <w:b/>
      <w:kern w:val="0"/>
      <w:sz w:val="28"/>
      <w:szCs w:val="24"/>
    </w:rPr>
  </w:style>
  <w:style w:type="character" w:customStyle="1" w:styleId="53">
    <w:name w:val="标题 9 Char"/>
    <w:basedOn w:val="38"/>
    <w:link w:val="13"/>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5"/>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6"/>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10"/>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6"/>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2"/>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8"/>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9"/>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6"/>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4"/>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9"/>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8"/>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3"/>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77449</Words>
  <Characters>87475</Characters>
  <Lines>314</Lines>
  <Paragraphs>88</Paragraphs>
  <TotalTime>29</TotalTime>
  <ScaleCrop>false</ScaleCrop>
  <LinksUpToDate>false</LinksUpToDate>
  <CharactersWithSpaces>92936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三方诚信-陈工</cp:lastModifiedBy>
  <cp:lastPrinted>2024-11-25T02:40:00Z</cp:lastPrinted>
  <dcterms:modified xsi:type="dcterms:W3CDTF">2024-11-27T02:29:06Z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E5DB8A5FF97942FC851C18EB3766A8C3_13</vt:lpwstr>
  </property>
</Properties>
</file>