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9924B">
      <w:pPr>
        <w:snapToGrid w:val="0"/>
        <w:spacing w:beforeLines="0" w:afterLines="0" w:line="360" w:lineRule="auto"/>
        <w:ind w:right="-26"/>
        <w:jc w:val="center"/>
        <w:rPr>
          <w:rFonts w:hint="default" w:hAnsi="宋体"/>
          <w:b/>
          <w:kern w:val="2"/>
          <w:sz w:val="44"/>
          <w:szCs w:val="44"/>
          <w:lang w:val="zh-CN"/>
        </w:rPr>
      </w:pPr>
    </w:p>
    <w:p w14:paraId="69026876">
      <w:pPr>
        <w:snapToGrid w:val="0"/>
        <w:spacing w:beforeLines="0" w:afterLines="0" w:line="360" w:lineRule="auto"/>
        <w:ind w:right="-26"/>
        <w:jc w:val="center"/>
        <w:rPr>
          <w:rFonts w:hint="default" w:hAnsi="宋体"/>
          <w:b/>
          <w:kern w:val="2"/>
          <w:sz w:val="44"/>
          <w:szCs w:val="44"/>
          <w:lang w:val="zh-CN"/>
        </w:rPr>
      </w:pPr>
    </w:p>
    <w:p w14:paraId="455994E8">
      <w:pPr>
        <w:spacing w:beforeLines="0" w:afterLines="0" w:line="360" w:lineRule="auto"/>
        <w:jc w:val="center"/>
        <w:outlineLvl w:val="0"/>
        <w:rPr>
          <w:rFonts w:hint="default" w:hAnsi="宋体"/>
          <w:b/>
          <w:kern w:val="2"/>
          <w:sz w:val="48"/>
          <w:szCs w:val="48"/>
          <w:lang w:val="zh-CN"/>
        </w:rPr>
      </w:pPr>
      <w:bookmarkStart w:id="0" w:name="_Toc24464"/>
      <w:bookmarkStart w:id="1" w:name="_Toc32217"/>
      <w:r>
        <w:rPr>
          <w:rFonts w:hint="default" w:hAnsi="宋体"/>
          <w:b/>
          <w:kern w:val="2"/>
          <w:sz w:val="48"/>
          <w:szCs w:val="48"/>
          <w:lang w:val="zh-CN"/>
        </w:rPr>
        <w:t>管网运营平台管网清疏检测功能升级建设项目询价文件</w:t>
      </w:r>
      <w:bookmarkEnd w:id="0"/>
      <w:bookmarkEnd w:id="1"/>
    </w:p>
    <w:p w14:paraId="0866696C">
      <w:pPr>
        <w:snapToGrid w:val="0"/>
        <w:spacing w:beforeLines="0" w:afterLines="0" w:line="360" w:lineRule="auto"/>
        <w:ind w:right="-26"/>
        <w:jc w:val="center"/>
        <w:rPr>
          <w:rFonts w:hint="default" w:hAnsi="宋体"/>
          <w:b/>
          <w:kern w:val="2"/>
          <w:sz w:val="32"/>
          <w:szCs w:val="32"/>
          <w:lang w:val="zh-CN"/>
        </w:rPr>
      </w:pPr>
    </w:p>
    <w:p w14:paraId="3A06BF04">
      <w:pPr>
        <w:snapToGrid w:val="0"/>
        <w:spacing w:beforeLines="0" w:afterLines="0" w:line="360" w:lineRule="auto"/>
        <w:ind w:right="-26"/>
        <w:jc w:val="center"/>
        <w:rPr>
          <w:rFonts w:hint="default" w:hAnsi="宋体"/>
          <w:b/>
          <w:kern w:val="2"/>
          <w:sz w:val="44"/>
          <w:szCs w:val="44"/>
          <w:lang w:val="zh-CN"/>
        </w:rPr>
      </w:pPr>
    </w:p>
    <w:p w14:paraId="7C8A73BF">
      <w:pPr>
        <w:snapToGrid w:val="0"/>
        <w:spacing w:beforeLines="0" w:afterLines="0" w:line="360" w:lineRule="auto"/>
        <w:ind w:right="-26"/>
        <w:jc w:val="center"/>
        <w:rPr>
          <w:rFonts w:hint="default" w:hAnsi="宋体"/>
          <w:b/>
          <w:kern w:val="2"/>
          <w:sz w:val="44"/>
          <w:szCs w:val="44"/>
          <w:lang w:val="zh-CN"/>
        </w:rPr>
      </w:pPr>
    </w:p>
    <w:p w14:paraId="67F43A04">
      <w:pPr>
        <w:snapToGrid w:val="0"/>
        <w:spacing w:beforeLines="0" w:afterLines="0" w:line="360" w:lineRule="auto"/>
        <w:ind w:right="-26"/>
        <w:jc w:val="center"/>
        <w:rPr>
          <w:rFonts w:hint="default" w:hAnsi="宋体"/>
          <w:b/>
          <w:kern w:val="2"/>
          <w:sz w:val="44"/>
          <w:szCs w:val="44"/>
          <w:lang w:val="zh-CN"/>
        </w:rPr>
      </w:pPr>
    </w:p>
    <w:p w14:paraId="5D5DF6D4">
      <w:pPr>
        <w:snapToGrid w:val="0"/>
        <w:spacing w:beforeLines="0" w:afterLines="0" w:line="360" w:lineRule="auto"/>
        <w:ind w:right="-26"/>
        <w:rPr>
          <w:rFonts w:hint="default" w:hAnsi="宋体"/>
          <w:b/>
          <w:kern w:val="2"/>
          <w:sz w:val="44"/>
          <w:szCs w:val="44"/>
          <w:lang w:val="zh-CN"/>
        </w:rPr>
      </w:pPr>
    </w:p>
    <w:p w14:paraId="7178FD37">
      <w:pPr>
        <w:snapToGrid w:val="0"/>
        <w:spacing w:beforeLines="0" w:afterLines="0" w:line="360" w:lineRule="auto"/>
        <w:ind w:right="-26"/>
        <w:jc w:val="center"/>
        <w:rPr>
          <w:rFonts w:hint="default" w:hAnsi="宋体"/>
          <w:b/>
          <w:kern w:val="2"/>
          <w:sz w:val="44"/>
          <w:szCs w:val="44"/>
          <w:lang w:val="zh-CN"/>
        </w:rPr>
      </w:pPr>
    </w:p>
    <w:p w14:paraId="1FF96D62">
      <w:pPr>
        <w:snapToGrid w:val="0"/>
        <w:spacing w:beforeLines="0" w:afterLines="0" w:line="360" w:lineRule="auto"/>
        <w:ind w:right="-26"/>
        <w:jc w:val="center"/>
        <w:rPr>
          <w:rFonts w:hint="default" w:hAnsi="宋体"/>
          <w:b/>
          <w:kern w:val="2"/>
          <w:sz w:val="44"/>
          <w:szCs w:val="44"/>
          <w:lang w:val="zh-CN"/>
        </w:rPr>
      </w:pPr>
    </w:p>
    <w:p w14:paraId="3505FB7E">
      <w:pPr>
        <w:pStyle w:val="3"/>
        <w:spacing w:beforeLines="0" w:afterLines="0"/>
        <w:rPr>
          <w:rFonts w:hint="default"/>
          <w:sz w:val="84"/>
          <w:szCs w:val="84"/>
        </w:rPr>
      </w:pPr>
    </w:p>
    <w:p w14:paraId="438561C3">
      <w:pPr>
        <w:snapToGrid w:val="0"/>
        <w:spacing w:beforeLines="0" w:after="120" w:afterLines="50" w:line="360" w:lineRule="auto"/>
        <w:jc w:val="center"/>
        <w:outlineLvl w:val="0"/>
        <w:rPr>
          <w:rFonts w:hint="default" w:hAnsi="宋体"/>
          <w:b/>
          <w:kern w:val="2"/>
          <w:sz w:val="32"/>
          <w:szCs w:val="32"/>
          <w:lang w:val="zh-CN"/>
        </w:rPr>
      </w:pPr>
      <w:bookmarkStart w:id="2" w:name="_Toc15658"/>
      <w:bookmarkStart w:id="3" w:name="_Toc17170"/>
      <w:bookmarkStart w:id="4" w:name="_Toc31924"/>
      <w:r>
        <w:rPr>
          <w:rFonts w:hint="default" w:hAnsi="宋体"/>
          <w:b/>
          <w:kern w:val="2"/>
          <w:sz w:val="32"/>
          <w:szCs w:val="32"/>
          <w:lang w:val="zh-CN"/>
        </w:rPr>
        <w:t>东莞市水务集团管网有限公司</w:t>
      </w:r>
      <w:bookmarkEnd w:id="2"/>
      <w:bookmarkEnd w:id="3"/>
      <w:bookmarkEnd w:id="4"/>
    </w:p>
    <w:p w14:paraId="1BF4555A">
      <w:pPr>
        <w:snapToGrid w:val="0"/>
        <w:spacing w:beforeLines="0" w:after="120" w:afterLines="50" w:line="360" w:lineRule="auto"/>
        <w:jc w:val="center"/>
        <w:rPr>
          <w:rFonts w:hint="default" w:hAnsi="宋体"/>
          <w:b/>
          <w:color w:val="000000"/>
          <w:kern w:val="2"/>
          <w:sz w:val="32"/>
          <w:szCs w:val="32"/>
          <w:lang w:val="zh-CN"/>
        </w:rPr>
        <w:sectPr>
          <w:footerReference r:id="rId4" w:type="default"/>
          <w:pgSz w:w="11906" w:h="16838"/>
          <w:pgMar w:top="1440" w:right="1797" w:bottom="1440" w:left="1797" w:header="851" w:footer="992" w:gutter="0"/>
          <w:lnNumType w:countBy="0" w:distance="360"/>
          <w:pgNumType w:fmt="decimal"/>
          <w:cols w:space="720" w:num="1"/>
          <w:docGrid w:type="lines" w:linePitch="312" w:charSpace="0"/>
        </w:sectPr>
      </w:pPr>
      <w:r>
        <w:rPr>
          <w:rFonts w:hint="default" w:hAnsi="宋体"/>
          <w:b/>
          <w:color w:val="000000"/>
          <w:kern w:val="2"/>
          <w:sz w:val="32"/>
          <w:szCs w:val="32"/>
          <w:lang w:val="zh-CN"/>
        </w:rPr>
        <w:t>202</w:t>
      </w:r>
      <w:r>
        <w:rPr>
          <w:rFonts w:hint="default" w:hAnsi="宋体"/>
          <w:b/>
          <w:color w:val="000000"/>
          <w:kern w:val="2"/>
          <w:sz w:val="32"/>
          <w:szCs w:val="32"/>
        </w:rPr>
        <w:t>4</w:t>
      </w:r>
      <w:r>
        <w:rPr>
          <w:rFonts w:hint="default" w:hAnsi="宋体"/>
          <w:b/>
          <w:color w:val="000000"/>
          <w:kern w:val="2"/>
          <w:sz w:val="32"/>
          <w:szCs w:val="32"/>
          <w:lang w:val="zh-CN"/>
        </w:rPr>
        <w:t>年</w:t>
      </w:r>
      <w:r>
        <w:rPr>
          <w:rFonts w:hint="eastAsia" w:hAnsi="宋体"/>
          <w:b/>
          <w:color w:val="000000"/>
          <w:kern w:val="2"/>
          <w:sz w:val="32"/>
          <w:szCs w:val="32"/>
          <w:lang w:val="en-US" w:eastAsia="zh-CN"/>
        </w:rPr>
        <w:t>12</w:t>
      </w:r>
      <w:r>
        <w:rPr>
          <w:rFonts w:hint="default" w:hAnsi="宋体"/>
          <w:b/>
          <w:color w:val="000000"/>
          <w:kern w:val="2"/>
          <w:sz w:val="32"/>
          <w:szCs w:val="32"/>
          <w:lang w:val="zh-CN"/>
        </w:rPr>
        <w:t>月</w:t>
      </w:r>
      <w:r>
        <w:rPr>
          <w:rFonts w:hint="eastAsia" w:hAnsi="宋体"/>
          <w:b/>
          <w:color w:val="000000"/>
          <w:kern w:val="2"/>
          <w:sz w:val="32"/>
          <w:szCs w:val="32"/>
          <w:lang w:val="en-US" w:eastAsia="zh-CN"/>
        </w:rPr>
        <w:t>10</w:t>
      </w:r>
      <w:r>
        <w:rPr>
          <w:rFonts w:hint="default" w:hAnsi="宋体"/>
          <w:b/>
          <w:color w:val="000000"/>
          <w:kern w:val="2"/>
          <w:sz w:val="32"/>
          <w:szCs w:val="32"/>
          <w:lang w:val="zh-CN"/>
        </w:rPr>
        <w:t>日</w:t>
      </w:r>
    </w:p>
    <w:sdt>
      <w:sdtPr>
        <w:rPr>
          <w:rFonts w:hint="default" w:ascii="宋体" w:hAnsi="宋体" w:eastAsia="宋体" w:cs="Times New Roman"/>
          <w:sz w:val="24"/>
          <w:szCs w:val="24"/>
          <w:lang w:val="en-US" w:eastAsia="zh-CN" w:bidi="ar-SA"/>
        </w:rPr>
        <w:id w:val="147456924"/>
        <w15:color w:val="DBDBDB"/>
        <w:docPartObj>
          <w:docPartGallery w:val="Table of Contents"/>
          <w:docPartUnique/>
        </w:docPartObj>
      </w:sdtPr>
      <w:sdtEndPr>
        <w:rPr>
          <w:rFonts w:hint="default" w:ascii="宋体" w:hAnsi="宋体" w:eastAsia="宋体" w:cs="Times New Roman"/>
          <w:spacing w:val="28"/>
          <w:sz w:val="24"/>
          <w:szCs w:val="32"/>
          <w:lang w:val="en-US" w:eastAsia="zh-CN" w:bidi="ar-SA"/>
        </w:rPr>
      </w:sdtEndPr>
      <w:sdtContent>
        <w:p w14:paraId="646C6FD8">
          <w:pPr>
            <w:spacing w:before="0" w:beforeLines="0" w:after="0" w:afterLines="0" w:line="240" w:lineRule="auto"/>
            <w:ind w:left="0" w:leftChars="0" w:right="0" w:rightChars="0" w:firstLine="0" w:firstLineChars="0"/>
            <w:jc w:val="center"/>
            <w:rPr>
              <w:sz w:val="24"/>
              <w:szCs w:val="24"/>
            </w:rPr>
          </w:pPr>
          <w:r>
            <w:rPr>
              <w:rFonts w:ascii="宋体" w:hAnsi="宋体" w:eastAsia="宋体"/>
              <w:sz w:val="24"/>
              <w:szCs w:val="24"/>
            </w:rPr>
            <w:t>目录</w:t>
          </w:r>
        </w:p>
        <w:p w14:paraId="2EE4CAB4">
          <w:pPr>
            <w:pStyle w:val="12"/>
            <w:tabs>
              <w:tab w:val="right" w:leader="dot" w:pos="8312"/>
            </w:tabs>
          </w:pPr>
          <w:r>
            <w:rPr>
              <w:rFonts w:hint="default" w:hAnsi="宋体"/>
              <w:b/>
              <w:spacing w:val="28"/>
              <w:sz w:val="32"/>
              <w:szCs w:val="32"/>
            </w:rPr>
            <w:fldChar w:fldCharType="begin"/>
          </w:r>
          <w:r>
            <w:rPr>
              <w:rFonts w:hint="default" w:hAnsi="宋体"/>
              <w:b/>
              <w:spacing w:val="28"/>
              <w:sz w:val="32"/>
              <w:szCs w:val="32"/>
            </w:rPr>
            <w:instrText xml:space="preserve">TOC \o "1-1" \h \u </w:instrText>
          </w:r>
          <w:r>
            <w:rPr>
              <w:rFonts w:hint="default" w:hAnsi="宋体"/>
              <w:b/>
              <w:spacing w:val="28"/>
              <w:sz w:val="32"/>
              <w:szCs w:val="32"/>
            </w:rPr>
            <w:fldChar w:fldCharType="separate"/>
          </w:r>
        </w:p>
        <w:p w14:paraId="65C2EAE7">
          <w:pPr>
            <w:pStyle w:val="12"/>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_Toc4918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rPr>
            <w:t>第一章 询价邀请函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_Toc4918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68BBDA00">
          <w:pPr>
            <w:pStyle w:val="12"/>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_Toc11234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rPr>
            <w:t>第二章 用户需求书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_Toc11234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49B5B122">
          <w:pPr>
            <w:pStyle w:val="12"/>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_Toc21465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lang w:val="en-US" w:eastAsia="zh-CN"/>
            </w:rPr>
            <w:t>第三章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_Toc21465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500A544A">
          <w:pPr>
            <w:pStyle w:val="12"/>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_Toc17293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rPr>
            <w:t>第四章 报价须知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_Toc17293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20A75C4C">
          <w:pPr>
            <w:pStyle w:val="12"/>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_Toc13624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章 报价文件（格式）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_Toc13624 \h </w:instrText>
          </w:r>
          <w:r>
            <w:rPr>
              <w:rFonts w:hint="eastAsia" w:ascii="宋体" w:hAnsi="宋体" w:eastAsia="宋体" w:cs="宋体"/>
              <w:sz w:val="24"/>
              <w:szCs w:val="24"/>
            </w:rPr>
            <w:fldChar w:fldCharType="separate"/>
          </w:r>
          <w:r>
            <w:rPr>
              <w:rFonts w:hint="eastAsia" w:ascii="宋体" w:hAnsi="宋体" w:eastAsia="宋体" w:cs="宋体"/>
              <w:sz w:val="24"/>
              <w:szCs w:val="24"/>
            </w:rPr>
            <w:t>77</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5756FF5A">
          <w:pPr>
            <w:pStyle w:val="12"/>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4E35377C">
          <w:pPr>
            <w:pStyle w:val="12"/>
            <w:tabs>
              <w:tab w:val="right" w:leader="dot" w:pos="8312"/>
            </w:tabs>
          </w:pPr>
        </w:p>
        <w:p w14:paraId="03D63934">
          <w:pPr>
            <w:snapToGrid w:val="0"/>
            <w:spacing w:beforeLines="0" w:after="120" w:afterLines="50" w:line="360" w:lineRule="auto"/>
            <w:jc w:val="center"/>
            <w:rPr>
              <w:rFonts w:hint="default" w:hAnsi="宋体"/>
              <w:b/>
              <w:spacing w:val="28"/>
              <w:sz w:val="32"/>
              <w:szCs w:val="32"/>
            </w:rPr>
          </w:pPr>
          <w:r>
            <w:rPr>
              <w:rFonts w:hint="default" w:hAnsi="宋体"/>
              <w:spacing w:val="28"/>
              <w:szCs w:val="32"/>
            </w:rPr>
            <w:fldChar w:fldCharType="end"/>
          </w:r>
        </w:p>
      </w:sdtContent>
    </w:sdt>
    <w:p w14:paraId="1FDFA0CF">
      <w:pPr>
        <w:snapToGrid w:val="0"/>
        <w:spacing w:beforeLines="0" w:after="120" w:afterLines="50" w:line="360" w:lineRule="auto"/>
        <w:jc w:val="center"/>
        <w:rPr>
          <w:rFonts w:hint="default" w:hAnsi="宋体"/>
          <w:b/>
          <w:spacing w:val="28"/>
          <w:sz w:val="32"/>
          <w:szCs w:val="32"/>
        </w:rPr>
      </w:pPr>
    </w:p>
    <w:p w14:paraId="32862508">
      <w:pPr>
        <w:snapToGrid w:val="0"/>
        <w:spacing w:beforeLines="0" w:after="120" w:afterLines="50" w:line="360" w:lineRule="auto"/>
        <w:jc w:val="center"/>
        <w:rPr>
          <w:rFonts w:hint="default" w:hAnsi="宋体"/>
          <w:b/>
          <w:spacing w:val="28"/>
          <w:sz w:val="32"/>
          <w:szCs w:val="32"/>
        </w:rPr>
      </w:pPr>
    </w:p>
    <w:p w14:paraId="365E3B7E">
      <w:pPr>
        <w:snapToGrid w:val="0"/>
        <w:spacing w:beforeLines="0" w:after="120" w:afterLines="50" w:line="360" w:lineRule="auto"/>
        <w:jc w:val="center"/>
        <w:rPr>
          <w:rFonts w:hint="default" w:hAnsi="宋体"/>
          <w:b/>
          <w:spacing w:val="28"/>
          <w:sz w:val="32"/>
          <w:szCs w:val="32"/>
        </w:rPr>
      </w:pPr>
    </w:p>
    <w:p w14:paraId="2D384A5F">
      <w:pPr>
        <w:snapToGrid w:val="0"/>
        <w:spacing w:beforeLines="0" w:after="120" w:afterLines="50" w:line="360" w:lineRule="auto"/>
        <w:jc w:val="center"/>
        <w:rPr>
          <w:rFonts w:hint="default" w:hAnsi="宋体"/>
          <w:b/>
          <w:spacing w:val="28"/>
          <w:sz w:val="32"/>
          <w:szCs w:val="32"/>
        </w:rPr>
      </w:pPr>
    </w:p>
    <w:p w14:paraId="6635EC7C">
      <w:pPr>
        <w:snapToGrid w:val="0"/>
        <w:spacing w:beforeLines="0" w:after="120" w:afterLines="50" w:line="360" w:lineRule="auto"/>
        <w:jc w:val="center"/>
        <w:rPr>
          <w:rFonts w:hint="default" w:hAnsi="宋体"/>
          <w:b/>
          <w:spacing w:val="28"/>
          <w:sz w:val="32"/>
          <w:szCs w:val="32"/>
        </w:rPr>
      </w:pPr>
    </w:p>
    <w:p w14:paraId="21B960FA">
      <w:pPr>
        <w:snapToGrid w:val="0"/>
        <w:spacing w:beforeLines="0" w:after="120" w:afterLines="50" w:line="360" w:lineRule="auto"/>
        <w:jc w:val="center"/>
        <w:rPr>
          <w:rFonts w:hint="default" w:hAnsi="宋体"/>
          <w:b/>
          <w:spacing w:val="28"/>
          <w:sz w:val="32"/>
          <w:szCs w:val="32"/>
        </w:rPr>
      </w:pPr>
    </w:p>
    <w:p w14:paraId="7E64C0C4">
      <w:pPr>
        <w:snapToGrid w:val="0"/>
        <w:spacing w:beforeLines="0" w:after="120" w:afterLines="50" w:line="360" w:lineRule="auto"/>
        <w:jc w:val="center"/>
        <w:rPr>
          <w:rFonts w:hint="default" w:hAnsi="宋体"/>
          <w:b/>
          <w:spacing w:val="28"/>
          <w:sz w:val="32"/>
          <w:szCs w:val="32"/>
        </w:rPr>
      </w:pPr>
    </w:p>
    <w:p w14:paraId="736A4A69">
      <w:pPr>
        <w:snapToGrid w:val="0"/>
        <w:spacing w:beforeLines="0" w:after="120" w:afterLines="50" w:line="360" w:lineRule="auto"/>
        <w:jc w:val="center"/>
        <w:rPr>
          <w:rFonts w:hint="default" w:hAnsi="宋体"/>
          <w:b/>
          <w:spacing w:val="28"/>
          <w:sz w:val="32"/>
          <w:szCs w:val="32"/>
        </w:rPr>
      </w:pPr>
    </w:p>
    <w:p w14:paraId="17F14F91">
      <w:pPr>
        <w:snapToGrid w:val="0"/>
        <w:spacing w:beforeLines="0" w:after="120" w:afterLines="50" w:line="360" w:lineRule="auto"/>
        <w:jc w:val="center"/>
        <w:rPr>
          <w:rFonts w:hint="default" w:hAnsi="宋体"/>
          <w:b/>
          <w:spacing w:val="28"/>
          <w:sz w:val="32"/>
          <w:szCs w:val="32"/>
        </w:rPr>
      </w:pPr>
    </w:p>
    <w:p w14:paraId="043B5DD8">
      <w:pPr>
        <w:snapToGrid w:val="0"/>
        <w:spacing w:beforeLines="0" w:after="120" w:afterLines="50" w:line="360" w:lineRule="auto"/>
        <w:jc w:val="center"/>
        <w:rPr>
          <w:rFonts w:hint="default" w:hAnsi="宋体"/>
          <w:b/>
          <w:spacing w:val="28"/>
          <w:sz w:val="32"/>
          <w:szCs w:val="32"/>
        </w:rPr>
      </w:pPr>
    </w:p>
    <w:p w14:paraId="7D1D3EF6">
      <w:pPr>
        <w:snapToGrid w:val="0"/>
        <w:spacing w:beforeLines="0" w:after="120" w:afterLines="50" w:line="360" w:lineRule="auto"/>
        <w:jc w:val="center"/>
        <w:rPr>
          <w:rFonts w:hint="default" w:hAnsi="宋体"/>
          <w:b/>
          <w:spacing w:val="28"/>
          <w:sz w:val="32"/>
          <w:szCs w:val="32"/>
        </w:rPr>
      </w:pPr>
    </w:p>
    <w:p w14:paraId="61326A54">
      <w:pPr>
        <w:snapToGrid w:val="0"/>
        <w:spacing w:beforeLines="0" w:afterLines="0" w:line="360" w:lineRule="auto"/>
        <w:rPr>
          <w:rFonts w:hint="default" w:hAnsi="宋体"/>
          <w:sz w:val="24"/>
          <w:szCs w:val="24"/>
        </w:rPr>
        <w:sectPr>
          <w:pgSz w:w="11906" w:h="16838"/>
          <w:pgMar w:top="1440" w:right="1797" w:bottom="1440" w:left="1797" w:header="851" w:footer="992" w:gutter="0"/>
          <w:lnNumType w:countBy="0" w:distance="360"/>
          <w:pgNumType w:fmt="decimal"/>
          <w:cols w:space="720" w:num="1"/>
          <w:docGrid w:type="lines" w:linePitch="312" w:charSpace="0"/>
        </w:sectPr>
      </w:pPr>
    </w:p>
    <w:p w14:paraId="15E93ECA">
      <w:pPr>
        <w:pStyle w:val="4"/>
        <w:numPr>
          <w:ilvl w:val="0"/>
          <w:numId w:val="1"/>
        </w:numPr>
        <w:snapToGrid w:val="0"/>
        <w:spacing w:before="0" w:beforeLines="0" w:after="0" w:afterLines="0"/>
        <w:jc w:val="center"/>
        <w:rPr>
          <w:rFonts w:hint="default"/>
        </w:rPr>
      </w:pPr>
      <w:bookmarkStart w:id="5" w:name="_Toc14758"/>
      <w:bookmarkStart w:id="6" w:name="_Toc4918"/>
      <w:bookmarkStart w:id="7" w:name="_Toc23431"/>
      <w:r>
        <w:rPr>
          <w:rFonts w:hint="default" w:hAnsi="宋体"/>
          <w:sz w:val="32"/>
          <w:szCs w:val="32"/>
        </w:rPr>
        <w:t>询价邀请函</w:t>
      </w:r>
      <w:bookmarkEnd w:id="5"/>
      <w:bookmarkEnd w:id="6"/>
      <w:bookmarkEnd w:id="7"/>
    </w:p>
    <w:p w14:paraId="6305DBB7">
      <w:pPr>
        <w:snapToGrid w:val="0"/>
        <w:spacing w:beforeLines="0" w:afterLines="0" w:line="360" w:lineRule="auto"/>
        <w:rPr>
          <w:rFonts w:hint="default" w:hAnsi="宋体"/>
          <w:sz w:val="24"/>
          <w:szCs w:val="24"/>
        </w:rPr>
      </w:pPr>
      <w:r>
        <w:rPr>
          <w:rFonts w:hint="default" w:hAnsi="宋体"/>
          <w:sz w:val="24"/>
          <w:szCs w:val="24"/>
        </w:rPr>
        <w:t>各供应商:</w:t>
      </w:r>
    </w:p>
    <w:p w14:paraId="565AED50">
      <w:pPr>
        <w:snapToGrid w:val="0"/>
        <w:spacing w:beforeLines="0" w:afterLines="0" w:line="360" w:lineRule="auto"/>
        <w:ind w:firstLine="480" w:firstLineChars="200"/>
        <w:rPr>
          <w:rFonts w:hint="default" w:hAnsi="宋体"/>
          <w:sz w:val="24"/>
          <w:szCs w:val="24"/>
        </w:rPr>
      </w:pPr>
      <w:r>
        <w:rPr>
          <w:rFonts w:hint="default" w:hAnsi="宋体"/>
          <w:sz w:val="24"/>
          <w:szCs w:val="24"/>
        </w:rPr>
        <w:t>我公司的</w:t>
      </w:r>
      <w:r>
        <w:rPr>
          <w:rFonts w:hint="default" w:hAnsi="宋体"/>
          <w:color w:val="000000"/>
          <w:sz w:val="24"/>
          <w:szCs w:val="24"/>
        </w:rPr>
        <w:t>“管网运营平台管网清疏检测功能升级建设项目”</w:t>
      </w:r>
      <w:r>
        <w:rPr>
          <w:rFonts w:hint="default" w:hAnsi="宋体"/>
          <w:sz w:val="24"/>
          <w:szCs w:val="24"/>
        </w:rPr>
        <w:t>正式开展，现邀请贵司参与本项目的询价采购。具体采购信息如下：</w:t>
      </w:r>
    </w:p>
    <w:p w14:paraId="5B4A7EE5">
      <w:pPr>
        <w:snapToGrid w:val="0"/>
        <w:spacing w:beforeLines="0" w:afterLines="0" w:line="360" w:lineRule="auto"/>
        <w:ind w:firstLine="424" w:firstLineChars="177"/>
        <w:outlineLvl w:val="1"/>
        <w:rPr>
          <w:rFonts w:hint="default" w:hAnsi="宋体"/>
          <w:color w:val="000000"/>
          <w:sz w:val="24"/>
          <w:szCs w:val="24"/>
        </w:rPr>
      </w:pPr>
      <w:bookmarkStart w:id="8" w:name="_Toc5974"/>
      <w:r>
        <w:rPr>
          <w:rFonts w:hint="default" w:hAnsi="宋体"/>
          <w:sz w:val="24"/>
          <w:szCs w:val="24"/>
        </w:rPr>
        <w:t>一、采购项目编号：</w:t>
      </w:r>
      <w:bookmarkEnd w:id="8"/>
      <w:r>
        <w:rPr>
          <w:rFonts w:hint="default" w:hAnsi="宋体"/>
          <w:color w:val="000000"/>
          <w:sz w:val="24"/>
          <w:szCs w:val="24"/>
        </w:rPr>
        <w:t>2024-138</w:t>
      </w:r>
    </w:p>
    <w:p w14:paraId="2ECEA6B5">
      <w:pPr>
        <w:snapToGrid w:val="0"/>
        <w:spacing w:beforeLines="0" w:afterLines="0" w:line="360" w:lineRule="auto"/>
        <w:ind w:left="426" w:leftChars="177" w:hanging="1"/>
        <w:rPr>
          <w:rFonts w:hint="default" w:hAnsi="宋体"/>
          <w:color w:val="000000"/>
          <w:sz w:val="24"/>
          <w:szCs w:val="24"/>
        </w:rPr>
      </w:pPr>
      <w:r>
        <w:rPr>
          <w:rFonts w:hint="default" w:hAnsi="宋体"/>
          <w:sz w:val="24"/>
          <w:szCs w:val="24"/>
        </w:rPr>
        <w:t>二、采购项目名称：</w:t>
      </w:r>
      <w:r>
        <w:rPr>
          <w:rFonts w:hint="default" w:hAnsi="宋体"/>
          <w:color w:val="000000"/>
          <w:sz w:val="24"/>
          <w:szCs w:val="24"/>
        </w:rPr>
        <w:t>管网运营平台管网清疏检测功能升级建设项目</w:t>
      </w:r>
    </w:p>
    <w:p w14:paraId="7CA6D2F6">
      <w:pPr>
        <w:snapToGrid w:val="0"/>
        <w:spacing w:beforeLines="0" w:afterLines="0" w:line="360" w:lineRule="auto"/>
        <w:ind w:left="426" w:leftChars="177" w:hanging="1"/>
        <w:rPr>
          <w:rFonts w:hint="default"/>
          <w:lang w:val="en-US" w:eastAsia="zh-CN"/>
        </w:rPr>
      </w:pPr>
      <w:r>
        <w:rPr>
          <w:rFonts w:hint="default" w:hAnsi="宋体"/>
          <w:color w:val="000000"/>
          <w:sz w:val="24"/>
          <w:szCs w:val="24"/>
        </w:rPr>
        <w:t>三、采购</w:t>
      </w:r>
      <w:r>
        <w:rPr>
          <w:rFonts w:hint="eastAsia" w:hAnsi="宋体"/>
          <w:color w:val="000000"/>
          <w:sz w:val="24"/>
          <w:szCs w:val="24"/>
          <w:lang w:val="en-US" w:eastAsia="zh-CN"/>
        </w:rPr>
        <w:t>限价</w:t>
      </w:r>
      <w:r>
        <w:rPr>
          <w:rFonts w:hint="default" w:hAnsi="宋体"/>
          <w:color w:val="000000"/>
          <w:sz w:val="24"/>
          <w:szCs w:val="24"/>
        </w:rPr>
        <w:t>：438566.67元（不含税）</w:t>
      </w:r>
      <w:r>
        <w:rPr>
          <w:rFonts w:hint="eastAsia"/>
          <w:lang w:val="en-US" w:eastAsia="zh-CN"/>
        </w:rPr>
        <w:t xml:space="preserve">      </w:t>
      </w:r>
    </w:p>
    <w:p w14:paraId="2475D3D9">
      <w:pPr>
        <w:snapToGrid w:val="0"/>
        <w:spacing w:beforeLines="0" w:afterLines="0" w:line="360" w:lineRule="auto"/>
        <w:ind w:firstLine="424" w:firstLineChars="177"/>
        <w:rPr>
          <w:rFonts w:hint="default" w:hAnsi="宋体"/>
          <w:sz w:val="24"/>
          <w:szCs w:val="24"/>
        </w:rPr>
      </w:pPr>
      <w:r>
        <w:rPr>
          <w:rFonts w:hint="default" w:hAnsi="宋体"/>
          <w:sz w:val="24"/>
          <w:szCs w:val="24"/>
        </w:rPr>
        <w:t>四、采购内容：具体详见用户需求书。</w:t>
      </w:r>
    </w:p>
    <w:p w14:paraId="7B0D0EE1">
      <w:pPr>
        <w:pStyle w:val="2"/>
        <w:ind w:firstLine="480" w:firstLineChars="200"/>
        <w:rPr>
          <w:rFonts w:hint="eastAsia" w:hAnsi="宋体"/>
          <w:sz w:val="24"/>
          <w:szCs w:val="24"/>
          <w:lang w:val="en-US" w:eastAsia="zh-CN"/>
        </w:rPr>
      </w:pPr>
      <w:r>
        <w:rPr>
          <w:rFonts w:hint="eastAsia" w:hAnsi="宋体"/>
          <w:sz w:val="24"/>
          <w:szCs w:val="24"/>
          <w:lang w:val="en-US" w:eastAsia="zh-CN"/>
        </w:rPr>
        <w:t>五、资质要求：</w:t>
      </w:r>
    </w:p>
    <w:p w14:paraId="433D0A66">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hAnsi="宋体"/>
          <w:sz w:val="24"/>
          <w:szCs w:val="24"/>
          <w:lang w:val="en-US" w:eastAsia="zh-CN"/>
        </w:rPr>
      </w:pPr>
      <w:r>
        <w:rPr>
          <w:rFonts w:hint="eastAsia" w:hAnsi="宋体"/>
          <w:sz w:val="24"/>
          <w:szCs w:val="24"/>
          <w:lang w:val="en-US" w:eastAsia="zh-CN"/>
        </w:rPr>
        <w:t>（一）提供一份报价人2021年1月1日以来信息化升级建设项目业绩（合同签订日期为2021年1月1日或以后）；</w:t>
      </w:r>
    </w:p>
    <w:p w14:paraId="7654325F">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eastAsia="宋体"/>
          <w:lang w:val="en-US" w:eastAsia="zh-CN"/>
        </w:rPr>
      </w:pPr>
      <w:r>
        <w:rPr>
          <w:rFonts w:hint="eastAsia" w:hAnsi="宋体"/>
          <w:sz w:val="24"/>
          <w:szCs w:val="24"/>
          <w:lang w:val="en-US" w:eastAsia="zh-CN"/>
        </w:rPr>
        <w:t>（二）报价人未被列入“信用中国”网站（www.creditchina.gov.cn）失信被执行人、重大税收违法失信主体、政府采购严重违法失信行为记录名单（处罚期限届满的除外）。</w:t>
      </w:r>
    </w:p>
    <w:p w14:paraId="035E0781">
      <w:pPr>
        <w:snapToGrid w:val="0"/>
        <w:spacing w:beforeLines="0" w:afterLines="0" w:line="360" w:lineRule="auto"/>
        <w:ind w:firstLine="424" w:firstLineChars="177"/>
        <w:rPr>
          <w:rFonts w:hint="default" w:hAnsi="宋体"/>
          <w:color w:val="000000"/>
          <w:sz w:val="24"/>
          <w:szCs w:val="24"/>
        </w:rPr>
      </w:pPr>
      <w:r>
        <w:rPr>
          <w:rFonts w:hint="eastAsia" w:hAnsi="宋体"/>
          <w:color w:val="000000"/>
          <w:sz w:val="24"/>
          <w:szCs w:val="24"/>
          <w:lang w:val="en-US" w:eastAsia="zh-CN"/>
        </w:rPr>
        <w:t>六</w:t>
      </w:r>
      <w:r>
        <w:rPr>
          <w:rFonts w:hint="default" w:hAnsi="宋体"/>
          <w:color w:val="000000"/>
          <w:sz w:val="24"/>
          <w:szCs w:val="24"/>
        </w:rPr>
        <w:t>、成交原则：本项目报价为不含税报价，报价人所报价格不得超过采购限价。从实质性满足采购需求的供应商中，按不含税报价最低成交原则确定成交供应商。</w:t>
      </w:r>
    </w:p>
    <w:p w14:paraId="06EDCC48">
      <w:pPr>
        <w:snapToGrid w:val="0"/>
        <w:spacing w:beforeLines="0" w:afterLines="0" w:line="360" w:lineRule="auto"/>
        <w:ind w:firstLine="424" w:firstLineChars="177"/>
        <w:outlineLvl w:val="1"/>
        <w:rPr>
          <w:rFonts w:hint="default" w:hAnsi="宋体"/>
          <w:color w:val="000000" w:themeColor="text1"/>
          <w:sz w:val="24"/>
          <w:szCs w:val="24"/>
          <w14:textFill>
            <w14:solidFill>
              <w14:schemeClr w14:val="tx1"/>
            </w14:solidFill>
          </w14:textFill>
        </w:rPr>
      </w:pPr>
      <w:bookmarkStart w:id="9" w:name="_Toc29338"/>
      <w:r>
        <w:rPr>
          <w:rFonts w:hint="eastAsia" w:hAnsi="宋体"/>
          <w:sz w:val="24"/>
          <w:szCs w:val="24"/>
          <w:lang w:val="en-US" w:eastAsia="zh-CN"/>
        </w:rPr>
        <w:t>七</w:t>
      </w:r>
      <w:r>
        <w:rPr>
          <w:rFonts w:hint="default" w:hAnsi="宋体"/>
          <w:sz w:val="24"/>
          <w:szCs w:val="24"/>
        </w:rPr>
        <w:t>、报价文件递交截止时间</w:t>
      </w:r>
      <w:r>
        <w:rPr>
          <w:rFonts w:hint="default" w:hAnsi="宋体"/>
          <w:color w:val="000000" w:themeColor="text1"/>
          <w:sz w:val="24"/>
          <w:szCs w:val="24"/>
          <w14:textFill>
            <w14:solidFill>
              <w14:schemeClr w14:val="tx1"/>
            </w14:solidFill>
          </w14:textFill>
        </w:rPr>
        <w:t>：2024年</w:t>
      </w:r>
      <w:r>
        <w:rPr>
          <w:rFonts w:hint="eastAsia" w:hAnsi="宋体"/>
          <w:color w:val="000000" w:themeColor="text1"/>
          <w:sz w:val="24"/>
          <w:szCs w:val="24"/>
          <w:lang w:val="en-US" w:eastAsia="zh-CN"/>
          <w14:textFill>
            <w14:solidFill>
              <w14:schemeClr w14:val="tx1"/>
            </w14:solidFill>
          </w14:textFill>
        </w:rPr>
        <w:t>12</w:t>
      </w:r>
      <w:r>
        <w:rPr>
          <w:rFonts w:hint="default" w:hAnsi="宋体"/>
          <w:color w:val="000000" w:themeColor="text1"/>
          <w:sz w:val="24"/>
          <w:szCs w:val="24"/>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16</w:t>
      </w:r>
      <w:r>
        <w:rPr>
          <w:rFonts w:hint="default" w:hAnsi="宋体"/>
          <w:color w:val="000000" w:themeColor="text1"/>
          <w:sz w:val="24"/>
          <w:szCs w:val="24"/>
          <w14:textFill>
            <w14:solidFill>
              <w14:schemeClr w14:val="tx1"/>
            </w14:solidFill>
          </w14:textFill>
        </w:rPr>
        <w:t>日1</w:t>
      </w:r>
      <w:r>
        <w:rPr>
          <w:rFonts w:hint="eastAsia" w:hAnsi="宋体"/>
          <w:color w:val="000000" w:themeColor="text1"/>
          <w:sz w:val="24"/>
          <w:szCs w:val="24"/>
          <w:lang w:val="en-US" w:eastAsia="zh-CN"/>
          <w14:textFill>
            <w14:solidFill>
              <w14:schemeClr w14:val="tx1"/>
            </w14:solidFill>
          </w14:textFill>
        </w:rPr>
        <w:t>0</w:t>
      </w:r>
      <w:r>
        <w:rPr>
          <w:rFonts w:hint="default" w:hAnsi="宋体"/>
          <w:color w:val="000000" w:themeColor="text1"/>
          <w:sz w:val="24"/>
          <w:szCs w:val="24"/>
          <w14:textFill>
            <w14:solidFill>
              <w14:schemeClr w14:val="tx1"/>
            </w14:solidFill>
          </w14:textFill>
        </w:rPr>
        <w:t>时</w:t>
      </w:r>
      <w:r>
        <w:rPr>
          <w:rFonts w:hint="eastAsia" w:hAnsi="宋体"/>
          <w:color w:val="000000" w:themeColor="text1"/>
          <w:sz w:val="24"/>
          <w:szCs w:val="24"/>
          <w:lang w:val="en-US" w:eastAsia="zh-CN"/>
          <w14:textFill>
            <w14:solidFill>
              <w14:schemeClr w14:val="tx1"/>
            </w14:solidFill>
          </w14:textFill>
        </w:rPr>
        <w:t>3</w:t>
      </w:r>
      <w:r>
        <w:rPr>
          <w:rFonts w:hint="default" w:hAnsi="宋体"/>
          <w:color w:val="000000" w:themeColor="text1"/>
          <w:sz w:val="24"/>
          <w:szCs w:val="24"/>
          <w14:textFill>
            <w14:solidFill>
              <w14:schemeClr w14:val="tx1"/>
            </w14:solidFill>
          </w14:textFill>
        </w:rPr>
        <w:t>0分。</w:t>
      </w:r>
    </w:p>
    <w:p w14:paraId="1681A424">
      <w:pPr>
        <w:snapToGrid w:val="0"/>
        <w:spacing w:beforeLines="0" w:afterLines="0" w:line="360" w:lineRule="auto"/>
        <w:ind w:firstLine="424" w:firstLineChars="177"/>
        <w:outlineLvl w:val="1"/>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八</w:t>
      </w:r>
      <w:r>
        <w:rPr>
          <w:rFonts w:hint="default" w:hAnsi="宋体"/>
          <w:color w:val="000000" w:themeColor="text1"/>
          <w:sz w:val="24"/>
          <w:szCs w:val="24"/>
          <w14:textFill>
            <w14:solidFill>
              <w14:schemeClr w14:val="tx1"/>
            </w14:solidFill>
          </w14:textFill>
        </w:rPr>
        <w:t>、报价文件开封时间：2024年</w:t>
      </w:r>
      <w:r>
        <w:rPr>
          <w:rFonts w:hint="eastAsia" w:hAnsi="宋体"/>
          <w:color w:val="000000" w:themeColor="text1"/>
          <w:sz w:val="24"/>
          <w:szCs w:val="24"/>
          <w:lang w:val="en-US" w:eastAsia="zh-CN"/>
          <w14:textFill>
            <w14:solidFill>
              <w14:schemeClr w14:val="tx1"/>
            </w14:solidFill>
          </w14:textFill>
        </w:rPr>
        <w:t>12</w:t>
      </w:r>
      <w:r>
        <w:rPr>
          <w:rFonts w:hint="default" w:hAnsi="宋体"/>
          <w:color w:val="000000" w:themeColor="text1"/>
          <w:sz w:val="24"/>
          <w:szCs w:val="24"/>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16</w:t>
      </w:r>
      <w:r>
        <w:rPr>
          <w:rFonts w:hint="default" w:hAnsi="宋体"/>
          <w:color w:val="000000" w:themeColor="text1"/>
          <w:sz w:val="24"/>
          <w:szCs w:val="24"/>
          <w14:textFill>
            <w14:solidFill>
              <w14:schemeClr w14:val="tx1"/>
            </w14:solidFill>
          </w14:textFill>
        </w:rPr>
        <w:t>日1</w:t>
      </w:r>
      <w:r>
        <w:rPr>
          <w:rFonts w:hint="eastAsia" w:hAnsi="宋体"/>
          <w:color w:val="000000" w:themeColor="text1"/>
          <w:sz w:val="24"/>
          <w:szCs w:val="24"/>
          <w:lang w:val="en-US" w:eastAsia="zh-CN"/>
          <w14:textFill>
            <w14:solidFill>
              <w14:schemeClr w14:val="tx1"/>
            </w14:solidFill>
          </w14:textFill>
        </w:rPr>
        <w:t>0</w:t>
      </w:r>
      <w:r>
        <w:rPr>
          <w:rFonts w:hint="default" w:hAnsi="宋体"/>
          <w:color w:val="000000" w:themeColor="text1"/>
          <w:sz w:val="24"/>
          <w:szCs w:val="24"/>
          <w14:textFill>
            <w14:solidFill>
              <w14:schemeClr w14:val="tx1"/>
            </w14:solidFill>
          </w14:textFill>
        </w:rPr>
        <w:t>时</w:t>
      </w:r>
      <w:r>
        <w:rPr>
          <w:rFonts w:hint="eastAsia" w:hAnsi="宋体"/>
          <w:color w:val="000000" w:themeColor="text1"/>
          <w:sz w:val="24"/>
          <w:szCs w:val="24"/>
          <w:lang w:val="en-US" w:eastAsia="zh-CN"/>
          <w14:textFill>
            <w14:solidFill>
              <w14:schemeClr w14:val="tx1"/>
            </w14:solidFill>
          </w14:textFill>
        </w:rPr>
        <w:t>3</w:t>
      </w:r>
      <w:r>
        <w:rPr>
          <w:rFonts w:hint="default" w:hAnsi="宋体"/>
          <w:color w:val="000000" w:themeColor="text1"/>
          <w:sz w:val="24"/>
          <w:szCs w:val="24"/>
          <w14:textFill>
            <w14:solidFill>
              <w14:schemeClr w14:val="tx1"/>
            </w14:solidFill>
          </w14:textFill>
        </w:rPr>
        <w:t>0分。</w:t>
      </w:r>
      <w:bookmarkEnd w:id="9"/>
    </w:p>
    <w:p w14:paraId="7EE004FF">
      <w:pPr>
        <w:snapToGrid w:val="0"/>
        <w:spacing w:beforeLines="0" w:afterLines="0" w:line="360" w:lineRule="auto"/>
        <w:ind w:firstLine="424" w:firstLineChars="177"/>
        <w:rPr>
          <w:rFonts w:hint="default" w:hAnsi="宋体"/>
          <w:sz w:val="24"/>
          <w:szCs w:val="24"/>
        </w:rPr>
      </w:pPr>
      <w:r>
        <w:rPr>
          <w:rFonts w:hint="eastAsia" w:hAnsi="宋体"/>
          <w:sz w:val="24"/>
          <w:szCs w:val="24"/>
          <w:lang w:val="en-US" w:eastAsia="zh-CN"/>
        </w:rPr>
        <w:t>九</w:t>
      </w:r>
      <w:r>
        <w:rPr>
          <w:rFonts w:hint="default" w:hAnsi="宋体"/>
          <w:sz w:val="24"/>
          <w:szCs w:val="24"/>
        </w:rPr>
        <w:t>、报价文件递交地点：广东省</w:t>
      </w:r>
      <w:r>
        <w:rPr>
          <w:rFonts w:hint="default" w:hAnsi="宋体"/>
          <w:color w:val="000000"/>
          <w:sz w:val="24"/>
          <w:szCs w:val="24"/>
        </w:rPr>
        <w:t>东莞市东城街道运河路5号东莞市水务集团管网有限公司合同管理部二室(313室)</w:t>
      </w:r>
      <w:r>
        <w:rPr>
          <w:rFonts w:hint="default" w:hAnsi="宋体"/>
          <w:sz w:val="24"/>
          <w:szCs w:val="24"/>
        </w:rPr>
        <w:t xml:space="preserve">。 </w:t>
      </w:r>
    </w:p>
    <w:p w14:paraId="3AB98191">
      <w:pPr>
        <w:snapToGrid w:val="0"/>
        <w:spacing w:beforeLines="0" w:afterLines="0" w:line="360" w:lineRule="auto"/>
        <w:ind w:firstLine="424" w:firstLineChars="177"/>
        <w:outlineLvl w:val="1"/>
        <w:rPr>
          <w:rFonts w:hint="default" w:hAnsi="宋体"/>
          <w:sz w:val="24"/>
          <w:szCs w:val="24"/>
        </w:rPr>
      </w:pPr>
      <w:bookmarkStart w:id="10" w:name="_Toc6662"/>
      <w:r>
        <w:rPr>
          <w:rFonts w:hint="eastAsia" w:hAnsi="宋体"/>
          <w:sz w:val="24"/>
          <w:szCs w:val="24"/>
          <w:lang w:val="en-US" w:eastAsia="zh-CN"/>
        </w:rPr>
        <w:t>十</w:t>
      </w:r>
      <w:r>
        <w:rPr>
          <w:rFonts w:hint="default" w:hAnsi="宋体"/>
          <w:sz w:val="24"/>
          <w:szCs w:val="24"/>
        </w:rPr>
        <w:t>、采购人联系方式：</w:t>
      </w:r>
      <w:bookmarkEnd w:id="10"/>
    </w:p>
    <w:p w14:paraId="3AC36CCB">
      <w:pPr>
        <w:snapToGrid w:val="0"/>
        <w:spacing w:beforeLines="0" w:afterLines="0" w:line="360" w:lineRule="auto"/>
        <w:ind w:left="566" w:leftChars="236" w:firstLine="285"/>
        <w:rPr>
          <w:rFonts w:hint="default" w:hAnsi="宋体"/>
          <w:color w:val="000000"/>
          <w:sz w:val="24"/>
          <w:szCs w:val="24"/>
        </w:rPr>
      </w:pPr>
      <w:bookmarkStart w:id="11" w:name="_Hlk27129143"/>
      <w:r>
        <w:rPr>
          <w:rFonts w:hint="default" w:hAnsi="宋体"/>
          <w:color w:val="000000"/>
          <w:sz w:val="24"/>
          <w:szCs w:val="24"/>
        </w:rPr>
        <w:t>采购联系人：刘工</w:t>
      </w:r>
    </w:p>
    <w:p w14:paraId="57BFE5E3">
      <w:pPr>
        <w:snapToGrid w:val="0"/>
        <w:spacing w:beforeLines="0" w:afterLines="0" w:line="360" w:lineRule="auto"/>
        <w:ind w:left="566" w:leftChars="236" w:firstLine="285"/>
        <w:rPr>
          <w:rFonts w:hint="default" w:hAnsi="宋体" w:eastAsia="宋体"/>
          <w:color w:val="000000"/>
          <w:sz w:val="24"/>
          <w:szCs w:val="24"/>
          <w:lang w:val="en-US" w:eastAsia="zh-CN"/>
        </w:rPr>
      </w:pPr>
      <w:r>
        <w:rPr>
          <w:rFonts w:hint="default" w:hAnsi="宋体"/>
          <w:color w:val="000000"/>
          <w:sz w:val="24"/>
          <w:szCs w:val="24"/>
        </w:rPr>
        <w:t xml:space="preserve">联系电话：0769-22001352 </w:t>
      </w:r>
    </w:p>
    <w:p w14:paraId="6FB1EA47">
      <w:pPr>
        <w:snapToGrid w:val="0"/>
        <w:spacing w:beforeLines="0" w:afterLines="0" w:line="360" w:lineRule="auto"/>
        <w:ind w:left="566" w:leftChars="236" w:firstLine="285"/>
        <w:rPr>
          <w:rFonts w:hint="default" w:hAnsi="宋体"/>
          <w:color w:val="000000"/>
          <w:sz w:val="24"/>
          <w:szCs w:val="24"/>
        </w:rPr>
      </w:pPr>
      <w:r>
        <w:rPr>
          <w:rFonts w:hint="default" w:hAnsi="宋体"/>
          <w:color w:val="000000"/>
          <w:sz w:val="24"/>
          <w:szCs w:val="24"/>
        </w:rPr>
        <w:t>联系地址：</w:t>
      </w:r>
      <w:bookmarkEnd w:id="11"/>
      <w:r>
        <w:rPr>
          <w:rFonts w:hint="default" w:hAnsi="宋体"/>
          <w:sz w:val="24"/>
          <w:szCs w:val="24"/>
        </w:rPr>
        <w:t>广东省</w:t>
      </w:r>
      <w:r>
        <w:rPr>
          <w:rFonts w:hint="default" w:hAnsi="宋体"/>
          <w:color w:val="000000"/>
          <w:sz w:val="24"/>
          <w:szCs w:val="24"/>
        </w:rPr>
        <w:t>东莞市东城街道运河路5号东莞市水务集团管网有限公司合同管理部二室(313室)</w:t>
      </w:r>
    </w:p>
    <w:p w14:paraId="744609AC">
      <w:pPr>
        <w:snapToGrid w:val="0"/>
        <w:spacing w:beforeLines="0" w:afterLines="0" w:line="360" w:lineRule="auto"/>
        <w:ind w:left="566" w:leftChars="236" w:firstLine="285"/>
        <w:rPr>
          <w:rFonts w:hint="default" w:hAnsi="宋体"/>
          <w:color w:val="000000"/>
          <w:sz w:val="24"/>
          <w:szCs w:val="24"/>
        </w:rPr>
      </w:pPr>
    </w:p>
    <w:p w14:paraId="3967E626">
      <w:pPr>
        <w:snapToGrid w:val="0"/>
        <w:spacing w:beforeLines="0" w:afterLines="0" w:line="360" w:lineRule="auto"/>
        <w:ind w:firstLine="4819" w:firstLineChars="2008"/>
        <w:rPr>
          <w:rFonts w:hint="default" w:hAnsi="宋体"/>
          <w:sz w:val="24"/>
          <w:szCs w:val="24"/>
        </w:rPr>
      </w:pPr>
      <w:bookmarkStart w:id="12" w:name="_Hlk33286752"/>
    </w:p>
    <w:p w14:paraId="0CC2F330">
      <w:pPr>
        <w:snapToGrid w:val="0"/>
        <w:spacing w:beforeLines="0" w:afterLines="0" w:line="360" w:lineRule="auto"/>
        <w:ind w:firstLine="4819" w:firstLineChars="2008"/>
        <w:rPr>
          <w:rFonts w:hint="default" w:hAnsi="宋体"/>
          <w:sz w:val="24"/>
          <w:szCs w:val="24"/>
        </w:rPr>
      </w:pPr>
    </w:p>
    <w:p w14:paraId="5D24C699">
      <w:pPr>
        <w:snapToGrid w:val="0"/>
        <w:spacing w:beforeLines="0" w:afterLines="0" w:line="360" w:lineRule="auto"/>
        <w:ind w:firstLine="4819" w:firstLineChars="2008"/>
        <w:rPr>
          <w:rFonts w:hint="default" w:hAnsi="宋体"/>
          <w:sz w:val="24"/>
          <w:szCs w:val="24"/>
        </w:rPr>
      </w:pPr>
    </w:p>
    <w:p w14:paraId="1472636B">
      <w:pPr>
        <w:snapToGrid w:val="0"/>
        <w:spacing w:beforeLines="0" w:afterLines="0" w:line="360" w:lineRule="auto"/>
        <w:ind w:firstLine="4819" w:firstLineChars="2008"/>
        <w:rPr>
          <w:rFonts w:hint="default" w:hAnsi="宋体"/>
          <w:sz w:val="24"/>
          <w:szCs w:val="24"/>
        </w:rPr>
      </w:pPr>
    </w:p>
    <w:p w14:paraId="0EDD6A70">
      <w:pPr>
        <w:snapToGrid w:val="0"/>
        <w:spacing w:beforeLines="0" w:afterLines="0" w:line="360" w:lineRule="auto"/>
        <w:ind w:firstLine="4819" w:firstLineChars="2008"/>
        <w:outlineLvl w:val="0"/>
        <w:rPr>
          <w:rFonts w:hint="default" w:hAnsi="宋体"/>
          <w:sz w:val="24"/>
          <w:szCs w:val="24"/>
        </w:rPr>
      </w:pPr>
      <w:bookmarkStart w:id="13" w:name="_Toc16391"/>
      <w:bookmarkStart w:id="14" w:name="_Toc28612"/>
      <w:bookmarkStart w:id="15" w:name="_Toc20425"/>
      <w:bookmarkStart w:id="16" w:name="_Toc30716"/>
      <w:r>
        <w:rPr>
          <w:rFonts w:hint="default" w:hAnsi="宋体"/>
          <w:sz w:val="24"/>
          <w:szCs w:val="24"/>
        </w:rPr>
        <w:t>东莞市水务集团管网有限公司</w:t>
      </w:r>
      <w:bookmarkEnd w:id="13"/>
      <w:bookmarkEnd w:id="14"/>
      <w:bookmarkEnd w:id="15"/>
      <w:bookmarkEnd w:id="16"/>
    </w:p>
    <w:bookmarkEnd w:id="12"/>
    <w:p w14:paraId="19EB0AD0">
      <w:pPr>
        <w:snapToGrid w:val="0"/>
        <w:spacing w:beforeLines="0" w:afterLines="0" w:line="360" w:lineRule="auto"/>
        <w:ind w:firstLine="5822" w:firstLineChars="2426"/>
        <w:rPr>
          <w:rFonts w:hint="default" w:hAnsi="宋体"/>
          <w:color w:val="000000" w:themeColor="text1"/>
          <w:sz w:val="24"/>
          <w:szCs w:val="24"/>
          <w14:textFill>
            <w14:solidFill>
              <w14:schemeClr w14:val="tx1"/>
            </w14:solidFill>
          </w14:textFill>
        </w:rPr>
      </w:pPr>
      <w:bookmarkStart w:id="17" w:name="_Hlk27129149"/>
      <w:r>
        <w:rPr>
          <w:rFonts w:hint="default" w:hAnsi="宋体"/>
          <w:color w:val="000000" w:themeColor="text1"/>
          <w:sz w:val="24"/>
          <w:szCs w:val="24"/>
          <w14:textFill>
            <w14:solidFill>
              <w14:schemeClr w14:val="tx1"/>
            </w14:solidFill>
          </w14:textFill>
        </w:rPr>
        <w:t>2024年</w:t>
      </w:r>
      <w:r>
        <w:rPr>
          <w:rFonts w:hint="eastAsia" w:hAnsi="宋体"/>
          <w:color w:val="000000" w:themeColor="text1"/>
          <w:sz w:val="24"/>
          <w:szCs w:val="24"/>
          <w:lang w:val="en-US" w:eastAsia="zh-CN"/>
          <w14:textFill>
            <w14:solidFill>
              <w14:schemeClr w14:val="tx1"/>
            </w14:solidFill>
          </w14:textFill>
        </w:rPr>
        <w:t>12</w:t>
      </w:r>
      <w:r>
        <w:rPr>
          <w:rFonts w:hint="default" w:hAnsi="宋体"/>
          <w:color w:val="000000" w:themeColor="text1"/>
          <w:sz w:val="24"/>
          <w:szCs w:val="24"/>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10</w:t>
      </w:r>
      <w:r>
        <w:rPr>
          <w:rFonts w:hint="default" w:hAnsi="宋体"/>
          <w:color w:val="000000" w:themeColor="text1"/>
          <w:sz w:val="24"/>
          <w:szCs w:val="24"/>
          <w14:textFill>
            <w14:solidFill>
              <w14:schemeClr w14:val="tx1"/>
            </w14:solidFill>
          </w14:textFill>
        </w:rPr>
        <w:t>日</w:t>
      </w:r>
    </w:p>
    <w:bookmarkEnd w:id="17"/>
    <w:p w14:paraId="7A5C0412">
      <w:pPr>
        <w:snapToGrid w:val="0"/>
        <w:spacing w:beforeLines="0" w:afterLines="0" w:line="360" w:lineRule="auto"/>
        <w:rPr>
          <w:rFonts w:hint="default" w:hAnsi="宋体"/>
          <w:sz w:val="24"/>
          <w:szCs w:val="24"/>
        </w:rPr>
        <w:sectPr>
          <w:pgSz w:w="11906" w:h="16838"/>
          <w:pgMar w:top="1440" w:right="1797" w:bottom="1440" w:left="1797" w:header="851" w:footer="992" w:gutter="0"/>
          <w:lnNumType w:countBy="0" w:distance="360"/>
          <w:pgNumType w:fmt="decimal"/>
          <w:cols w:space="720" w:num="1"/>
          <w:docGrid w:type="lines" w:linePitch="312" w:charSpace="0"/>
        </w:sectPr>
      </w:pPr>
      <w:bookmarkStart w:id="69" w:name="_GoBack"/>
      <w:bookmarkEnd w:id="69"/>
    </w:p>
    <w:p w14:paraId="1148D1C1">
      <w:pPr>
        <w:pStyle w:val="4"/>
        <w:numPr>
          <w:ilvl w:val="0"/>
          <w:numId w:val="2"/>
        </w:numPr>
        <w:snapToGrid w:val="0"/>
        <w:spacing w:before="0" w:beforeLines="0" w:after="0" w:afterLines="0"/>
        <w:jc w:val="center"/>
        <w:rPr>
          <w:rFonts w:hint="default"/>
        </w:rPr>
      </w:pPr>
      <w:bookmarkStart w:id="18" w:name="_Toc8254"/>
      <w:bookmarkStart w:id="19" w:name="_Toc11234"/>
      <w:r>
        <w:rPr>
          <w:rFonts w:hint="default" w:hAnsi="宋体"/>
          <w:color w:val="000000"/>
          <w:sz w:val="32"/>
          <w:szCs w:val="32"/>
        </w:rPr>
        <w:t>用户需求书</w:t>
      </w:r>
      <w:bookmarkEnd w:id="18"/>
      <w:bookmarkEnd w:id="19"/>
    </w:p>
    <w:p w14:paraId="267995DB">
      <w:pPr>
        <w:spacing w:beforeLines="0" w:afterLines="0"/>
        <w:rPr>
          <w:rFonts w:hint="default"/>
          <w:sz w:val="24"/>
          <w:szCs w:val="24"/>
        </w:rPr>
      </w:pPr>
    </w:p>
    <w:p w14:paraId="578FCCF9">
      <w:pPr>
        <w:autoSpaceDE/>
        <w:autoSpaceDN/>
        <w:adjustRightInd/>
        <w:snapToGrid/>
        <w:spacing w:beforeLines="-2147483648" w:afterLines="-2147483648" w:line="600" w:lineRule="exact"/>
        <w:ind w:firstLine="0" w:firstLineChars="0"/>
        <w:jc w:val="both"/>
        <w:rPr>
          <w:rFonts w:hint="default" w:ascii="仿宋_GB2312" w:hAnsi="Times New Roman" w:eastAsia="仿宋_GB2312" w:cs="Times New Roman"/>
          <w:b/>
          <w:bCs w:val="0"/>
          <w:snapToGrid w:val="0"/>
          <w:sz w:val="32"/>
          <w:szCs w:val="30"/>
        </w:rPr>
      </w:pPr>
      <w:r>
        <w:rPr>
          <w:rFonts w:hint="eastAsia" w:ascii="仿宋_GB2312" w:hAnsi="Times New Roman" w:eastAsia="仿宋_GB2312" w:cs="Times New Roman"/>
          <w:b/>
          <w:bCs w:val="0"/>
          <w:snapToGrid w:val="0"/>
          <w:sz w:val="32"/>
          <w:szCs w:val="30"/>
        </w:rPr>
        <w:t>一、项目信息</w:t>
      </w:r>
    </w:p>
    <w:p w14:paraId="5029000F">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（一）采购人</w:t>
      </w:r>
    </w:p>
    <w:p w14:paraId="4A21A4F0">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东莞市水务集团管网有限公司</w:t>
      </w:r>
    </w:p>
    <w:p w14:paraId="5D287FA1">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（二）项目名称</w:t>
      </w:r>
    </w:p>
    <w:p w14:paraId="3EE73DD5">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管网运营平台</w:t>
      </w:r>
      <w:bookmarkStart w:id="20" w:name="OLE_LINK1"/>
      <w:r>
        <w:rPr>
          <w:rFonts w:hint="eastAsia" w:ascii="仿宋_GB2312" w:hAnsi="Times New Roman" w:eastAsia="仿宋_GB2312" w:cs="Times New Roman"/>
          <w:bCs/>
          <w:snapToGrid w:val="0"/>
          <w:sz w:val="32"/>
          <w:szCs w:val="30"/>
        </w:rPr>
        <w:t>管网清疏检测功能</w:t>
      </w:r>
      <w:bookmarkEnd w:id="20"/>
      <w:r>
        <w:rPr>
          <w:rFonts w:hint="eastAsia" w:ascii="仿宋_GB2312" w:hAnsi="Times New Roman" w:eastAsia="仿宋_GB2312" w:cs="Times New Roman"/>
          <w:bCs/>
          <w:snapToGrid w:val="0"/>
          <w:sz w:val="32"/>
          <w:szCs w:val="30"/>
        </w:rPr>
        <w:t>升级建设项目</w:t>
      </w:r>
    </w:p>
    <w:p w14:paraId="00F4E6C2">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（三）项目</w:t>
      </w:r>
      <w:r>
        <w:rPr>
          <w:rFonts w:hint="eastAsia" w:ascii="仿宋_GB2312" w:eastAsia="仿宋_GB2312" w:cs="Times New Roman"/>
          <w:bCs/>
          <w:snapToGrid w:val="0"/>
          <w:sz w:val="32"/>
          <w:szCs w:val="30"/>
          <w:lang w:val="en-US" w:eastAsia="zh-CN"/>
        </w:rPr>
        <w:t>预</w:t>
      </w:r>
      <w:r>
        <w:rPr>
          <w:rFonts w:hint="eastAsia" w:ascii="仿宋_GB2312" w:hAnsi="Times New Roman" w:eastAsia="仿宋_GB2312" w:cs="Times New Roman"/>
          <w:bCs/>
          <w:snapToGrid w:val="0"/>
          <w:sz w:val="32"/>
          <w:szCs w:val="30"/>
        </w:rPr>
        <w:t>算</w:t>
      </w:r>
    </w:p>
    <w:p w14:paraId="3AF7C847">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color w:val="000000" w:themeColor="text1"/>
          <w:sz w:val="32"/>
          <w:szCs w:val="30"/>
          <w14:textFill>
            <w14:solidFill>
              <w14:schemeClr w14:val="tx1"/>
            </w14:solidFill>
          </w14:textFill>
        </w:rPr>
      </w:pPr>
      <w:r>
        <w:rPr>
          <w:rFonts w:hint="eastAsia" w:ascii="仿宋_GB2312" w:hAnsi="Times New Roman" w:eastAsia="仿宋_GB2312" w:cs="Times New Roman"/>
          <w:bCs/>
          <w:snapToGrid w:val="0"/>
          <w:color w:val="000000" w:themeColor="text1"/>
          <w:sz w:val="32"/>
          <w:szCs w:val="30"/>
          <w14:textFill>
            <w14:solidFill>
              <w14:schemeClr w14:val="tx1"/>
            </w14:solidFill>
          </w14:textFill>
        </w:rPr>
        <w:t>438566.67元</w:t>
      </w:r>
      <w:r>
        <w:rPr>
          <w:rFonts w:hint="eastAsia" w:ascii="仿宋_GB2312" w:eastAsia="仿宋_GB2312" w:cs="Times New Roman"/>
          <w:bCs/>
          <w:snapToGrid w:val="0"/>
          <w:color w:val="000000" w:themeColor="text1"/>
          <w:sz w:val="32"/>
          <w:szCs w:val="30"/>
          <w:lang w:eastAsia="zh-CN"/>
          <w14:textFill>
            <w14:solidFill>
              <w14:schemeClr w14:val="tx1"/>
            </w14:solidFill>
          </w14:textFill>
        </w:rPr>
        <w:t>（</w:t>
      </w:r>
      <w:r>
        <w:rPr>
          <w:rFonts w:hint="eastAsia" w:ascii="仿宋_GB2312" w:eastAsia="仿宋_GB2312" w:cs="Times New Roman"/>
          <w:bCs/>
          <w:snapToGrid w:val="0"/>
          <w:color w:val="000000" w:themeColor="text1"/>
          <w:sz w:val="32"/>
          <w:szCs w:val="30"/>
          <w:lang w:val="en-US" w:eastAsia="zh-CN"/>
          <w14:textFill>
            <w14:solidFill>
              <w14:schemeClr w14:val="tx1"/>
            </w14:solidFill>
          </w14:textFill>
        </w:rPr>
        <w:t>不含税）</w:t>
      </w:r>
      <w:r>
        <w:rPr>
          <w:rFonts w:hint="eastAsia" w:ascii="仿宋_GB2312" w:hAnsi="Times New Roman" w:eastAsia="仿宋_GB2312" w:cs="Times New Roman"/>
          <w:bCs/>
          <w:snapToGrid w:val="0"/>
          <w:color w:val="000000" w:themeColor="text1"/>
          <w:sz w:val="32"/>
          <w:szCs w:val="30"/>
          <w14:textFill>
            <w14:solidFill>
              <w14:schemeClr w14:val="tx1"/>
            </w14:solidFill>
          </w14:textFill>
        </w:rPr>
        <w:t xml:space="preserve">。 </w:t>
      </w:r>
    </w:p>
    <w:p w14:paraId="644330A9">
      <w:pPr>
        <w:autoSpaceDE/>
        <w:autoSpaceDN/>
        <w:adjustRightInd/>
        <w:snapToGrid/>
        <w:spacing w:beforeLines="-2147483648" w:afterLines="-2147483648" w:line="600" w:lineRule="exact"/>
        <w:ind w:firstLine="0" w:firstLineChars="0"/>
        <w:jc w:val="both"/>
        <w:rPr>
          <w:rFonts w:hint="default" w:ascii="仿宋_GB2312" w:hAnsi="Times New Roman" w:eastAsia="仿宋_GB2312" w:cs="Times New Roman"/>
          <w:b/>
          <w:bCs w:val="0"/>
          <w:snapToGrid w:val="0"/>
          <w:sz w:val="32"/>
          <w:szCs w:val="30"/>
        </w:rPr>
      </w:pPr>
      <w:r>
        <w:rPr>
          <w:rFonts w:hint="eastAsia" w:ascii="仿宋_GB2312" w:hAnsi="Times New Roman" w:eastAsia="仿宋_GB2312" w:cs="Times New Roman"/>
          <w:b/>
          <w:bCs w:val="0"/>
          <w:snapToGrid w:val="0"/>
          <w:sz w:val="32"/>
          <w:szCs w:val="30"/>
        </w:rPr>
        <w:t>二、项目概况</w:t>
      </w:r>
    </w:p>
    <w:p w14:paraId="01DEE113">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2020年11月，随管网公司运营模式调整升级，为配套与业务板块相匹配的信息化管理模块，经水务集团同意，立项开展东莞市水务集团管网有限公司管网</w:t>
      </w:r>
      <w:bookmarkStart w:id="21" w:name="OLE_LINK2"/>
      <w:r>
        <w:rPr>
          <w:rFonts w:hint="eastAsia" w:ascii="仿宋_GB2312" w:hAnsi="Times New Roman" w:eastAsia="仿宋_GB2312" w:cs="Times New Roman"/>
          <w:bCs/>
          <w:snapToGrid w:val="0"/>
          <w:sz w:val="32"/>
          <w:szCs w:val="30"/>
        </w:rPr>
        <w:t>运维管理系统</w:t>
      </w:r>
      <w:bookmarkEnd w:id="21"/>
      <w:r>
        <w:rPr>
          <w:rFonts w:hint="eastAsia" w:ascii="仿宋_GB2312" w:hAnsi="Times New Roman" w:eastAsia="仿宋_GB2312" w:cs="Times New Roman"/>
          <w:bCs/>
          <w:snapToGrid w:val="0"/>
          <w:sz w:val="32"/>
          <w:szCs w:val="30"/>
        </w:rPr>
        <w:t>升级建设服务项目并投入使用。系统目前基本能够为运营、设备等业务部门提供部分业务工作的信息化支撑及管网数据展现支撑。结合业务实际需求，管网公司于2023年立项开展东莞市水务集团管网有限公司基础数据管理平台项目及东莞市管网运营平台雨污同治升级项目（后称基础平台及雨污同治升级项目），项目目前按集团信息化项目流程由集团运营管理部（信息管理中心）推进开展中，前期因项目采购模式调整等原因总体建设计划推迟约1年，预计2025年底初步上线运行。</w:t>
      </w:r>
    </w:p>
    <w:p w14:paraId="002DB855">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其中在清疏、检测等业务方面</w:t>
      </w:r>
      <w:r>
        <w:rPr>
          <w:rFonts w:hint="eastAsia" w:ascii="仿宋_GB2312" w:hAnsi="Times New Roman" w:eastAsia="仿宋_GB2312" w:cs="Times New Roman"/>
          <w:bCs/>
          <w:snapToGrid w:val="0"/>
          <w:sz w:val="32"/>
          <w:szCs w:val="30"/>
          <w:lang w:eastAsia="zh-CN"/>
        </w:rPr>
        <w:t>，</w:t>
      </w:r>
      <w:r>
        <w:rPr>
          <w:rFonts w:hint="eastAsia" w:ascii="仿宋_GB2312" w:hAnsi="Times New Roman" w:eastAsia="仿宋_GB2312" w:cs="Times New Roman"/>
          <w:bCs/>
          <w:snapToGrid w:val="0"/>
          <w:sz w:val="32"/>
          <w:szCs w:val="30"/>
          <w:lang w:val="en-US" w:eastAsia="zh-CN"/>
        </w:rPr>
        <w:t>日常运营、提质增效及黑臭水体治理相关任务要求落实管网巡查养护及清疏检测等工作</w:t>
      </w:r>
      <w:r>
        <w:rPr>
          <w:rFonts w:hint="eastAsia" w:ascii="仿宋_GB2312" w:hAnsi="Times New Roman" w:eastAsia="仿宋_GB2312" w:cs="Times New Roman"/>
          <w:bCs/>
          <w:snapToGrid w:val="0"/>
          <w:sz w:val="32"/>
          <w:szCs w:val="30"/>
        </w:rPr>
        <w:t>，因业务部门在清疏、检测及其他日常业务安排过程中发现因无法清晰直观地了解周期内已完成的管网设施、无法通过信息化系统高效制定业务计划、无法清晰比对历史执行情况、业务执行人员难以在手持设备上清晰了解设施历史业务执行情况、管理人员难以了解业务执行人员异常情况等问题，造成一定程度的数据资源浪费、影响决策的及时性和准确性等情况，因此亟需搭建更有利于日常业务执行的清疏、检测功能并形成相关业务一张图，同时升级部分其他业务功能，以保障系统更贴合业务需求、更大程度的效率提升、更完善地日常工作运营、更准确及时高效的管理。考虑基础平台及雨污</w:t>
      </w:r>
      <w:r>
        <w:rPr>
          <w:rFonts w:hint="eastAsia" w:ascii="仿宋_GB2312" w:hAnsi="Times New Roman" w:eastAsia="仿宋_GB2312" w:cs="Times New Roman"/>
          <w:bCs/>
          <w:snapToGrid w:val="0"/>
          <w:sz w:val="32"/>
          <w:szCs w:val="30"/>
          <w:lang w:val="en-US" w:eastAsia="zh-CN"/>
        </w:rPr>
        <w:t>同治</w:t>
      </w:r>
      <w:r>
        <w:rPr>
          <w:rFonts w:hint="eastAsia" w:ascii="仿宋_GB2312" w:hAnsi="Times New Roman" w:eastAsia="仿宋_GB2312" w:cs="Times New Roman"/>
          <w:bCs/>
          <w:snapToGrid w:val="0"/>
          <w:sz w:val="32"/>
          <w:szCs w:val="30"/>
        </w:rPr>
        <w:t>升级项目进度难以满足业务部门当前对使用该部分功能的迫切性</w:t>
      </w:r>
      <w:r>
        <w:rPr>
          <w:rFonts w:hint="eastAsia" w:ascii="仿宋_GB2312" w:hAnsi="Times New Roman" w:eastAsia="仿宋_GB2312" w:cs="Times New Roman"/>
          <w:bCs/>
          <w:snapToGrid w:val="0"/>
          <w:sz w:val="32"/>
          <w:szCs w:val="30"/>
          <w:lang w:eastAsia="zh-CN"/>
        </w:rPr>
        <w:t>，</w:t>
      </w:r>
      <w:r>
        <w:rPr>
          <w:rFonts w:hint="eastAsia" w:ascii="仿宋_GB2312" w:hAnsi="Times New Roman" w:eastAsia="仿宋_GB2312" w:cs="Times New Roman"/>
          <w:bCs/>
          <w:snapToGrid w:val="0"/>
          <w:sz w:val="32"/>
          <w:szCs w:val="30"/>
          <w:lang w:val="en-US" w:eastAsia="zh-CN"/>
        </w:rPr>
        <w:t>为辅助业务实际需求及提质增效、黑臭水体相关任务工作落实开展</w:t>
      </w:r>
      <w:r>
        <w:rPr>
          <w:rFonts w:hint="eastAsia" w:ascii="仿宋_GB2312" w:hAnsi="Times New Roman" w:eastAsia="仿宋_GB2312" w:cs="Times New Roman"/>
          <w:bCs/>
          <w:snapToGrid w:val="0"/>
          <w:sz w:val="32"/>
          <w:szCs w:val="30"/>
        </w:rPr>
        <w:t>，拟将该相关部分功能从雨污同治升级项目剥离并于本项目开展升级建设。</w:t>
      </w:r>
    </w:p>
    <w:p w14:paraId="74EC2859">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运营平台技术架构概况：原系统采用B/S架构、M/S架构。前端采用VUE2框架，APP端为安卓移动端原生语言。系统当前共使用4台相关服务器，包括应用服务器、地图服务器、IOT数据库服务器及数据库服务器。微服务方面采用Spring Cloud框架，同时通过Consul平台来实现注册中心，通过Spring Cloud来访问用户中心，数据库采用MySQL，各种巡检数据保存在MySQL；空间数据库采用Postgresql，巡检中产生的图层数据保存在Postgresql，巡检定位服务功能采用高德定位功能；通过ArcGis平台实现空间数据管理、配图及地图服务发布调用等；同时使用Elasticsearch保存大量的巡检轨迹数据；采用Activiti工作流框架来处理巡检中复杂的工作流。项目构建采用微服务的方式。系统基于Java EE平台，既能部署在Linux系统上，也能够部署在Window平台上。</w:t>
      </w:r>
    </w:p>
    <w:p w14:paraId="051348B4">
      <w:pPr>
        <w:autoSpaceDE/>
        <w:autoSpaceDN/>
        <w:adjustRightInd/>
        <w:snapToGrid/>
        <w:spacing w:beforeLines="-2147483648" w:afterLines="-2147483648" w:line="600" w:lineRule="exact"/>
        <w:ind w:firstLine="0" w:firstLineChars="0"/>
        <w:jc w:val="both"/>
        <w:rPr>
          <w:rFonts w:hint="default" w:ascii="仿宋_GB2312" w:hAnsi="Times New Roman" w:eastAsia="仿宋_GB2312" w:cs="Times New Roman"/>
          <w:b/>
          <w:bCs w:val="0"/>
          <w:snapToGrid w:val="0"/>
          <w:sz w:val="32"/>
          <w:szCs w:val="30"/>
        </w:rPr>
      </w:pPr>
      <w:r>
        <w:rPr>
          <w:rFonts w:hint="eastAsia" w:ascii="仿宋_GB2312" w:hAnsi="Times New Roman" w:eastAsia="仿宋_GB2312" w:cs="Times New Roman"/>
          <w:b/>
          <w:bCs w:val="0"/>
          <w:snapToGrid w:val="0"/>
          <w:sz w:val="32"/>
          <w:szCs w:val="30"/>
        </w:rPr>
        <w:t>三、需求内容</w:t>
      </w:r>
    </w:p>
    <w:p w14:paraId="6E0D5975">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（一）需求范围及建设周期</w:t>
      </w:r>
    </w:p>
    <w:p w14:paraId="3277208E">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本技术支持维护服务合同的期限自合同签订之日起</w:t>
      </w:r>
      <w:r>
        <w:rPr>
          <w:rFonts w:hint="eastAsia" w:ascii="仿宋_GB2312" w:hAnsi="Times New Roman" w:eastAsia="仿宋_GB2312" w:cs="Times New Roman"/>
          <w:bCs/>
          <w:snapToGrid w:val="0"/>
          <w:sz w:val="32"/>
          <w:szCs w:val="30"/>
          <w:lang w:val="en-US" w:eastAsia="zh-CN"/>
        </w:rPr>
        <w:t>90</w:t>
      </w:r>
      <w:r>
        <w:rPr>
          <w:rFonts w:hint="eastAsia" w:ascii="仿宋_GB2312" w:hAnsi="Times New Roman" w:eastAsia="仿宋_GB2312" w:cs="Times New Roman"/>
          <w:bCs/>
          <w:snapToGrid w:val="0"/>
          <w:sz w:val="32"/>
          <w:szCs w:val="30"/>
        </w:rPr>
        <w:t>个工作日完成项目需求深化调研、软件开发、数据及功能整合、部署上线及培训等工作。</w:t>
      </w:r>
    </w:p>
    <w:tbl>
      <w:tblPr>
        <w:tblStyle w:val="9"/>
        <w:tblW w:w="3047" w:type="pct"/>
        <w:jc w:val="center"/>
        <w:tblLayout w:type="autofit"/>
        <w:tblCellMar>
          <w:top w:w="0" w:type="dxa"/>
          <w:left w:w="108" w:type="dxa"/>
          <w:bottom w:w="0" w:type="dxa"/>
          <w:right w:w="108" w:type="dxa"/>
        </w:tblCellMar>
      </w:tblPr>
      <w:tblGrid>
        <w:gridCol w:w="2863"/>
        <w:gridCol w:w="2520"/>
      </w:tblGrid>
      <w:tr w14:paraId="55FEADDB">
        <w:tblPrEx>
          <w:tblCellMar>
            <w:top w:w="0" w:type="dxa"/>
            <w:left w:w="108" w:type="dxa"/>
            <w:bottom w:w="0" w:type="dxa"/>
            <w:right w:w="108" w:type="dxa"/>
          </w:tblCellMar>
        </w:tblPrEx>
        <w:trPr>
          <w:trHeight w:val="349" w:hRule="atLeast"/>
          <w:jc w:val="center"/>
        </w:trPr>
        <w:tc>
          <w:tcPr>
            <w:tcW w:w="2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5D23">
            <w:pPr>
              <w:autoSpaceDE/>
              <w:autoSpaceDN/>
              <w:snapToGrid w:val="0"/>
              <w:spacing w:beforeLines="-2147483648" w:afterLines="-2147483648" w:line="600" w:lineRule="exact"/>
              <w:ind w:firstLine="0" w:firstLineChars="0"/>
              <w:jc w:val="center"/>
              <w:rPr>
                <w:rFonts w:hint="default" w:ascii="仿宋_GB2312" w:hAnsi="Times New Roman" w:eastAsia="仿宋_GB2312" w:cs="Times New Roman"/>
                <w:b/>
                <w:bCs w:val="0"/>
                <w:snapToGrid w:val="0"/>
                <w:sz w:val="32"/>
                <w:szCs w:val="30"/>
              </w:rPr>
            </w:pPr>
            <w:r>
              <w:rPr>
                <w:rFonts w:hint="eastAsia" w:ascii="仿宋_GB2312" w:hAnsi="Times New Roman" w:eastAsia="仿宋_GB2312" w:cs="Times New Roman"/>
                <w:b/>
                <w:bCs/>
                <w:snapToGrid w:val="0"/>
                <w:sz w:val="32"/>
                <w:szCs w:val="30"/>
                <w:lang w:bidi="ar"/>
              </w:rPr>
              <w:t>内容</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7340">
            <w:pPr>
              <w:autoSpaceDE/>
              <w:autoSpaceDN/>
              <w:snapToGrid w:val="0"/>
              <w:spacing w:beforeLines="-2147483648" w:afterLines="-2147483648" w:line="600" w:lineRule="exact"/>
              <w:ind w:firstLine="0" w:firstLineChars="0"/>
              <w:jc w:val="center"/>
              <w:rPr>
                <w:rFonts w:hint="default" w:ascii="仿宋_GB2312" w:hAnsi="Times New Roman" w:eastAsia="仿宋_GB2312" w:cs="Times New Roman"/>
                <w:b/>
                <w:bCs w:val="0"/>
                <w:snapToGrid w:val="0"/>
                <w:sz w:val="32"/>
                <w:szCs w:val="30"/>
              </w:rPr>
            </w:pPr>
            <w:r>
              <w:rPr>
                <w:rFonts w:hint="eastAsia" w:ascii="仿宋_GB2312" w:hAnsi="Times New Roman" w:eastAsia="仿宋_GB2312" w:cs="Times New Roman"/>
                <w:b/>
                <w:bCs/>
                <w:snapToGrid w:val="0"/>
                <w:sz w:val="32"/>
                <w:szCs w:val="30"/>
                <w:lang w:bidi="ar"/>
              </w:rPr>
              <w:t>涵盖范围</w:t>
            </w:r>
          </w:p>
        </w:tc>
      </w:tr>
      <w:tr w14:paraId="1793890A">
        <w:tblPrEx>
          <w:tblCellMar>
            <w:top w:w="0" w:type="dxa"/>
            <w:left w:w="108" w:type="dxa"/>
            <w:bottom w:w="0" w:type="dxa"/>
            <w:right w:w="108" w:type="dxa"/>
          </w:tblCellMar>
        </w:tblPrEx>
        <w:trPr>
          <w:trHeight w:val="375" w:hRule="atLeast"/>
          <w:jc w:val="center"/>
        </w:trPr>
        <w:tc>
          <w:tcPr>
            <w:tcW w:w="2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CA2E">
            <w:pPr>
              <w:autoSpaceDE/>
              <w:autoSpaceDN/>
              <w:snapToGrid w:val="0"/>
              <w:spacing w:beforeLines="-2147483648" w:afterLines="-2147483648" w:line="600" w:lineRule="exact"/>
              <w:ind w:firstLine="0" w:firstLineChars="0"/>
              <w:jc w:val="center"/>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lang w:bidi="ar"/>
              </w:rPr>
              <w:t>清疏相关功能</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2ED8">
            <w:pPr>
              <w:autoSpaceDE/>
              <w:autoSpaceDN/>
              <w:snapToGrid w:val="0"/>
              <w:spacing w:beforeLines="-2147483648" w:afterLines="-2147483648" w:line="600" w:lineRule="exact"/>
              <w:ind w:firstLine="0" w:firstLineChars="0"/>
              <w:jc w:val="center"/>
              <w:rPr>
                <w:rFonts w:hint="default" w:ascii="仿宋_GB2312" w:hAnsi="Times New Roman" w:eastAsia="仿宋_GB2312" w:cs="Times New Roman"/>
                <w:bCs/>
                <w:snapToGrid w:val="0"/>
                <w:sz w:val="32"/>
                <w:szCs w:val="30"/>
              </w:rPr>
            </w:pPr>
            <w:bookmarkStart w:id="22" w:name="_Hlk167699532"/>
            <w:r>
              <w:rPr>
                <w:rFonts w:hint="eastAsia" w:ascii="仿宋_GB2312" w:hAnsi="Times New Roman" w:eastAsia="仿宋_GB2312" w:cs="Times New Roman"/>
                <w:bCs/>
                <w:snapToGrid w:val="0"/>
                <w:sz w:val="32"/>
                <w:szCs w:val="30"/>
              </w:rPr>
              <w:t>Web、App</w:t>
            </w:r>
            <w:bookmarkEnd w:id="22"/>
            <w:r>
              <w:rPr>
                <w:rFonts w:hint="eastAsia" w:ascii="仿宋_GB2312" w:hAnsi="Times New Roman" w:eastAsia="仿宋_GB2312" w:cs="Times New Roman"/>
                <w:bCs/>
                <w:snapToGrid w:val="0"/>
                <w:sz w:val="32"/>
                <w:szCs w:val="30"/>
              </w:rPr>
              <w:t>、后台</w:t>
            </w:r>
          </w:p>
        </w:tc>
      </w:tr>
      <w:tr w14:paraId="63FAFFF1">
        <w:tblPrEx>
          <w:tblCellMar>
            <w:top w:w="0" w:type="dxa"/>
            <w:left w:w="108" w:type="dxa"/>
            <w:bottom w:w="0" w:type="dxa"/>
            <w:right w:w="108" w:type="dxa"/>
          </w:tblCellMar>
        </w:tblPrEx>
        <w:trPr>
          <w:trHeight w:val="375" w:hRule="atLeast"/>
          <w:jc w:val="center"/>
        </w:trPr>
        <w:tc>
          <w:tcPr>
            <w:tcW w:w="2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5165">
            <w:pPr>
              <w:autoSpaceDE/>
              <w:autoSpaceDN/>
              <w:snapToGrid w:val="0"/>
              <w:spacing w:beforeLines="-2147483648" w:afterLines="-2147483648" w:line="600" w:lineRule="exact"/>
              <w:ind w:firstLine="0" w:firstLineChars="0"/>
              <w:jc w:val="center"/>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lang w:bidi="ar"/>
              </w:rPr>
              <w:t>检测相关功能</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4BBF">
            <w:pPr>
              <w:autoSpaceDE/>
              <w:autoSpaceDN/>
              <w:snapToGrid w:val="0"/>
              <w:spacing w:beforeLines="-2147483648" w:afterLines="-2147483648" w:line="600" w:lineRule="exact"/>
              <w:ind w:firstLine="0" w:firstLineChars="0"/>
              <w:jc w:val="center"/>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Web、App、后台</w:t>
            </w:r>
          </w:p>
        </w:tc>
      </w:tr>
      <w:tr w14:paraId="559DB454">
        <w:tblPrEx>
          <w:tblCellMar>
            <w:top w:w="0" w:type="dxa"/>
            <w:left w:w="108" w:type="dxa"/>
            <w:bottom w:w="0" w:type="dxa"/>
            <w:right w:w="108" w:type="dxa"/>
          </w:tblCellMar>
        </w:tblPrEx>
        <w:trPr>
          <w:trHeight w:val="375" w:hRule="atLeast"/>
          <w:jc w:val="center"/>
        </w:trPr>
        <w:tc>
          <w:tcPr>
            <w:tcW w:w="2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9450">
            <w:pPr>
              <w:autoSpaceDE/>
              <w:autoSpaceDN/>
              <w:snapToGrid w:val="0"/>
              <w:spacing w:beforeLines="-2147483648" w:afterLines="-2147483648" w:line="600" w:lineRule="exact"/>
              <w:ind w:firstLine="0" w:firstLineChars="0"/>
              <w:jc w:val="center"/>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lang w:bidi="ar"/>
              </w:rPr>
              <w:t>其他功能优化</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2B28">
            <w:pPr>
              <w:autoSpaceDE/>
              <w:autoSpaceDN/>
              <w:snapToGrid w:val="0"/>
              <w:spacing w:beforeLines="-2147483648" w:afterLines="-2147483648" w:line="600" w:lineRule="exact"/>
              <w:ind w:firstLine="0" w:firstLineChars="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Web、App</w:t>
            </w:r>
          </w:p>
        </w:tc>
      </w:tr>
    </w:tbl>
    <w:p w14:paraId="2AB3544E">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（二）需求内容</w:t>
      </w:r>
    </w:p>
    <w:p w14:paraId="035B06C1">
      <w:pPr>
        <w:adjustRightInd/>
        <w:snapToGrid/>
        <w:ind w:firstLine="640"/>
        <w:rPr>
          <w:rFonts w:ascii="仿宋_GB2312"/>
        </w:rPr>
        <w:sectPr>
          <w:pgSz w:w="11906" w:h="16838"/>
          <w:pgMar w:top="1474" w:right="1588" w:bottom="1474" w:left="1701" w:header="851" w:footer="992" w:gutter="0"/>
          <w:pgNumType w:fmt="decimal"/>
          <w:cols w:space="720" w:num="1"/>
          <w:docGrid w:type="lines" w:linePitch="435" w:charSpace="0"/>
        </w:sectPr>
      </w:pPr>
    </w:p>
    <w:tbl>
      <w:tblPr>
        <w:tblStyle w:val="9"/>
        <w:tblW w:w="13887" w:type="dxa"/>
        <w:tblInd w:w="0" w:type="dxa"/>
        <w:tblLayout w:type="autofit"/>
        <w:tblCellMar>
          <w:top w:w="0" w:type="dxa"/>
          <w:left w:w="108" w:type="dxa"/>
          <w:bottom w:w="0" w:type="dxa"/>
          <w:right w:w="108" w:type="dxa"/>
        </w:tblCellMar>
      </w:tblPr>
      <w:tblGrid>
        <w:gridCol w:w="1094"/>
        <w:gridCol w:w="2020"/>
        <w:gridCol w:w="3946"/>
        <w:gridCol w:w="6827"/>
      </w:tblGrid>
      <w:tr w14:paraId="4D35293A">
        <w:tblPrEx>
          <w:tblCellMar>
            <w:top w:w="0" w:type="dxa"/>
            <w:left w:w="108" w:type="dxa"/>
            <w:bottom w:w="0" w:type="dxa"/>
            <w:right w:w="108" w:type="dxa"/>
          </w:tblCellMar>
        </w:tblPrEx>
        <w:trPr>
          <w:trHeight w:val="560" w:hRule="atLeast"/>
          <w:tblHeader/>
        </w:trPr>
        <w:tc>
          <w:tcPr>
            <w:tcW w:w="1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3D7B6">
            <w:pPr>
              <w:widowControl/>
              <w:autoSpaceDE/>
              <w:autoSpaceDN/>
              <w:adjustRightInd/>
              <w:snapToGrid w:val="0"/>
              <w:spacing w:beforeLines="-2147483648" w:afterLines="-2147483648" w:line="600" w:lineRule="exact"/>
              <w:ind w:firstLine="0" w:firstLineChars="0"/>
              <w:jc w:val="center"/>
              <w:rPr>
                <w:rFonts w:hint="eastAsia" w:ascii="仿宋_GB2312" w:hAnsi="等线" w:eastAsia="仿宋_GB2312" w:cs="宋体"/>
                <w:bCs/>
                <w:snapToGrid w:val="0"/>
                <w:color w:val="000000"/>
                <w:sz w:val="22"/>
                <w:szCs w:val="22"/>
              </w:rPr>
            </w:pPr>
            <w:r>
              <w:rPr>
                <w:rFonts w:hint="eastAsia" w:ascii="仿宋_GB2312" w:hAnsi="等线" w:eastAsia="仿宋_GB2312" w:cs="宋体"/>
                <w:bCs/>
                <w:snapToGrid w:val="0"/>
                <w:color w:val="000000"/>
                <w:sz w:val="22"/>
                <w:szCs w:val="22"/>
              </w:rPr>
              <w:t>客户端</w:t>
            </w:r>
          </w:p>
        </w:tc>
        <w:tc>
          <w:tcPr>
            <w:tcW w:w="2020" w:type="dxa"/>
            <w:tcBorders>
              <w:top w:val="single" w:color="auto" w:sz="4" w:space="0"/>
              <w:left w:val="nil"/>
              <w:bottom w:val="single" w:color="auto" w:sz="4" w:space="0"/>
              <w:right w:val="single" w:color="auto" w:sz="4" w:space="0"/>
            </w:tcBorders>
            <w:shd w:val="clear" w:color="auto" w:fill="auto"/>
            <w:vAlign w:val="center"/>
          </w:tcPr>
          <w:p w14:paraId="32B924D8">
            <w:pPr>
              <w:widowControl/>
              <w:autoSpaceDE/>
              <w:autoSpaceDN/>
              <w:adjustRightInd/>
              <w:snapToGrid w:val="0"/>
              <w:spacing w:beforeLines="-2147483648" w:afterLines="-2147483648" w:line="600" w:lineRule="exact"/>
              <w:ind w:firstLine="0" w:firstLineChars="0"/>
              <w:jc w:val="center"/>
              <w:rPr>
                <w:rFonts w:hint="eastAsia" w:ascii="仿宋_GB2312" w:hAnsi="等线" w:eastAsia="仿宋_GB2312" w:cs="宋体"/>
                <w:bCs/>
                <w:snapToGrid w:val="0"/>
                <w:color w:val="000000"/>
                <w:sz w:val="22"/>
                <w:szCs w:val="22"/>
              </w:rPr>
            </w:pPr>
            <w:r>
              <w:rPr>
                <w:rFonts w:hint="eastAsia" w:ascii="仿宋_GB2312" w:hAnsi="等线" w:eastAsia="仿宋_GB2312" w:cs="宋体"/>
                <w:bCs/>
                <w:snapToGrid w:val="0"/>
                <w:color w:val="000000"/>
                <w:sz w:val="22"/>
                <w:szCs w:val="22"/>
              </w:rPr>
              <w:t>功能</w:t>
            </w:r>
          </w:p>
        </w:tc>
        <w:tc>
          <w:tcPr>
            <w:tcW w:w="3946" w:type="dxa"/>
            <w:tcBorders>
              <w:top w:val="single" w:color="auto" w:sz="4" w:space="0"/>
              <w:left w:val="nil"/>
              <w:bottom w:val="single" w:color="auto" w:sz="4" w:space="0"/>
              <w:right w:val="single" w:color="auto" w:sz="4" w:space="0"/>
            </w:tcBorders>
            <w:shd w:val="clear" w:color="auto" w:fill="auto"/>
            <w:noWrap/>
            <w:vAlign w:val="center"/>
          </w:tcPr>
          <w:p w14:paraId="5429C79E">
            <w:pPr>
              <w:widowControl/>
              <w:autoSpaceDE/>
              <w:autoSpaceDN/>
              <w:adjustRightInd/>
              <w:snapToGrid w:val="0"/>
              <w:spacing w:beforeLines="-2147483648" w:afterLines="-2147483648" w:line="600" w:lineRule="exact"/>
              <w:ind w:firstLine="0" w:firstLineChars="0"/>
              <w:jc w:val="center"/>
              <w:rPr>
                <w:rFonts w:hint="eastAsia" w:ascii="仿宋_GB2312" w:hAnsi="等线" w:eastAsia="仿宋_GB2312" w:cs="宋体"/>
                <w:bCs/>
                <w:snapToGrid w:val="0"/>
                <w:color w:val="000000"/>
                <w:sz w:val="22"/>
                <w:szCs w:val="22"/>
              </w:rPr>
            </w:pPr>
            <w:r>
              <w:rPr>
                <w:rFonts w:hint="eastAsia" w:ascii="仿宋_GB2312" w:hAnsi="等线" w:eastAsia="仿宋_GB2312" w:cs="宋体"/>
                <w:bCs/>
                <w:snapToGrid w:val="0"/>
                <w:color w:val="000000"/>
                <w:sz w:val="22"/>
                <w:szCs w:val="22"/>
              </w:rPr>
              <w:t>简要描述</w:t>
            </w:r>
          </w:p>
        </w:tc>
        <w:tc>
          <w:tcPr>
            <w:tcW w:w="6827" w:type="dxa"/>
            <w:tcBorders>
              <w:top w:val="single" w:color="auto" w:sz="4" w:space="0"/>
              <w:left w:val="nil"/>
              <w:bottom w:val="single" w:color="auto" w:sz="4" w:space="0"/>
              <w:right w:val="single" w:color="auto" w:sz="4" w:space="0"/>
            </w:tcBorders>
            <w:shd w:val="clear" w:color="auto" w:fill="auto"/>
            <w:noWrap/>
            <w:vAlign w:val="center"/>
          </w:tcPr>
          <w:p w14:paraId="26BDE1D9">
            <w:pPr>
              <w:widowControl/>
              <w:autoSpaceDE/>
              <w:autoSpaceDN/>
              <w:adjustRightInd/>
              <w:snapToGrid w:val="0"/>
              <w:spacing w:beforeLines="-2147483648" w:afterLines="-2147483648" w:line="600" w:lineRule="exact"/>
              <w:ind w:firstLine="0" w:firstLineChars="0"/>
              <w:jc w:val="center"/>
              <w:rPr>
                <w:rFonts w:hint="eastAsia" w:ascii="仿宋_GB2312" w:hAnsi="等线" w:eastAsia="仿宋_GB2312" w:cs="宋体"/>
                <w:bCs/>
                <w:snapToGrid w:val="0"/>
                <w:color w:val="000000"/>
                <w:sz w:val="22"/>
                <w:szCs w:val="22"/>
              </w:rPr>
            </w:pPr>
            <w:r>
              <w:rPr>
                <w:rFonts w:hint="eastAsia" w:ascii="仿宋_GB2312" w:hAnsi="等线" w:eastAsia="仿宋_GB2312" w:cs="宋体"/>
                <w:bCs/>
                <w:snapToGrid w:val="0"/>
                <w:color w:val="000000"/>
                <w:sz w:val="22"/>
                <w:szCs w:val="22"/>
              </w:rPr>
              <w:t>补充说明</w:t>
            </w:r>
          </w:p>
        </w:tc>
      </w:tr>
      <w:tr w14:paraId="695B10C5">
        <w:tblPrEx>
          <w:tblCellMar>
            <w:top w:w="0" w:type="dxa"/>
            <w:left w:w="108" w:type="dxa"/>
            <w:bottom w:w="0" w:type="dxa"/>
            <w:right w:w="108" w:type="dxa"/>
          </w:tblCellMar>
        </w:tblPrEx>
        <w:trPr>
          <w:trHeight w:val="1920" w:hRule="atLeast"/>
        </w:trPr>
        <w:tc>
          <w:tcPr>
            <w:tcW w:w="1094" w:type="dxa"/>
            <w:vMerge w:val="restart"/>
            <w:tcBorders>
              <w:top w:val="nil"/>
              <w:left w:val="single" w:color="auto" w:sz="4" w:space="0"/>
              <w:bottom w:val="single" w:color="auto" w:sz="4" w:space="0"/>
              <w:right w:val="single" w:color="auto" w:sz="4" w:space="0"/>
            </w:tcBorders>
            <w:shd w:val="clear" w:color="auto" w:fill="auto"/>
            <w:vAlign w:val="center"/>
          </w:tcPr>
          <w:p w14:paraId="6DD5FCB9">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web端</w:t>
            </w:r>
          </w:p>
        </w:tc>
        <w:tc>
          <w:tcPr>
            <w:tcW w:w="2020" w:type="dxa"/>
            <w:tcBorders>
              <w:top w:val="nil"/>
              <w:left w:val="nil"/>
              <w:bottom w:val="single" w:color="auto" w:sz="4" w:space="0"/>
              <w:right w:val="single" w:color="auto" w:sz="4" w:space="0"/>
            </w:tcBorders>
            <w:shd w:val="clear" w:color="auto" w:fill="auto"/>
            <w:vAlign w:val="center"/>
          </w:tcPr>
          <w:p w14:paraId="6E59977E">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清疏一张图</w:t>
            </w:r>
          </w:p>
        </w:tc>
        <w:tc>
          <w:tcPr>
            <w:tcW w:w="3946" w:type="dxa"/>
            <w:tcBorders>
              <w:top w:val="nil"/>
              <w:left w:val="nil"/>
              <w:bottom w:val="single" w:color="auto" w:sz="4" w:space="0"/>
              <w:right w:val="single" w:color="auto" w:sz="4" w:space="0"/>
            </w:tcBorders>
            <w:shd w:val="clear" w:color="auto" w:fill="auto"/>
            <w:vAlign w:val="center"/>
          </w:tcPr>
          <w:p w14:paraId="6BC712AE">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在地图中对清疏历史清疏管段、管井按照清疏次数进行不同颜色标识，并可根据相关条件进行查询展示。</w:t>
            </w:r>
          </w:p>
        </w:tc>
        <w:tc>
          <w:tcPr>
            <w:tcW w:w="6827" w:type="dxa"/>
            <w:tcBorders>
              <w:top w:val="nil"/>
              <w:left w:val="nil"/>
              <w:bottom w:val="single" w:color="auto" w:sz="4" w:space="0"/>
              <w:right w:val="single" w:color="auto" w:sz="4" w:space="0"/>
            </w:tcBorders>
            <w:shd w:val="clear" w:color="auto" w:fill="auto"/>
            <w:vAlign w:val="center"/>
          </w:tcPr>
          <w:p w14:paraId="0EA1201B">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在GIS地图中对清疏历史清疏管段、管井按照清疏次数进行不同颜色标识；根据需求对地图展示结果的显示定制（如分公司、镇街、时间段等）；设施历史清疏记录概况的列表展示（如设施编号、地址、清疏次数）及历史清疏记录信息导出；某设施历史清疏记录概况列表（如设施编号、清疏日期、地址）及设施历史清疏记录详情；地图点击设施后基础信息及清疏信息展示。</w:t>
            </w:r>
          </w:p>
        </w:tc>
      </w:tr>
      <w:tr w14:paraId="6E3C7941">
        <w:tblPrEx>
          <w:tblCellMar>
            <w:top w:w="0" w:type="dxa"/>
            <w:left w:w="108" w:type="dxa"/>
            <w:bottom w:w="0" w:type="dxa"/>
            <w:right w:w="108" w:type="dxa"/>
          </w:tblCellMar>
        </w:tblPrEx>
        <w:trPr>
          <w:trHeight w:val="8190" w:hRule="atLeast"/>
        </w:trPr>
        <w:tc>
          <w:tcPr>
            <w:tcW w:w="1094" w:type="dxa"/>
            <w:vMerge w:val="continue"/>
            <w:tcBorders>
              <w:top w:val="nil"/>
              <w:left w:val="single" w:color="auto" w:sz="4" w:space="0"/>
              <w:bottom w:val="single" w:color="auto" w:sz="4" w:space="0"/>
              <w:right w:val="single" w:color="auto" w:sz="4" w:space="0"/>
            </w:tcBorders>
            <w:vAlign w:val="center"/>
          </w:tcPr>
          <w:p w14:paraId="6EE24D86">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3C585BE3">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清疏计划</w:t>
            </w:r>
          </w:p>
        </w:tc>
        <w:tc>
          <w:tcPr>
            <w:tcW w:w="3946" w:type="dxa"/>
            <w:tcBorders>
              <w:top w:val="nil"/>
              <w:left w:val="nil"/>
              <w:bottom w:val="single" w:color="auto" w:sz="4" w:space="0"/>
              <w:right w:val="single" w:color="auto" w:sz="4" w:space="0"/>
            </w:tcBorders>
            <w:shd w:val="clear" w:color="auto" w:fill="auto"/>
            <w:vAlign w:val="center"/>
          </w:tcPr>
          <w:p w14:paraId="2CC21855">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新增删除自主/委外清疏计划，并支持子计划的查看、复制、删除、批量编辑、派发、收回、批量派发。</w:t>
            </w:r>
          </w:p>
        </w:tc>
        <w:tc>
          <w:tcPr>
            <w:tcW w:w="6827" w:type="dxa"/>
            <w:tcBorders>
              <w:top w:val="nil"/>
              <w:left w:val="nil"/>
              <w:bottom w:val="single" w:color="auto" w:sz="4" w:space="0"/>
              <w:right w:val="single" w:color="auto" w:sz="4" w:space="0"/>
            </w:tcBorders>
            <w:shd w:val="clear" w:color="auto" w:fill="auto"/>
            <w:vAlign w:val="center"/>
          </w:tcPr>
          <w:p w14:paraId="64210F5D">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新增项目计划，可在分公司级别进行计划新增；删除未执行的清疏项目计划；（自主清疏）显示项目计划子计划列表；（自主清疏）可按照计划名称检索子计划信息；（自主清疏）可按照计划班组检索子计划信息；（自主清疏）新增子计划；（自主清疏）可删除选定的未派发执行的子计划；（自主清疏）可批量设定子计划预计起止时间和执行班组；（自主清疏）根据子计划设定的执行班组批量派发执行；（自主清疏）查看子计划详细信息，基本情况、涉及的管井管段；（自主清疏）复制子计划信息生成新子计划；（自主清疏）删除子计划；（自主清疏）子计划新增设定完毕，派发执行；（自主清疏）子计划未执行时收回；（自主清疏）可对子计划信息进行编辑调整；（自主清疏）登记子计划基础信息（计划名称、预计起止时间、执行班组、备注），设定计划网格，并可自定义绘制计划区域；（自主清疏）保存子计划基础信息；（自主清疏）返回计划列表；（自主清疏）显示管井总数；（自主清疏）可根据设施类型（污水、雨水、雨污合流）、管井类型（全部、检查井、雨水井、跌水井、水封井、冲洗井……）、项目类属等条件查看计划管井信息；（自主清疏）选定区域后列表展示该区域管井管段设施信息，可根据设施类型（雨水、污水、合流）进行过滤，并将选定的管井管段设施添加至项目计划中；（自主清疏）删除计划列表中的管井；（自主清疏）可根据设施编号进行精准定位搜索；（自主清疏）可通过多选按钮设定必打卡管井；（自主清疏）显示管井信息列表项（管井编号、项目类属、必打卡标识、开井数、管井类型），其中管井编号、项目类属、开井数可设定升降序显示，必打卡可设定管井是否必打卡标识；（自主清疏）可设定计划要求主干管开井比例、主干管开井数量、计划覆盖率要求（%）、非主干管开井比例（%）、非主干管开井数量，当app端提交计划时进行评估，app端可强制提交计划；（自主清疏）显示管段总数；（自主清疏）可根据设施类型（污水、雨水、雨污合流）、项目类属等条件查看计划管段信息；（自主清疏）选定区域后列表展示该区域管井管段设施信息，可根据设施类型（雨水、污水、合流）进行过滤，并将选定的管井管段设施添加至项目计划中；（自主清疏）删除计划列表中的管段；（自主清疏）可根据设施编号进行精准定位搜索；（自主清疏）可通过多选按钮设定必打卡管段；（自主清疏）显示管道信息列表项（管道编号、项目类属、必打卡标识、开井数、管道类型），其中管道编号、项目类属、开井数可设定升降序显示，必打卡可设定管段是否必打卡标识；（自主清疏）点击列表项中的管道编号可在地图进行定位，并标识；（委外清疏）显示项目计划子计划列表；（委外清疏）可按照计划名称检索子计划信息；（委外清疏）可按照计划班组检索子计划信息；（委外清疏）新增子计划；（委外清疏）可删除选定的未派发执行的子计划；（委外清疏）可批量设定子计划预计起止时间和执行班组；（委外清疏）根据子计划设定的执行班组批量派发执行；（委外清疏）查看子计划详细信息，基本情况、涉及的管井管段；（委外清疏）复制子计划信息生成新子计划；（委外清疏）删除子计划；（委外清疏）子计划新增设定完毕，派发执行；（委外清疏）子计划未执行时收回；（委外清疏）可对子计划信息进行编辑调整；（委外清疏）登记子计划基础信息（计划名称、预计起止时间、执行班组、供应商、备注），设定计划网格，并可自定义绘制计划区域；（委外清疏）保存子计划基础信息；（委外清疏）返回计划列表；（委外清疏）显示管井总数及**占比；（委外清疏）可根据设施类型（污水、雨水、雨污合流）、管井类型（全部、检查井、雨水井、跌水井、水封井、冲洗井……）、项目类属等条件查看计划管井信息；（委外清疏）选定区域后列表展示该区域管井管段设施信息，可根据设施类型（雨水、污水、合流）进行过滤，并将选定的管井管段设施添加至项目计划中；（委外清疏）删除计划列表中的管井；（委外清疏）可根据设施编号进行精准定位搜索；（委外清疏）可批量设定管井是否清疏（枚举值是/否）；（委外清疏）可批量设定封堵数量（枚举值0/1/2）；（委外清疏）可批量设定封堵类型；（委外清疏）可设定某设施井是否清疏；（委外清疏）可设定某设施井封堵数量；（委外清疏）可设定某设施井封堵类型；（委外清疏）显示管井信息列表项（管井编号、项目类属、是否清疏、封堵数量、封堵类型、管井类别），其中管井编号、项目类属可设定升降序显示；（委外清疏）点击列表项中的管井可在地图进行定位，并标识；（委外清疏）显示管道总数；（委外清疏）可根据设施类型（污水、雨水、雨污合流）、项目类属等条件查看计划管道信息；（委外清疏）选定区域后列表展示该区域管井管段设施信息，可根据设施类型（雨水、污水、合流）进行过滤，并将选定的管井管段设施添加至项目计划中；（委外清疏）删除计划列表中的管道；（委外清疏）可根据设施编号进行精准定位搜索；（委外清疏）可批量选择导排类型；（委外清疏）可批量选择检测类型；（委外清疏）可设定某设施管道导排类型；（委外清疏）可设定某设施管道检测类型；（委外清疏）显示管道信息列表项（管道编号、项目类属、导排类型、检测类型、管道类别），其中管道编号、项目类属可设定升降序显示；（委外清疏）点击列表项中的管道编号可在地图进行定位，并标识；（委外清疏）显示委外清疏工程量信息（委外项目、单位、计划工程量、实际工程量）；查看计划详细信息，基本情况、涉及的管井管段；复制计划信息生成新计划；删除计划；可批量设定计划预计开始结束时间和执行班组；计划新增设定完毕，派发执行；计划未执行时收回；可进行计划批量派发；复制项目计划信息生成新项目计划。</w:t>
            </w:r>
          </w:p>
        </w:tc>
      </w:tr>
      <w:tr w14:paraId="06EC915E">
        <w:tblPrEx>
          <w:tblCellMar>
            <w:top w:w="0" w:type="dxa"/>
            <w:left w:w="108" w:type="dxa"/>
            <w:bottom w:w="0" w:type="dxa"/>
            <w:right w:w="108" w:type="dxa"/>
          </w:tblCellMar>
        </w:tblPrEx>
        <w:trPr>
          <w:trHeight w:val="840" w:hRule="atLeast"/>
        </w:trPr>
        <w:tc>
          <w:tcPr>
            <w:tcW w:w="1094" w:type="dxa"/>
            <w:vMerge w:val="continue"/>
            <w:tcBorders>
              <w:top w:val="nil"/>
              <w:left w:val="single" w:color="auto" w:sz="4" w:space="0"/>
              <w:bottom w:val="single" w:color="auto" w:sz="4" w:space="0"/>
              <w:right w:val="single" w:color="auto" w:sz="4" w:space="0"/>
            </w:tcBorders>
            <w:vAlign w:val="center"/>
          </w:tcPr>
          <w:p w14:paraId="53412648">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2A9003A0">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清疏计划台账导出对比</w:t>
            </w:r>
          </w:p>
        </w:tc>
        <w:tc>
          <w:tcPr>
            <w:tcW w:w="3946" w:type="dxa"/>
            <w:tcBorders>
              <w:top w:val="nil"/>
              <w:left w:val="nil"/>
              <w:bottom w:val="single" w:color="auto" w:sz="4" w:space="0"/>
              <w:right w:val="single" w:color="auto" w:sz="4" w:space="0"/>
            </w:tcBorders>
            <w:shd w:val="clear" w:color="auto" w:fill="auto"/>
            <w:vAlign w:val="center"/>
          </w:tcPr>
          <w:p w14:paraId="605E94B3">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制定计划之后，可以看到计划中计划清疏的管井管段之前的清疏情况信息（时间、方式等等）。</w:t>
            </w:r>
          </w:p>
        </w:tc>
        <w:tc>
          <w:tcPr>
            <w:tcW w:w="6827" w:type="dxa"/>
            <w:tcBorders>
              <w:top w:val="nil"/>
              <w:left w:val="nil"/>
              <w:bottom w:val="single" w:color="auto" w:sz="4" w:space="0"/>
              <w:right w:val="single" w:color="auto" w:sz="4" w:space="0"/>
            </w:tcBorders>
            <w:shd w:val="clear" w:color="auto" w:fill="auto"/>
            <w:vAlign w:val="center"/>
          </w:tcPr>
          <w:p w14:paraId="2355C3DA">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制定计划之后，可以看到计划中计划清疏的管井管段之前的清疏情况信息（时间、方式等等），用以更好的工作计划安排。</w:t>
            </w:r>
          </w:p>
        </w:tc>
      </w:tr>
      <w:tr w14:paraId="54EE3A90">
        <w:tblPrEx>
          <w:tblCellMar>
            <w:top w:w="0" w:type="dxa"/>
            <w:left w:w="108" w:type="dxa"/>
            <w:bottom w:w="0" w:type="dxa"/>
            <w:right w:w="108" w:type="dxa"/>
          </w:tblCellMar>
        </w:tblPrEx>
        <w:trPr>
          <w:trHeight w:val="560" w:hRule="atLeast"/>
        </w:trPr>
        <w:tc>
          <w:tcPr>
            <w:tcW w:w="1094" w:type="dxa"/>
            <w:vMerge w:val="continue"/>
            <w:tcBorders>
              <w:top w:val="nil"/>
              <w:left w:val="single" w:color="auto" w:sz="4" w:space="0"/>
              <w:bottom w:val="single" w:color="auto" w:sz="4" w:space="0"/>
              <w:right w:val="single" w:color="auto" w:sz="4" w:space="0"/>
            </w:tcBorders>
            <w:vAlign w:val="center"/>
          </w:tcPr>
          <w:p w14:paraId="75D43888">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04A04B8E">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清疏计划台账</w:t>
            </w:r>
          </w:p>
        </w:tc>
        <w:tc>
          <w:tcPr>
            <w:tcW w:w="3946" w:type="dxa"/>
            <w:tcBorders>
              <w:top w:val="nil"/>
              <w:left w:val="nil"/>
              <w:bottom w:val="single" w:color="auto" w:sz="4" w:space="0"/>
              <w:right w:val="single" w:color="auto" w:sz="4" w:space="0"/>
            </w:tcBorders>
            <w:shd w:val="clear" w:color="auto" w:fill="auto"/>
            <w:vAlign w:val="center"/>
          </w:tcPr>
          <w:p w14:paraId="5118D139">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计划制定后可导出计划信息，并生成管井管段封堵点图片。</w:t>
            </w:r>
          </w:p>
        </w:tc>
        <w:tc>
          <w:tcPr>
            <w:tcW w:w="6827" w:type="dxa"/>
            <w:tcBorders>
              <w:top w:val="nil"/>
              <w:left w:val="nil"/>
              <w:bottom w:val="single" w:color="auto" w:sz="4" w:space="0"/>
              <w:right w:val="single" w:color="auto" w:sz="4" w:space="0"/>
            </w:tcBorders>
            <w:shd w:val="clear" w:color="auto" w:fill="auto"/>
            <w:vAlign w:val="center"/>
          </w:tcPr>
          <w:p w14:paraId="390258B4">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计划制定后可导出计划信息，并生成地图中管井管段封堵点图片。</w:t>
            </w:r>
          </w:p>
        </w:tc>
      </w:tr>
      <w:tr w14:paraId="7F9F5D50">
        <w:tblPrEx>
          <w:tblCellMar>
            <w:top w:w="0" w:type="dxa"/>
            <w:left w:w="108" w:type="dxa"/>
            <w:bottom w:w="0" w:type="dxa"/>
            <w:right w:w="108" w:type="dxa"/>
          </w:tblCellMar>
        </w:tblPrEx>
        <w:trPr>
          <w:trHeight w:val="1920" w:hRule="atLeast"/>
        </w:trPr>
        <w:tc>
          <w:tcPr>
            <w:tcW w:w="1094" w:type="dxa"/>
            <w:vMerge w:val="continue"/>
            <w:tcBorders>
              <w:top w:val="nil"/>
              <w:left w:val="single" w:color="auto" w:sz="4" w:space="0"/>
              <w:bottom w:val="single" w:color="auto" w:sz="4" w:space="0"/>
              <w:right w:val="single" w:color="auto" w:sz="4" w:space="0"/>
            </w:tcBorders>
            <w:vAlign w:val="center"/>
          </w:tcPr>
          <w:p w14:paraId="78A0F865">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7D9B4F27">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检测一张图</w:t>
            </w:r>
          </w:p>
        </w:tc>
        <w:tc>
          <w:tcPr>
            <w:tcW w:w="3946" w:type="dxa"/>
            <w:tcBorders>
              <w:top w:val="nil"/>
              <w:left w:val="nil"/>
              <w:bottom w:val="single" w:color="auto" w:sz="4" w:space="0"/>
              <w:right w:val="single" w:color="auto" w:sz="4" w:space="0"/>
            </w:tcBorders>
            <w:shd w:val="clear" w:color="auto" w:fill="auto"/>
            <w:vAlign w:val="center"/>
          </w:tcPr>
          <w:p w14:paraId="2A68E148">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在地图中对检测历史检测管段、管井按照检测次数进行不同颜色标识，并可根据相关条件进行查询展示。</w:t>
            </w:r>
          </w:p>
        </w:tc>
        <w:tc>
          <w:tcPr>
            <w:tcW w:w="6827" w:type="dxa"/>
            <w:tcBorders>
              <w:top w:val="nil"/>
              <w:left w:val="nil"/>
              <w:bottom w:val="single" w:color="auto" w:sz="4" w:space="0"/>
              <w:right w:val="single" w:color="auto" w:sz="4" w:space="0"/>
            </w:tcBorders>
            <w:shd w:val="clear" w:color="auto" w:fill="auto"/>
            <w:vAlign w:val="center"/>
          </w:tcPr>
          <w:p w14:paraId="08E9C41E">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在GIS在地图中对检测历史检测管段、管井按照检测次数进行不同颜色标识;根据需求对地图展示结果的显示定制（如分公司、镇街、时间段等）；设施历史检测记录概况的列表展示（如设施编号、地址、检测次数）及历史检测记录信息导出；某设施历史检测记录概况列表（如设施编号、检测日期、地址）及设施历史检测记录详情；地图点击设施后检测信息展示。</w:t>
            </w:r>
          </w:p>
        </w:tc>
      </w:tr>
      <w:tr w14:paraId="4680D42D">
        <w:tblPrEx>
          <w:tblCellMar>
            <w:top w:w="0" w:type="dxa"/>
            <w:left w:w="108" w:type="dxa"/>
            <w:bottom w:w="0" w:type="dxa"/>
            <w:right w:w="108" w:type="dxa"/>
          </w:tblCellMar>
        </w:tblPrEx>
        <w:trPr>
          <w:trHeight w:val="8190" w:hRule="atLeast"/>
        </w:trPr>
        <w:tc>
          <w:tcPr>
            <w:tcW w:w="1094" w:type="dxa"/>
            <w:vMerge w:val="continue"/>
            <w:tcBorders>
              <w:top w:val="nil"/>
              <w:left w:val="single" w:color="auto" w:sz="4" w:space="0"/>
              <w:bottom w:val="single" w:color="auto" w:sz="4" w:space="0"/>
              <w:right w:val="single" w:color="auto" w:sz="4" w:space="0"/>
            </w:tcBorders>
            <w:vAlign w:val="center"/>
          </w:tcPr>
          <w:p w14:paraId="6D1CDCB1">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007FD082">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检测计划</w:t>
            </w:r>
          </w:p>
        </w:tc>
        <w:tc>
          <w:tcPr>
            <w:tcW w:w="3946" w:type="dxa"/>
            <w:tcBorders>
              <w:top w:val="nil"/>
              <w:left w:val="nil"/>
              <w:bottom w:val="single" w:color="auto" w:sz="4" w:space="0"/>
              <w:right w:val="single" w:color="auto" w:sz="4" w:space="0"/>
            </w:tcBorders>
            <w:shd w:val="clear" w:color="auto" w:fill="auto"/>
            <w:vAlign w:val="center"/>
          </w:tcPr>
          <w:p w14:paraId="0B1854AF">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新增删除自主/委外检测计划，并支持子计划的查看、复制、删除、批量编辑、派发、收回、批量派发。</w:t>
            </w:r>
          </w:p>
        </w:tc>
        <w:tc>
          <w:tcPr>
            <w:tcW w:w="6827" w:type="dxa"/>
            <w:tcBorders>
              <w:top w:val="nil"/>
              <w:left w:val="nil"/>
              <w:bottom w:val="single" w:color="auto" w:sz="4" w:space="0"/>
              <w:right w:val="single" w:color="auto" w:sz="4" w:space="0"/>
            </w:tcBorders>
            <w:shd w:val="clear" w:color="auto" w:fill="auto"/>
            <w:vAlign w:val="center"/>
          </w:tcPr>
          <w:p w14:paraId="4CE6A502">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新增项目计划，可在分公司级别进行计划新增；删除未执行的检测项目计划；（自主检测）显示项目计划子计划列表；（自主检测）可按照计划名称检索子计划信息；（自主检测）可按照计划班组检索子计划信息；（自主检测）新增子计划；（自主检测）可删除选定的未派发执行的子计划；（自主检测）可批量设定子计划预计起止时间和执行班组；（自主检测）根据子计划设定的执行班组批量派发执行；（自主检测）查看子计划详细信息，基本情况、涉及的管井管段；（自主检测）复制子计划信息生成新子计划；（自主检测）删除子计划；（自主检测）子计划新增设定完毕，派发执行；（自主检测）子计划未执行时收回；（自主检测）可对子计划信息进行编辑调整；（自主检测）登记子计划基础信息（计划名称、预计起止时间、执行班组、备注），设定计划网格，并可自定义绘制计划区域；（自主检测）保存子计划基础信息；（自主检测）返回计划列表；（自主检测）显示管段总数；（自主检测）可根据设施类型（污水、雨水、雨污合流）、项目类属等条件查看计划管段信息；（自主检测）选定区域后列表展示该区域管井管段设施信息，可根据设施类型（雨水、污水、合流）进行过滤，并将选定的管井管段设施添加至项目计划中；（自主检测）删除计划列表中的管段；（自主检测）可根据设施编号进行精准定位搜索；（自主检测）可通过多选按钮设定必打卡管段；（自主检测）显示管道信息列表项（管道编号、项目类属、必打卡标识、开井数、管道类型），其中管道编号、项目类属、开井数可设定升降序显示，必打卡可设定管井是否必打卡标识；（自主检测）点击列表项中的管道编号可在地图进行定位，并标识；（委外检测）显示项目计划子计划列表；（委外检测）可按照计划名称检索子计划信息；（委外检测）可按照计划班组检索子计划信息；（委外检测）新增子计划；（委外检测）可删除选定的未派发执行的子计划；（委外检测）可批量设定子计划预计起止时间和执行班组；（委外检测）根据子计划设定的执行班组批量派发执行；（委外检测）查看子计划详细信息，基本情况、涉及的管井管段；（委外检测）复制子计划信息生成新子计划；（委外检测）删除子计划；（委外检测）子计划新增设定完毕，派发执行；（委外检测）子计划未执行时收回；（委外检测）可对子计划信息进行编辑调整；（委外检测）登记子计划基础信息（计划名称、预计起止时间、执行班组、供应商、备注），设定计划网格，并可自定义绘制计划区域；（委外检测）保存子计划基础信息；（委外检测）返回计划列表；（委外检测）显示管段总数；（委外检测）可根据设施类型（污水、雨水、雨污合流）、项目类属等条件查看计划管井信息；（委外检测）选定区域后列表展示该区域管井管段设施信息，可根据设施类型（雨水、污水、合流）进行过滤，并将选定的管井管段设施添加至项目计划中；（委外检测）删除计划列表中的管段；（委外检测）可根据设施编号进行精准定位搜索；（委外检测）显示管道信息列表项（管道编号、项目类属、导排类型、检测类型、管道类别），其中管道编号、项目类属可设定升降序显示；（委外检测）点击列表项中的管道编号可在地图进行定位，并标识；查看计划详细信息，基本情况、涉及的管井管段；复制计划信息生成新计划；删除计划；可批量设定计划预计开始结束时间和执行班组；计划新增设定完毕，派发执行；计划未执行时收回；可进行计划批量派发；复制项目计划信息生成新项目计划。</w:t>
            </w:r>
          </w:p>
        </w:tc>
      </w:tr>
      <w:tr w14:paraId="3601997E">
        <w:tblPrEx>
          <w:tblCellMar>
            <w:top w:w="0" w:type="dxa"/>
            <w:left w:w="108" w:type="dxa"/>
            <w:bottom w:w="0" w:type="dxa"/>
            <w:right w:w="108" w:type="dxa"/>
          </w:tblCellMar>
        </w:tblPrEx>
        <w:trPr>
          <w:trHeight w:val="840" w:hRule="atLeast"/>
        </w:trPr>
        <w:tc>
          <w:tcPr>
            <w:tcW w:w="1094" w:type="dxa"/>
            <w:vMerge w:val="continue"/>
            <w:tcBorders>
              <w:top w:val="nil"/>
              <w:left w:val="single" w:color="auto" w:sz="4" w:space="0"/>
              <w:bottom w:val="single" w:color="auto" w:sz="4" w:space="0"/>
              <w:right w:val="single" w:color="auto" w:sz="4" w:space="0"/>
            </w:tcBorders>
            <w:vAlign w:val="center"/>
          </w:tcPr>
          <w:p w14:paraId="4576384B">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584E17E2">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检测计划台账导出对比</w:t>
            </w:r>
          </w:p>
        </w:tc>
        <w:tc>
          <w:tcPr>
            <w:tcW w:w="3946" w:type="dxa"/>
            <w:tcBorders>
              <w:top w:val="nil"/>
              <w:left w:val="nil"/>
              <w:bottom w:val="single" w:color="auto" w:sz="4" w:space="0"/>
              <w:right w:val="single" w:color="auto" w:sz="4" w:space="0"/>
            </w:tcBorders>
            <w:shd w:val="clear" w:color="auto" w:fill="auto"/>
            <w:vAlign w:val="center"/>
          </w:tcPr>
          <w:p w14:paraId="2662A1F3">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制定计划之后，可以看到计划中计划检测的管井管段之前的检测情况信息（时间、方式等等）。</w:t>
            </w:r>
          </w:p>
        </w:tc>
        <w:tc>
          <w:tcPr>
            <w:tcW w:w="6827" w:type="dxa"/>
            <w:tcBorders>
              <w:top w:val="nil"/>
              <w:left w:val="nil"/>
              <w:bottom w:val="single" w:color="auto" w:sz="4" w:space="0"/>
              <w:right w:val="single" w:color="auto" w:sz="4" w:space="0"/>
            </w:tcBorders>
            <w:shd w:val="clear" w:color="auto" w:fill="auto"/>
            <w:vAlign w:val="center"/>
          </w:tcPr>
          <w:p w14:paraId="408F0F92">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制定计划之后，可以看到计划中计划检测的管井管段之前的检测情况信息（时间、方式等等），用于更好的检测计划工作安排。</w:t>
            </w:r>
          </w:p>
        </w:tc>
      </w:tr>
      <w:tr w14:paraId="6A77EAFD">
        <w:tblPrEx>
          <w:tblCellMar>
            <w:top w:w="0" w:type="dxa"/>
            <w:left w:w="108" w:type="dxa"/>
            <w:bottom w:w="0" w:type="dxa"/>
            <w:right w:w="108" w:type="dxa"/>
          </w:tblCellMar>
        </w:tblPrEx>
        <w:trPr>
          <w:trHeight w:val="560" w:hRule="atLeast"/>
        </w:trPr>
        <w:tc>
          <w:tcPr>
            <w:tcW w:w="1094" w:type="dxa"/>
            <w:vMerge w:val="continue"/>
            <w:tcBorders>
              <w:top w:val="nil"/>
              <w:left w:val="single" w:color="auto" w:sz="4" w:space="0"/>
              <w:bottom w:val="single" w:color="auto" w:sz="4" w:space="0"/>
              <w:right w:val="single" w:color="auto" w:sz="4" w:space="0"/>
            </w:tcBorders>
            <w:vAlign w:val="center"/>
          </w:tcPr>
          <w:p w14:paraId="26AAD2E6">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596D7E71">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GIS地图设施查询</w:t>
            </w:r>
          </w:p>
        </w:tc>
        <w:tc>
          <w:tcPr>
            <w:tcW w:w="3946" w:type="dxa"/>
            <w:tcBorders>
              <w:top w:val="nil"/>
              <w:left w:val="nil"/>
              <w:bottom w:val="single" w:color="auto" w:sz="4" w:space="0"/>
              <w:right w:val="single" w:color="auto" w:sz="4" w:space="0"/>
            </w:tcBorders>
            <w:shd w:val="clear" w:color="auto" w:fill="auto"/>
            <w:vAlign w:val="center"/>
          </w:tcPr>
          <w:p w14:paraId="74754342">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展示设施历史清疏、检测、维修、巡查信息。</w:t>
            </w:r>
          </w:p>
        </w:tc>
        <w:tc>
          <w:tcPr>
            <w:tcW w:w="6827" w:type="dxa"/>
            <w:tcBorders>
              <w:top w:val="nil"/>
              <w:left w:val="nil"/>
              <w:bottom w:val="single" w:color="auto" w:sz="4" w:space="0"/>
              <w:right w:val="single" w:color="auto" w:sz="4" w:space="0"/>
            </w:tcBorders>
            <w:shd w:val="clear" w:color="auto" w:fill="auto"/>
            <w:vAlign w:val="center"/>
          </w:tcPr>
          <w:p w14:paraId="0E5D2F95">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展示信息设计展示设施的历史清疏、检测、维修、巡查、问题上报、外部施工等所有历史工作信息。</w:t>
            </w:r>
          </w:p>
        </w:tc>
      </w:tr>
      <w:tr w14:paraId="5B98455A">
        <w:tblPrEx>
          <w:tblCellMar>
            <w:top w:w="0" w:type="dxa"/>
            <w:left w:w="108" w:type="dxa"/>
            <w:bottom w:w="0" w:type="dxa"/>
            <w:right w:w="108" w:type="dxa"/>
          </w:tblCellMar>
        </w:tblPrEx>
        <w:trPr>
          <w:trHeight w:val="1200" w:hRule="atLeast"/>
        </w:trPr>
        <w:tc>
          <w:tcPr>
            <w:tcW w:w="1094" w:type="dxa"/>
            <w:vMerge w:val="continue"/>
            <w:tcBorders>
              <w:top w:val="nil"/>
              <w:left w:val="single" w:color="auto" w:sz="4" w:space="0"/>
              <w:bottom w:val="single" w:color="auto" w:sz="4" w:space="0"/>
              <w:right w:val="single" w:color="auto" w:sz="4" w:space="0"/>
            </w:tcBorders>
            <w:vAlign w:val="center"/>
          </w:tcPr>
          <w:p w14:paraId="2ECDF26D">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0EC06B14">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泵站管理</w:t>
            </w:r>
          </w:p>
        </w:tc>
        <w:tc>
          <w:tcPr>
            <w:tcW w:w="3946" w:type="dxa"/>
            <w:tcBorders>
              <w:top w:val="nil"/>
              <w:left w:val="nil"/>
              <w:bottom w:val="single" w:color="auto" w:sz="4" w:space="0"/>
              <w:right w:val="single" w:color="auto" w:sz="4" w:space="0"/>
            </w:tcBorders>
            <w:shd w:val="clear" w:color="auto" w:fill="auto"/>
            <w:vAlign w:val="center"/>
          </w:tcPr>
          <w:p w14:paraId="2A6110CD">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泵站巡检记录，泵站养护计划增加编辑功能。</w:t>
            </w:r>
          </w:p>
        </w:tc>
        <w:tc>
          <w:tcPr>
            <w:tcW w:w="6827" w:type="dxa"/>
            <w:tcBorders>
              <w:top w:val="nil"/>
              <w:left w:val="nil"/>
              <w:bottom w:val="single" w:color="auto" w:sz="4" w:space="0"/>
              <w:right w:val="single" w:color="auto" w:sz="4" w:space="0"/>
            </w:tcBorders>
            <w:shd w:val="clear" w:color="auto" w:fill="auto"/>
            <w:vAlign w:val="center"/>
          </w:tcPr>
          <w:p w14:paraId="5C3BDD6E">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支持记录泵站巡检情况，并在发现问题时跳转至问题上报及养护；已制定的泵站养护计划目前无编辑调整功能，新增编辑调整功能，方便计划内容的准确有效设置，同时网页及导出的泵站养护计划能清晰标注出养护计划调整内容及备注。</w:t>
            </w:r>
          </w:p>
        </w:tc>
      </w:tr>
      <w:tr w14:paraId="1609BFCA">
        <w:tblPrEx>
          <w:tblCellMar>
            <w:top w:w="0" w:type="dxa"/>
            <w:left w:w="108" w:type="dxa"/>
            <w:bottom w:w="0" w:type="dxa"/>
            <w:right w:w="108" w:type="dxa"/>
          </w:tblCellMar>
        </w:tblPrEx>
        <w:trPr>
          <w:trHeight w:val="1960" w:hRule="atLeast"/>
        </w:trPr>
        <w:tc>
          <w:tcPr>
            <w:tcW w:w="1094" w:type="dxa"/>
            <w:vMerge w:val="continue"/>
            <w:tcBorders>
              <w:top w:val="nil"/>
              <w:left w:val="single" w:color="auto" w:sz="4" w:space="0"/>
              <w:bottom w:val="single" w:color="auto" w:sz="4" w:space="0"/>
              <w:right w:val="single" w:color="auto" w:sz="4" w:space="0"/>
            </w:tcBorders>
            <w:vAlign w:val="center"/>
          </w:tcPr>
          <w:p w14:paraId="0EB82F8B">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6D59D55D">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台账管理</w:t>
            </w:r>
          </w:p>
        </w:tc>
        <w:tc>
          <w:tcPr>
            <w:tcW w:w="3946" w:type="dxa"/>
            <w:tcBorders>
              <w:top w:val="nil"/>
              <w:left w:val="nil"/>
              <w:bottom w:val="single" w:color="auto" w:sz="4" w:space="0"/>
              <w:right w:val="single" w:color="auto" w:sz="4" w:space="0"/>
            </w:tcBorders>
            <w:shd w:val="clear" w:color="auto" w:fill="auto"/>
            <w:vAlign w:val="center"/>
          </w:tcPr>
          <w:p w14:paraId="2D406967">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截流井：在网格化模块中单列一个截流井模块，可在web端内直接看到具体台账以及截流井具体信息并进行截流井状态的更新；异常轨迹台账：根据镇街分公司检索异常轨迹人员并展示人员异常轨迹台账（人员、镇街分公司、停留起始时间、结束时间、停留时长）。</w:t>
            </w:r>
          </w:p>
        </w:tc>
        <w:tc>
          <w:tcPr>
            <w:tcW w:w="6827" w:type="dxa"/>
            <w:tcBorders>
              <w:top w:val="nil"/>
              <w:left w:val="nil"/>
              <w:bottom w:val="single" w:color="auto" w:sz="4" w:space="0"/>
              <w:right w:val="single" w:color="auto" w:sz="4" w:space="0"/>
            </w:tcBorders>
            <w:shd w:val="clear" w:color="auto" w:fill="auto"/>
            <w:vAlign w:val="center"/>
          </w:tcPr>
          <w:p w14:paraId="7469E0BC">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截流井：单列一个截流井模块，可在web端内根据分公司、镇街、项目类属、截流井状态等筛选条件看到具体台账以及截流井具体基础信息、截流井清疏次数同时可进行截流井状态的更新；异常轨迹台账：根据镇街分公司检索异常轨迹人员并展示人员异常轨迹台账（人员、镇街分公司、停留起始时间、结束时间、停留时长）。</w:t>
            </w:r>
          </w:p>
        </w:tc>
      </w:tr>
      <w:tr w14:paraId="7E25EF98">
        <w:tblPrEx>
          <w:tblCellMar>
            <w:top w:w="0" w:type="dxa"/>
            <w:left w:w="108" w:type="dxa"/>
            <w:bottom w:w="0" w:type="dxa"/>
            <w:right w:w="108" w:type="dxa"/>
          </w:tblCellMar>
        </w:tblPrEx>
        <w:trPr>
          <w:trHeight w:val="960" w:hRule="atLeast"/>
        </w:trPr>
        <w:tc>
          <w:tcPr>
            <w:tcW w:w="1094" w:type="dxa"/>
            <w:vMerge w:val="continue"/>
            <w:tcBorders>
              <w:top w:val="nil"/>
              <w:left w:val="single" w:color="auto" w:sz="4" w:space="0"/>
              <w:bottom w:val="single" w:color="auto" w:sz="4" w:space="0"/>
              <w:right w:val="single" w:color="auto" w:sz="4" w:space="0"/>
            </w:tcBorders>
            <w:vAlign w:val="center"/>
          </w:tcPr>
          <w:p w14:paraId="75907F2B">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000000" w:fill="FFFFFF"/>
            <w:vAlign w:val="center"/>
          </w:tcPr>
          <w:p w14:paraId="016F2B8F">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其他功能</w:t>
            </w:r>
          </w:p>
        </w:tc>
        <w:tc>
          <w:tcPr>
            <w:tcW w:w="3946" w:type="dxa"/>
            <w:tcBorders>
              <w:top w:val="nil"/>
              <w:left w:val="nil"/>
              <w:bottom w:val="single" w:color="auto" w:sz="4" w:space="0"/>
              <w:right w:val="single" w:color="auto" w:sz="4" w:space="0"/>
            </w:tcBorders>
            <w:shd w:val="clear" w:color="000000" w:fill="FFFFFF"/>
            <w:vAlign w:val="center"/>
          </w:tcPr>
          <w:p w14:paraId="3928F129">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其他日常工作可对水质检测指标值进行上报及后续编辑。</w:t>
            </w:r>
          </w:p>
        </w:tc>
        <w:tc>
          <w:tcPr>
            <w:tcW w:w="6827" w:type="dxa"/>
            <w:tcBorders>
              <w:top w:val="nil"/>
              <w:left w:val="nil"/>
              <w:bottom w:val="single" w:color="auto" w:sz="4" w:space="0"/>
              <w:right w:val="single" w:color="auto" w:sz="4" w:space="0"/>
            </w:tcBorders>
            <w:shd w:val="clear" w:color="000000" w:fill="FFFFFF"/>
            <w:vAlign w:val="center"/>
          </w:tcPr>
          <w:p w14:paraId="092AFA2C">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增加对水质检测指标值编辑功能，以便对水质检测指标进行上报及后续变更调整。</w:t>
            </w:r>
          </w:p>
        </w:tc>
      </w:tr>
      <w:tr w14:paraId="76E5D7BA">
        <w:tblPrEx>
          <w:tblCellMar>
            <w:top w:w="0" w:type="dxa"/>
            <w:left w:w="108" w:type="dxa"/>
            <w:bottom w:w="0" w:type="dxa"/>
            <w:right w:w="108" w:type="dxa"/>
          </w:tblCellMar>
        </w:tblPrEx>
        <w:trPr>
          <w:trHeight w:val="750" w:hRule="atLeast"/>
        </w:trPr>
        <w:tc>
          <w:tcPr>
            <w:tcW w:w="1094" w:type="dxa"/>
            <w:vMerge w:val="restart"/>
            <w:tcBorders>
              <w:top w:val="nil"/>
              <w:left w:val="single" w:color="auto" w:sz="4" w:space="0"/>
              <w:bottom w:val="single" w:color="auto" w:sz="4" w:space="0"/>
              <w:right w:val="single" w:color="auto" w:sz="4" w:space="0"/>
            </w:tcBorders>
            <w:shd w:val="clear" w:color="auto" w:fill="auto"/>
            <w:vAlign w:val="center"/>
          </w:tcPr>
          <w:p w14:paraId="42A31590">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app端</w:t>
            </w:r>
          </w:p>
        </w:tc>
        <w:tc>
          <w:tcPr>
            <w:tcW w:w="2020" w:type="dxa"/>
            <w:tcBorders>
              <w:top w:val="nil"/>
              <w:left w:val="nil"/>
              <w:bottom w:val="single" w:color="auto" w:sz="4" w:space="0"/>
              <w:right w:val="single" w:color="auto" w:sz="4" w:space="0"/>
            </w:tcBorders>
            <w:shd w:val="clear" w:color="auto" w:fill="auto"/>
            <w:vAlign w:val="center"/>
          </w:tcPr>
          <w:p w14:paraId="382E7FC7">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设施历史工作记录</w:t>
            </w:r>
          </w:p>
        </w:tc>
        <w:tc>
          <w:tcPr>
            <w:tcW w:w="3946" w:type="dxa"/>
            <w:tcBorders>
              <w:top w:val="nil"/>
              <w:left w:val="nil"/>
              <w:bottom w:val="single" w:color="auto" w:sz="4" w:space="0"/>
              <w:right w:val="single" w:color="auto" w:sz="4" w:space="0"/>
            </w:tcBorders>
            <w:shd w:val="clear" w:color="auto" w:fill="auto"/>
            <w:vAlign w:val="center"/>
          </w:tcPr>
          <w:p w14:paraId="592C5AEC">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查看设施详情时，可展示设施历史工作记录。</w:t>
            </w:r>
          </w:p>
        </w:tc>
        <w:tc>
          <w:tcPr>
            <w:tcW w:w="6827" w:type="dxa"/>
            <w:tcBorders>
              <w:top w:val="nil"/>
              <w:left w:val="nil"/>
              <w:bottom w:val="single" w:color="auto" w:sz="4" w:space="0"/>
              <w:right w:val="single" w:color="auto" w:sz="4" w:space="0"/>
            </w:tcBorders>
            <w:shd w:val="clear" w:color="000000" w:fill="FFFFFF"/>
            <w:vAlign w:val="center"/>
          </w:tcPr>
          <w:p w14:paraId="4F35E78F">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优化现有设施历史维修、清疏、检测工单记录样式，补充是否委外、处理人等字段，同时补充关联巡查、开井、问题上报、外部施工等历史记录，支持筛选。</w:t>
            </w:r>
          </w:p>
        </w:tc>
      </w:tr>
      <w:tr w14:paraId="6BAA7A78">
        <w:tblPrEx>
          <w:tblCellMar>
            <w:top w:w="0" w:type="dxa"/>
            <w:left w:w="108" w:type="dxa"/>
            <w:bottom w:w="0" w:type="dxa"/>
            <w:right w:w="108" w:type="dxa"/>
          </w:tblCellMar>
        </w:tblPrEx>
        <w:trPr>
          <w:trHeight w:val="720" w:hRule="atLeast"/>
        </w:trPr>
        <w:tc>
          <w:tcPr>
            <w:tcW w:w="1094" w:type="dxa"/>
            <w:vMerge w:val="continue"/>
            <w:tcBorders>
              <w:top w:val="nil"/>
              <w:left w:val="single" w:color="auto" w:sz="4" w:space="0"/>
              <w:bottom w:val="single" w:color="auto" w:sz="4" w:space="0"/>
              <w:right w:val="single" w:color="auto" w:sz="4" w:space="0"/>
            </w:tcBorders>
            <w:vAlign w:val="center"/>
          </w:tcPr>
          <w:p w14:paraId="4A7FA0CE">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1B00E320">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计划执行</w:t>
            </w:r>
          </w:p>
        </w:tc>
        <w:tc>
          <w:tcPr>
            <w:tcW w:w="3946" w:type="dxa"/>
            <w:tcBorders>
              <w:top w:val="nil"/>
              <w:left w:val="nil"/>
              <w:bottom w:val="single" w:color="auto" w:sz="4" w:space="0"/>
              <w:right w:val="single" w:color="auto" w:sz="4" w:space="0"/>
            </w:tcBorders>
            <w:shd w:val="clear" w:color="auto" w:fill="auto"/>
            <w:vAlign w:val="center"/>
          </w:tcPr>
          <w:p w14:paraId="612A68DF">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支持检测、清疏等计划执行。</w:t>
            </w:r>
          </w:p>
        </w:tc>
        <w:tc>
          <w:tcPr>
            <w:tcW w:w="6827" w:type="dxa"/>
            <w:tcBorders>
              <w:top w:val="nil"/>
              <w:left w:val="nil"/>
              <w:bottom w:val="single" w:color="auto" w:sz="4" w:space="0"/>
              <w:right w:val="single" w:color="auto" w:sz="4" w:space="0"/>
            </w:tcBorders>
            <w:shd w:val="clear" w:color="auto" w:fill="auto"/>
            <w:vAlign w:val="center"/>
          </w:tcPr>
          <w:p w14:paraId="5F31C69F">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支持计划性检测、专项检测等检测计划、清疏计划的执行。</w:t>
            </w:r>
          </w:p>
        </w:tc>
      </w:tr>
      <w:tr w14:paraId="6E2EC7B9">
        <w:tblPrEx>
          <w:tblCellMar>
            <w:top w:w="0" w:type="dxa"/>
            <w:left w:w="108" w:type="dxa"/>
            <w:bottom w:w="0" w:type="dxa"/>
            <w:right w:w="108" w:type="dxa"/>
          </w:tblCellMar>
        </w:tblPrEx>
        <w:trPr>
          <w:trHeight w:val="3080" w:hRule="atLeast"/>
        </w:trPr>
        <w:tc>
          <w:tcPr>
            <w:tcW w:w="1094" w:type="dxa"/>
            <w:vMerge w:val="continue"/>
            <w:tcBorders>
              <w:top w:val="nil"/>
              <w:left w:val="single" w:color="auto" w:sz="4" w:space="0"/>
              <w:bottom w:val="single" w:color="auto" w:sz="4" w:space="0"/>
              <w:right w:val="single" w:color="auto" w:sz="4" w:space="0"/>
            </w:tcBorders>
            <w:vAlign w:val="center"/>
          </w:tcPr>
          <w:p w14:paraId="3E33A7D2">
            <w:pPr>
              <w:widowControl/>
              <w:autoSpaceDE/>
              <w:autoSpaceDN/>
              <w:adjustRightInd/>
              <w:snapToGrid w:val="0"/>
              <w:spacing w:beforeLines="-2147483648" w:afterLines="-2147483648" w:line="600" w:lineRule="exact"/>
              <w:ind w:firstLine="440" w:firstLineChars="200"/>
              <w:jc w:val="both"/>
              <w:rPr>
                <w:rFonts w:hint="eastAsia" w:ascii="仿宋_GB2312" w:hAnsi="宋体"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000000" w:fill="FFFFFF"/>
            <w:vAlign w:val="center"/>
          </w:tcPr>
          <w:p w14:paraId="444EA992">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待办计划</w:t>
            </w:r>
          </w:p>
        </w:tc>
        <w:tc>
          <w:tcPr>
            <w:tcW w:w="3946" w:type="dxa"/>
            <w:tcBorders>
              <w:top w:val="nil"/>
              <w:left w:val="nil"/>
              <w:bottom w:val="single" w:color="auto" w:sz="4" w:space="0"/>
              <w:right w:val="single" w:color="auto" w:sz="4" w:space="0"/>
            </w:tcBorders>
            <w:shd w:val="clear" w:color="000000" w:fill="FFFFFF"/>
            <w:vAlign w:val="center"/>
          </w:tcPr>
          <w:p w14:paraId="449FA9C0">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新增井号信息可在当月巡检计划中使用开井巡查功能及路面巡查功能，问题上报台账保存待办；APP巡检计划开井记录覆盖逻辑调整，若同一计划中同一井重复打卡，询问新增打卡记录或覆盖修改原记录；水质检测：可填报COD、BOD、氨氮、预估水量、备注等水质指标。</w:t>
            </w:r>
          </w:p>
        </w:tc>
        <w:tc>
          <w:tcPr>
            <w:tcW w:w="6827" w:type="dxa"/>
            <w:tcBorders>
              <w:top w:val="nil"/>
              <w:left w:val="nil"/>
              <w:bottom w:val="single" w:color="auto" w:sz="4" w:space="0"/>
              <w:right w:val="single" w:color="auto" w:sz="4" w:space="0"/>
            </w:tcBorders>
            <w:shd w:val="clear" w:color="000000" w:fill="FFFFFF"/>
            <w:vAlign w:val="center"/>
          </w:tcPr>
          <w:p w14:paraId="23FA8983">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18"/>
                <w:szCs w:val="18"/>
              </w:rPr>
            </w:pPr>
            <w:r>
              <w:rPr>
                <w:rFonts w:hint="eastAsia" w:ascii="仿宋_GB2312" w:hAnsi="宋体" w:eastAsia="仿宋_GB2312" w:cs="宋体"/>
                <w:bCs/>
                <w:snapToGrid w:val="0"/>
                <w:color w:val="000000"/>
                <w:sz w:val="18"/>
                <w:szCs w:val="18"/>
              </w:rPr>
              <w:t>新增井号信息可在当月巡检计划中使用开井巡查功能及路面巡查功能，问题上报台账保存待办；APP巡检计划开井记录覆盖逻辑调整，若同一计划中同一井重复打卡，询问新增打卡记录或覆盖修改原记录；水质检测：可填报COD、BOD、氨氮、预估水量、备注等水质指标。</w:t>
            </w:r>
          </w:p>
        </w:tc>
      </w:tr>
      <w:tr w14:paraId="5B6F54AC">
        <w:tblPrEx>
          <w:tblCellMar>
            <w:top w:w="0" w:type="dxa"/>
            <w:left w:w="108" w:type="dxa"/>
            <w:bottom w:w="0" w:type="dxa"/>
            <w:right w:w="108" w:type="dxa"/>
          </w:tblCellMar>
        </w:tblPrEx>
        <w:trPr>
          <w:trHeight w:val="1390" w:hRule="atLeast"/>
        </w:trPr>
        <w:tc>
          <w:tcPr>
            <w:tcW w:w="1094" w:type="dxa"/>
            <w:vMerge w:val="restart"/>
            <w:tcBorders>
              <w:top w:val="nil"/>
              <w:left w:val="single" w:color="auto" w:sz="4" w:space="0"/>
              <w:bottom w:val="single" w:color="auto" w:sz="4" w:space="0"/>
              <w:right w:val="single" w:color="auto" w:sz="4" w:space="0"/>
            </w:tcBorders>
            <w:shd w:val="clear" w:color="auto" w:fill="auto"/>
            <w:vAlign w:val="center"/>
          </w:tcPr>
          <w:p w14:paraId="7E25A6A6">
            <w:pPr>
              <w:widowControl/>
              <w:autoSpaceDE/>
              <w:autoSpaceDN/>
              <w:adjustRightInd/>
              <w:snapToGrid w:val="0"/>
              <w:spacing w:beforeLines="-2147483648" w:afterLines="-2147483648" w:line="600" w:lineRule="exact"/>
              <w:ind w:firstLine="0" w:firstLineChars="0"/>
              <w:jc w:val="center"/>
              <w:rPr>
                <w:rFonts w:hint="eastAsia" w:ascii="仿宋_GB2312" w:hAnsi="等线" w:eastAsia="仿宋_GB2312" w:cs="宋体"/>
                <w:bCs/>
                <w:snapToGrid w:val="0"/>
                <w:color w:val="000000"/>
                <w:sz w:val="22"/>
                <w:szCs w:val="22"/>
              </w:rPr>
            </w:pPr>
            <w:r>
              <w:rPr>
                <w:rFonts w:hint="eastAsia" w:ascii="仿宋_GB2312" w:hAnsi="等线" w:eastAsia="仿宋_GB2312" w:cs="宋体"/>
                <w:bCs/>
                <w:snapToGrid w:val="0"/>
                <w:color w:val="000000"/>
                <w:sz w:val="22"/>
                <w:szCs w:val="22"/>
              </w:rPr>
              <w:t>后台代码、数据库迁移及调整</w:t>
            </w:r>
          </w:p>
        </w:tc>
        <w:tc>
          <w:tcPr>
            <w:tcW w:w="2020" w:type="dxa"/>
            <w:tcBorders>
              <w:top w:val="nil"/>
              <w:left w:val="nil"/>
              <w:bottom w:val="single" w:color="auto" w:sz="4" w:space="0"/>
              <w:right w:val="single" w:color="auto" w:sz="4" w:space="0"/>
            </w:tcBorders>
            <w:shd w:val="clear" w:color="auto" w:fill="auto"/>
            <w:vAlign w:val="center"/>
          </w:tcPr>
          <w:p w14:paraId="759CD49A">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检测计划迁移检测相关表和记录，从psgs数据库到gwxj数据库</w:t>
            </w:r>
          </w:p>
        </w:tc>
        <w:tc>
          <w:tcPr>
            <w:tcW w:w="3946" w:type="dxa"/>
            <w:tcBorders>
              <w:top w:val="nil"/>
              <w:left w:val="nil"/>
              <w:bottom w:val="single" w:color="auto" w:sz="4" w:space="0"/>
              <w:right w:val="single" w:color="auto" w:sz="4" w:space="0"/>
            </w:tcBorders>
            <w:shd w:val="clear" w:color="auto" w:fill="auto"/>
            <w:vAlign w:val="center"/>
          </w:tcPr>
          <w:p w14:paraId="196EF03C">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数据库迁移，为较理想实现功能效果避免出现速度慢及其他相关问题，需将检测计划涉及的相关表和记录进行迁移。</w:t>
            </w:r>
          </w:p>
        </w:tc>
        <w:tc>
          <w:tcPr>
            <w:tcW w:w="6827" w:type="dxa"/>
            <w:tcBorders>
              <w:top w:val="nil"/>
              <w:left w:val="nil"/>
              <w:bottom w:val="single" w:color="auto" w:sz="4" w:space="0"/>
              <w:right w:val="single" w:color="auto" w:sz="4" w:space="0"/>
            </w:tcBorders>
            <w:shd w:val="clear" w:color="auto" w:fill="auto"/>
            <w:vAlign w:val="center"/>
          </w:tcPr>
          <w:p w14:paraId="469694CF">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数据库迁移，为较理想实现功能效果避免出现速度慢及其他相关问题，需将检测计划涉及的相关表和记录进行迁移。</w:t>
            </w:r>
          </w:p>
        </w:tc>
      </w:tr>
      <w:tr w14:paraId="142F6458">
        <w:tblPrEx>
          <w:tblCellMar>
            <w:top w:w="0" w:type="dxa"/>
            <w:left w:w="108" w:type="dxa"/>
            <w:bottom w:w="0" w:type="dxa"/>
            <w:right w:w="108" w:type="dxa"/>
          </w:tblCellMar>
        </w:tblPrEx>
        <w:trPr>
          <w:trHeight w:val="1640" w:hRule="atLeast"/>
        </w:trPr>
        <w:tc>
          <w:tcPr>
            <w:tcW w:w="1094" w:type="dxa"/>
            <w:vMerge w:val="continue"/>
            <w:tcBorders>
              <w:top w:val="nil"/>
              <w:left w:val="single" w:color="auto" w:sz="4" w:space="0"/>
              <w:bottom w:val="single" w:color="auto" w:sz="4" w:space="0"/>
              <w:right w:val="single" w:color="auto" w:sz="4" w:space="0"/>
            </w:tcBorders>
            <w:vAlign w:val="center"/>
          </w:tcPr>
          <w:p w14:paraId="77AEBF68">
            <w:pPr>
              <w:widowControl/>
              <w:autoSpaceDE/>
              <w:autoSpaceDN/>
              <w:adjustRightInd/>
              <w:snapToGrid w:val="0"/>
              <w:spacing w:beforeLines="-2147483648" w:afterLines="-2147483648" w:line="600" w:lineRule="exact"/>
              <w:ind w:firstLine="440" w:firstLineChars="200"/>
              <w:jc w:val="both"/>
              <w:rPr>
                <w:rFonts w:hint="eastAsia" w:ascii="仿宋_GB2312" w:hAnsi="等线" w:eastAsia="仿宋_GB2312" w:cs="宋体"/>
                <w:bCs/>
                <w:snapToGrid w:val="0"/>
                <w:color w:val="000000"/>
                <w:sz w:val="22"/>
                <w:szCs w:val="22"/>
              </w:rPr>
            </w:pPr>
          </w:p>
        </w:tc>
        <w:tc>
          <w:tcPr>
            <w:tcW w:w="2020" w:type="dxa"/>
            <w:tcBorders>
              <w:top w:val="nil"/>
              <w:left w:val="nil"/>
              <w:bottom w:val="single" w:color="auto" w:sz="4" w:space="0"/>
              <w:right w:val="single" w:color="auto" w:sz="4" w:space="0"/>
            </w:tcBorders>
            <w:shd w:val="clear" w:color="auto" w:fill="auto"/>
            <w:vAlign w:val="center"/>
          </w:tcPr>
          <w:p w14:paraId="13519D27">
            <w:pPr>
              <w:widowControl/>
              <w:autoSpaceDE/>
              <w:autoSpaceDN/>
              <w:adjustRightInd/>
              <w:snapToGrid w:val="0"/>
              <w:spacing w:beforeLines="-2147483648" w:afterLines="-2147483648" w:line="600" w:lineRule="exact"/>
              <w:ind w:firstLine="0" w:firstLineChars="0"/>
              <w:jc w:val="center"/>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迁移检测模块相关代码从psgs到gwxj</w:t>
            </w:r>
          </w:p>
        </w:tc>
        <w:tc>
          <w:tcPr>
            <w:tcW w:w="3946" w:type="dxa"/>
            <w:tcBorders>
              <w:top w:val="nil"/>
              <w:left w:val="nil"/>
              <w:bottom w:val="single" w:color="auto" w:sz="4" w:space="0"/>
              <w:right w:val="single" w:color="auto" w:sz="4" w:space="0"/>
            </w:tcBorders>
            <w:shd w:val="clear" w:color="auto" w:fill="auto"/>
            <w:vAlign w:val="center"/>
          </w:tcPr>
          <w:p w14:paraId="7DAF3425">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 xml:space="preserve">代码迁移，为较理想实现功能效果，需将检测计划中需要的班组、网格等相关代码信息进行迁移。 </w:t>
            </w:r>
          </w:p>
        </w:tc>
        <w:tc>
          <w:tcPr>
            <w:tcW w:w="6827" w:type="dxa"/>
            <w:tcBorders>
              <w:top w:val="nil"/>
              <w:left w:val="nil"/>
              <w:bottom w:val="single" w:color="auto" w:sz="4" w:space="0"/>
              <w:right w:val="single" w:color="auto" w:sz="4" w:space="0"/>
            </w:tcBorders>
            <w:shd w:val="clear" w:color="auto" w:fill="auto"/>
            <w:vAlign w:val="center"/>
          </w:tcPr>
          <w:p w14:paraId="3986A710">
            <w:pPr>
              <w:widowControl/>
              <w:autoSpaceDE/>
              <w:autoSpaceDN/>
              <w:adjustRightInd/>
              <w:snapToGrid w:val="0"/>
              <w:spacing w:beforeLines="-2147483648" w:afterLines="-2147483648" w:line="600" w:lineRule="exact"/>
              <w:ind w:firstLine="0" w:firstLineChars="0"/>
              <w:jc w:val="both"/>
              <w:rPr>
                <w:rFonts w:hint="eastAsia" w:ascii="仿宋_GB2312" w:hAnsi="宋体" w:eastAsia="仿宋_GB2312" w:cs="宋体"/>
                <w:bCs/>
                <w:snapToGrid w:val="0"/>
                <w:color w:val="000000"/>
                <w:sz w:val="22"/>
                <w:szCs w:val="22"/>
              </w:rPr>
            </w:pPr>
            <w:r>
              <w:rPr>
                <w:rFonts w:hint="eastAsia" w:ascii="仿宋_GB2312" w:hAnsi="宋体" w:eastAsia="仿宋_GB2312" w:cs="宋体"/>
                <w:bCs/>
                <w:snapToGrid w:val="0"/>
                <w:color w:val="000000"/>
                <w:sz w:val="22"/>
                <w:szCs w:val="22"/>
              </w:rPr>
              <w:t xml:space="preserve">代码迁移，为较理想实现功能效果，需将检测计划中需要的班组、网格等相关代码信息进行迁移。 </w:t>
            </w:r>
          </w:p>
        </w:tc>
      </w:tr>
    </w:tbl>
    <w:p w14:paraId="2E27383D">
      <w:pPr>
        <w:adjustRightInd/>
        <w:snapToGrid/>
        <w:ind w:firstLine="643"/>
        <w:rPr>
          <w:rFonts w:ascii="仿宋_GB2312"/>
          <w:b/>
          <w:bCs w:val="0"/>
        </w:rPr>
        <w:sectPr>
          <w:pgSz w:w="16838" w:h="11906" w:orient="landscape"/>
          <w:pgMar w:top="1701" w:right="1474" w:bottom="1588" w:left="1474" w:header="851" w:footer="992" w:gutter="0"/>
          <w:pgNumType w:fmt="decimal"/>
          <w:cols w:space="720" w:num="1"/>
          <w:docGrid w:type="lines" w:linePitch="435" w:charSpace="0"/>
        </w:sectPr>
      </w:pPr>
    </w:p>
    <w:p w14:paraId="4E07EA83">
      <w:pPr>
        <w:autoSpaceDE/>
        <w:autoSpaceDN/>
        <w:adjustRightInd/>
        <w:snapToGrid/>
        <w:spacing w:beforeLines="-2147483648" w:afterLines="-2147483648" w:line="600" w:lineRule="exact"/>
        <w:ind w:firstLine="0" w:firstLineChars="0"/>
        <w:jc w:val="both"/>
        <w:rPr>
          <w:rFonts w:hint="default" w:ascii="仿宋_GB2312" w:hAnsi="Times New Roman" w:eastAsia="仿宋_GB2312" w:cs="Times New Roman"/>
          <w:b/>
          <w:bCs w:val="0"/>
          <w:snapToGrid w:val="0"/>
          <w:sz w:val="32"/>
          <w:szCs w:val="30"/>
        </w:rPr>
      </w:pPr>
      <w:r>
        <w:rPr>
          <w:rFonts w:hint="eastAsia" w:ascii="仿宋_GB2312" w:hAnsi="Times New Roman" w:eastAsia="仿宋_GB2312" w:cs="Times New Roman"/>
          <w:b/>
          <w:bCs w:val="0"/>
          <w:snapToGrid w:val="0"/>
          <w:sz w:val="32"/>
          <w:szCs w:val="30"/>
        </w:rPr>
        <w:t>四、其他要求</w:t>
      </w:r>
    </w:p>
    <w:p w14:paraId="1BD33B3F">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（一）验收要求</w:t>
      </w:r>
    </w:p>
    <w:p w14:paraId="3289C743">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项目完成开发后，采购人组织开展初步验收，采购人组织相关验收的人员（含委托的第三方）根据采购文件、合同约定的服务要求和质量，对报价人项目实施情况或成果进行验收，提出修改意见。通过验收后参与验收的人员进行签字确认，待报价人完成相关需求修改后形成初步验收报告，进入试运行期。</w:t>
      </w:r>
    </w:p>
    <w:p w14:paraId="582DF1C1">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项目在试运行期间稳定运行3个月后，采购人组织开展最终验收，由采购人组织相关验收的人员开展最终验收工作，并提出试运行期间的修改意见。通过验收后参与验收的人员进行签字确认，待报价人完成相关需求修改后形成初步验收报告，进入售后服务期。</w:t>
      </w:r>
    </w:p>
    <w:p w14:paraId="5AA7B9AF">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（二）培训服务</w:t>
      </w:r>
    </w:p>
    <w:p w14:paraId="02AAF417">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1）报价人应提供完整的用户手册（包含对内软件的使用手册和对外网上系统的帮助文档）及视频教学，同时应为采购人相关人员提供免费的培训服务。报价人应视其软件开发的相关进度及操作的难易程度制定相应的培训方案，培训至采购人人员熟练操作、配置和使用应用系统。</w:t>
      </w:r>
    </w:p>
    <w:p w14:paraId="41FF81A1">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（2）培训效果标准：①对业务用户的培训应达到的要求：能够熟练使用供应商所开发的软件；②对部门信息系统管理员的培训应达到的要求：可以维护日常应用方面出现的问题。</w:t>
      </w:r>
    </w:p>
    <w:p w14:paraId="3FD9A6C3">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（三）售后服务内容</w:t>
      </w:r>
    </w:p>
    <w:p w14:paraId="50AFC365">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自最终验收合格之日起，供应商需为本项目的软件系统提</w:t>
      </w:r>
      <w:r>
        <w:rPr>
          <w:rFonts w:hint="eastAsia" w:ascii="仿宋_GB2312" w:hAnsi="Times New Roman" w:eastAsia="仿宋_GB2312" w:cs="Times New Roman"/>
          <w:bCs/>
          <w:snapToGrid w:val="0"/>
          <w:sz w:val="32"/>
          <w:szCs w:val="30"/>
        </w:rPr>
        <w:br w:type="textWrapping"/>
      </w:r>
      <w:r>
        <w:rPr>
          <w:rFonts w:hint="eastAsia" w:ascii="仿宋_GB2312" w:hAnsi="Times New Roman" w:eastAsia="仿宋_GB2312" w:cs="Times New Roman"/>
          <w:bCs/>
          <w:snapToGrid w:val="0"/>
          <w:sz w:val="32"/>
          <w:szCs w:val="30"/>
        </w:rPr>
        <w:t>供为期6个月的售后服务，售后服务将采用评分机制，各季度售后服务评分将与最后一笔售后服务款挂钩。</w:t>
      </w:r>
    </w:p>
    <w:p w14:paraId="5C18FA31">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售后服务包括但不限于与本合同需求内容相关的以下内容：</w:t>
      </w:r>
    </w:p>
    <w:p w14:paraId="14ACD3BA">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（1）系统BUG修复，系统优化（含Web端及App端，下同）；</w:t>
      </w:r>
    </w:p>
    <w:p w14:paraId="337A6A0D">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（2）系统台账、表单、报表等功能优化完善；</w:t>
      </w:r>
    </w:p>
    <w:p w14:paraId="57D9EB2E">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（3）系统使用培训及日常运维技术支持培训；</w:t>
      </w:r>
    </w:p>
    <w:p w14:paraId="43194F1E">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（4）外部系统及数据对接；</w:t>
      </w:r>
    </w:p>
    <w:p w14:paraId="137D172F">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（5）系统售后服务期结束后再次提供项目最终版本源代码；</w:t>
      </w:r>
    </w:p>
    <w:p w14:paraId="776BBEB2">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（6）售后服务期结束后系统若再次委托运维，每年运维服务费用应不超合同总金额的10%。</w:t>
      </w:r>
    </w:p>
    <w:p w14:paraId="01A2CA51">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（四）售后服务评分及费用</w:t>
      </w:r>
    </w:p>
    <w:p w14:paraId="104769A3">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 xml:space="preserve">自最终验收合格之日起，供应商需为本项目的软件系统提供为期六个月的售后服务，售后服务将采用评分机制，各季度度售后服务评分将与最后一笔售后服务款挂钩，售后服务期结束后，统一支付各季度售后服务款。评分结果采购人及时告知报价人，如报价人收到评分结果后有异议的，应在3日内书面向采购人提出申诉并提供佐证资料。    </w:t>
      </w:r>
    </w:p>
    <w:p w14:paraId="251AD29D">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具体如下：</w:t>
      </w:r>
    </w:p>
    <w:p w14:paraId="0D3E4C2F">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（1）当季度评分90分以上，获得该季度全额售后服务款；</w:t>
      </w:r>
    </w:p>
    <w:p w14:paraId="7A38331D">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（2）当季度评分80到90分之间（包括80分），该季度费用最终按照80%支付；</w:t>
      </w:r>
    </w:p>
    <w:p w14:paraId="727DD14C">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（3）当季度评分70到80分之间（包括70分），该季度费用最终按照70%支付；</w:t>
      </w:r>
    </w:p>
    <w:p w14:paraId="1958ECD6">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（4）当季度评分60到70分之间（包括60分），该季度费用最终按照60%支付；</w:t>
      </w:r>
    </w:p>
    <w:p w14:paraId="14CC517D">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（5）当季度评分60分以下，该季度全额售后服务款按50%支付；连续2个季度60分以下，第二个季度售后服务款不支付。</w:t>
      </w:r>
    </w:p>
    <w:p w14:paraId="0F568A06">
      <w:pPr>
        <w:autoSpaceDE/>
        <w:autoSpaceDN/>
        <w:adjustRightInd/>
        <w:snapToGrid/>
        <w:spacing w:beforeLines="-2147483648" w:afterLines="-2147483648" w:line="600" w:lineRule="exact"/>
        <w:ind w:firstLine="0" w:firstLineChars="0"/>
        <w:jc w:val="both"/>
        <w:rPr>
          <w:rFonts w:hint="default" w:ascii="仿宋_GB2312" w:hAnsi="Times New Roman" w:eastAsia="仿宋_GB2312" w:cs="Times New Roman"/>
          <w:b/>
          <w:bCs w:val="0"/>
          <w:snapToGrid w:val="0"/>
          <w:sz w:val="32"/>
          <w:szCs w:val="30"/>
        </w:rPr>
      </w:pPr>
      <w:r>
        <w:rPr>
          <w:rFonts w:hint="eastAsia" w:ascii="仿宋_GB2312" w:hAnsi="Times New Roman" w:eastAsia="仿宋_GB2312" w:cs="Times New Roman"/>
          <w:b/>
          <w:bCs w:val="0"/>
          <w:snapToGrid w:val="0"/>
          <w:sz w:val="32"/>
          <w:szCs w:val="30"/>
        </w:rPr>
        <w:t>五、项目费用及支付进度</w:t>
      </w:r>
    </w:p>
    <w:p w14:paraId="2E6476F0">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（一）签订合同后，报价人提交支付申请经审批确认后30个工作日内，采购人向报价人支付合同价的20%；</w:t>
      </w:r>
    </w:p>
    <w:p w14:paraId="698D5F36">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（二）软件模块上线后15个工作日并通过项目初验合格后，报价人提交支付申请经审批确认后30个工作日内，采购人向报价人支付合同价的40%作为项目进度款；</w:t>
      </w:r>
    </w:p>
    <w:p w14:paraId="46D68CD1">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（三）项目试运行期3个月结束后并经最终验收合格后，报价人提交支付申请经审批确认后30个工作日内，采购人向报价人支付至最终结算价的90%作为项目验收款；</w:t>
      </w:r>
    </w:p>
    <w:p w14:paraId="6F64D200">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四）完成项目并通过采购人终验并通过6个月运维期后的30工作日内，报价人提交售后服务款（各季度售后服务款之和）支付申请，经采购人确认后按售后服务评分规则支付报价人剩余合同款（即售后服务款，最高为合同款10%）。</w:t>
      </w:r>
    </w:p>
    <w:p w14:paraId="3091C113">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五）每次请款时，报价人应向采购人提交相应价款的增值税专用发票（服务款由采购人内部各方按照其内部约定的服务款比例承担，报价人对此知悉并明确表示同意且无任何异议。报价人需按采购人内部各方约定的服务款承担比例向采购人各方分别开具相应金额的增值税专用发票）和请款报告。</w:t>
      </w:r>
    </w:p>
    <w:p w14:paraId="6BC6FA37">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六）若因报价人或客观因素导致报价人未能完全按用户需求建设且采购人和报价人无法商榷出合理的解决方案，经采购人同意，报价人在承担其违约责任的基础上（客观因素导致不能完全按用户需求建设除外），采购人可按实际验收合格的系统建设模块（或功能）报价所占总报价的比例予以按实结算及支付，最终支付实际金额为实际验收通过的功能点报价费用，已支付金额超出最终需支付金额的，在结算完成后，由报价人在7个工作日内退回至采购人账户。</w:t>
      </w:r>
    </w:p>
    <w:p w14:paraId="1116F665">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七）在项目建设期间，若非采购人、不可抗力、双方同意延期的其中原因之一，报价人未能在采购人规定工期内完成约定的工作内容的，每逾期一日，报价人按1000元/天承担违约金（最高不超过含税合同价的20%）。逾期超过【20】个日历日的，采购人有权解除合同，报价人应向采购人支付含税合同价【20%】的违约金；自采购人发出解除合同通知之日起【10】日内，报价人应撤离服务现场，如逾期未撤离服务现场，应视为侵权，应按10000元/天承担违约金。造成采购人损失的，报价人应当承担全部责任及损失赔偿，采购人有权在未付款项中直接抵扣或没收履约担保（如有）。</w:t>
      </w:r>
    </w:p>
    <w:p w14:paraId="1DDF8850">
      <w:pPr>
        <w:autoSpaceDE/>
        <w:autoSpaceDN/>
        <w:adjustRightInd/>
        <w:snapToGrid/>
        <w:spacing w:beforeLines="-2147483648" w:afterLines="-2147483648" w:line="600" w:lineRule="exact"/>
        <w:ind w:firstLine="640" w:firstLineChars="200"/>
        <w:jc w:val="both"/>
        <w:rPr>
          <w:rFonts w:hint="default"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八）报价人所报价格为不含税价，即为《中华人民共和国增值税条例》（国务院令第691号修订版）规定的销售额。本项目所称的不含税价和合同价是指不含本采购项目供应商的销项税额，包含了报价人完成合同义务（含报价人代缴代扣、分包及委外服务、采购货物等所产生的价税）的其他全部费用。本采购项目的销项税额由采购人承担，不计入报价。报价均包括但不限于以下内容涉及的费用：培训费、人工费、管理费、现场服务费、通讯费、资料费及利润等及报价人销项税额以外的税费等相关服务及为完成本合同项下义务所产生的所有费用的全部费用。</w:t>
      </w:r>
    </w:p>
    <w:p w14:paraId="5087EA4D">
      <w:pPr>
        <w:autoSpaceDE/>
        <w:autoSpaceDN/>
        <w:adjustRightInd/>
        <w:snapToGrid/>
        <w:spacing w:beforeLines="-2147483648" w:afterLines="-2147483648" w:line="600" w:lineRule="exact"/>
        <w:ind w:firstLine="640" w:firstLineChars="200"/>
        <w:jc w:val="both"/>
        <w:rPr>
          <w:rFonts w:hint="eastAsia" w:ascii="仿宋_GB2312" w:hAnsi="Times New Roman" w:eastAsia="仿宋_GB2312" w:cs="Times New Roman"/>
          <w:bCs/>
          <w:snapToGrid w:val="0"/>
          <w:sz w:val="32"/>
          <w:szCs w:val="30"/>
        </w:rPr>
      </w:pPr>
      <w:r>
        <w:rPr>
          <w:rFonts w:hint="eastAsia" w:ascii="仿宋_GB2312" w:hAnsi="Times New Roman" w:eastAsia="仿宋_GB2312" w:cs="Times New Roman"/>
          <w:bCs/>
          <w:snapToGrid w:val="0"/>
          <w:sz w:val="32"/>
          <w:szCs w:val="30"/>
        </w:rPr>
        <w:t>（九）报价人逾期提供请款资料及发票或提交资料不符合采购人要求的，采购人付款时间顺延，并不承担逾期付款违约责任。由于报价人提供的发票不符合税法规定，给采购人造成的损失由报价人承担赔偿责任。</w:t>
      </w:r>
    </w:p>
    <w:p w14:paraId="78962400">
      <w:pPr>
        <w:spacing w:beforeLines="0" w:afterLines="0"/>
        <w:rPr>
          <w:rFonts w:hint="default"/>
          <w:sz w:val="24"/>
          <w:szCs w:val="24"/>
        </w:rPr>
      </w:pPr>
    </w:p>
    <w:p w14:paraId="4BA2F589">
      <w:pPr>
        <w:spacing w:beforeLines="0" w:afterLines="0"/>
        <w:rPr>
          <w:rFonts w:hint="default"/>
          <w:sz w:val="24"/>
          <w:szCs w:val="24"/>
        </w:rPr>
      </w:pPr>
    </w:p>
    <w:p w14:paraId="3E727337">
      <w:pPr>
        <w:spacing w:beforeLines="0" w:afterLines="0" w:line="600" w:lineRule="exact"/>
        <w:rPr>
          <w:rFonts w:hint="eastAsia" w:ascii="Times New Roman" w:eastAsia="仿宋_GB2312"/>
          <w:sz w:val="32"/>
          <w:szCs w:val="32"/>
        </w:rPr>
      </w:pPr>
    </w:p>
    <w:p w14:paraId="08DC6ACA">
      <w:pPr>
        <w:spacing w:beforeLines="0" w:afterLines="0" w:line="600" w:lineRule="exact"/>
        <w:rPr>
          <w:rFonts w:hint="eastAsia" w:ascii="Times New Roman" w:eastAsia="仿宋_GB2312"/>
          <w:sz w:val="32"/>
          <w:szCs w:val="32"/>
        </w:rPr>
      </w:pPr>
    </w:p>
    <w:p w14:paraId="0053F96A">
      <w:pPr>
        <w:spacing w:beforeLines="0" w:afterLines="0" w:line="600" w:lineRule="exact"/>
        <w:rPr>
          <w:rFonts w:hint="eastAsia" w:ascii="Times New Roman" w:eastAsia="仿宋_GB2312"/>
          <w:sz w:val="32"/>
          <w:szCs w:val="32"/>
        </w:rPr>
      </w:pPr>
    </w:p>
    <w:p w14:paraId="457D693D">
      <w:pPr>
        <w:spacing w:beforeLines="0" w:afterLines="0" w:line="600" w:lineRule="exact"/>
        <w:rPr>
          <w:rFonts w:hint="eastAsia" w:ascii="Times New Roman" w:eastAsia="仿宋_GB2312"/>
          <w:sz w:val="32"/>
          <w:szCs w:val="32"/>
        </w:rPr>
      </w:pPr>
    </w:p>
    <w:p w14:paraId="4B5DF037">
      <w:pPr>
        <w:pStyle w:val="2"/>
        <w:rPr>
          <w:rFonts w:hint="eastAsia" w:ascii="Times New Roman" w:eastAsia="仿宋_GB2312"/>
          <w:sz w:val="32"/>
          <w:szCs w:val="32"/>
        </w:rPr>
      </w:pPr>
    </w:p>
    <w:p w14:paraId="4D581CC8">
      <w:pPr>
        <w:pStyle w:val="2"/>
        <w:rPr>
          <w:rFonts w:hint="eastAsia" w:ascii="Times New Roman" w:eastAsia="仿宋_GB2312"/>
          <w:sz w:val="32"/>
          <w:szCs w:val="32"/>
        </w:rPr>
      </w:pPr>
    </w:p>
    <w:p w14:paraId="27E6DC52">
      <w:pPr>
        <w:pStyle w:val="2"/>
        <w:rPr>
          <w:rFonts w:hint="eastAsia" w:ascii="Times New Roman" w:eastAsia="仿宋_GB2312"/>
          <w:sz w:val="32"/>
          <w:szCs w:val="32"/>
        </w:rPr>
      </w:pPr>
    </w:p>
    <w:p w14:paraId="39433561">
      <w:pPr>
        <w:pStyle w:val="2"/>
        <w:rPr>
          <w:rFonts w:hint="eastAsia" w:ascii="Times New Roman" w:eastAsia="仿宋_GB2312"/>
          <w:sz w:val="32"/>
          <w:szCs w:val="32"/>
        </w:rPr>
      </w:pPr>
    </w:p>
    <w:p w14:paraId="162DAF39">
      <w:pPr>
        <w:pStyle w:val="2"/>
        <w:rPr>
          <w:rFonts w:hint="eastAsia" w:ascii="Times New Roman" w:eastAsia="仿宋_GB2312"/>
          <w:sz w:val="32"/>
          <w:szCs w:val="32"/>
        </w:rPr>
      </w:pPr>
    </w:p>
    <w:p w14:paraId="42940364">
      <w:pPr>
        <w:spacing w:beforeLines="0" w:afterLines="0" w:line="600" w:lineRule="exact"/>
        <w:rPr>
          <w:rFonts w:hint="eastAsia" w:ascii="Times New Roman" w:eastAsia="仿宋_GB2312"/>
          <w:sz w:val="32"/>
          <w:szCs w:val="32"/>
        </w:rPr>
      </w:pPr>
    </w:p>
    <w:p w14:paraId="4F7052B8">
      <w:pPr>
        <w:pStyle w:val="3"/>
        <w:numPr>
          <w:ilvl w:val="0"/>
          <w:numId w:val="2"/>
        </w:numPr>
        <w:spacing w:beforeLines="0" w:afterLines="0"/>
        <w:ind w:left="0" w:leftChars="0" w:firstLine="0" w:firstLineChars="0"/>
        <w:jc w:val="center"/>
        <w:outlineLvl w:val="0"/>
        <w:rPr>
          <w:rFonts w:hint="eastAsia" w:hAnsi="宋体" w:cs="宋体"/>
          <w:color w:val="auto"/>
          <w:sz w:val="32"/>
          <w:szCs w:val="32"/>
          <w:lang w:val="en-US" w:eastAsia="zh-CN"/>
        </w:rPr>
      </w:pPr>
      <w:bookmarkStart w:id="23" w:name="_Toc447044599"/>
      <w:bookmarkEnd w:id="23"/>
      <w:bookmarkStart w:id="24" w:name="_Toc27649594"/>
      <w:bookmarkEnd w:id="24"/>
      <w:bookmarkStart w:id="25" w:name="_Toc534983534"/>
      <w:bookmarkEnd w:id="25"/>
      <w:bookmarkStart w:id="26" w:name="_Toc447044475"/>
      <w:bookmarkEnd w:id="26"/>
      <w:bookmarkStart w:id="27" w:name="_Toc21465"/>
      <w:r>
        <w:rPr>
          <w:rFonts w:hint="eastAsia" w:hAnsi="宋体" w:cs="宋体"/>
          <w:color w:val="auto"/>
          <w:sz w:val="32"/>
          <w:szCs w:val="32"/>
          <w:lang w:val="en-US" w:eastAsia="zh-CN"/>
        </w:rPr>
        <w:t>合同条款</w:t>
      </w:r>
      <w:bookmarkEnd w:id="27"/>
    </w:p>
    <w:p w14:paraId="58796C6D">
      <w:pPr>
        <w:numPr>
          <w:ilvl w:val="0"/>
          <w:numId w:val="0"/>
        </w:numPr>
        <w:ind w:leftChars="0"/>
        <w:rPr>
          <w:rFonts w:hint="default"/>
          <w:lang w:val="en-US" w:eastAsia="zh-CN"/>
        </w:rPr>
      </w:pPr>
    </w:p>
    <w:p w14:paraId="4BB55F9E">
      <w:pPr>
        <w:wordWrap w:val="0"/>
        <w:spacing w:beforeLines="0" w:afterLines="0" w:line="360" w:lineRule="auto"/>
        <w:jc w:val="right"/>
        <w:rPr>
          <w:rFonts w:hint="default"/>
          <w:color w:val="000000"/>
          <w:sz w:val="24"/>
          <w:szCs w:val="24"/>
        </w:rPr>
      </w:pPr>
      <w:r>
        <w:rPr>
          <w:rFonts w:hint="default"/>
          <w:color w:val="000000"/>
          <w:sz w:val="24"/>
          <w:szCs w:val="24"/>
        </w:rPr>
        <w:t xml:space="preserve">合同编号：     </w:t>
      </w:r>
    </w:p>
    <w:p w14:paraId="4535A359">
      <w:pPr>
        <w:spacing w:beforeLines="0" w:afterLines="0" w:line="360" w:lineRule="auto"/>
        <w:jc w:val="center"/>
        <w:rPr>
          <w:rFonts w:hint="default"/>
          <w:color w:val="000000"/>
          <w:sz w:val="24"/>
          <w:szCs w:val="24"/>
        </w:rPr>
      </w:pPr>
    </w:p>
    <w:p w14:paraId="4A1F1846">
      <w:pPr>
        <w:spacing w:beforeLines="0" w:afterLines="0" w:line="840" w:lineRule="exact"/>
        <w:rPr>
          <w:rFonts w:hint="default"/>
          <w:color w:val="000000"/>
          <w:sz w:val="24"/>
          <w:szCs w:val="24"/>
        </w:rPr>
      </w:pPr>
    </w:p>
    <w:p w14:paraId="05A34005">
      <w:pPr>
        <w:spacing w:beforeLines="0" w:afterLines="0" w:line="480" w:lineRule="auto"/>
        <w:ind w:left="-142" w:leftChars="-59"/>
        <w:jc w:val="center"/>
        <w:rPr>
          <w:rFonts w:hint="default" w:ascii="Times New Roman"/>
          <w:b/>
          <w:sz w:val="44"/>
          <w:szCs w:val="44"/>
        </w:rPr>
      </w:pPr>
      <w:r>
        <w:rPr>
          <w:rFonts w:hint="default"/>
          <w:b/>
          <w:sz w:val="44"/>
          <w:szCs w:val="44"/>
        </w:rPr>
        <w:t>管网运营平台管网清疏检测功能升级建设项目合同</w:t>
      </w:r>
    </w:p>
    <w:p w14:paraId="60E298A4">
      <w:pPr>
        <w:spacing w:beforeLines="0" w:afterLines="0" w:line="360" w:lineRule="auto"/>
        <w:rPr>
          <w:rFonts w:hint="default" w:ascii="Times New Roman"/>
          <w:sz w:val="24"/>
          <w:szCs w:val="24"/>
        </w:rPr>
      </w:pPr>
    </w:p>
    <w:p w14:paraId="69BC244F">
      <w:pPr>
        <w:spacing w:beforeLines="0" w:afterLines="0" w:line="360" w:lineRule="auto"/>
        <w:rPr>
          <w:rFonts w:hint="default" w:ascii="Times New Roman"/>
          <w:sz w:val="24"/>
          <w:szCs w:val="24"/>
        </w:rPr>
      </w:pPr>
    </w:p>
    <w:p w14:paraId="655B7D07">
      <w:pPr>
        <w:spacing w:beforeLines="0" w:afterLines="0" w:line="360" w:lineRule="auto"/>
        <w:rPr>
          <w:rFonts w:hint="default" w:ascii="Times New Roman"/>
          <w:sz w:val="24"/>
          <w:szCs w:val="24"/>
        </w:rPr>
      </w:pPr>
    </w:p>
    <w:p w14:paraId="3B9CF621">
      <w:pPr>
        <w:spacing w:beforeLines="0" w:afterLines="0" w:line="360" w:lineRule="auto"/>
        <w:jc w:val="center"/>
        <w:rPr>
          <w:rFonts w:hint="default" w:ascii="Times New Roman"/>
          <w:sz w:val="24"/>
          <w:szCs w:val="24"/>
        </w:rPr>
      </w:pPr>
    </w:p>
    <w:p w14:paraId="506A2D6E">
      <w:pPr>
        <w:spacing w:beforeLines="0" w:afterLines="0" w:line="360" w:lineRule="auto"/>
        <w:rPr>
          <w:rFonts w:hint="default" w:ascii="Times New Roman"/>
          <w:sz w:val="24"/>
          <w:szCs w:val="24"/>
        </w:rPr>
      </w:pPr>
    </w:p>
    <w:p w14:paraId="1F1B7F15">
      <w:pPr>
        <w:spacing w:beforeLines="0" w:afterLines="0" w:line="360" w:lineRule="auto"/>
        <w:jc w:val="center"/>
        <w:rPr>
          <w:rFonts w:hint="default" w:ascii="Times New Roman"/>
          <w:sz w:val="24"/>
          <w:szCs w:val="24"/>
        </w:rPr>
      </w:pPr>
    </w:p>
    <w:p w14:paraId="7BFF0A1D">
      <w:pPr>
        <w:spacing w:beforeLines="0" w:afterLines="0" w:line="360" w:lineRule="auto"/>
        <w:rPr>
          <w:rFonts w:hint="default" w:ascii="Times New Roman"/>
          <w:sz w:val="24"/>
          <w:szCs w:val="24"/>
        </w:rPr>
      </w:pPr>
      <w:r>
        <w:rPr>
          <w:rFonts w:hint="default"/>
          <w:sz w:val="30"/>
          <w:szCs w:val="30"/>
        </w:rPr>
        <w:t xml:space="preserve">                             </w:t>
      </w:r>
    </w:p>
    <w:p w14:paraId="0BEAB2DC">
      <w:pPr>
        <w:spacing w:beforeLines="0" w:afterLines="0" w:line="360" w:lineRule="auto"/>
        <w:rPr>
          <w:rFonts w:hint="default" w:ascii="Times New Roman"/>
          <w:sz w:val="24"/>
          <w:szCs w:val="24"/>
        </w:rPr>
      </w:pPr>
    </w:p>
    <w:p w14:paraId="3C53BAE2">
      <w:pPr>
        <w:spacing w:beforeLines="0" w:afterLines="0" w:line="360" w:lineRule="auto"/>
        <w:ind w:firstLine="1680" w:firstLineChars="600"/>
        <w:rPr>
          <w:rFonts w:hint="default" w:ascii="Times New Roman"/>
          <w:b/>
          <w:sz w:val="28"/>
          <w:szCs w:val="28"/>
          <w:u w:val="single"/>
        </w:rPr>
      </w:pPr>
      <w:r>
        <w:rPr>
          <w:rFonts w:hint="default"/>
          <w:sz w:val="28"/>
          <w:szCs w:val="28"/>
        </w:rPr>
        <w:t>甲方：</w:t>
      </w:r>
      <w:r>
        <w:rPr>
          <w:rFonts w:hint="default"/>
          <w:sz w:val="28"/>
          <w:szCs w:val="28"/>
          <w:u w:val="single"/>
        </w:rPr>
        <w:t xml:space="preserve">                               </w:t>
      </w:r>
    </w:p>
    <w:p w14:paraId="0030A97D">
      <w:pPr>
        <w:spacing w:beforeLines="0" w:afterLines="0" w:line="360" w:lineRule="auto"/>
        <w:ind w:firstLine="1680" w:firstLineChars="600"/>
        <w:rPr>
          <w:rFonts w:hint="default" w:ascii="Times New Roman"/>
          <w:sz w:val="28"/>
          <w:szCs w:val="28"/>
        </w:rPr>
      </w:pPr>
    </w:p>
    <w:p w14:paraId="53E581DC">
      <w:pPr>
        <w:spacing w:beforeLines="0" w:afterLines="0" w:line="360" w:lineRule="auto"/>
        <w:ind w:firstLine="1680" w:firstLineChars="600"/>
        <w:rPr>
          <w:rFonts w:hint="default" w:ascii="Times New Roman"/>
          <w:sz w:val="28"/>
          <w:szCs w:val="28"/>
        </w:rPr>
      </w:pPr>
      <w:r>
        <w:rPr>
          <w:rFonts w:hint="default"/>
          <w:sz w:val="28"/>
          <w:szCs w:val="28"/>
        </w:rPr>
        <w:t>乙方：</w:t>
      </w:r>
      <w:r>
        <w:rPr>
          <w:rFonts w:hint="default" w:ascii="Times New Roman"/>
          <w:color w:val="000000"/>
          <w:sz w:val="28"/>
          <w:szCs w:val="28"/>
        </w:rPr>
        <w:t xml:space="preserve"> </w:t>
      </w:r>
      <w:r>
        <w:rPr>
          <w:rFonts w:hint="default" w:ascii="Times New Roman"/>
          <w:color w:val="000000"/>
          <w:sz w:val="28"/>
          <w:szCs w:val="28"/>
          <w:u w:val="single"/>
        </w:rPr>
        <w:t xml:space="preserve">     </w:t>
      </w:r>
      <w:r>
        <w:rPr>
          <w:rFonts w:hint="default"/>
          <w:color w:val="000000"/>
          <w:sz w:val="28"/>
          <w:szCs w:val="28"/>
          <w:u w:val="single"/>
        </w:rPr>
        <w:t xml:space="preserve">                         </w:t>
      </w:r>
      <w:r>
        <w:rPr>
          <w:rFonts w:hint="default" w:ascii="Times New Roman"/>
          <w:color w:val="000000"/>
          <w:sz w:val="28"/>
          <w:szCs w:val="28"/>
          <w:u w:val="single"/>
        </w:rPr>
        <w:t xml:space="preserve"> </w:t>
      </w:r>
    </w:p>
    <w:p w14:paraId="59750550">
      <w:pPr>
        <w:spacing w:beforeLines="0" w:afterLines="0" w:line="360" w:lineRule="auto"/>
        <w:rPr>
          <w:rFonts w:hint="default" w:ascii="Times New Roman"/>
          <w:sz w:val="28"/>
          <w:szCs w:val="28"/>
          <w:u w:val="single"/>
        </w:rPr>
      </w:pPr>
    </w:p>
    <w:p w14:paraId="0604B140">
      <w:pPr>
        <w:spacing w:beforeLines="0" w:afterLines="0" w:line="360" w:lineRule="auto"/>
        <w:ind w:firstLine="1680" w:firstLineChars="600"/>
        <w:rPr>
          <w:rFonts w:hint="default" w:hAnsi="宋体" w:cs="宋体"/>
          <w:sz w:val="28"/>
          <w:szCs w:val="28"/>
        </w:rPr>
      </w:pPr>
      <w:r>
        <w:rPr>
          <w:rFonts w:hint="default"/>
          <w:sz w:val="28"/>
          <w:szCs w:val="28"/>
        </w:rPr>
        <w:t>签订日期：</w:t>
      </w:r>
      <w:r>
        <w:rPr>
          <w:rFonts w:hint="default" w:ascii="Times New Roman"/>
          <w:sz w:val="28"/>
          <w:szCs w:val="28"/>
        </w:rPr>
        <w:t xml:space="preserve"> </w:t>
      </w:r>
      <w:r>
        <w:rPr>
          <w:rFonts w:hint="default" w:ascii="Times New Roman"/>
          <w:sz w:val="28"/>
          <w:szCs w:val="28"/>
        </w:rPr>
        <w:br w:type="page"/>
      </w:r>
      <w:r>
        <w:rPr>
          <w:rFonts w:hint="default" w:hAnsi="宋体" w:cs="宋体"/>
          <w:b/>
          <w:sz w:val="28"/>
          <w:szCs w:val="28"/>
        </w:rPr>
        <w:t>甲方：</w:t>
      </w:r>
    </w:p>
    <w:p w14:paraId="19BD7F1F">
      <w:pPr>
        <w:spacing w:beforeLines="0" w:afterLines="0" w:line="360" w:lineRule="auto"/>
        <w:rPr>
          <w:rFonts w:hint="default" w:hAnsi="宋体" w:cs="宋体"/>
          <w:color w:val="000000"/>
          <w:sz w:val="28"/>
          <w:szCs w:val="28"/>
        </w:rPr>
      </w:pPr>
      <w:r>
        <w:rPr>
          <w:rFonts w:hint="default" w:hAnsi="宋体" w:cs="宋体"/>
          <w:b/>
          <w:color w:val="000000"/>
          <w:sz w:val="28"/>
          <w:szCs w:val="28"/>
        </w:rPr>
        <w:t>乙方：</w:t>
      </w:r>
    </w:p>
    <w:p w14:paraId="0629BCAB">
      <w:pPr>
        <w:spacing w:beforeLines="0" w:afterLines="0" w:line="360" w:lineRule="auto"/>
        <w:ind w:firstLine="560" w:firstLineChars="200"/>
        <w:rPr>
          <w:rFonts w:hint="default" w:hAnsi="宋体" w:cs="宋体"/>
          <w:sz w:val="28"/>
          <w:szCs w:val="28"/>
        </w:rPr>
      </w:pPr>
      <w:r>
        <w:rPr>
          <w:rFonts w:hint="default" w:hAnsi="宋体" w:cs="宋体"/>
          <w:sz w:val="28"/>
          <w:szCs w:val="28"/>
        </w:rPr>
        <w:t>经甲方询价采购，现确定甲方向乙方采购</w:t>
      </w:r>
      <w:r>
        <w:rPr>
          <w:rFonts w:hint="default" w:hAnsi="宋体" w:cs="宋体"/>
          <w:sz w:val="28"/>
          <w:szCs w:val="28"/>
          <w:u w:val="single"/>
        </w:rPr>
        <w:t>管网运营平台管网清疏检测功能升级建设服务</w:t>
      </w:r>
      <w:r>
        <w:rPr>
          <w:rFonts w:hint="default" w:hAnsi="宋体" w:cs="宋体"/>
          <w:sz w:val="28"/>
          <w:szCs w:val="28"/>
        </w:rPr>
        <w:t>。根据《中华人民共和国民法典》等法律、法规的规定，经双方平等协商，双方就</w:t>
      </w:r>
      <w:r>
        <w:rPr>
          <w:rFonts w:hint="default" w:hAnsi="宋体" w:cs="宋体"/>
          <w:sz w:val="28"/>
          <w:szCs w:val="28"/>
          <w:u w:val="single"/>
        </w:rPr>
        <w:t>管网运营平台管网清疏检测功能升级建设服务</w:t>
      </w:r>
      <w:r>
        <w:rPr>
          <w:rFonts w:hint="default" w:hAnsi="宋体" w:cs="宋体"/>
          <w:sz w:val="28"/>
          <w:szCs w:val="28"/>
        </w:rPr>
        <w:t>（以下称“服务”）采购事宜，签订本合同。</w:t>
      </w:r>
    </w:p>
    <w:p w14:paraId="074A127A">
      <w:pPr>
        <w:spacing w:beforeLines="0" w:afterLines="0" w:line="360" w:lineRule="auto"/>
        <w:ind w:firstLine="560" w:firstLineChars="200"/>
        <w:rPr>
          <w:rFonts w:hint="default" w:hAnsi="宋体" w:cs="宋体"/>
          <w:sz w:val="28"/>
          <w:szCs w:val="28"/>
        </w:rPr>
      </w:pPr>
    </w:p>
    <w:p w14:paraId="2B89FE35">
      <w:pPr>
        <w:pStyle w:val="16"/>
        <w:autoSpaceDE/>
        <w:autoSpaceDN/>
        <w:adjustRightInd/>
        <w:spacing w:beforeLines="0" w:afterLines="0" w:line="360" w:lineRule="auto"/>
        <w:ind w:firstLine="562" w:firstLineChars="200"/>
        <w:jc w:val="both"/>
        <w:rPr>
          <w:rFonts w:hint="default"/>
          <w:b/>
          <w:sz w:val="28"/>
          <w:szCs w:val="28"/>
        </w:rPr>
      </w:pPr>
      <w:bookmarkStart w:id="28" w:name="_Toc27495478"/>
      <w:r>
        <w:rPr>
          <w:rFonts w:hint="default"/>
          <w:b/>
          <w:color w:val="000000"/>
          <w:sz w:val="28"/>
          <w:szCs w:val="28"/>
        </w:rPr>
        <w:t>第一条需求内容</w:t>
      </w:r>
    </w:p>
    <w:p w14:paraId="01217803">
      <w:pPr>
        <w:adjustRightInd/>
        <w:spacing w:beforeLines="0" w:afterLines="0" w:line="360" w:lineRule="auto"/>
        <w:ind w:firstLine="640"/>
        <w:rPr>
          <w:rFonts w:hint="default" w:hAnsi="宋体" w:cs="宋体"/>
          <w:color w:val="29282A"/>
          <w:sz w:val="28"/>
          <w:szCs w:val="28"/>
          <w:lang w:val="zh-TW" w:eastAsia="zh-TW" w:bidi="zh-TW"/>
        </w:rPr>
      </w:pPr>
      <w:bookmarkStart w:id="29" w:name="bookmark9"/>
      <w:r>
        <w:rPr>
          <w:rFonts w:hint="default" w:hAnsi="宋体" w:cs="宋体"/>
          <w:color w:val="29282A"/>
          <w:sz w:val="28"/>
          <w:szCs w:val="28"/>
          <w:lang w:val="zh-TW" w:eastAsia="zh-TW" w:bidi="zh-TW"/>
        </w:rPr>
        <w:t>（一）需求范围及建设周期</w:t>
      </w:r>
    </w:p>
    <w:p w14:paraId="6F4F2130">
      <w:pPr>
        <w:adjustRightInd/>
        <w:spacing w:beforeLines="0" w:afterLines="0" w:line="360" w:lineRule="auto"/>
        <w:ind w:firstLine="640"/>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本技术支持维护服务合同的期限自合同签订之日起</w:t>
      </w:r>
      <w:r>
        <w:rPr>
          <w:rFonts w:hint="default" w:hAnsi="宋体" w:cs="宋体"/>
          <w:color w:val="29282A"/>
          <w:sz w:val="28"/>
          <w:szCs w:val="28"/>
          <w:lang w:bidi="zh-TW"/>
        </w:rPr>
        <w:t>90</w:t>
      </w:r>
      <w:r>
        <w:rPr>
          <w:rFonts w:hint="default" w:hAnsi="宋体" w:cs="宋体"/>
          <w:color w:val="29282A"/>
          <w:sz w:val="28"/>
          <w:szCs w:val="28"/>
          <w:lang w:val="zh-TW" w:eastAsia="zh-TW" w:bidi="zh-TW"/>
        </w:rPr>
        <w:t>个工作日完成项目需求深化调研、软件开发、数据及功能整合、部署上线及培训等工作。</w:t>
      </w:r>
    </w:p>
    <w:tbl>
      <w:tblPr>
        <w:tblStyle w:val="9"/>
        <w:tblW w:w="30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3"/>
        <w:gridCol w:w="2520"/>
      </w:tblGrid>
      <w:tr w14:paraId="19E5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2659"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79CEB6">
            <w:pPr>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内容</w:t>
            </w:r>
          </w:p>
        </w:tc>
        <w:tc>
          <w:tcPr>
            <w:tcW w:w="23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B332BD">
            <w:pPr>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涵盖范围</w:t>
            </w:r>
          </w:p>
        </w:tc>
      </w:tr>
      <w:tr w14:paraId="4E80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659"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18BE1D">
            <w:pPr>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清疏相关功能</w:t>
            </w:r>
          </w:p>
        </w:tc>
        <w:tc>
          <w:tcPr>
            <w:tcW w:w="23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0D5FF8">
            <w:pPr>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Web、App、后台</w:t>
            </w:r>
          </w:p>
        </w:tc>
      </w:tr>
      <w:tr w14:paraId="6554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659"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83F718">
            <w:pPr>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检测相关功能</w:t>
            </w:r>
          </w:p>
        </w:tc>
        <w:tc>
          <w:tcPr>
            <w:tcW w:w="23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9FB39C">
            <w:pPr>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Web、App、后台</w:t>
            </w:r>
          </w:p>
        </w:tc>
      </w:tr>
      <w:tr w14:paraId="31CA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659"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8495B6">
            <w:pPr>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其他功能优化</w:t>
            </w:r>
          </w:p>
        </w:tc>
        <w:tc>
          <w:tcPr>
            <w:tcW w:w="23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0DB17A">
            <w:pPr>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Web、App</w:t>
            </w:r>
          </w:p>
        </w:tc>
      </w:tr>
    </w:tbl>
    <w:p w14:paraId="73272C0B">
      <w:pPr>
        <w:adjustRightInd/>
        <w:spacing w:beforeLines="0" w:afterLines="0" w:line="360" w:lineRule="auto"/>
        <w:ind w:firstLine="640"/>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（二）需求内容</w:t>
      </w:r>
    </w:p>
    <w:p w14:paraId="0F8C0D75">
      <w:pPr>
        <w:adjustRightInd/>
        <w:spacing w:beforeLines="0" w:afterLines="0" w:line="360" w:lineRule="auto"/>
        <w:ind w:firstLine="640"/>
        <w:rPr>
          <w:rFonts w:hint="default" w:hAnsi="宋体" w:cs="宋体"/>
          <w:color w:val="29282A"/>
          <w:sz w:val="28"/>
          <w:szCs w:val="28"/>
          <w:lang w:val="zh-TW" w:eastAsia="zh-TW" w:bidi="zh-TW"/>
        </w:rPr>
        <w:sectPr>
          <w:pgSz w:w="11906" w:h="16838"/>
          <w:pgMar w:top="1474" w:right="1588" w:bottom="1474" w:left="1701" w:header="851" w:footer="992" w:gutter="0"/>
          <w:lnNumType w:countBy="0" w:distance="360"/>
          <w:pgNumType w:fmt="decimal"/>
          <w:cols w:space="720" w:num="1"/>
          <w:docGrid w:type="lines" w:linePitch="435" w:charSpace="0"/>
        </w:sectPr>
      </w:pPr>
    </w:p>
    <w:tbl>
      <w:tblPr>
        <w:tblStyle w:val="9"/>
        <w:tblW w:w="138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4"/>
        <w:gridCol w:w="2020"/>
        <w:gridCol w:w="3946"/>
        <w:gridCol w:w="6827"/>
      </w:tblGrid>
      <w:tr w14:paraId="3F7D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blHeader/>
        </w:trPr>
        <w:tc>
          <w:tcPr>
            <w:tcW w:w="1094" w:type="dxa"/>
            <w:tcBorders>
              <w:top w:val="single" w:color="auto" w:sz="4" w:space="0"/>
              <w:left w:val="single" w:color="auto" w:sz="4" w:space="0"/>
              <w:bottom w:val="single" w:color="auto" w:sz="4" w:space="0"/>
              <w:right w:val="single" w:color="auto" w:sz="4" w:space="0"/>
              <w:tl2br w:val="nil"/>
              <w:tr2bl w:val="nil"/>
            </w:tcBorders>
            <w:noWrap/>
            <w:vAlign w:val="center"/>
          </w:tcPr>
          <w:p w14:paraId="12970D62">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客户端</w:t>
            </w:r>
          </w:p>
        </w:tc>
        <w:tc>
          <w:tcPr>
            <w:tcW w:w="2020" w:type="dxa"/>
            <w:tcBorders>
              <w:top w:val="single" w:color="auto" w:sz="4" w:space="0"/>
              <w:left w:val="nil"/>
              <w:bottom w:val="single" w:color="auto" w:sz="4" w:space="0"/>
              <w:right w:val="single" w:color="auto" w:sz="4" w:space="0"/>
              <w:tl2br w:val="nil"/>
              <w:tr2bl w:val="nil"/>
            </w:tcBorders>
            <w:noWrap w:val="0"/>
            <w:vAlign w:val="center"/>
          </w:tcPr>
          <w:p w14:paraId="7D2AB39B">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功能</w:t>
            </w:r>
          </w:p>
        </w:tc>
        <w:tc>
          <w:tcPr>
            <w:tcW w:w="3946" w:type="dxa"/>
            <w:tcBorders>
              <w:top w:val="single" w:color="auto" w:sz="4" w:space="0"/>
              <w:left w:val="nil"/>
              <w:bottom w:val="single" w:color="auto" w:sz="4" w:space="0"/>
              <w:right w:val="single" w:color="auto" w:sz="4" w:space="0"/>
              <w:tl2br w:val="nil"/>
              <w:tr2bl w:val="nil"/>
            </w:tcBorders>
            <w:noWrap/>
            <w:vAlign w:val="center"/>
          </w:tcPr>
          <w:p w14:paraId="64C5BB43">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简要描述</w:t>
            </w:r>
          </w:p>
        </w:tc>
        <w:tc>
          <w:tcPr>
            <w:tcW w:w="6827" w:type="dxa"/>
            <w:tcBorders>
              <w:top w:val="single" w:color="auto" w:sz="4" w:space="0"/>
              <w:left w:val="nil"/>
              <w:bottom w:val="single" w:color="auto" w:sz="4" w:space="0"/>
              <w:right w:val="single" w:color="auto" w:sz="4" w:space="0"/>
              <w:tl2br w:val="nil"/>
              <w:tr2bl w:val="nil"/>
            </w:tcBorders>
            <w:noWrap/>
            <w:vAlign w:val="center"/>
          </w:tcPr>
          <w:p w14:paraId="10973743">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补充说明</w:t>
            </w:r>
          </w:p>
        </w:tc>
      </w:tr>
      <w:tr w14:paraId="170B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94" w:type="dxa"/>
            <w:vMerge w:val="restart"/>
            <w:tcBorders>
              <w:top w:val="nil"/>
              <w:left w:val="single" w:color="auto" w:sz="4" w:space="0"/>
              <w:bottom w:val="single" w:color="auto" w:sz="4" w:space="0"/>
              <w:right w:val="single" w:color="auto" w:sz="4" w:space="0"/>
              <w:tl2br w:val="nil"/>
              <w:tr2bl w:val="nil"/>
            </w:tcBorders>
            <w:noWrap w:val="0"/>
            <w:vAlign w:val="center"/>
          </w:tcPr>
          <w:p w14:paraId="6B0E73BE">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web端</w:t>
            </w:r>
          </w:p>
        </w:tc>
        <w:tc>
          <w:tcPr>
            <w:tcW w:w="2020" w:type="dxa"/>
            <w:tcBorders>
              <w:top w:val="nil"/>
              <w:left w:val="nil"/>
              <w:bottom w:val="single" w:color="auto" w:sz="4" w:space="0"/>
              <w:right w:val="single" w:color="auto" w:sz="4" w:space="0"/>
              <w:tl2br w:val="nil"/>
              <w:tr2bl w:val="nil"/>
            </w:tcBorders>
            <w:noWrap w:val="0"/>
            <w:vAlign w:val="center"/>
          </w:tcPr>
          <w:p w14:paraId="097D03DC">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清疏一张图</w:t>
            </w:r>
          </w:p>
        </w:tc>
        <w:tc>
          <w:tcPr>
            <w:tcW w:w="3946" w:type="dxa"/>
            <w:tcBorders>
              <w:top w:val="nil"/>
              <w:left w:val="nil"/>
              <w:bottom w:val="single" w:color="auto" w:sz="4" w:space="0"/>
              <w:right w:val="single" w:color="auto" w:sz="4" w:space="0"/>
              <w:tl2br w:val="nil"/>
              <w:tr2bl w:val="nil"/>
            </w:tcBorders>
            <w:noWrap w:val="0"/>
            <w:vAlign w:val="center"/>
          </w:tcPr>
          <w:p w14:paraId="055E44B0">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在地图中对清疏历史清疏管段、管井按照清疏次数进行不同颜色标识，并可根据相关条件进行查询展示。</w:t>
            </w:r>
          </w:p>
        </w:tc>
        <w:tc>
          <w:tcPr>
            <w:tcW w:w="6827" w:type="dxa"/>
            <w:tcBorders>
              <w:top w:val="nil"/>
              <w:left w:val="nil"/>
              <w:bottom w:val="single" w:color="auto" w:sz="4" w:space="0"/>
              <w:right w:val="single" w:color="auto" w:sz="4" w:space="0"/>
              <w:tl2br w:val="nil"/>
              <w:tr2bl w:val="nil"/>
            </w:tcBorders>
            <w:noWrap w:val="0"/>
            <w:vAlign w:val="center"/>
          </w:tcPr>
          <w:p w14:paraId="3F82F6FC">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在GIS地图中对清疏历史清疏管段、管井按照清疏次数进行不同颜色标识；根据需求对地图展示结果的显示定制（如分公司、镇街、时间段等）；设施历史清疏记录概况的列表展示（如设施编号、地址、清疏次数）及历史清疏记录信息导出；某设施历史清疏记录概况列表（如设施编号、清疏日期、地址）及设施历史清疏记录详情；地图点击设施后基础信息及清疏信息展示。</w:t>
            </w:r>
          </w:p>
        </w:tc>
      </w:tr>
      <w:tr w14:paraId="410E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709751ED">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6CDB6E11">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清疏计划</w:t>
            </w:r>
          </w:p>
        </w:tc>
        <w:tc>
          <w:tcPr>
            <w:tcW w:w="3946" w:type="dxa"/>
            <w:tcBorders>
              <w:top w:val="nil"/>
              <w:left w:val="nil"/>
              <w:bottom w:val="single" w:color="auto" w:sz="4" w:space="0"/>
              <w:right w:val="single" w:color="auto" w:sz="4" w:space="0"/>
              <w:tl2br w:val="nil"/>
              <w:tr2bl w:val="nil"/>
            </w:tcBorders>
            <w:noWrap w:val="0"/>
            <w:vAlign w:val="center"/>
          </w:tcPr>
          <w:p w14:paraId="7EDD9F8C">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新增删除自主/委外清疏计划，并支持子计划的查看、复制、删除、批量编辑、派发、收回、批量派发。</w:t>
            </w:r>
          </w:p>
        </w:tc>
        <w:tc>
          <w:tcPr>
            <w:tcW w:w="6827" w:type="dxa"/>
            <w:tcBorders>
              <w:top w:val="nil"/>
              <w:left w:val="nil"/>
              <w:bottom w:val="single" w:color="auto" w:sz="4" w:space="0"/>
              <w:right w:val="single" w:color="auto" w:sz="4" w:space="0"/>
              <w:tl2br w:val="nil"/>
              <w:tr2bl w:val="nil"/>
            </w:tcBorders>
            <w:noWrap w:val="0"/>
            <w:vAlign w:val="center"/>
          </w:tcPr>
          <w:p w14:paraId="5EEC663A">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新增项目计划，可在分公司级别进行计划新增；删除未执行的清疏项目计划；（自主清疏）显示项目计划子计划列表；（自主清疏）可按照计划名称检索子计划信息；（自主清疏）可按照计划班组检索子计划信息；（自主清疏）新增子计划；（自主清疏）可删除选定的未派发执行的子计划；（自主清疏）可批量设定子计划预计起止时间和执行班组；（自主清疏）根据子计划设定的执行班组批量派发执行；（自主清疏）查看子计划详细信息，基本情况、涉及的管井管段；（自主清疏）复制子计划信息生成新子计划；（自主清疏）删除子计划；（自主清疏）子计划新增设定完毕，派发执行；（自主清疏）子计划未执行时收回；（自主清疏）可对子计划信息进行编辑调整；（自主清疏）登记子计划基础信息（计划名称、预计起止时间、执行班组、备注），设定计划网格，并可自定义绘制计划区域；（自主清疏）保存子计划基础信息；（自主清疏）返回计划列表；（自主清疏）显示管井总数；（自主清疏）可根据设施类型（污水、雨水、雨污合流）、管井类型（全部、检查井、雨水井、跌水井、水封井、冲洗井……）、项目类属等条件查看计划管井信息；（自主清疏）选定区域后列表展示该区域管井管段设施信息，可根据设施类型（雨水、污水、合流）进行过滤，并将选定的管井管段设施添加至项目计划中；（自主清疏）删除计划列表中的管井；（自主清疏）可根据设施编号进行精准定位搜索；（自主清疏）可通过多选按钮设定必打卡管井；（自主清疏）显示管井信息列表项（管井编号、项目类属、必打卡标识、开井数、管井类型），其中管井编号、项目类属、开井数可设定升降序显示，必打卡可设定管井是否必打卡标识；（自主清疏）可设定计划要求主干管开井比例、主干管开井数量、计划覆盖率要求（%）、非主干管开井比例（%）、非主干管开井数量，当app端提交计划时进行评估，app端可强制提交计划；（自主清疏）显示管段总数；（自主清疏）可根据设施类型（污水、雨水、雨污合流）、项目类属等条件查看计划管段信息；（自主清疏）选定区域后列表展示该区域管井管段设施信息，可根据设施类型（雨水、污水、合流）进行过滤，并将选定的管井管段设施添加至项目计划中；（自主清疏）删除计划列表中的管段；（自主清疏）可根据设施编号进行精准定位搜索；（自主清疏）可通过多选按钮设定必打卡管段；（自主清疏）显示管道信息列表项（管道编号、项目类属、必打卡标识、开井数、管道类型），其中管道编号、项目类属、开井数可设定升降序显示，必打卡可设定管段是否必打卡标识；（自主清疏）点击列表项中的管道编号可在地图进行定位，并标识；（委外清疏）显示项目计划子计划列表；（委外清疏）可按照计划名称检索子计划信息；（委外清疏）可按照计划班组检索子计划信息；（委外清疏）新增子计划；（委外清疏）可删除选定的未派发执行的子计划；（委外清疏）可批量设定子计划预计起止时间和执行班组；（委外清疏）根据子计划设定的执行班组批量派发执行；（委外清疏）查看子计划详细信息，基本情况、涉及的管井管段；（委外清疏）复制子计划信息生成新子计划；（委外清疏）删除子计划；（委外清疏）子计划新增设定完毕，派发执行；（委外清疏）子计划未执行时收回；（委外清疏）可对子计划信息进行编辑调整；（委外清疏）登记子计划基础信息（计划名称、预计起止时间、执行班组、供应商、备注），设定计划网格，并可自定义绘制计划区域；（委外清疏）保存子计划基础信息；（委外清疏）返回计划列表；（委外清疏）显示管井总数及**占比；（委外清疏）可根据设施类型（污水、雨水、雨污合流）、管井类型（全部、检查井、雨水井、跌水井、水封井、冲洗井……）、项目类属等条件查看计划管井信息；（委外清疏）选定区域后列表展示该区域管井管段设施信息，可根据设施类型（雨水、污水、合流）进行过滤，并将选定的管井管段设施添加至项目计划中；（委外清疏）删除计划列表中的管井；（委外清疏）可根据设施编号进行精准定位搜索；（委外清疏）可批量设定管井是否清疏（枚举值是/否）；（委外清疏）可批量设定封堵数量（枚举值0/1/2）；（委外清疏）可批量设定封堵类型；（委外清疏）可设定某设施井是否清疏；（委外清疏）可设定某设施井封堵数量；（委外清疏）可设定某设施井封堵类型；（委外清疏）显示管井信息列表项（管井编号、项目类属、是否清疏、封堵数量、封堵类型、管井类别），其中管井编号、项目类属可设定升降序显示；（委外清疏）点击列表项中的管井可在地图进行定位，并标识；（委外清疏）显示管道总数；（委外清疏）可根据设施类型（污水、雨水、雨污合流）、项目类属等条件查看计划管道信息；（委外清疏）选定区域后列表展示该区域管井管段设施信息，可根据设施类型（雨水、污水、合流）进行过滤，并将选定的管井管段设施添加至项目计划中；（委外清疏）删除计划列表中的管道；（委外清疏）可根据设施编号进行精准定位搜索；（委外清疏）可批量选择导排类型；（委外清疏）可批量选择检测类型；（委外清疏）可设定某设施管道导排类型；（委外清疏）可设定某设施管道检测类型；（委外清疏）显示管道信息列表项（管道编号、项目类属、导排类型、检测类型、管道类别），其中管道编号、项目类属可设定升降序显示；（委外清疏）点击列表项中的管道编号可在地图进行定位，并标识；（委外清疏）显示委外清疏工程量信息（委外项目、单位、计划工程量、实际工程量）；查看计划详细信息，基本情况、涉及的管井管段；复制计划信息生成新计划；删除计划；可批量设定计划预计开始结束时间和执行班组；计划新增设定完毕，派发执行；计划未执行时收回；可进行计划批量派发；复制项目计划信息生成新项目计划。</w:t>
            </w:r>
          </w:p>
        </w:tc>
      </w:tr>
      <w:tr w14:paraId="1ACF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117F2CF7">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04188321">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清疏计划台账导出对比</w:t>
            </w:r>
          </w:p>
        </w:tc>
        <w:tc>
          <w:tcPr>
            <w:tcW w:w="3946" w:type="dxa"/>
            <w:tcBorders>
              <w:top w:val="nil"/>
              <w:left w:val="nil"/>
              <w:bottom w:val="single" w:color="auto" w:sz="4" w:space="0"/>
              <w:right w:val="single" w:color="auto" w:sz="4" w:space="0"/>
              <w:tl2br w:val="nil"/>
              <w:tr2bl w:val="nil"/>
            </w:tcBorders>
            <w:noWrap w:val="0"/>
            <w:vAlign w:val="center"/>
          </w:tcPr>
          <w:p w14:paraId="5862B27C">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制定计划之后，可以看到计划中计划清疏的管井管段之前的清疏情况信息（时间、方式等等）。</w:t>
            </w:r>
          </w:p>
        </w:tc>
        <w:tc>
          <w:tcPr>
            <w:tcW w:w="6827" w:type="dxa"/>
            <w:tcBorders>
              <w:top w:val="nil"/>
              <w:left w:val="nil"/>
              <w:bottom w:val="single" w:color="auto" w:sz="4" w:space="0"/>
              <w:right w:val="single" w:color="auto" w:sz="4" w:space="0"/>
              <w:tl2br w:val="nil"/>
              <w:tr2bl w:val="nil"/>
            </w:tcBorders>
            <w:noWrap w:val="0"/>
            <w:vAlign w:val="center"/>
          </w:tcPr>
          <w:p w14:paraId="57DFE1D7">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制定计划之后，可以看到计划中计划清疏的管井管段之前的清疏情况信息（时间、方式等等），用以更好的工作计划安排。</w:t>
            </w:r>
          </w:p>
        </w:tc>
      </w:tr>
      <w:tr w14:paraId="2793C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6084B7F9">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43615EE2">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清疏计划台账</w:t>
            </w:r>
          </w:p>
        </w:tc>
        <w:tc>
          <w:tcPr>
            <w:tcW w:w="3946" w:type="dxa"/>
            <w:tcBorders>
              <w:top w:val="nil"/>
              <w:left w:val="nil"/>
              <w:bottom w:val="single" w:color="auto" w:sz="4" w:space="0"/>
              <w:right w:val="single" w:color="auto" w:sz="4" w:space="0"/>
              <w:tl2br w:val="nil"/>
              <w:tr2bl w:val="nil"/>
            </w:tcBorders>
            <w:noWrap w:val="0"/>
            <w:vAlign w:val="center"/>
          </w:tcPr>
          <w:p w14:paraId="1AF7B461">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计划制定后可导出计划信息，并生成管井管段封堵点图片。</w:t>
            </w:r>
          </w:p>
        </w:tc>
        <w:tc>
          <w:tcPr>
            <w:tcW w:w="6827" w:type="dxa"/>
            <w:tcBorders>
              <w:top w:val="nil"/>
              <w:left w:val="nil"/>
              <w:bottom w:val="single" w:color="auto" w:sz="4" w:space="0"/>
              <w:right w:val="single" w:color="auto" w:sz="4" w:space="0"/>
              <w:tl2br w:val="nil"/>
              <w:tr2bl w:val="nil"/>
            </w:tcBorders>
            <w:noWrap w:val="0"/>
            <w:vAlign w:val="center"/>
          </w:tcPr>
          <w:p w14:paraId="579906D4">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计划制定后可导出计划信息，并生成地图中管井管段封堵点图片。</w:t>
            </w:r>
          </w:p>
        </w:tc>
      </w:tr>
      <w:tr w14:paraId="6657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04283FCF">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04CEA8DD">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检测一张图</w:t>
            </w:r>
          </w:p>
        </w:tc>
        <w:tc>
          <w:tcPr>
            <w:tcW w:w="3946" w:type="dxa"/>
            <w:tcBorders>
              <w:top w:val="nil"/>
              <w:left w:val="nil"/>
              <w:bottom w:val="single" w:color="auto" w:sz="4" w:space="0"/>
              <w:right w:val="single" w:color="auto" w:sz="4" w:space="0"/>
              <w:tl2br w:val="nil"/>
              <w:tr2bl w:val="nil"/>
            </w:tcBorders>
            <w:noWrap w:val="0"/>
            <w:vAlign w:val="center"/>
          </w:tcPr>
          <w:p w14:paraId="74CDFEE2">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在地图中对检测历史检测管段、管井按照检测次数进行不同颜色标识，并可根据相关条件进行查询展示。</w:t>
            </w:r>
          </w:p>
        </w:tc>
        <w:tc>
          <w:tcPr>
            <w:tcW w:w="6827" w:type="dxa"/>
            <w:tcBorders>
              <w:top w:val="nil"/>
              <w:left w:val="nil"/>
              <w:bottom w:val="single" w:color="auto" w:sz="4" w:space="0"/>
              <w:right w:val="single" w:color="auto" w:sz="4" w:space="0"/>
              <w:tl2br w:val="nil"/>
              <w:tr2bl w:val="nil"/>
            </w:tcBorders>
            <w:noWrap w:val="0"/>
            <w:vAlign w:val="center"/>
          </w:tcPr>
          <w:p w14:paraId="258FC27A">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在GIS在地图中对检测历史检测管段、管井按照检测次数进行不同颜色标识;根据需求对地图展示结果的显示定制（如分公司、镇街、时间段等）；设施历史检测记录概况的列表展示（如设施编号、地址、检测次数）及历史检测记录信息导出；某设施历史检测记录概况列表（如设施编号、检测日期、地址）及设施历史检测记录详情；地图点击设施后检测信息展示。</w:t>
            </w:r>
          </w:p>
        </w:tc>
      </w:tr>
      <w:tr w14:paraId="4B72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6214D50D">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34A968A2">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检测计划</w:t>
            </w:r>
          </w:p>
        </w:tc>
        <w:tc>
          <w:tcPr>
            <w:tcW w:w="3946" w:type="dxa"/>
            <w:tcBorders>
              <w:top w:val="nil"/>
              <w:left w:val="nil"/>
              <w:bottom w:val="single" w:color="auto" w:sz="4" w:space="0"/>
              <w:right w:val="single" w:color="auto" w:sz="4" w:space="0"/>
              <w:tl2br w:val="nil"/>
              <w:tr2bl w:val="nil"/>
            </w:tcBorders>
            <w:noWrap w:val="0"/>
            <w:vAlign w:val="center"/>
          </w:tcPr>
          <w:p w14:paraId="1A422F92">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新增删除自主/委外检测计划，并支持子计划的查看、复制、删除、批量编辑、派发、收回、批量派发。</w:t>
            </w:r>
          </w:p>
        </w:tc>
        <w:tc>
          <w:tcPr>
            <w:tcW w:w="6827" w:type="dxa"/>
            <w:tcBorders>
              <w:top w:val="nil"/>
              <w:left w:val="nil"/>
              <w:bottom w:val="single" w:color="auto" w:sz="4" w:space="0"/>
              <w:right w:val="single" w:color="auto" w:sz="4" w:space="0"/>
              <w:tl2br w:val="nil"/>
              <w:tr2bl w:val="nil"/>
            </w:tcBorders>
            <w:noWrap w:val="0"/>
            <w:vAlign w:val="center"/>
          </w:tcPr>
          <w:p w14:paraId="278306B2">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新增项目计划，可在分公司级别进行计划新增；删除未执行的检测项目计划；（自主检测）显示项目计划子计划列表；（自主检测）可按照计划名称检索子计划信息；（自主检测）可按照计划班组检索子计划信息；（自主检测）新增子计划；（自主检测）可删除选定的未派发执行的子计划；（自主检测）可批量设定子计划预计起止时间和执行班组；（自主检测）根据子计划设定的执行班组批量派发执行；（自主检测）查看子计划详细信息，基本情况、涉及的管井管段；（自主检测）复制子计划信息生成新子计划；（自主检测）删除子计划；（自主检测）子计划新增设定完毕，派发执行；（自主检测）子计划未执行时收回；（自主检测）可对子计划信息进行编辑调整；（自主检测）登记子计划基础信息（计划名称、预计起止时间、执行班组、备注），设定计划网格，并可自定义绘制计划区域；（自主检测）保存子计划基础信息；（自主检测）返回计划列表；（自主检测）显示管段总数；（自主检测）可根据设施类型（污水、雨水、雨污合流）、项目类属等条件查看计划管段信息；（自主检测）选定区域后列表展示该区域管井管段设施信息，可根据设施类型（雨水、污水、合流）进行过滤，并将选定的管井管段设施添加至项目计划中；（自主检测）删除计划列表中的管段；（自主检测）可根据设施编号进行精准定位搜索；（自主检测）可通过多选按钮设定必打卡管段；（自主检测）显示管道信息列表项（管道编号、项目类属、必打卡标识、开井数、管道类型），其中管道编号、项目类属、开井数可设定升降序显示，必打卡可设定管井是否必打卡标识；（自主检测）点击列表项中的管道编号可在地图进行定位，并标识；（委外检测）显示项目计划子计划列表；（委外检测）可按照计划名称检索子计划信息；（委外检测）可按照计划班组检索子计划信息；（委外检测）新增子计划；（委外检测）可删除选定的未派发执行的子计划；（委外检测）可批量设定子计划预计起止时间和执行班组；（委外检测）根据子计划设定的执行班组批量派发执行；（委外检测）查看子计划详细信息，基本情况、涉及的管井管段；（委外检测）复制子计划信息生成新子计划；（委外检测）删除子计划；（委外检测）子计划新增设定完毕，派发执行；（委外检测）子计划未执行时收回；（委外检测）可对子计划信息进行编辑调整；（委外检测）登记子计划基础信息（计划名称、预计起止时间、执行班组、供应商、备注），设定计划网格，并可自定义绘制计划区域；（委外检测）保存子计划基础信息；（委外检测）返回计划列表；（委外检测）显示管段总数；（委外检测）可根据设施类型（污水、雨水、雨污合流）、项目类属等条件查看计划管井信息；（委外检测）选定区域后列表展示该区域管井管段设施信息，可根据设施类型（雨水、污水、合流）进行过滤，并将选定的管井管段设施添加至项目计划中；（委外检测）删除计划列表中的管段；（委外检测）可根据设施编号进行精准定位搜索；（委外检测）显示管道信息列表项（管道编号、项目类属、导排类型、检测类型、管道类别），其中管道编号、项目类属可设定升降序显示；（委外检测）点击列表项中的管道编号可在地图进行定位，并标识；查看计划详细信息，基本情况、涉及的管井管段；复制计划信息生成新计划；删除计划；可批量设定计划预计开始结束时间和执行班组；计划新增设定完毕，派发执行；计划未执行时收回；可进行计划批量派发；复制项目计划信息生成新项目计划。</w:t>
            </w:r>
          </w:p>
        </w:tc>
      </w:tr>
      <w:tr w14:paraId="0A40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412E210B">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040CEE61">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检测计划台账导出对比</w:t>
            </w:r>
          </w:p>
        </w:tc>
        <w:tc>
          <w:tcPr>
            <w:tcW w:w="3946" w:type="dxa"/>
            <w:tcBorders>
              <w:top w:val="nil"/>
              <w:left w:val="nil"/>
              <w:bottom w:val="single" w:color="auto" w:sz="4" w:space="0"/>
              <w:right w:val="single" w:color="auto" w:sz="4" w:space="0"/>
              <w:tl2br w:val="nil"/>
              <w:tr2bl w:val="nil"/>
            </w:tcBorders>
            <w:noWrap w:val="0"/>
            <w:vAlign w:val="center"/>
          </w:tcPr>
          <w:p w14:paraId="4A365DEF">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制定计划之后，可以看到计划中计划检测的管井管段之前的检测情况信息（时间、方式等等）。</w:t>
            </w:r>
          </w:p>
        </w:tc>
        <w:tc>
          <w:tcPr>
            <w:tcW w:w="6827" w:type="dxa"/>
            <w:tcBorders>
              <w:top w:val="nil"/>
              <w:left w:val="nil"/>
              <w:bottom w:val="single" w:color="auto" w:sz="4" w:space="0"/>
              <w:right w:val="single" w:color="auto" w:sz="4" w:space="0"/>
              <w:tl2br w:val="nil"/>
              <w:tr2bl w:val="nil"/>
            </w:tcBorders>
            <w:noWrap w:val="0"/>
            <w:vAlign w:val="center"/>
          </w:tcPr>
          <w:p w14:paraId="36E51C73">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制定计划之后，可以看到计划中计划检测的管井管段之前的检测情况信息（时间、方式等等），用于更好的检测计划工作安排。</w:t>
            </w:r>
          </w:p>
        </w:tc>
      </w:tr>
      <w:tr w14:paraId="7EC1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346EF58B">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4C912ED7">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GIS地图设施查询</w:t>
            </w:r>
          </w:p>
        </w:tc>
        <w:tc>
          <w:tcPr>
            <w:tcW w:w="3946" w:type="dxa"/>
            <w:tcBorders>
              <w:top w:val="nil"/>
              <w:left w:val="nil"/>
              <w:bottom w:val="single" w:color="auto" w:sz="4" w:space="0"/>
              <w:right w:val="single" w:color="auto" w:sz="4" w:space="0"/>
              <w:tl2br w:val="nil"/>
              <w:tr2bl w:val="nil"/>
            </w:tcBorders>
            <w:noWrap w:val="0"/>
            <w:vAlign w:val="center"/>
          </w:tcPr>
          <w:p w14:paraId="6FF5FB6F">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展示设施历史清疏、检测、维修、巡查信息。</w:t>
            </w:r>
          </w:p>
        </w:tc>
        <w:tc>
          <w:tcPr>
            <w:tcW w:w="6827" w:type="dxa"/>
            <w:tcBorders>
              <w:top w:val="nil"/>
              <w:left w:val="nil"/>
              <w:bottom w:val="single" w:color="auto" w:sz="4" w:space="0"/>
              <w:right w:val="single" w:color="auto" w:sz="4" w:space="0"/>
              <w:tl2br w:val="nil"/>
              <w:tr2bl w:val="nil"/>
            </w:tcBorders>
            <w:noWrap w:val="0"/>
            <w:vAlign w:val="center"/>
          </w:tcPr>
          <w:p w14:paraId="798A7798">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展示信息设计展示设施的历史清疏、检测、维修、巡查、问题上报、外部施工等所有历史工作信息。</w:t>
            </w:r>
          </w:p>
        </w:tc>
      </w:tr>
      <w:tr w14:paraId="4DC6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382A29D6">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448B93D4">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泵站管理</w:t>
            </w:r>
          </w:p>
        </w:tc>
        <w:tc>
          <w:tcPr>
            <w:tcW w:w="3946" w:type="dxa"/>
            <w:tcBorders>
              <w:top w:val="nil"/>
              <w:left w:val="nil"/>
              <w:bottom w:val="single" w:color="auto" w:sz="4" w:space="0"/>
              <w:right w:val="single" w:color="auto" w:sz="4" w:space="0"/>
              <w:tl2br w:val="nil"/>
              <w:tr2bl w:val="nil"/>
            </w:tcBorders>
            <w:noWrap w:val="0"/>
            <w:vAlign w:val="center"/>
          </w:tcPr>
          <w:p w14:paraId="311E2663">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泵站巡检记录，泵站养护计划增加编辑功能。</w:t>
            </w:r>
          </w:p>
        </w:tc>
        <w:tc>
          <w:tcPr>
            <w:tcW w:w="6827" w:type="dxa"/>
            <w:tcBorders>
              <w:top w:val="nil"/>
              <w:left w:val="nil"/>
              <w:bottom w:val="single" w:color="auto" w:sz="4" w:space="0"/>
              <w:right w:val="single" w:color="auto" w:sz="4" w:space="0"/>
              <w:tl2br w:val="nil"/>
              <w:tr2bl w:val="nil"/>
            </w:tcBorders>
            <w:noWrap w:val="0"/>
            <w:vAlign w:val="center"/>
          </w:tcPr>
          <w:p w14:paraId="1FBFDC3D">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支持记录泵站巡检情况，并在发现问题时跳转至问题上报及养护；已制定的泵站养护计划目前无编辑调整功能，新增编辑调整功能，方便计划内容的准确有效设置，同时网页及导出的泵站养护计划能清晰标注出养护计划调整内容及备注。</w:t>
            </w:r>
          </w:p>
        </w:tc>
      </w:tr>
      <w:tr w14:paraId="486F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3145D60F">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326F4A46">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台账管理</w:t>
            </w:r>
          </w:p>
        </w:tc>
        <w:tc>
          <w:tcPr>
            <w:tcW w:w="3946" w:type="dxa"/>
            <w:tcBorders>
              <w:top w:val="nil"/>
              <w:left w:val="nil"/>
              <w:bottom w:val="single" w:color="auto" w:sz="4" w:space="0"/>
              <w:right w:val="single" w:color="auto" w:sz="4" w:space="0"/>
              <w:tl2br w:val="nil"/>
              <w:tr2bl w:val="nil"/>
            </w:tcBorders>
            <w:noWrap w:val="0"/>
            <w:vAlign w:val="center"/>
          </w:tcPr>
          <w:p w14:paraId="1BDDE6C9">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截流井：在网格化模块中单列一个截流井模块，可在web端内直接看到具体台账以及截流井具体信息并进行截流井状态的更新；异常轨迹台账：根据镇街分公司检索异常轨迹人员并展示人员异常轨迹台账（人员、镇街分公司、停留起始时间、结束时间、停留时长）。</w:t>
            </w:r>
          </w:p>
        </w:tc>
        <w:tc>
          <w:tcPr>
            <w:tcW w:w="6827" w:type="dxa"/>
            <w:tcBorders>
              <w:top w:val="nil"/>
              <w:left w:val="nil"/>
              <w:bottom w:val="single" w:color="auto" w:sz="4" w:space="0"/>
              <w:right w:val="single" w:color="auto" w:sz="4" w:space="0"/>
              <w:tl2br w:val="nil"/>
              <w:tr2bl w:val="nil"/>
            </w:tcBorders>
            <w:noWrap w:val="0"/>
            <w:vAlign w:val="center"/>
          </w:tcPr>
          <w:p w14:paraId="12425185">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截流井：单列一个截流井模块，可在web端内根据分公司、镇街、项目类属、截流井状态等筛选条件看到具体台账以及截流井具体基础信息、截流井清疏次数同时可进行截流井状态的更新；异常轨迹台账：根据镇街分公司检索异常轨迹人员并展示人员异常轨迹台账（人员、镇街分公司、停留起始时间、结束时间、停留时长）。</w:t>
            </w:r>
          </w:p>
        </w:tc>
      </w:tr>
      <w:tr w14:paraId="7AAD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94" w:type="dxa"/>
            <w:vMerge w:val="continue"/>
            <w:tcBorders>
              <w:top w:val="nil"/>
              <w:left w:val="single" w:color="auto" w:sz="4" w:space="0"/>
              <w:bottom w:val="single" w:color="auto" w:sz="4" w:space="0"/>
              <w:right w:val="single" w:color="auto" w:sz="4" w:space="0"/>
              <w:tl2br w:val="nil"/>
              <w:tr2bl w:val="nil"/>
            </w:tcBorders>
            <w:shd w:val="clear" w:color="auto" w:fill="auto"/>
            <w:noWrap w:val="0"/>
            <w:vAlign w:val="center"/>
          </w:tcPr>
          <w:p w14:paraId="7D86B955">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shd w:val="clear" w:color="000000" w:fill="FFFFFF"/>
            <w:noWrap w:val="0"/>
            <w:vAlign w:val="center"/>
          </w:tcPr>
          <w:p w14:paraId="74BEE98B">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其他功能</w:t>
            </w:r>
          </w:p>
        </w:tc>
        <w:tc>
          <w:tcPr>
            <w:tcW w:w="3946" w:type="dxa"/>
            <w:tcBorders>
              <w:top w:val="nil"/>
              <w:left w:val="nil"/>
              <w:bottom w:val="single" w:color="auto" w:sz="4" w:space="0"/>
              <w:right w:val="single" w:color="auto" w:sz="4" w:space="0"/>
              <w:tl2br w:val="nil"/>
              <w:tr2bl w:val="nil"/>
            </w:tcBorders>
            <w:shd w:val="clear" w:color="000000" w:fill="FFFFFF"/>
            <w:noWrap w:val="0"/>
            <w:vAlign w:val="center"/>
          </w:tcPr>
          <w:p w14:paraId="0638415E">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其他日常工作可对水质检测指标值进行上报及后续编辑。</w:t>
            </w:r>
          </w:p>
        </w:tc>
        <w:tc>
          <w:tcPr>
            <w:tcW w:w="6827" w:type="dxa"/>
            <w:tcBorders>
              <w:top w:val="nil"/>
              <w:left w:val="nil"/>
              <w:bottom w:val="single" w:color="auto" w:sz="4" w:space="0"/>
              <w:right w:val="single" w:color="auto" w:sz="4" w:space="0"/>
              <w:tl2br w:val="nil"/>
              <w:tr2bl w:val="nil"/>
            </w:tcBorders>
            <w:shd w:val="clear" w:color="000000" w:fill="FFFFFF"/>
            <w:noWrap w:val="0"/>
            <w:vAlign w:val="center"/>
          </w:tcPr>
          <w:p w14:paraId="4363D50D">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增加对水质检测指标值编辑功能，以便对水质检测指标进行上报及后续变更调整。</w:t>
            </w:r>
          </w:p>
        </w:tc>
      </w:tr>
      <w:tr w14:paraId="561E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94" w:type="dxa"/>
            <w:vMerge w:val="restart"/>
            <w:tcBorders>
              <w:top w:val="nil"/>
              <w:left w:val="single" w:color="auto" w:sz="4" w:space="0"/>
              <w:bottom w:val="single" w:color="auto" w:sz="4" w:space="0"/>
              <w:right w:val="single" w:color="auto" w:sz="4" w:space="0"/>
              <w:tl2br w:val="nil"/>
              <w:tr2bl w:val="nil"/>
            </w:tcBorders>
            <w:shd w:val="clear" w:color="auto" w:fill="auto"/>
            <w:noWrap w:val="0"/>
            <w:vAlign w:val="center"/>
          </w:tcPr>
          <w:p w14:paraId="35907306">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app端</w:t>
            </w:r>
          </w:p>
        </w:tc>
        <w:tc>
          <w:tcPr>
            <w:tcW w:w="2020" w:type="dxa"/>
            <w:tcBorders>
              <w:top w:val="nil"/>
              <w:left w:val="nil"/>
              <w:bottom w:val="single" w:color="auto" w:sz="4" w:space="0"/>
              <w:right w:val="single" w:color="auto" w:sz="4" w:space="0"/>
              <w:tl2br w:val="nil"/>
              <w:tr2bl w:val="nil"/>
            </w:tcBorders>
            <w:shd w:val="clear" w:color="auto" w:fill="auto"/>
            <w:noWrap w:val="0"/>
            <w:vAlign w:val="center"/>
          </w:tcPr>
          <w:p w14:paraId="6C76961A">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设施历史工作记录</w:t>
            </w:r>
          </w:p>
        </w:tc>
        <w:tc>
          <w:tcPr>
            <w:tcW w:w="3946" w:type="dxa"/>
            <w:tcBorders>
              <w:top w:val="nil"/>
              <w:left w:val="nil"/>
              <w:bottom w:val="single" w:color="auto" w:sz="4" w:space="0"/>
              <w:right w:val="single" w:color="auto" w:sz="4" w:space="0"/>
              <w:tl2br w:val="nil"/>
              <w:tr2bl w:val="nil"/>
            </w:tcBorders>
            <w:shd w:val="clear" w:color="auto" w:fill="auto"/>
            <w:noWrap w:val="0"/>
            <w:vAlign w:val="center"/>
          </w:tcPr>
          <w:p w14:paraId="7A4A5C55">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查看设施详情时，可展示设施历史工作记录。</w:t>
            </w:r>
          </w:p>
        </w:tc>
        <w:tc>
          <w:tcPr>
            <w:tcW w:w="6827" w:type="dxa"/>
            <w:tcBorders>
              <w:top w:val="nil"/>
              <w:left w:val="nil"/>
              <w:bottom w:val="single" w:color="auto" w:sz="4" w:space="0"/>
              <w:right w:val="single" w:color="auto" w:sz="4" w:space="0"/>
              <w:tl2br w:val="nil"/>
              <w:tr2bl w:val="nil"/>
            </w:tcBorders>
            <w:shd w:val="clear" w:color="000000" w:fill="FFFFFF"/>
            <w:noWrap w:val="0"/>
            <w:vAlign w:val="center"/>
          </w:tcPr>
          <w:p w14:paraId="15054891">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优化现有设施历史维修、清疏、检测工单记录样式，补充是否委外、处理人等字段，同时补充关联巡查、开井、问题上报、外部施工等历史记录，支持筛选。</w:t>
            </w:r>
          </w:p>
        </w:tc>
      </w:tr>
      <w:tr w14:paraId="60F3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66685322">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57A20314">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计划执行</w:t>
            </w:r>
          </w:p>
        </w:tc>
        <w:tc>
          <w:tcPr>
            <w:tcW w:w="3946" w:type="dxa"/>
            <w:tcBorders>
              <w:top w:val="nil"/>
              <w:left w:val="nil"/>
              <w:bottom w:val="single" w:color="auto" w:sz="4" w:space="0"/>
              <w:right w:val="single" w:color="auto" w:sz="4" w:space="0"/>
              <w:tl2br w:val="nil"/>
              <w:tr2bl w:val="nil"/>
            </w:tcBorders>
            <w:noWrap w:val="0"/>
            <w:vAlign w:val="center"/>
          </w:tcPr>
          <w:p w14:paraId="5156743D">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支持检测、清疏等计划执行。</w:t>
            </w:r>
          </w:p>
        </w:tc>
        <w:tc>
          <w:tcPr>
            <w:tcW w:w="6827" w:type="dxa"/>
            <w:tcBorders>
              <w:top w:val="nil"/>
              <w:left w:val="nil"/>
              <w:bottom w:val="single" w:color="auto" w:sz="4" w:space="0"/>
              <w:right w:val="single" w:color="auto" w:sz="4" w:space="0"/>
              <w:tl2br w:val="nil"/>
              <w:tr2bl w:val="nil"/>
            </w:tcBorders>
            <w:noWrap w:val="0"/>
            <w:vAlign w:val="center"/>
          </w:tcPr>
          <w:p w14:paraId="66446A99">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支持计划性检测、专项检测等检测计划、清疏计划的执行。</w:t>
            </w:r>
          </w:p>
        </w:tc>
      </w:tr>
      <w:tr w14:paraId="0B8C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1094" w:type="dxa"/>
            <w:vMerge w:val="continue"/>
            <w:tcBorders>
              <w:top w:val="nil"/>
              <w:left w:val="single" w:color="auto" w:sz="4" w:space="0"/>
              <w:bottom w:val="single" w:color="auto" w:sz="4" w:space="0"/>
              <w:right w:val="single" w:color="auto" w:sz="4" w:space="0"/>
              <w:tl2br w:val="nil"/>
              <w:tr2bl w:val="nil"/>
            </w:tcBorders>
            <w:shd w:val="clear" w:color="auto" w:fill="auto"/>
            <w:noWrap w:val="0"/>
            <w:vAlign w:val="center"/>
          </w:tcPr>
          <w:p w14:paraId="6DA7CF52">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shd w:val="clear" w:color="000000" w:fill="FFFFFF"/>
            <w:noWrap w:val="0"/>
            <w:vAlign w:val="center"/>
          </w:tcPr>
          <w:p w14:paraId="48FD6458">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待办计划</w:t>
            </w:r>
          </w:p>
        </w:tc>
        <w:tc>
          <w:tcPr>
            <w:tcW w:w="3946" w:type="dxa"/>
            <w:tcBorders>
              <w:top w:val="nil"/>
              <w:left w:val="nil"/>
              <w:bottom w:val="single" w:color="auto" w:sz="4" w:space="0"/>
              <w:right w:val="single" w:color="auto" w:sz="4" w:space="0"/>
              <w:tl2br w:val="nil"/>
              <w:tr2bl w:val="nil"/>
            </w:tcBorders>
            <w:shd w:val="clear" w:color="000000" w:fill="FFFFFF"/>
            <w:noWrap w:val="0"/>
            <w:vAlign w:val="center"/>
          </w:tcPr>
          <w:p w14:paraId="085DD737">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新增井号信息可在当月巡检计划中使用开井巡查功能及路面巡查功能，问题上报台账保存待办；APP巡检计划开井记录覆盖逻辑调整，若同一计划中同一井重复打卡，询问新增打卡记录或覆盖修改原记录；水质检测：可填报COD、BOD、氨氮、预估水量、备注等水质指标。</w:t>
            </w:r>
          </w:p>
        </w:tc>
        <w:tc>
          <w:tcPr>
            <w:tcW w:w="6827" w:type="dxa"/>
            <w:tcBorders>
              <w:top w:val="nil"/>
              <w:left w:val="nil"/>
              <w:bottom w:val="single" w:color="auto" w:sz="4" w:space="0"/>
              <w:right w:val="single" w:color="auto" w:sz="4" w:space="0"/>
              <w:tl2br w:val="nil"/>
              <w:tr2bl w:val="nil"/>
            </w:tcBorders>
            <w:shd w:val="clear" w:color="000000" w:fill="FFFFFF"/>
            <w:noWrap w:val="0"/>
            <w:vAlign w:val="center"/>
          </w:tcPr>
          <w:p w14:paraId="07466324">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新增井号信息可在当月巡检计划中使用开井巡查功能及路面巡查功能，问题上报台账保存待办；APP巡检计划开井记录覆盖逻辑调整，若同一计划中同一井重复打卡，询问新增打卡记录或覆盖修改原记录；水质检测：可填报COD、BOD、氨氮、预估水量、备注等水质指标。</w:t>
            </w:r>
          </w:p>
        </w:tc>
      </w:tr>
      <w:tr w14:paraId="7152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1094" w:type="dxa"/>
            <w:vMerge w:val="restart"/>
            <w:tcBorders>
              <w:top w:val="nil"/>
              <w:left w:val="single" w:color="auto" w:sz="4" w:space="0"/>
              <w:bottom w:val="single" w:color="auto" w:sz="4" w:space="0"/>
              <w:right w:val="single" w:color="auto" w:sz="4" w:space="0"/>
              <w:tl2br w:val="nil"/>
              <w:tr2bl w:val="nil"/>
            </w:tcBorders>
            <w:noWrap w:val="0"/>
            <w:vAlign w:val="center"/>
          </w:tcPr>
          <w:p w14:paraId="628E2FD9">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后台代码、数据库迁移及调整</w:t>
            </w:r>
          </w:p>
        </w:tc>
        <w:tc>
          <w:tcPr>
            <w:tcW w:w="2020" w:type="dxa"/>
            <w:tcBorders>
              <w:top w:val="nil"/>
              <w:left w:val="nil"/>
              <w:bottom w:val="single" w:color="auto" w:sz="4" w:space="0"/>
              <w:right w:val="single" w:color="auto" w:sz="4" w:space="0"/>
              <w:tl2br w:val="nil"/>
              <w:tr2bl w:val="nil"/>
            </w:tcBorders>
            <w:noWrap w:val="0"/>
            <w:vAlign w:val="center"/>
          </w:tcPr>
          <w:p w14:paraId="0368DB34">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检测计划迁移检测相关表和记录，从psgs数据库到gwxj数据库</w:t>
            </w:r>
          </w:p>
        </w:tc>
        <w:tc>
          <w:tcPr>
            <w:tcW w:w="3946" w:type="dxa"/>
            <w:tcBorders>
              <w:top w:val="nil"/>
              <w:left w:val="nil"/>
              <w:bottom w:val="single" w:color="auto" w:sz="4" w:space="0"/>
              <w:right w:val="single" w:color="auto" w:sz="4" w:space="0"/>
              <w:tl2br w:val="nil"/>
              <w:tr2bl w:val="nil"/>
            </w:tcBorders>
            <w:noWrap w:val="0"/>
            <w:vAlign w:val="center"/>
          </w:tcPr>
          <w:p w14:paraId="5861FD62">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数据库迁移，为较理想实现功能效果避免出现速度慢及其他相关问题，需将检测计划涉及的相关表和记录进行迁移。</w:t>
            </w:r>
          </w:p>
        </w:tc>
        <w:tc>
          <w:tcPr>
            <w:tcW w:w="6827" w:type="dxa"/>
            <w:tcBorders>
              <w:top w:val="nil"/>
              <w:left w:val="nil"/>
              <w:bottom w:val="single" w:color="auto" w:sz="4" w:space="0"/>
              <w:right w:val="single" w:color="auto" w:sz="4" w:space="0"/>
              <w:tl2br w:val="nil"/>
              <w:tr2bl w:val="nil"/>
            </w:tcBorders>
            <w:noWrap w:val="0"/>
            <w:vAlign w:val="center"/>
          </w:tcPr>
          <w:p w14:paraId="7C147887">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数据库迁移，为较理想实现功能效果避免出现速度慢及其他相关问题，需将检测计划涉及的相关表和记录进行迁移。</w:t>
            </w:r>
          </w:p>
        </w:tc>
      </w:tr>
      <w:tr w14:paraId="402F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094" w:type="dxa"/>
            <w:vMerge w:val="continue"/>
            <w:tcBorders>
              <w:top w:val="nil"/>
              <w:left w:val="single" w:color="auto" w:sz="4" w:space="0"/>
              <w:bottom w:val="single" w:color="auto" w:sz="4" w:space="0"/>
              <w:right w:val="single" w:color="auto" w:sz="4" w:space="0"/>
              <w:tl2br w:val="nil"/>
              <w:tr2bl w:val="nil"/>
            </w:tcBorders>
            <w:noWrap w:val="0"/>
            <w:vAlign w:val="center"/>
          </w:tcPr>
          <w:p w14:paraId="011D055F">
            <w:pPr>
              <w:widowControl/>
              <w:adjustRightInd/>
              <w:spacing w:beforeLines="0" w:afterLines="0" w:line="360" w:lineRule="auto"/>
              <w:ind w:firstLine="440"/>
              <w:rPr>
                <w:rFonts w:hint="default" w:hAnsi="宋体" w:cs="宋体"/>
                <w:color w:val="29282A"/>
                <w:sz w:val="28"/>
                <w:szCs w:val="28"/>
                <w:lang w:val="zh-TW" w:eastAsia="zh-TW" w:bidi="zh-TW"/>
              </w:rPr>
            </w:pPr>
          </w:p>
        </w:tc>
        <w:tc>
          <w:tcPr>
            <w:tcW w:w="2020" w:type="dxa"/>
            <w:tcBorders>
              <w:top w:val="nil"/>
              <w:left w:val="nil"/>
              <w:bottom w:val="single" w:color="auto" w:sz="4" w:space="0"/>
              <w:right w:val="single" w:color="auto" w:sz="4" w:space="0"/>
              <w:tl2br w:val="nil"/>
              <w:tr2bl w:val="nil"/>
            </w:tcBorders>
            <w:noWrap w:val="0"/>
            <w:vAlign w:val="center"/>
          </w:tcPr>
          <w:p w14:paraId="74BCCF23">
            <w:pPr>
              <w:widowControl/>
              <w:adjustRightInd/>
              <w:spacing w:beforeLines="0" w:afterLines="0" w:line="360" w:lineRule="auto"/>
              <w:jc w:val="center"/>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迁移检测模块相关代码从psgs到gwxj</w:t>
            </w:r>
          </w:p>
        </w:tc>
        <w:tc>
          <w:tcPr>
            <w:tcW w:w="3946" w:type="dxa"/>
            <w:tcBorders>
              <w:top w:val="nil"/>
              <w:left w:val="nil"/>
              <w:bottom w:val="single" w:color="auto" w:sz="4" w:space="0"/>
              <w:right w:val="single" w:color="auto" w:sz="4" w:space="0"/>
              <w:tl2br w:val="nil"/>
              <w:tr2bl w:val="nil"/>
            </w:tcBorders>
            <w:noWrap w:val="0"/>
            <w:vAlign w:val="center"/>
          </w:tcPr>
          <w:p w14:paraId="75005EDB">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 xml:space="preserve">代码迁移，为较理想实现功能效果，需将检测计划中需要的班组、网格等相关代码信息进行迁移。 </w:t>
            </w:r>
          </w:p>
        </w:tc>
        <w:tc>
          <w:tcPr>
            <w:tcW w:w="6827" w:type="dxa"/>
            <w:tcBorders>
              <w:top w:val="nil"/>
              <w:left w:val="nil"/>
              <w:bottom w:val="single" w:color="auto" w:sz="4" w:space="0"/>
              <w:right w:val="single" w:color="auto" w:sz="4" w:space="0"/>
              <w:tl2br w:val="nil"/>
              <w:tr2bl w:val="nil"/>
            </w:tcBorders>
            <w:noWrap w:val="0"/>
            <w:vAlign w:val="center"/>
          </w:tcPr>
          <w:p w14:paraId="4FD35240">
            <w:pPr>
              <w:widowControl/>
              <w:adjustRightInd/>
              <w:spacing w:beforeLines="0" w:afterLines="0" w:line="360" w:lineRule="auto"/>
              <w:rPr>
                <w:rFonts w:hint="default" w:hAnsi="宋体" w:cs="宋体"/>
                <w:color w:val="29282A"/>
                <w:sz w:val="28"/>
                <w:szCs w:val="28"/>
                <w:lang w:val="zh-TW" w:eastAsia="zh-TW" w:bidi="zh-TW"/>
              </w:rPr>
            </w:pPr>
            <w:r>
              <w:rPr>
                <w:rFonts w:hint="default" w:hAnsi="宋体" w:cs="宋体"/>
                <w:color w:val="29282A"/>
                <w:sz w:val="28"/>
                <w:szCs w:val="28"/>
                <w:lang w:val="zh-TW" w:eastAsia="zh-TW" w:bidi="zh-TW"/>
              </w:rPr>
              <w:t xml:space="preserve">代码迁移，为较理想实现功能效果，需将检测计划中需要的班组、网格等相关代码信息进行迁移。 </w:t>
            </w:r>
          </w:p>
        </w:tc>
      </w:tr>
    </w:tbl>
    <w:p w14:paraId="0F8A1DA6">
      <w:pPr>
        <w:adjustRightInd/>
        <w:spacing w:beforeLines="0" w:afterLines="0" w:line="360" w:lineRule="auto"/>
        <w:ind w:firstLine="643"/>
        <w:rPr>
          <w:rFonts w:hint="default" w:hAnsi="宋体" w:cs="宋体"/>
          <w:b/>
          <w:sz w:val="28"/>
          <w:szCs w:val="28"/>
        </w:rPr>
        <w:sectPr>
          <w:pgSz w:w="16838" w:h="11906" w:orient="landscape"/>
          <w:pgMar w:top="1701" w:right="1474" w:bottom="1588" w:left="1474" w:header="851" w:footer="992" w:gutter="0"/>
          <w:lnNumType w:countBy="0" w:distance="360"/>
          <w:pgNumType w:fmt="decimal"/>
          <w:cols w:space="720" w:num="1"/>
          <w:docGrid w:type="lines" w:linePitch="435" w:charSpace="0"/>
        </w:sectPr>
      </w:pPr>
      <w:r>
        <w:rPr>
          <w:rFonts w:hint="default" w:hAnsi="宋体" w:cs="宋体"/>
          <w:b/>
          <w:color w:val="29282A"/>
          <w:sz w:val="28"/>
          <w:szCs w:val="28"/>
          <w:lang w:val="zh-TW" w:eastAsia="zh-TW" w:bidi="zh-TW"/>
        </w:rPr>
        <w:t>具体需求内容详附件</w:t>
      </w:r>
      <w:r>
        <w:rPr>
          <w:rFonts w:hint="default" w:hAnsi="宋体" w:cs="宋体"/>
          <w:b/>
          <w:color w:val="29282A"/>
          <w:sz w:val="28"/>
          <w:szCs w:val="28"/>
          <w:lang w:bidi="zh-TW"/>
        </w:rPr>
        <w:t>二</w:t>
      </w:r>
      <w:r>
        <w:rPr>
          <w:rFonts w:hint="default" w:hAnsi="宋体" w:cs="宋体"/>
          <w:b/>
          <w:color w:val="29282A"/>
          <w:sz w:val="28"/>
          <w:szCs w:val="28"/>
          <w:lang w:val="zh-TW" w:eastAsia="zh-TW" w:bidi="zh-TW"/>
        </w:rPr>
        <w:t>：用户需求书。</w:t>
      </w:r>
    </w:p>
    <w:bookmarkEnd w:id="29"/>
    <w:p w14:paraId="2ADE1369">
      <w:pPr>
        <w:pStyle w:val="16"/>
        <w:spacing w:beforeLines="0" w:afterLines="0" w:line="360" w:lineRule="auto"/>
        <w:ind w:firstLine="420"/>
        <w:jc w:val="both"/>
        <w:rPr>
          <w:rFonts w:hint="default"/>
          <w:b/>
          <w:color w:val="000000"/>
          <w:sz w:val="28"/>
          <w:szCs w:val="28"/>
        </w:rPr>
      </w:pPr>
      <w:r>
        <w:rPr>
          <w:rFonts w:hint="default"/>
          <w:b/>
          <w:color w:val="000000"/>
          <w:sz w:val="28"/>
          <w:szCs w:val="28"/>
        </w:rPr>
        <w:t>第二条</w:t>
      </w:r>
      <w:r>
        <w:rPr>
          <w:rFonts w:hint="default"/>
          <w:b/>
          <w:color w:val="000000"/>
          <w:sz w:val="28"/>
          <w:szCs w:val="28"/>
          <w:lang w:val="en-US" w:eastAsia="zh-CN"/>
        </w:rPr>
        <w:t xml:space="preserve"> </w:t>
      </w:r>
      <w:r>
        <w:rPr>
          <w:rFonts w:hint="default"/>
          <w:b/>
          <w:color w:val="000000"/>
          <w:sz w:val="28"/>
          <w:szCs w:val="28"/>
        </w:rPr>
        <w:t>验收要求</w:t>
      </w:r>
    </w:p>
    <w:p w14:paraId="10FCF8BF">
      <w:pPr>
        <w:numPr>
          <w:ilvl w:val="0"/>
          <w:numId w:val="0"/>
        </w:numPr>
        <w:tabs>
          <w:tab w:val="left" w:pos="420"/>
        </w:tabs>
        <w:snapToGrid w:val="0"/>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（一）初验</w:t>
      </w:r>
    </w:p>
    <w:p w14:paraId="4B3F7BDC">
      <w:pPr>
        <w:numPr>
          <w:ilvl w:val="0"/>
          <w:numId w:val="0"/>
        </w:numPr>
        <w:tabs>
          <w:tab w:val="left" w:pos="420"/>
        </w:tabs>
        <w:snapToGrid w:val="0"/>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项目完成开发后，甲方组织开展初步验收。甲方组织相关验收的人员（含委托的第三方）根据采购文件、合同约定的服务要求和质量，对乙方项目实施情况或成果进行验收，提出修改意见。通过验收后参与验收的人员进行签字确认，待乙方完成相关需求修改后形成初步验收报告，进入试运行期。</w:t>
      </w:r>
    </w:p>
    <w:p w14:paraId="11B777C4">
      <w:pPr>
        <w:numPr>
          <w:ilvl w:val="0"/>
          <w:numId w:val="0"/>
        </w:numPr>
        <w:tabs>
          <w:tab w:val="left" w:pos="420"/>
        </w:tabs>
        <w:snapToGrid w:val="0"/>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（二）终验</w:t>
      </w:r>
    </w:p>
    <w:p w14:paraId="03C65E84">
      <w:pPr>
        <w:numPr>
          <w:ilvl w:val="0"/>
          <w:numId w:val="0"/>
        </w:numPr>
        <w:tabs>
          <w:tab w:val="left" w:pos="420"/>
        </w:tabs>
        <w:snapToGrid w:val="0"/>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项目在试运行期间稳定运行3个月后，甲方组织开展最终验收。由甲方组织相关验收的人员开展最终验收工作，并提出试运行期间的修改意见。通过验收后参与验收的人员进行签字确认，待乙方完成相关需求修改后形成最终验收报告，进入售后服务期。</w:t>
      </w:r>
    </w:p>
    <w:bookmarkEnd w:id="28"/>
    <w:p w14:paraId="77A18AA0">
      <w:pPr>
        <w:pStyle w:val="16"/>
        <w:spacing w:beforeLines="0" w:afterLines="0" w:line="360" w:lineRule="auto"/>
        <w:ind w:firstLine="420"/>
        <w:jc w:val="both"/>
        <w:rPr>
          <w:rFonts w:hint="default"/>
          <w:b/>
          <w:color w:val="000000"/>
          <w:sz w:val="28"/>
          <w:szCs w:val="28"/>
        </w:rPr>
      </w:pPr>
      <w:r>
        <w:rPr>
          <w:rFonts w:hint="default"/>
          <w:b/>
          <w:color w:val="000000"/>
          <w:sz w:val="28"/>
          <w:szCs w:val="28"/>
        </w:rPr>
        <w:t>第</w:t>
      </w:r>
      <w:r>
        <w:rPr>
          <w:rFonts w:hint="default"/>
          <w:b/>
          <w:color w:val="000000"/>
          <w:sz w:val="28"/>
          <w:szCs w:val="28"/>
          <w:lang w:val="en-US" w:eastAsia="zh-CN"/>
        </w:rPr>
        <w:t>三</w:t>
      </w:r>
      <w:r>
        <w:rPr>
          <w:rFonts w:hint="default"/>
          <w:b/>
          <w:color w:val="000000"/>
          <w:sz w:val="28"/>
          <w:szCs w:val="28"/>
        </w:rPr>
        <w:t>条</w:t>
      </w:r>
      <w:r>
        <w:rPr>
          <w:rFonts w:hint="default"/>
          <w:b/>
          <w:color w:val="000000"/>
          <w:sz w:val="28"/>
          <w:szCs w:val="28"/>
          <w:lang w:val="en-US" w:eastAsia="zh-CN"/>
        </w:rPr>
        <w:t xml:space="preserve"> </w:t>
      </w:r>
      <w:r>
        <w:rPr>
          <w:rFonts w:hint="default"/>
          <w:b/>
          <w:color w:val="000000"/>
          <w:sz w:val="28"/>
          <w:szCs w:val="28"/>
        </w:rPr>
        <w:t>培训服务</w:t>
      </w:r>
    </w:p>
    <w:p w14:paraId="28B3BF80">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一）乙方应提供完整的用户手册（包含对内软件的使用手册和对外网上系统的帮助文档）及视频教学，同时应为甲方相关人员提供免费的培训服务。乙方应视其软件开发的相关进度及操作的难易程度制定相应的培训方案，培训至甲方人员熟练操作、配置和使用应用系统。</w:t>
      </w:r>
    </w:p>
    <w:p w14:paraId="4C573B64">
      <w:pPr>
        <w:widowControl/>
        <w:numPr>
          <w:ilvl w:val="0"/>
          <w:numId w:val="0"/>
        </w:numPr>
        <w:autoSpaceDE/>
        <w:autoSpaceDN/>
        <w:adjustRightInd/>
        <w:spacing w:beforeLines="0" w:afterLines="0" w:line="360" w:lineRule="auto"/>
        <w:ind w:firstLine="560" w:firstLineChars="200"/>
        <w:rPr>
          <w:rFonts w:hint="default" w:hAnsi="宋体" w:cs="宋体"/>
          <w:sz w:val="28"/>
          <w:szCs w:val="28"/>
          <w:lang w:bidi="ar"/>
        </w:rPr>
      </w:pPr>
      <w:r>
        <w:rPr>
          <w:rFonts w:hint="default" w:hAnsi="宋体" w:cs="宋体"/>
          <w:kern w:val="2"/>
          <w:sz w:val="28"/>
          <w:szCs w:val="28"/>
        </w:rPr>
        <w:t>（二）培训效果标准：①对业务用户的培训应达到的要求：能够熟练使用供应商所开发的软件；②对部门信息系统管理员的培训应达到的要求：可以维护日常应用方面出现的问题。</w:t>
      </w:r>
    </w:p>
    <w:p w14:paraId="080ECC62">
      <w:pPr>
        <w:pStyle w:val="16"/>
        <w:spacing w:beforeLines="0" w:afterLines="0" w:line="360" w:lineRule="auto"/>
        <w:ind w:firstLine="420"/>
        <w:jc w:val="both"/>
        <w:rPr>
          <w:rFonts w:hint="default"/>
          <w:b/>
          <w:color w:val="000000"/>
          <w:sz w:val="28"/>
          <w:szCs w:val="28"/>
        </w:rPr>
      </w:pPr>
      <w:bookmarkStart w:id="30" w:name="_Toc18464"/>
      <w:bookmarkStart w:id="31" w:name="_Toc16239"/>
      <w:bookmarkStart w:id="32" w:name="_Toc1693"/>
      <w:bookmarkStart w:id="33" w:name="_Toc15930"/>
      <w:bookmarkStart w:id="34" w:name="_Toc24420"/>
      <w:r>
        <w:rPr>
          <w:rFonts w:hint="default"/>
          <w:b/>
          <w:color w:val="000000"/>
          <w:sz w:val="28"/>
          <w:szCs w:val="28"/>
        </w:rPr>
        <w:t>第</w:t>
      </w:r>
      <w:r>
        <w:rPr>
          <w:rFonts w:hint="default"/>
          <w:b/>
          <w:color w:val="000000"/>
          <w:sz w:val="28"/>
          <w:szCs w:val="28"/>
          <w:lang w:val="en-US" w:eastAsia="zh-CN"/>
        </w:rPr>
        <w:t>四</w:t>
      </w:r>
      <w:r>
        <w:rPr>
          <w:rFonts w:hint="default"/>
          <w:b/>
          <w:color w:val="000000"/>
          <w:sz w:val="28"/>
          <w:szCs w:val="28"/>
        </w:rPr>
        <w:t>条</w:t>
      </w:r>
      <w:r>
        <w:rPr>
          <w:rFonts w:hint="default"/>
          <w:b/>
          <w:color w:val="000000"/>
          <w:sz w:val="28"/>
          <w:szCs w:val="28"/>
          <w:lang w:val="en-US" w:eastAsia="zh-CN"/>
        </w:rPr>
        <w:t xml:space="preserve"> 售后</w:t>
      </w:r>
      <w:r>
        <w:rPr>
          <w:rFonts w:hint="default"/>
          <w:b/>
          <w:color w:val="000000"/>
          <w:sz w:val="28"/>
          <w:szCs w:val="28"/>
        </w:rPr>
        <w:t>服务</w:t>
      </w:r>
    </w:p>
    <w:p w14:paraId="0A895CF3">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（一）售后服务内容</w:t>
      </w:r>
    </w:p>
    <w:p w14:paraId="1681E86C">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自最终验收合格之日起，乙方需为本项目的软件系统提供为期6个月的售后服务，售后服务将采用评分机制，各季度售后服务评分将与最后一笔售后服务款挂钩。</w:t>
      </w:r>
    </w:p>
    <w:p w14:paraId="5E352C5D">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售后服务包括但不限于与本合同需求内容相关的以下内容：</w:t>
      </w:r>
    </w:p>
    <w:p w14:paraId="0788C197">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（1）系统BUG修复，系统优化（含Web端及App端，下同）；</w:t>
      </w:r>
    </w:p>
    <w:p w14:paraId="4DD43A0F">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（2）系统台账、表单、报表等功能优化完善；</w:t>
      </w:r>
    </w:p>
    <w:p w14:paraId="6D8162FD">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（3）系统使用培训及日常运维技术支持培训；</w:t>
      </w:r>
    </w:p>
    <w:p w14:paraId="22A17805">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（4）外部系统及数据对接；</w:t>
      </w:r>
    </w:p>
    <w:p w14:paraId="3F83DE01">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（5）系统售后服务期结束后再次提供项目最终版本源代码；</w:t>
      </w:r>
    </w:p>
    <w:p w14:paraId="2763329D">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（6）售后服务期结束后系统若再次委托运维，每年运维服务费用应不超合同总金额的10%。</w:t>
      </w:r>
    </w:p>
    <w:p w14:paraId="08FBD484">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（二）服务响应要求：乙方须向甲方提供7×24小时电话支持、远程服务，并按要求确保在2小时内响应，8小时内到达现场。</w:t>
      </w:r>
    </w:p>
    <w:p w14:paraId="5069FB15">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（三）售后服务评分及费用</w:t>
      </w:r>
    </w:p>
    <w:p w14:paraId="0F8966BE">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 xml:space="preserve">自最终验收合格之日起，乙方需为本项目的软件系统提供为期六个月的售后服务，售后服务将采用评分机制，各季度度售后服务评分将与最后一笔售后服务款挂钩，售后服务期结束后，统一支付各季度售后服务款。评分结果甲方及时告知乙方，如乙方收到评分结果后有异议的，应在3日内书面向甲方提出申诉并提供佐证资料。    </w:t>
      </w:r>
    </w:p>
    <w:p w14:paraId="0A457B07">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具体如下：</w:t>
      </w:r>
    </w:p>
    <w:p w14:paraId="07E2C2E6">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（1）当季度评分90分以上，获得该季度全额售后服务款；</w:t>
      </w:r>
    </w:p>
    <w:p w14:paraId="6838FBAC">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（2）当季度评分80到90分之间（包括80分），该季度费用最终按照80%支付；</w:t>
      </w:r>
    </w:p>
    <w:p w14:paraId="0B91A3DD">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（3）当季度评分70到80分之间（包括70分），该季度费用最终按照70%支付；</w:t>
      </w:r>
    </w:p>
    <w:p w14:paraId="6AE691A0">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（4）当季度评分60到70分之间（包括60分），该季度费用最终按照60%支付；</w:t>
      </w:r>
    </w:p>
    <w:p w14:paraId="40E8E9C7">
      <w:pPr>
        <w:spacing w:beforeLines="0" w:afterLines="0" w:line="360" w:lineRule="auto"/>
        <w:ind w:firstLine="560" w:firstLineChars="200"/>
        <w:rPr>
          <w:rFonts w:hint="default" w:hAnsi="宋体" w:cs="宋体"/>
          <w:b/>
          <w:sz w:val="28"/>
          <w:szCs w:val="28"/>
        </w:rPr>
      </w:pPr>
      <w:r>
        <w:rPr>
          <w:rFonts w:hint="default" w:hAnsi="宋体" w:cs="宋体"/>
          <w:kern w:val="2"/>
          <w:sz w:val="28"/>
          <w:szCs w:val="28"/>
        </w:rPr>
        <w:t>（5）当季度评分60分以下，该季度全额售后服务款按50%支付；连续2个季度60分以下，第二个季度售后服务款不支付。</w:t>
      </w:r>
    </w:p>
    <w:bookmarkEnd w:id="30"/>
    <w:bookmarkEnd w:id="31"/>
    <w:bookmarkEnd w:id="32"/>
    <w:bookmarkEnd w:id="33"/>
    <w:bookmarkEnd w:id="34"/>
    <w:p w14:paraId="5CD2D0CF">
      <w:pPr>
        <w:pStyle w:val="17"/>
        <w:spacing w:beforeLines="0" w:afterLines="0" w:line="360" w:lineRule="auto"/>
        <w:ind w:firstLine="480"/>
        <w:rPr>
          <w:rFonts w:hint="default" w:hAnsi="宋体" w:cs="宋体"/>
          <w:b/>
          <w:color w:val="000000"/>
          <w:sz w:val="28"/>
          <w:szCs w:val="28"/>
        </w:rPr>
      </w:pPr>
      <w:r>
        <w:rPr>
          <w:rFonts w:hint="default" w:hAnsi="宋体" w:cs="宋体"/>
          <w:b/>
          <w:color w:val="000000"/>
          <w:sz w:val="28"/>
          <w:szCs w:val="28"/>
        </w:rPr>
        <w:t>第五条 项目费用及支付进度</w:t>
      </w:r>
    </w:p>
    <w:p w14:paraId="36742B9C">
      <w:pPr>
        <w:pStyle w:val="17"/>
        <w:spacing w:beforeLines="0" w:afterLines="0" w:line="360" w:lineRule="auto"/>
        <w:ind w:firstLine="480"/>
        <w:rPr>
          <w:rFonts w:hint="default" w:hAnsi="宋体" w:cs="宋体"/>
          <w:kern w:val="2"/>
          <w:sz w:val="28"/>
          <w:szCs w:val="28"/>
        </w:rPr>
      </w:pPr>
      <w:r>
        <w:rPr>
          <w:rFonts w:hint="default" w:hAnsi="宋体" w:cs="宋体"/>
          <w:kern w:val="2"/>
          <w:sz w:val="28"/>
          <w:szCs w:val="28"/>
        </w:rPr>
        <w:t>1、本合同价（即销售额，不含乙方销项税额）为¥</w:t>
      </w:r>
      <w:r>
        <w:rPr>
          <w:rFonts w:hint="default" w:hAnsi="宋体" w:cs="宋体"/>
          <w:kern w:val="2"/>
          <w:sz w:val="28"/>
          <w:szCs w:val="28"/>
          <w:u w:val="single"/>
        </w:rPr>
        <w:t xml:space="preserve">         </w:t>
      </w:r>
      <w:r>
        <w:rPr>
          <w:rFonts w:hint="default" w:hAnsi="宋体" w:cs="宋体"/>
          <w:kern w:val="2"/>
          <w:sz w:val="28"/>
          <w:szCs w:val="28"/>
        </w:rPr>
        <w:t>元（大写人民币</w:t>
      </w:r>
      <w:r>
        <w:rPr>
          <w:rFonts w:hint="default" w:hAnsi="宋体" w:cs="宋体"/>
          <w:kern w:val="2"/>
          <w:sz w:val="28"/>
          <w:szCs w:val="28"/>
          <w:u w:val="single"/>
        </w:rPr>
        <w:t xml:space="preserve">           </w:t>
      </w:r>
      <w:r>
        <w:rPr>
          <w:rFonts w:hint="default" w:hAnsi="宋体" w:cs="宋体"/>
          <w:kern w:val="2"/>
          <w:sz w:val="28"/>
          <w:szCs w:val="28"/>
        </w:rPr>
        <w:t>）。以上合同价（即销售额，不含乙方销项税额）包括但不限于合理利润、开发费、安装调试费、系统集成费、第三方商业软件费、培训费、电子设备费、人工费、管理费、现场服务费、资料费、交通费、通讯费、加班费以及乙方销项税额以外的税费等服务范围内所有应预见和不可预见费用及完成本合同项下义务所产生的所有费用的全部费用。乙方须了解项目情况、各类费用以及风险情况，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14:paraId="5ED789BF">
      <w:pPr>
        <w:pStyle w:val="17"/>
        <w:spacing w:beforeLines="0" w:afterLines="0" w:line="360" w:lineRule="auto"/>
        <w:ind w:firstLine="480"/>
        <w:rPr>
          <w:rFonts w:hint="default" w:hAnsi="宋体" w:cs="宋体"/>
          <w:kern w:val="2"/>
          <w:sz w:val="28"/>
          <w:szCs w:val="28"/>
        </w:rPr>
      </w:pPr>
      <w:r>
        <w:rPr>
          <w:rFonts w:hint="default" w:hAnsi="宋体" w:cs="宋体"/>
          <w:kern w:val="2"/>
          <w:sz w:val="28"/>
          <w:szCs w:val="28"/>
        </w:rPr>
        <w:t>2、依法计得并根据本合同约定确定的销项税额由甲方承担。根据《中华人民共和国增值税暂行条例》（国务院令第691号修订版）及当前税务部门的相关规定，本合同项目的增值税税率为</w:t>
      </w:r>
      <w:r>
        <w:rPr>
          <w:rFonts w:hint="default" w:hAnsi="宋体" w:cs="宋体"/>
          <w:kern w:val="2"/>
          <w:sz w:val="28"/>
          <w:szCs w:val="28"/>
          <w:u w:val="single"/>
        </w:rPr>
        <w:t xml:space="preserve">     </w:t>
      </w:r>
      <w:r>
        <w:rPr>
          <w:rFonts w:hint="default" w:hAnsi="宋体" w:cs="宋体"/>
          <w:kern w:val="2"/>
          <w:sz w:val="28"/>
          <w:szCs w:val="28"/>
        </w:rPr>
        <w:t>% ，对应的销项税额为¥</w:t>
      </w:r>
      <w:r>
        <w:rPr>
          <w:rFonts w:hint="default" w:hAnsi="宋体" w:cs="宋体"/>
          <w:kern w:val="2"/>
          <w:sz w:val="28"/>
          <w:szCs w:val="28"/>
          <w:u w:val="single"/>
        </w:rPr>
        <w:t xml:space="preserve">       </w:t>
      </w:r>
      <w:r>
        <w:rPr>
          <w:rFonts w:hint="default" w:hAnsi="宋体" w:cs="宋体"/>
          <w:kern w:val="2"/>
          <w:sz w:val="28"/>
          <w:szCs w:val="28"/>
        </w:rPr>
        <w:t>元（大写人民币</w:t>
      </w:r>
      <w:r>
        <w:rPr>
          <w:rFonts w:hint="default" w:hAnsi="宋体" w:cs="宋体"/>
          <w:kern w:val="2"/>
          <w:sz w:val="28"/>
          <w:szCs w:val="28"/>
          <w:u w:val="single"/>
        </w:rPr>
        <w:t xml:space="preserve">             </w:t>
      </w:r>
      <w:r>
        <w:rPr>
          <w:rFonts w:hint="default" w:hAnsi="宋体" w:cs="宋体"/>
          <w:kern w:val="2"/>
          <w:sz w:val="28"/>
          <w:szCs w:val="28"/>
        </w:rPr>
        <w:t>）。在本合同履行过程中，税收政策变动导致增值税税率调整，依法应调整销项税额的，依法调整；但因乙方未按合同约定提供服务，未根据合同约定提供合法、完整的请款资料，服务验收不合格导致的返工，项目验收合格前的非正常损耗等原因导致销项税额增加的，相应损失由乙方承担。</w:t>
      </w:r>
    </w:p>
    <w:p w14:paraId="02728C3B">
      <w:pPr>
        <w:pStyle w:val="17"/>
        <w:spacing w:beforeLines="0" w:afterLines="0" w:line="360" w:lineRule="auto"/>
        <w:ind w:firstLine="480"/>
        <w:rPr>
          <w:rFonts w:hint="default" w:hAnsi="宋体" w:cs="宋体"/>
          <w:kern w:val="2"/>
          <w:sz w:val="28"/>
          <w:szCs w:val="28"/>
        </w:rPr>
      </w:pPr>
      <w:r>
        <w:rPr>
          <w:rFonts w:hint="default" w:hAnsi="宋体" w:cs="宋体"/>
          <w:kern w:val="2"/>
          <w:sz w:val="28"/>
          <w:szCs w:val="28"/>
        </w:rPr>
        <w:t>因乙方未按法定税率计算税额或未根据本合同约定出具对应税额的增值税专用发票等原因导致甲方多支付税额的，乙方必须退还甲方，给甲方造成损失的，乙方须向甲方赔偿相应损失。</w:t>
      </w:r>
    </w:p>
    <w:p w14:paraId="7FDBC6E6">
      <w:pPr>
        <w:pStyle w:val="17"/>
        <w:spacing w:beforeLines="0" w:afterLines="0" w:line="360" w:lineRule="auto"/>
        <w:ind w:firstLine="480"/>
        <w:rPr>
          <w:rFonts w:hint="default" w:hAnsi="宋体" w:cs="宋体"/>
          <w:kern w:val="2"/>
          <w:sz w:val="28"/>
          <w:szCs w:val="28"/>
        </w:rPr>
      </w:pPr>
      <w:r>
        <w:rPr>
          <w:rFonts w:hint="default" w:hAnsi="宋体" w:cs="宋体"/>
          <w:kern w:val="2"/>
          <w:sz w:val="28"/>
          <w:szCs w:val="28"/>
        </w:rPr>
        <w:t>3、合同价税合计为¥</w:t>
      </w:r>
      <w:r>
        <w:rPr>
          <w:rFonts w:hint="default" w:hAnsi="宋体" w:cs="宋体"/>
          <w:kern w:val="2"/>
          <w:sz w:val="28"/>
          <w:szCs w:val="28"/>
          <w:u w:val="single"/>
        </w:rPr>
        <w:t xml:space="preserve">          </w:t>
      </w:r>
      <w:r>
        <w:rPr>
          <w:rFonts w:hint="default" w:hAnsi="宋体" w:cs="宋体"/>
          <w:kern w:val="2"/>
          <w:sz w:val="28"/>
          <w:szCs w:val="28"/>
        </w:rPr>
        <w:t>元（大写人民币</w:t>
      </w:r>
      <w:r>
        <w:rPr>
          <w:rFonts w:hint="default" w:hAnsi="宋体" w:cs="宋体"/>
          <w:kern w:val="2"/>
          <w:sz w:val="28"/>
          <w:szCs w:val="28"/>
          <w:u w:val="single"/>
        </w:rPr>
        <w:t xml:space="preserve">             </w:t>
      </w:r>
      <w:r>
        <w:rPr>
          <w:rFonts w:hint="default" w:hAnsi="宋体" w:cs="宋体"/>
          <w:kern w:val="2"/>
          <w:sz w:val="28"/>
          <w:szCs w:val="28"/>
        </w:rPr>
        <w:t>），合同履行期间根据本条第2项规定调整销项税额的，结算合同总价款（含税）对应调整。</w:t>
      </w:r>
    </w:p>
    <w:p w14:paraId="1E358097">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4、支付进度：</w:t>
      </w:r>
    </w:p>
    <w:p w14:paraId="363D0219">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（1）签订合同后，乙方提交支付申请经审批确认后30个工作日内，甲方向乙方支付合同价的20%；</w:t>
      </w:r>
    </w:p>
    <w:p w14:paraId="3DD7B555">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（2）软件模块上线后15个工作日并通过项目初验合格后，乙方提交支付申请经审批确认后30个工作日内，甲方向乙方支付合同价的40%作为项目进度款；</w:t>
      </w:r>
    </w:p>
    <w:p w14:paraId="3F8B1456">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（3）项目试运行期3个月结束后并经最终验收合格后，乙方提交支付申请经审批确认后30个工作日内，甲方向乙方支付至最终结算价的90%作为项目验收款；</w:t>
      </w:r>
    </w:p>
    <w:p w14:paraId="320468B3">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4）完成项目并通过甲方终验并通过6个月运维期后的30工作日内，乙方提交售后服务款（各季度售后服务款之和）支付申请，经甲方确认后按售后服务评分规则支付乙方剩余合同款（即售后服务款，最高为合同款10%）。</w:t>
      </w:r>
    </w:p>
    <w:p w14:paraId="17C00D55">
      <w:pPr>
        <w:spacing w:beforeLines="0" w:afterLines="0" w:line="360" w:lineRule="auto"/>
        <w:ind w:firstLine="562" w:firstLineChars="200"/>
        <w:rPr>
          <w:rFonts w:hint="default" w:hAnsi="宋体" w:cs="宋体"/>
          <w:b/>
          <w:kern w:val="2"/>
          <w:sz w:val="28"/>
          <w:szCs w:val="28"/>
        </w:rPr>
      </w:pPr>
      <w:r>
        <w:rPr>
          <w:rFonts w:hint="default" w:hAnsi="宋体" w:cs="宋体"/>
          <w:b/>
          <w:kern w:val="2"/>
          <w:sz w:val="28"/>
          <w:szCs w:val="28"/>
        </w:rPr>
        <w:t>若因乙方或客观因素导致乙方未能完全按用户需求建设且甲方和乙方无法商榷出合理的解决方案，经甲方同意，乙方在承担其违约责任的基础上（客观因素导致不能完全按用户需求建设除外），甲方可按实际验收合格的系统建设模块（或功能）报价所占总报价的比例予以按实结算及支付，最终支付实际金额为实际验收通过的功能点报价费用，已支付金额超出最终需支付金额的，在结算完成后，由乙方在7个工作日内退回至甲方账户。</w:t>
      </w:r>
    </w:p>
    <w:p w14:paraId="04AB2105">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5、乙方指定收款银行账户信息如下：</w:t>
      </w:r>
    </w:p>
    <w:p w14:paraId="1C765403">
      <w:pPr>
        <w:adjustRightInd/>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 xml:space="preserve">公司名称：                                     </w:t>
      </w:r>
    </w:p>
    <w:p w14:paraId="2003D69B">
      <w:pPr>
        <w:adjustRightInd/>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 xml:space="preserve">开户银行：                                     </w:t>
      </w:r>
    </w:p>
    <w:p w14:paraId="56E10B5C">
      <w:pPr>
        <w:adjustRightInd/>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 xml:space="preserve">账    号：                                        </w:t>
      </w:r>
    </w:p>
    <w:p w14:paraId="404E2DA5">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 xml:space="preserve">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w:t>
      </w:r>
      <w:r>
        <w:rPr>
          <w:rFonts w:hint="default" w:hAnsi="宋体" w:cs="宋体"/>
          <w:kern w:val="2"/>
          <w:sz w:val="28"/>
          <w:szCs w:val="28"/>
          <w:u w:val="single"/>
        </w:rPr>
        <w:t xml:space="preserve">  </w:t>
      </w:r>
      <w:r>
        <w:rPr>
          <w:rFonts w:hint="default" w:hAnsi="宋体" w:cs="宋体"/>
          <w:kern w:val="2"/>
          <w:sz w:val="28"/>
          <w:szCs w:val="28"/>
        </w:rPr>
        <w:t>%）”，对于多出的税款金额，乙方自愿放弃。</w:t>
      </w:r>
    </w:p>
    <w:p w14:paraId="0955AC98">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6、每次付款前乙方应向甲方提交请款申请及请款所需的材料和等额合格增值税专用发票（服务款由甲方内部各方按照其内部约定的服务款比例承担，乙方对此知悉并明确表示同意且无任何异议。乙方需按甲方内部各方约定的服务款承担比例向甲方各方分别开具相应金额的增值税专用发票），乙方逾期提交请款资料或提交的资料不完整、不符合甲方要求的，甲方有权顺延支付相关款项，并不承担逾期付款的违约责任，乙方不得以此为由而不履行本合同约定的义务。由于乙方提供的发票不符合税法规定，给甲方造成的损失由乙方承担赔偿责任。</w:t>
      </w:r>
    </w:p>
    <w:p w14:paraId="1F62E177">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7、乙方的收款账户信息有变更的，乙方应在变更之日起3天内以书面形式告知甲方，若乙方已经开具了发票，应按变更后的收款账户信息重新开具发票。乙方因重新开具发票所产生的费用由乙方自行承担，乙方不得以此为由向甲方追偿。</w:t>
      </w:r>
    </w:p>
    <w:p w14:paraId="03A3B5CE">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8、合同在履约过程中，乙方根据本合同约定需向甲方支付违约金、赔偿金、或其他应付费用等款项的，甲方有权要求乙方向甲方支付完前述款项后，甲方才根据本合同向乙方支付合同价和税额，由此造成逾期付款的，甲方不构成违约；或者，甲方有权直接从未付合同款项中扣除前述款项，且乙方必须按照扣除前述款项前的合同价（销售额）开具增值税专用发票，保证增值税税额符合法律规定。</w:t>
      </w:r>
    </w:p>
    <w:p w14:paraId="6409919A">
      <w:pPr>
        <w:spacing w:beforeLines="0" w:afterLines="0" w:line="360" w:lineRule="auto"/>
        <w:ind w:firstLine="560" w:firstLineChars="200"/>
        <w:rPr>
          <w:rFonts w:hint="default" w:hAnsi="宋体" w:cs="宋体"/>
          <w:kern w:val="2"/>
          <w:sz w:val="28"/>
          <w:szCs w:val="28"/>
        </w:rPr>
      </w:pPr>
      <w:r>
        <w:rPr>
          <w:rFonts w:hint="default" w:hAnsi="宋体" w:cs="宋体"/>
          <w:kern w:val="2"/>
          <w:sz w:val="28"/>
          <w:szCs w:val="28"/>
        </w:rPr>
        <w:t>9、乙方根据本合同约定向甲方支付违约金、赔偿金、或其他应付费用等款项，由乙方支付给对应合同主体（如果本合同存在多个甲方，则对应支付给相应甲方）。</w:t>
      </w:r>
    </w:p>
    <w:p w14:paraId="17100115">
      <w:pPr>
        <w:tabs>
          <w:tab w:val="left" w:pos="425"/>
        </w:tabs>
        <w:autoSpaceDE/>
        <w:autoSpaceDN/>
        <w:snapToGrid w:val="0"/>
        <w:spacing w:beforeLines="0" w:afterLines="0" w:line="360" w:lineRule="auto"/>
        <w:ind w:firstLine="562" w:firstLineChars="200"/>
        <w:outlineLvl w:val="0"/>
        <w:rPr>
          <w:rFonts w:hint="default" w:hAnsi="宋体" w:cs="宋体"/>
          <w:b/>
          <w:color w:val="000000"/>
          <w:kern w:val="44"/>
          <w:sz w:val="28"/>
          <w:szCs w:val="28"/>
        </w:rPr>
      </w:pPr>
      <w:bookmarkStart w:id="35" w:name="_Toc22893_WPSOffice_Level1"/>
      <w:bookmarkStart w:id="36" w:name="_Toc5897_WPSOffice_Level1"/>
      <w:bookmarkStart w:id="37" w:name="_Toc22503"/>
      <w:bookmarkStart w:id="38" w:name="_Toc6052"/>
      <w:bookmarkStart w:id="39" w:name="_Toc4625"/>
      <w:r>
        <w:rPr>
          <w:rFonts w:hint="default" w:hAnsi="宋体" w:cs="宋体"/>
          <w:b/>
          <w:color w:val="000000"/>
          <w:kern w:val="44"/>
          <w:sz w:val="28"/>
          <w:szCs w:val="28"/>
        </w:rPr>
        <w:t>第六条 甲方的权利和义</w:t>
      </w:r>
      <w:bookmarkEnd w:id="35"/>
      <w:bookmarkEnd w:id="36"/>
      <w:r>
        <w:rPr>
          <w:rFonts w:hint="default" w:hAnsi="宋体" w:cs="宋体"/>
          <w:b/>
          <w:color w:val="000000"/>
          <w:kern w:val="44"/>
          <w:sz w:val="28"/>
          <w:szCs w:val="28"/>
        </w:rPr>
        <w:t>务</w:t>
      </w:r>
      <w:bookmarkEnd w:id="37"/>
      <w:bookmarkEnd w:id="38"/>
      <w:bookmarkEnd w:id="39"/>
    </w:p>
    <w:p w14:paraId="54FF1FB8">
      <w:pPr>
        <w:spacing w:beforeLines="0" w:afterLines="0" w:line="360" w:lineRule="auto"/>
        <w:ind w:firstLine="560" w:firstLineChars="200"/>
        <w:rPr>
          <w:rFonts w:hint="default" w:hAnsi="宋体" w:cs="宋体"/>
          <w:color w:val="000000"/>
          <w:sz w:val="28"/>
          <w:szCs w:val="28"/>
        </w:rPr>
      </w:pPr>
      <w:r>
        <w:rPr>
          <w:rFonts w:hint="default" w:hAnsi="宋体" w:cs="宋体"/>
          <w:color w:val="000000"/>
          <w:sz w:val="28"/>
          <w:szCs w:val="28"/>
          <w:lang w:bidi="ar"/>
        </w:rPr>
        <w:t>1、甲方应按本合同的约定向乙方支付合同价款。</w:t>
      </w:r>
    </w:p>
    <w:p w14:paraId="0133E8C1">
      <w:pPr>
        <w:spacing w:beforeLines="0" w:afterLines="0" w:line="360" w:lineRule="auto"/>
        <w:ind w:firstLine="560" w:firstLineChars="200"/>
        <w:rPr>
          <w:rFonts w:hint="default" w:hAnsi="宋体" w:cs="宋体"/>
          <w:color w:val="000000"/>
          <w:sz w:val="28"/>
          <w:szCs w:val="28"/>
        </w:rPr>
      </w:pPr>
      <w:r>
        <w:rPr>
          <w:rFonts w:hint="default" w:hAnsi="宋体" w:cs="宋体"/>
          <w:color w:val="000000"/>
          <w:sz w:val="28"/>
          <w:szCs w:val="28"/>
        </w:rPr>
        <w:t>2、甲方在合同签订后及时向乙方提供与项目有关的基础资料，并保证资料的真实性；向乙方提供工作方便及必要的工作条件，以便乙方顺利开展相关工作。</w:t>
      </w:r>
    </w:p>
    <w:p w14:paraId="00DA0DF8">
      <w:pPr>
        <w:spacing w:beforeLines="0" w:afterLines="0" w:line="360" w:lineRule="auto"/>
        <w:ind w:firstLine="560" w:firstLineChars="200"/>
        <w:rPr>
          <w:rFonts w:hint="default" w:hAnsi="宋体" w:cs="宋体"/>
          <w:color w:val="000000"/>
          <w:sz w:val="28"/>
          <w:szCs w:val="28"/>
        </w:rPr>
      </w:pPr>
      <w:r>
        <w:rPr>
          <w:rFonts w:hint="default" w:hAnsi="宋体" w:cs="宋体"/>
          <w:color w:val="000000"/>
          <w:sz w:val="28"/>
          <w:szCs w:val="28"/>
        </w:rPr>
        <w:t>3、甲方有权对乙方进行监督和检查，并要求其提供相关信息和资料。对乙方违反本合同约定的行为有权要求改正。</w:t>
      </w:r>
    </w:p>
    <w:p w14:paraId="18A6B597">
      <w:pPr>
        <w:spacing w:beforeLines="0" w:afterLines="0" w:line="360" w:lineRule="auto"/>
        <w:ind w:firstLine="560" w:firstLineChars="200"/>
        <w:rPr>
          <w:rFonts w:hint="default" w:hAnsi="宋体" w:cs="宋体"/>
          <w:color w:val="000000"/>
          <w:sz w:val="28"/>
          <w:szCs w:val="28"/>
        </w:rPr>
      </w:pPr>
      <w:r>
        <w:rPr>
          <w:rFonts w:hint="default" w:hAnsi="宋体" w:cs="宋体"/>
          <w:color w:val="000000"/>
          <w:sz w:val="28"/>
          <w:szCs w:val="28"/>
        </w:rPr>
        <w:t>4、甲方有权对乙方服务人员、设备投入等进行监督、检查。如发现不符合用户需求书、本合同约定的，有权要求补充、更换及追究乙方其他违约责任。</w:t>
      </w:r>
    </w:p>
    <w:p w14:paraId="22493DC3">
      <w:pPr>
        <w:spacing w:beforeLines="0" w:afterLines="0" w:line="360" w:lineRule="auto"/>
        <w:ind w:firstLine="560" w:firstLineChars="200"/>
        <w:rPr>
          <w:rFonts w:hint="default" w:hAnsi="宋体" w:cs="宋体"/>
          <w:color w:val="000000"/>
          <w:sz w:val="28"/>
          <w:szCs w:val="28"/>
        </w:rPr>
      </w:pPr>
      <w:r>
        <w:rPr>
          <w:rFonts w:hint="default" w:hAnsi="宋体" w:cs="宋体"/>
          <w:color w:val="000000"/>
          <w:sz w:val="28"/>
          <w:szCs w:val="28"/>
        </w:rPr>
        <w:t>5、对发现乙方违反本合同、用户需求书的有关规定或承诺，甲方有权追究乙方的违约责任，且甲方有权单方解除合同。</w:t>
      </w:r>
    </w:p>
    <w:p w14:paraId="58F249DE">
      <w:pPr>
        <w:pStyle w:val="5"/>
        <w:spacing w:beforeLines="0" w:afterLines="0" w:line="360" w:lineRule="auto"/>
        <w:ind w:firstLine="560" w:firstLineChars="200"/>
        <w:rPr>
          <w:rFonts w:hint="default" w:hAnsi="宋体" w:cs="宋体"/>
          <w:color w:val="000000"/>
          <w:sz w:val="28"/>
          <w:szCs w:val="28"/>
        </w:rPr>
      </w:pPr>
      <w:r>
        <w:rPr>
          <w:rFonts w:hint="default" w:hAnsi="宋体" w:cs="宋体"/>
          <w:color w:val="000000"/>
          <w:sz w:val="28"/>
          <w:szCs w:val="28"/>
        </w:rPr>
        <w:t>6、在合同履行期间，甲方有权要求终止或单方解除合同，乙方未开始工作的，双方互不追究对方责；已开始工作的，</w:t>
      </w:r>
      <w:r>
        <w:rPr>
          <w:rFonts w:hint="default" w:hAnsi="宋体" w:cs="宋体"/>
          <w:color w:val="000000"/>
          <w:kern w:val="2"/>
          <w:sz w:val="28"/>
          <w:szCs w:val="28"/>
        </w:rPr>
        <w:t>甲方根据乙方已进行的实际工作且经甲方书面认可的工作内容</w:t>
      </w:r>
      <w:r>
        <w:rPr>
          <w:rFonts w:hint="default" w:hAnsi="宋体" w:cs="宋体"/>
          <w:color w:val="000000"/>
          <w:sz w:val="28"/>
          <w:szCs w:val="28"/>
        </w:rPr>
        <w:t>据实结算相关费</w:t>
      </w:r>
      <w:bookmarkStart w:id="40" w:name="_Toc27157"/>
      <w:bookmarkStart w:id="41" w:name="_Toc17055"/>
      <w:bookmarkStart w:id="42" w:name="_Toc14299"/>
      <w:bookmarkStart w:id="43" w:name="_Toc848_WPSOffice_Level1"/>
      <w:bookmarkStart w:id="44" w:name="_Toc19401_WPSOffice_Level1"/>
      <w:r>
        <w:rPr>
          <w:rFonts w:hint="default" w:hAnsi="宋体" w:cs="宋体"/>
          <w:color w:val="000000"/>
          <w:sz w:val="28"/>
          <w:szCs w:val="28"/>
        </w:rPr>
        <w:t>用。</w:t>
      </w:r>
    </w:p>
    <w:p w14:paraId="6C275EB5">
      <w:pPr>
        <w:pStyle w:val="5"/>
        <w:spacing w:beforeLines="0" w:afterLines="0" w:line="360" w:lineRule="auto"/>
        <w:ind w:firstLine="562" w:firstLineChars="200"/>
        <w:rPr>
          <w:rFonts w:hint="default" w:hAnsi="宋体" w:cs="宋体"/>
          <w:b/>
          <w:color w:val="000000"/>
          <w:kern w:val="44"/>
          <w:sz w:val="28"/>
          <w:szCs w:val="28"/>
        </w:rPr>
      </w:pPr>
      <w:r>
        <w:rPr>
          <w:rFonts w:hint="default" w:hAnsi="宋体" w:cs="宋体"/>
          <w:b/>
          <w:color w:val="000000"/>
          <w:kern w:val="44"/>
          <w:sz w:val="28"/>
          <w:szCs w:val="28"/>
        </w:rPr>
        <w:t>第七条 乙方的权利和义务</w:t>
      </w:r>
      <w:bookmarkEnd w:id="40"/>
      <w:bookmarkEnd w:id="41"/>
      <w:bookmarkEnd w:id="42"/>
      <w:bookmarkEnd w:id="43"/>
      <w:bookmarkEnd w:id="44"/>
    </w:p>
    <w:p w14:paraId="4D7C4604">
      <w:pPr>
        <w:spacing w:beforeLines="0" w:afterLines="0" w:line="360" w:lineRule="auto"/>
        <w:ind w:firstLine="560" w:firstLineChars="200"/>
        <w:rPr>
          <w:rFonts w:hint="default" w:hAnsi="宋体" w:cs="宋体"/>
          <w:color w:val="000000"/>
          <w:sz w:val="28"/>
          <w:szCs w:val="28"/>
          <w:lang w:bidi="ar"/>
        </w:rPr>
      </w:pPr>
      <w:r>
        <w:rPr>
          <w:rFonts w:hint="default" w:hAnsi="宋体" w:cs="宋体"/>
          <w:color w:val="000000"/>
          <w:sz w:val="28"/>
          <w:szCs w:val="28"/>
          <w:lang w:bidi="ar"/>
        </w:rPr>
        <w:t xml:space="preserve">1、乙方有权依据本合同约定获取相应的合同价款。  </w:t>
      </w:r>
    </w:p>
    <w:p w14:paraId="4E75A9B6">
      <w:pPr>
        <w:spacing w:beforeLines="0" w:afterLines="0" w:line="360" w:lineRule="auto"/>
        <w:ind w:firstLine="560" w:firstLineChars="200"/>
        <w:rPr>
          <w:rFonts w:hint="default" w:hAnsi="宋体" w:cs="宋体"/>
          <w:color w:val="000000"/>
          <w:sz w:val="28"/>
          <w:szCs w:val="28"/>
          <w:lang w:bidi="ar"/>
        </w:rPr>
      </w:pPr>
      <w:r>
        <w:rPr>
          <w:rFonts w:hint="default" w:hAnsi="宋体" w:cs="宋体"/>
          <w:color w:val="000000"/>
          <w:sz w:val="28"/>
          <w:szCs w:val="28"/>
          <w:lang w:bidi="ar"/>
        </w:rPr>
        <w:t xml:space="preserve">2、乙方应按照本合同约定完成本项目所要求的工作内容，工作成果应符合《用户需求书》及甲方的要求。  </w:t>
      </w:r>
    </w:p>
    <w:p w14:paraId="19CAE5A4">
      <w:pPr>
        <w:spacing w:beforeLines="0" w:afterLines="0" w:line="360" w:lineRule="auto"/>
        <w:ind w:firstLine="560" w:firstLineChars="200"/>
        <w:rPr>
          <w:rFonts w:hint="default" w:hAnsi="宋体" w:cs="宋体"/>
          <w:color w:val="000000"/>
          <w:sz w:val="28"/>
          <w:szCs w:val="28"/>
          <w:lang w:bidi="ar"/>
        </w:rPr>
      </w:pPr>
      <w:r>
        <w:rPr>
          <w:rFonts w:hint="default" w:hAnsi="宋体" w:cs="宋体"/>
          <w:color w:val="000000"/>
          <w:sz w:val="28"/>
          <w:szCs w:val="28"/>
          <w:lang w:bidi="ar"/>
        </w:rPr>
        <w:t xml:space="preserve">3、履行本合同期间，乙方应提供需求确认书、用户使用手册、培训教材、验收报告等文件资料，文件格式可为电子文档如Word文档或PDF文档或其他可视化文件，并提供全方位的专业技术支持服务。     </w:t>
      </w:r>
    </w:p>
    <w:p w14:paraId="2B3E6646">
      <w:pPr>
        <w:spacing w:beforeLines="0" w:afterLines="0" w:line="360" w:lineRule="auto"/>
        <w:ind w:firstLine="560" w:firstLineChars="200"/>
        <w:rPr>
          <w:rFonts w:hint="default" w:hAnsi="宋体" w:cs="宋体"/>
          <w:color w:val="000000"/>
          <w:sz w:val="28"/>
          <w:szCs w:val="28"/>
          <w:lang w:bidi="ar"/>
        </w:rPr>
      </w:pPr>
      <w:r>
        <w:rPr>
          <w:rFonts w:hint="default" w:hAnsi="宋体" w:cs="宋体"/>
          <w:color w:val="000000"/>
          <w:sz w:val="28"/>
          <w:szCs w:val="28"/>
          <w:lang w:bidi="ar"/>
        </w:rPr>
        <w:t xml:space="preserve">4、甲方定期检查和监督乙方的工作进度和质量，并对乙方未能达到本合同约定要求的行为提出限期改正的，乙方应予以配合并保证在甲方限期内改正完毕，逾期未整改、改正的，甲方有权单方解除合同。  </w:t>
      </w:r>
    </w:p>
    <w:p w14:paraId="0DAF4AF9">
      <w:pPr>
        <w:spacing w:beforeLines="0" w:afterLines="0" w:line="360" w:lineRule="auto"/>
        <w:ind w:firstLine="560" w:firstLineChars="200"/>
        <w:rPr>
          <w:rFonts w:hint="default" w:hAnsi="宋体" w:cs="宋体"/>
          <w:color w:val="000000"/>
          <w:sz w:val="28"/>
          <w:szCs w:val="28"/>
          <w:lang w:bidi="ar"/>
        </w:rPr>
      </w:pPr>
      <w:r>
        <w:rPr>
          <w:rFonts w:hint="default" w:hAnsi="宋体" w:cs="宋体"/>
          <w:color w:val="000000"/>
          <w:sz w:val="28"/>
          <w:szCs w:val="28"/>
          <w:lang w:bidi="ar"/>
        </w:rPr>
        <w:t>5、乙方在提供服务过程中，可向甲方提出为执行本项目需要的必要协助，甲方应予以支持和解决。</w:t>
      </w:r>
    </w:p>
    <w:p w14:paraId="2C2482FC">
      <w:pPr>
        <w:spacing w:beforeLines="0" w:afterLines="0" w:line="360" w:lineRule="auto"/>
        <w:ind w:firstLine="560" w:firstLineChars="200"/>
        <w:rPr>
          <w:rFonts w:hint="default" w:hAnsi="宋体" w:cs="宋体"/>
          <w:color w:val="000000"/>
          <w:sz w:val="28"/>
          <w:szCs w:val="28"/>
          <w:lang w:bidi="ar"/>
        </w:rPr>
      </w:pPr>
      <w:r>
        <w:rPr>
          <w:rFonts w:hint="default" w:hAnsi="宋体" w:cs="宋体"/>
          <w:color w:val="000000"/>
          <w:sz w:val="28"/>
          <w:szCs w:val="28"/>
          <w:lang w:bidi="ar"/>
        </w:rPr>
        <w:t xml:space="preserve">6、乙方应承担保密方面的义务，除甲方书面同意将保密信息披露给第三方或应有权司法机关要求外，乙方保证不向除甲方以外的任何单位或个人泄露甲方的相关信息，否则，甲方有权单方解除合同。  </w:t>
      </w:r>
    </w:p>
    <w:p w14:paraId="09E14CF0">
      <w:pPr>
        <w:spacing w:beforeLines="0" w:afterLines="0" w:line="360" w:lineRule="auto"/>
        <w:ind w:firstLine="560" w:firstLineChars="200"/>
        <w:rPr>
          <w:rFonts w:hint="default" w:hAnsi="宋体" w:cs="宋体"/>
          <w:color w:val="000000"/>
          <w:sz w:val="28"/>
          <w:szCs w:val="28"/>
          <w:lang w:bidi="ar"/>
        </w:rPr>
      </w:pPr>
      <w:r>
        <w:rPr>
          <w:rFonts w:hint="default" w:hAnsi="宋体" w:cs="宋体"/>
          <w:color w:val="000000"/>
          <w:sz w:val="28"/>
          <w:szCs w:val="28"/>
          <w:lang w:bidi="ar"/>
        </w:rPr>
        <w:t>7、如因不可抗力因素，导致乙方未能按时完成项目，乙方应及时通知甲方，并尽可能采取有效补救措施。对于因乙方自身原因导致服务中的任何缺陷，乙方应重新履行服务。如乙方不能按上述约定重新履行服务，甲方有权收回已付给乙方的该项缺陷的服务费用并解除合同。</w:t>
      </w:r>
    </w:p>
    <w:p w14:paraId="310956D5">
      <w:pPr>
        <w:autoSpaceDE/>
        <w:autoSpaceDN/>
        <w:spacing w:beforeLines="0" w:afterLines="0" w:line="360" w:lineRule="auto"/>
        <w:ind w:firstLine="560" w:firstLineChars="200"/>
        <w:rPr>
          <w:rFonts w:hint="default" w:hAnsi="宋体" w:cs="宋体"/>
          <w:b/>
          <w:color w:val="000000"/>
          <w:kern w:val="44"/>
          <w:sz w:val="28"/>
          <w:szCs w:val="28"/>
        </w:rPr>
      </w:pPr>
      <w:r>
        <w:rPr>
          <w:rFonts w:hint="default" w:hAnsi="宋体" w:cs="宋体"/>
          <w:color w:val="000000"/>
          <w:sz w:val="28"/>
          <w:szCs w:val="28"/>
          <w:lang w:bidi="ar"/>
        </w:rPr>
        <w:t>8、乙方按甲方要求派出的人员应具备相应的专业知识及技术水平，具备一定的沟通协调能力，服从工作安排，有足够能力完成本项目的系统建设服务工作。</w:t>
      </w:r>
    </w:p>
    <w:p w14:paraId="39B035A2">
      <w:pPr>
        <w:autoSpaceDE/>
        <w:autoSpaceDN/>
        <w:adjustRightInd/>
        <w:spacing w:beforeLines="0" w:afterLines="0" w:line="360" w:lineRule="auto"/>
        <w:ind w:firstLine="562" w:firstLineChars="200"/>
        <w:jc w:val="both"/>
        <w:outlineLvl w:val="1"/>
        <w:rPr>
          <w:rFonts w:hint="default" w:hAnsi="宋体" w:cs="宋体"/>
          <w:b/>
          <w:sz w:val="28"/>
          <w:szCs w:val="28"/>
        </w:rPr>
      </w:pPr>
      <w:bookmarkStart w:id="45" w:name="_Toc27495485"/>
      <w:r>
        <w:rPr>
          <w:rFonts w:hint="default" w:hAnsi="宋体" w:cs="宋体"/>
          <w:b/>
          <w:sz w:val="28"/>
          <w:szCs w:val="28"/>
        </w:rPr>
        <w:t>第八条 违约责任</w:t>
      </w:r>
      <w:bookmarkEnd w:id="45"/>
    </w:p>
    <w:p w14:paraId="74F70FBE">
      <w:pPr>
        <w:spacing w:beforeLines="0" w:afterLines="0" w:line="360" w:lineRule="auto"/>
        <w:ind w:firstLine="560" w:firstLineChars="200"/>
        <w:rPr>
          <w:rFonts w:hint="default" w:hAnsi="宋体" w:cs="宋体"/>
          <w:sz w:val="28"/>
          <w:szCs w:val="28"/>
        </w:rPr>
      </w:pPr>
      <w:r>
        <w:rPr>
          <w:rFonts w:hint="default" w:hAnsi="宋体" w:cs="宋体"/>
          <w:sz w:val="28"/>
          <w:szCs w:val="28"/>
        </w:rPr>
        <w:t xml:space="preserve">1、在项目建设期间，若非甲方、不可抗力、双方同意延期的其中原因之一，乙方未能在甲方规定工期内完成约定的工作内容的，每逾期一日，乙方按1000元/天承担违约金（最高不超过含税合同价的20%）。逾期超过【20】个日历天的，甲方有权解除合同，乙方应向甲方支付含税合同价【20%】的违约金；自甲方发出解除合同通知之日起【10】日内，乙方应撤离服务现场，如逾期未撤离服务现场，应视为侵权，应按10000元/天承担违约金。造成甲方损失的，乙方应当承担全部责任及损失赔偿，甲方有权在未付款项中直接抵扣。  </w:t>
      </w:r>
    </w:p>
    <w:p w14:paraId="4EB26D8D">
      <w:pPr>
        <w:spacing w:beforeLines="0" w:afterLines="0" w:line="360" w:lineRule="auto"/>
        <w:ind w:firstLine="560" w:firstLineChars="200"/>
        <w:rPr>
          <w:rFonts w:hint="default" w:hAnsi="宋体" w:cs="宋体"/>
          <w:sz w:val="28"/>
          <w:szCs w:val="28"/>
        </w:rPr>
      </w:pPr>
      <w:r>
        <w:rPr>
          <w:rFonts w:hint="default" w:hAnsi="宋体" w:cs="宋体"/>
          <w:sz w:val="28"/>
          <w:szCs w:val="28"/>
        </w:rPr>
        <w:t>2、乙方未经甲方书面同意，擅自将本合同项下服务内容全部或部分转让给第三方的，甲方有权单方解除合同，并要求乙方按含税合同价的20%承担违约金，违约金不足以弥补甲方损失的，甲方有权继续向乙方追索。</w:t>
      </w:r>
    </w:p>
    <w:p w14:paraId="786368E3">
      <w:pPr>
        <w:spacing w:beforeLines="0" w:afterLines="0" w:line="360" w:lineRule="auto"/>
        <w:ind w:firstLine="560" w:firstLineChars="200"/>
        <w:rPr>
          <w:rFonts w:hint="default" w:hAnsi="宋体" w:cs="宋体"/>
          <w:sz w:val="28"/>
          <w:szCs w:val="28"/>
        </w:rPr>
      </w:pPr>
      <w:r>
        <w:rPr>
          <w:rFonts w:hint="default" w:hAnsi="宋体" w:cs="宋体"/>
          <w:sz w:val="28"/>
          <w:szCs w:val="28"/>
        </w:rPr>
        <w:t>3、乙方保证具有履行本合同的资质条件，并承诺在合同履行期限保证资质有效。同时加强对从业人员的执业管理，保证具有履行本合同的资质能力。如因资质丧失（包括但不限于注销、撤销、降低等）、人员缺乏导致无法继续履行的，甲方有权单方解除本合同，要求乙方向甲方支付含税合同价的20%作为违约金，并另行委托有资质的第三方继续进行（乙方应无条件配合移交相关工作），由此造成的损失由乙方承担。</w:t>
      </w:r>
    </w:p>
    <w:p w14:paraId="4B9937D4">
      <w:pPr>
        <w:spacing w:beforeLines="0" w:afterLines="0" w:line="360" w:lineRule="auto"/>
        <w:ind w:firstLine="560" w:firstLineChars="200"/>
        <w:rPr>
          <w:rFonts w:hint="default" w:hAnsi="宋体" w:cs="宋体"/>
          <w:sz w:val="28"/>
          <w:szCs w:val="28"/>
        </w:rPr>
      </w:pPr>
      <w:r>
        <w:rPr>
          <w:rFonts w:hint="default" w:hAnsi="宋体" w:cs="宋体"/>
          <w:sz w:val="28"/>
          <w:szCs w:val="28"/>
        </w:rPr>
        <w:t xml:space="preserve">4、乙方应承担保密方面的义务，除甲方书面同意将保密信息披露给第三方或应法律要求外，乙方保证不向除甲方以外的任何单位或个人泄露甲方的检测结果、及其他相关信息，否则，甲方有权解除本合同，同时甲方有权要求乙方按合同总价款的20%向甲方支付违约金。  </w:t>
      </w:r>
    </w:p>
    <w:p w14:paraId="42FA5C66">
      <w:pPr>
        <w:spacing w:beforeLines="0" w:afterLines="0" w:line="360" w:lineRule="auto"/>
        <w:ind w:firstLine="560" w:firstLineChars="200"/>
        <w:rPr>
          <w:rFonts w:hint="default" w:hAnsi="宋体" w:cs="宋体"/>
          <w:sz w:val="28"/>
          <w:szCs w:val="28"/>
        </w:rPr>
      </w:pPr>
      <w:r>
        <w:rPr>
          <w:rFonts w:hint="default" w:hAnsi="宋体" w:cs="宋体"/>
          <w:sz w:val="28"/>
          <w:szCs w:val="28"/>
        </w:rPr>
        <w:t>5、因乙方原因发生安全事故或引起其他损失、造成不良后果的，乙方应承担全部责任及损失赔偿。</w:t>
      </w:r>
    </w:p>
    <w:p w14:paraId="3AD246AC">
      <w:pPr>
        <w:spacing w:beforeLines="0" w:afterLines="0" w:line="360" w:lineRule="auto"/>
        <w:ind w:firstLine="560" w:firstLineChars="200"/>
        <w:rPr>
          <w:rFonts w:hint="default" w:hAnsi="宋体" w:cs="宋体"/>
          <w:sz w:val="28"/>
          <w:szCs w:val="28"/>
        </w:rPr>
      </w:pPr>
      <w:r>
        <w:rPr>
          <w:rFonts w:hint="default" w:hAnsi="宋体" w:cs="宋体"/>
          <w:sz w:val="28"/>
          <w:szCs w:val="28"/>
        </w:rPr>
        <w:t>6、在本合同履行过程中，乙方消极怠工或拒不履行合同义务（包括但不限于功能升级建设、配合验收、售后服务等）的，甲方有权就违约事宜提出改正，如乙方仍拒不改正或改正结果不符合甲方要求的，乙方除应按本合同相关约定承担责任外，甲方还有权选择单方解除合同，且乙方应按合同总价款的 20% 的标准向甲方承担违约金。</w:t>
      </w:r>
    </w:p>
    <w:p w14:paraId="2936E66E">
      <w:pPr>
        <w:spacing w:beforeLines="0" w:afterLines="0" w:line="360" w:lineRule="auto"/>
        <w:ind w:firstLine="560" w:firstLineChars="200"/>
        <w:rPr>
          <w:rFonts w:hint="default" w:hAnsi="宋体" w:cs="宋体"/>
          <w:sz w:val="28"/>
          <w:szCs w:val="28"/>
        </w:rPr>
      </w:pPr>
      <w:r>
        <w:rPr>
          <w:rFonts w:hint="default" w:hAnsi="宋体" w:cs="宋体"/>
          <w:sz w:val="28"/>
          <w:szCs w:val="28"/>
        </w:rPr>
        <w:t>7、乙方在服务过程中应按进度情况及时整理资料，完成服务内容并经甲方验收合格确认后 15  个工作日内将相关验收及结算等资料移交给甲方，并在结算经双方确认后 15  个工作日内提交完整的结算款请款资料，否则每逾期一日，甲方有权要求乙方按1,000.00元/天支付违约金（最高不超过合同总价款的20%）。</w:t>
      </w:r>
    </w:p>
    <w:p w14:paraId="51904A2E">
      <w:pPr>
        <w:spacing w:beforeLines="0" w:afterLines="0" w:line="360" w:lineRule="auto"/>
        <w:ind w:firstLine="560" w:firstLineChars="200"/>
        <w:rPr>
          <w:rFonts w:hint="default" w:hAnsi="宋体" w:cs="宋体"/>
          <w:sz w:val="28"/>
          <w:szCs w:val="28"/>
        </w:rPr>
      </w:pPr>
      <w:r>
        <w:rPr>
          <w:rFonts w:hint="default" w:hAnsi="宋体" w:cs="宋体"/>
          <w:sz w:val="28"/>
          <w:szCs w:val="28"/>
        </w:rPr>
        <w:t>8、服务过程中乙方违反甲方的安全生产管理制度或相关规范规定的，经甲方发现，甲方有权要求乙方按500-10000元/次支付违约金（最高不超过合同总价款的20%）；对于多次出现违规，或造成严重后果的，或可能发生重大伤亡潜在因素的，甲方有权提前终止合同而无需承担由此引起的任何责任。</w:t>
      </w:r>
    </w:p>
    <w:p w14:paraId="67B9A540">
      <w:pPr>
        <w:spacing w:beforeLines="0" w:afterLines="0" w:line="360" w:lineRule="auto"/>
        <w:ind w:firstLine="560" w:firstLineChars="200"/>
        <w:rPr>
          <w:rFonts w:hint="default" w:hAnsi="宋体" w:cs="宋体"/>
          <w:sz w:val="28"/>
          <w:szCs w:val="28"/>
        </w:rPr>
      </w:pPr>
      <w:r>
        <w:rPr>
          <w:rFonts w:hint="default" w:hAnsi="宋体" w:cs="宋体"/>
          <w:sz w:val="28"/>
          <w:szCs w:val="28"/>
        </w:rPr>
        <w:t xml:space="preserve">9、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甲方要求的时限内整改，若整改达不到甲方要求的，甲方有权解除合同，同时甲方有权要求乙方按合同总价款的20%向甲方支付违约金。 </w:t>
      </w:r>
    </w:p>
    <w:p w14:paraId="0EED6277">
      <w:pPr>
        <w:spacing w:beforeLines="0" w:afterLines="0" w:line="360" w:lineRule="auto"/>
        <w:ind w:firstLine="560" w:firstLineChars="200"/>
        <w:rPr>
          <w:rFonts w:hint="default" w:hAnsi="宋体" w:cs="宋体"/>
          <w:sz w:val="28"/>
          <w:szCs w:val="28"/>
        </w:rPr>
      </w:pPr>
      <w:r>
        <w:rPr>
          <w:rFonts w:hint="default" w:hAnsi="宋体" w:cs="宋体"/>
          <w:sz w:val="28"/>
          <w:szCs w:val="28"/>
        </w:rPr>
        <w:t>10、本合同履行期间，乙方违约产生的违约金、赔偿或其他应付费用等款项，甲方有权直接从未付款项中直接扣除予以支付。</w:t>
      </w:r>
    </w:p>
    <w:p w14:paraId="72CEBCD0">
      <w:pPr>
        <w:spacing w:beforeLines="0" w:afterLines="0" w:line="360" w:lineRule="auto"/>
        <w:ind w:firstLine="560" w:firstLineChars="200"/>
        <w:rPr>
          <w:rFonts w:hint="default" w:hAnsi="宋体" w:cs="宋体"/>
          <w:sz w:val="28"/>
          <w:szCs w:val="28"/>
        </w:rPr>
      </w:pPr>
      <w:r>
        <w:rPr>
          <w:rFonts w:hint="default" w:hAnsi="宋体" w:cs="宋体"/>
          <w:sz w:val="28"/>
          <w:szCs w:val="28"/>
        </w:rPr>
        <w:t>11、如乙方存在违约行为的，甲方为实现本合同民事权利而产生的诉讼费用、申请财产保全的担保费（保险费）、</w:t>
      </w:r>
      <w:r>
        <w:rPr>
          <w:rFonts w:hint="eastAsia" w:hAnsi="宋体" w:cs="宋体"/>
          <w:sz w:val="28"/>
          <w:szCs w:val="28"/>
          <w:lang w:val="en-US" w:eastAsia="zh-CN"/>
        </w:rPr>
        <w:t>执行费、</w:t>
      </w:r>
      <w:r>
        <w:rPr>
          <w:rFonts w:hint="default" w:hAnsi="宋体" w:cs="宋体"/>
          <w:sz w:val="28"/>
          <w:szCs w:val="28"/>
        </w:rPr>
        <w:t>律师费、差旅费等合理费用，均由乙方承担。</w:t>
      </w:r>
    </w:p>
    <w:p w14:paraId="5FFCF5C2">
      <w:pPr>
        <w:spacing w:beforeLines="0" w:afterLines="0" w:line="360" w:lineRule="auto"/>
        <w:ind w:firstLine="560" w:firstLineChars="200"/>
        <w:rPr>
          <w:rFonts w:hint="default" w:hAnsi="宋体" w:cs="宋体"/>
          <w:sz w:val="28"/>
          <w:szCs w:val="28"/>
        </w:rPr>
      </w:pPr>
      <w:r>
        <w:rPr>
          <w:rFonts w:hint="default" w:hAnsi="宋体" w:cs="宋体"/>
          <w:sz w:val="28"/>
          <w:szCs w:val="28"/>
        </w:rPr>
        <w:t>12、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75EFDF2D">
      <w:pPr>
        <w:numPr>
          <w:ilvl w:val="0"/>
          <w:numId w:val="0"/>
        </w:numPr>
        <w:tabs>
          <w:tab w:val="left" w:pos="0"/>
        </w:tabs>
        <w:spacing w:beforeLines="0" w:afterLines="0" w:line="360" w:lineRule="auto"/>
        <w:ind w:left="425"/>
        <w:rPr>
          <w:rFonts w:hint="default" w:hAnsi="宋体" w:cs="宋体"/>
          <w:b/>
          <w:sz w:val="28"/>
          <w:szCs w:val="28"/>
        </w:rPr>
      </w:pPr>
      <w:r>
        <w:rPr>
          <w:rFonts w:hint="default" w:hAnsi="宋体" w:cs="宋体"/>
          <w:b/>
          <w:sz w:val="28"/>
          <w:szCs w:val="28"/>
        </w:rPr>
        <w:t>第九条 知识产权</w:t>
      </w:r>
    </w:p>
    <w:p w14:paraId="5A736CBC">
      <w:pPr>
        <w:numPr>
          <w:ilvl w:val="0"/>
          <w:numId w:val="0"/>
        </w:numPr>
        <w:tabs>
          <w:tab w:val="left" w:pos="0"/>
        </w:tabs>
        <w:spacing w:beforeLines="0" w:afterLines="0" w:line="360" w:lineRule="auto"/>
        <w:ind w:firstLine="560" w:firstLineChars="200"/>
        <w:rPr>
          <w:rFonts w:hint="default" w:hAnsi="宋体" w:cs="宋体"/>
          <w:sz w:val="28"/>
          <w:szCs w:val="28"/>
        </w:rPr>
      </w:pPr>
      <w:r>
        <w:rPr>
          <w:rFonts w:hint="default" w:hAnsi="宋体" w:cs="宋体"/>
          <w:sz w:val="28"/>
          <w:szCs w:val="28"/>
        </w:rPr>
        <w:t>1、本合同下产生的所有技术成果归甲方所有，未经甲方书面同意，乙方不得将本技术成果泄露或转让给任何第三方。</w:t>
      </w:r>
    </w:p>
    <w:p w14:paraId="079422D4">
      <w:pPr>
        <w:spacing w:beforeLines="0" w:afterLines="0" w:line="360" w:lineRule="auto"/>
        <w:ind w:firstLine="560" w:firstLineChars="200"/>
        <w:rPr>
          <w:rFonts w:hint="default" w:hAnsi="宋体" w:cs="宋体"/>
          <w:b/>
          <w:sz w:val="28"/>
          <w:szCs w:val="28"/>
        </w:rPr>
      </w:pPr>
      <w:r>
        <w:rPr>
          <w:rFonts w:hint="default" w:hAnsi="宋体" w:cs="宋体"/>
          <w:sz w:val="28"/>
          <w:szCs w:val="28"/>
        </w:rPr>
        <w:t>2、乙方应保证，甲方在中华人民共和国使用本项目工作成果的任何一部分时，甲方免受第三方提出侵其专利权、著作权权或其它知识产权的起诉。否则由此造成甲方任何损失或支出的，均由乙方予以承担；如乙方所提供的服务存在侵权情形而甲方需继续使用他人享有的专利权、著作权等知识产权的，由此产生的使用费等全部费用及责任由乙方予以承担，保证甲方不承担任何费用及责任。如因此影响甲方声誉和利益的，甲方有权不予支付合同价款，且乙方应当赔偿甲方由此遭受的全部损失，赔偿金额上限不得超过合同总额。</w:t>
      </w:r>
    </w:p>
    <w:p w14:paraId="05876CC1">
      <w:pPr>
        <w:spacing w:beforeLines="0" w:afterLines="0" w:line="360" w:lineRule="auto"/>
        <w:ind w:firstLine="562" w:firstLineChars="200"/>
        <w:rPr>
          <w:rFonts w:hint="default" w:hAnsi="宋体" w:cs="宋体"/>
          <w:sz w:val="28"/>
          <w:szCs w:val="28"/>
        </w:rPr>
      </w:pPr>
      <w:r>
        <w:rPr>
          <w:rFonts w:hint="default" w:hAnsi="宋体" w:cs="宋体"/>
          <w:b/>
          <w:sz w:val="28"/>
          <w:szCs w:val="28"/>
        </w:rPr>
        <w:t>第十条 保密条款</w:t>
      </w:r>
    </w:p>
    <w:p w14:paraId="334627DD">
      <w:pPr>
        <w:spacing w:beforeLines="0" w:afterLines="0" w:line="360" w:lineRule="auto"/>
        <w:ind w:firstLine="560" w:firstLineChars="200"/>
        <w:rPr>
          <w:rFonts w:hint="default" w:hAnsi="宋体" w:cs="宋体"/>
          <w:sz w:val="28"/>
          <w:szCs w:val="28"/>
        </w:rPr>
      </w:pPr>
      <w:r>
        <w:rPr>
          <w:rFonts w:hint="default" w:hAnsi="宋体" w:cs="宋体"/>
          <w:sz w:val="28"/>
          <w:szCs w:val="28"/>
        </w:rPr>
        <w:t>1、乙方承诺对本项目涉及的所有信息（信息包括本合同及其所有附件和补充文件、基础数据、报告及其复印件等）承担保密义务，在未征得甲方书面同意的情况下，不得向任意第三方披露或许可第三方使用，否则，视为乙方违约，乙方应承担因此产生的一切后果及全部赔偿责任。</w:t>
      </w:r>
    </w:p>
    <w:p w14:paraId="04CD1C1B">
      <w:pPr>
        <w:spacing w:beforeLines="0" w:afterLines="0" w:line="360" w:lineRule="auto"/>
        <w:ind w:firstLine="560" w:firstLineChars="200"/>
        <w:rPr>
          <w:rFonts w:hint="default" w:hAnsi="宋体" w:cs="宋体"/>
          <w:sz w:val="28"/>
          <w:szCs w:val="28"/>
        </w:rPr>
      </w:pPr>
      <w:r>
        <w:rPr>
          <w:rFonts w:hint="default" w:hAnsi="宋体" w:cs="宋体"/>
          <w:sz w:val="28"/>
          <w:szCs w:val="28"/>
        </w:rPr>
        <w:t>2、甲乙双方承诺严格要求参与项目的相关工作人员遵守本合同保密条款，并要求其不得将相关资料泄露给第三方。</w:t>
      </w:r>
    </w:p>
    <w:p w14:paraId="465997D8">
      <w:pPr>
        <w:spacing w:beforeLines="0" w:afterLines="0" w:line="360" w:lineRule="auto"/>
        <w:ind w:firstLine="560" w:firstLineChars="200"/>
        <w:rPr>
          <w:rFonts w:hint="default" w:hAnsi="宋体" w:cs="宋体"/>
          <w:sz w:val="28"/>
          <w:szCs w:val="28"/>
        </w:rPr>
      </w:pPr>
      <w:r>
        <w:rPr>
          <w:rFonts w:hint="default" w:hAnsi="宋体" w:cs="宋体"/>
          <w:sz w:val="28"/>
          <w:szCs w:val="28"/>
        </w:rPr>
        <w:t>3、若出现泄密情况，守约方有权追究泄密方相关经济赔偿责任及其他法律责任。</w:t>
      </w:r>
    </w:p>
    <w:p w14:paraId="1DD31BC9">
      <w:pPr>
        <w:spacing w:beforeLines="0" w:afterLines="0" w:line="360" w:lineRule="auto"/>
        <w:ind w:firstLine="560" w:firstLineChars="200"/>
        <w:rPr>
          <w:rFonts w:hint="default" w:hAnsi="宋体" w:cs="宋体"/>
          <w:sz w:val="28"/>
          <w:szCs w:val="28"/>
        </w:rPr>
      </w:pPr>
      <w:r>
        <w:rPr>
          <w:rFonts w:hint="default" w:hAnsi="宋体" w:cs="宋体"/>
          <w:sz w:val="28"/>
          <w:szCs w:val="28"/>
        </w:rPr>
        <w:t>4、本合同保密条款不因合同变更、修改或终止而终止失效，直至相关保密信息被合法公开之日起止。</w:t>
      </w:r>
    </w:p>
    <w:p w14:paraId="2F8E3525">
      <w:pPr>
        <w:spacing w:beforeLines="0" w:afterLines="0" w:line="360" w:lineRule="auto"/>
        <w:ind w:firstLine="562" w:firstLineChars="200"/>
        <w:rPr>
          <w:rFonts w:hint="default" w:hAnsi="宋体" w:cs="宋体"/>
          <w:b/>
          <w:sz w:val="28"/>
          <w:szCs w:val="28"/>
        </w:rPr>
      </w:pPr>
      <w:r>
        <w:rPr>
          <w:rFonts w:hint="default" w:hAnsi="宋体" w:cs="宋体"/>
          <w:b/>
          <w:sz w:val="28"/>
          <w:szCs w:val="28"/>
        </w:rPr>
        <w:t>第十一条 不可抗力</w:t>
      </w:r>
    </w:p>
    <w:p w14:paraId="35EEE1A8">
      <w:pPr>
        <w:spacing w:beforeLines="0" w:afterLines="0" w:line="360" w:lineRule="auto"/>
        <w:ind w:firstLine="560" w:firstLineChars="200"/>
        <w:rPr>
          <w:rFonts w:hint="default" w:hAnsi="宋体" w:cs="宋体"/>
          <w:sz w:val="28"/>
          <w:szCs w:val="28"/>
        </w:rPr>
      </w:pPr>
      <w:r>
        <w:rPr>
          <w:rFonts w:hint="default" w:hAnsi="宋体" w:cs="宋体"/>
          <w:sz w:val="28"/>
          <w:szCs w:val="28"/>
        </w:rPr>
        <w:t>1、本合同所称的“不可抗力”是指受影响一方无法预料、不可避免且无法克服，并于本合同签订日之后出现的，使一方对本合同全部或部分的履行在客观上成为不可能或不实际的事件。</w:t>
      </w:r>
    </w:p>
    <w:p w14:paraId="4B96FEDE">
      <w:pPr>
        <w:spacing w:beforeLines="0" w:afterLines="0" w:line="360" w:lineRule="auto"/>
        <w:ind w:firstLine="560" w:firstLineChars="200"/>
        <w:rPr>
          <w:rFonts w:hint="default" w:hAnsi="宋体" w:cs="宋体"/>
          <w:color w:val="0000FF"/>
          <w:sz w:val="28"/>
          <w:szCs w:val="28"/>
        </w:rPr>
      </w:pPr>
      <w:r>
        <w:rPr>
          <w:rFonts w:hint="default" w:hAnsi="宋体" w:cs="宋体"/>
          <w:sz w:val="28"/>
          <w:szCs w:val="28"/>
        </w:rPr>
        <w:t>2、由于不可抗力造成任何一方不能及时履行或不能及时完全履行本协议规定的责任和义务的，甲乙双方互不承担责任。但遭受不可抗力的一方应在不可抗力发生之日起1日内书面通知另一方，并在不可抗力发生之日起30日内，提供不可抗力、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w:t>
      </w:r>
    </w:p>
    <w:p w14:paraId="7F53C706">
      <w:pPr>
        <w:spacing w:beforeLines="0" w:afterLines="0" w:line="360" w:lineRule="auto"/>
        <w:ind w:firstLine="562" w:firstLineChars="200"/>
        <w:rPr>
          <w:rFonts w:hint="default" w:hAnsi="宋体" w:cs="宋体"/>
          <w:b/>
          <w:sz w:val="28"/>
          <w:szCs w:val="28"/>
        </w:rPr>
      </w:pPr>
      <w:r>
        <w:rPr>
          <w:rFonts w:hint="default" w:hAnsi="宋体" w:cs="宋体"/>
          <w:b/>
          <w:sz w:val="28"/>
          <w:szCs w:val="28"/>
        </w:rPr>
        <w:t>第十二条 争端解决</w:t>
      </w:r>
    </w:p>
    <w:p w14:paraId="602CF129">
      <w:pPr>
        <w:spacing w:beforeLines="0" w:afterLines="0" w:line="360" w:lineRule="auto"/>
        <w:ind w:firstLine="560" w:firstLineChars="200"/>
        <w:rPr>
          <w:rFonts w:hint="default" w:hAnsi="宋体" w:cs="宋体"/>
          <w:sz w:val="28"/>
          <w:szCs w:val="28"/>
        </w:rPr>
      </w:pPr>
      <w:r>
        <w:rPr>
          <w:rFonts w:hint="default" w:hAnsi="宋体" w:cs="宋体"/>
          <w:sz w:val="28"/>
          <w:szCs w:val="28"/>
        </w:rPr>
        <w:t>双方在履行本合同时发生争议的，应先通过友好协商解决。若经协商仍不能解决，任何一方均有权向甲方所在地有管辖权的人民法院提起诉讼。在诉讼期间，双方应继续履行本合同中除争议条款之外的其它条款。</w:t>
      </w:r>
    </w:p>
    <w:p w14:paraId="4DB836B0">
      <w:pPr>
        <w:spacing w:beforeLines="0" w:afterLines="0" w:line="360" w:lineRule="auto"/>
        <w:ind w:firstLine="562" w:firstLineChars="200"/>
        <w:rPr>
          <w:rFonts w:hint="default" w:hAnsi="宋体" w:cs="宋体"/>
          <w:b/>
          <w:sz w:val="28"/>
          <w:szCs w:val="28"/>
        </w:rPr>
      </w:pPr>
      <w:r>
        <w:rPr>
          <w:rFonts w:hint="default" w:hAnsi="宋体" w:cs="宋体"/>
          <w:b/>
          <w:sz w:val="28"/>
          <w:szCs w:val="28"/>
        </w:rPr>
        <w:t>第十三条 送达</w:t>
      </w:r>
    </w:p>
    <w:p w14:paraId="3E7BEB6E">
      <w:pPr>
        <w:spacing w:beforeLines="0" w:afterLines="0" w:line="360" w:lineRule="auto"/>
        <w:ind w:firstLine="560" w:firstLineChars="200"/>
        <w:rPr>
          <w:rFonts w:hint="default" w:hAnsi="宋体" w:cs="宋体"/>
          <w:sz w:val="28"/>
          <w:szCs w:val="28"/>
        </w:rPr>
      </w:pPr>
      <w:r>
        <w:rPr>
          <w:rFonts w:hint="default" w:hAnsi="宋体" w:cs="宋体"/>
          <w:sz w:val="28"/>
          <w:szCs w:val="28"/>
        </w:rPr>
        <w:t xml:space="preserve">1.甲乙双方就本合同中涉及各类通知、协议等文件以及就合同发生纠纷时相关文件和法律文书送达时的送达地址及法律后果作如下约定： </w:t>
      </w:r>
    </w:p>
    <w:p w14:paraId="1ECB6134">
      <w:pPr>
        <w:spacing w:beforeLines="0" w:afterLines="0" w:line="360" w:lineRule="auto"/>
        <w:ind w:firstLine="560" w:firstLineChars="200"/>
        <w:rPr>
          <w:rFonts w:hint="default" w:hAnsi="宋体" w:cs="宋体"/>
          <w:sz w:val="28"/>
          <w:szCs w:val="28"/>
        </w:rPr>
      </w:pPr>
      <w:r>
        <w:rPr>
          <w:rFonts w:hint="default" w:hAnsi="宋体" w:cs="宋体"/>
          <w:sz w:val="28"/>
          <w:szCs w:val="28"/>
        </w:rPr>
        <w:t xml:space="preserve">甲方确认其有效的送达地址为【 】；联系人：【 】；联系电话【 】；电子邮箱【 】。 </w:t>
      </w:r>
    </w:p>
    <w:p w14:paraId="5D387BDA">
      <w:pPr>
        <w:spacing w:beforeLines="0" w:afterLines="0" w:line="360" w:lineRule="auto"/>
        <w:ind w:firstLine="560" w:firstLineChars="200"/>
        <w:rPr>
          <w:rFonts w:hint="default" w:hAnsi="宋体" w:cs="宋体"/>
          <w:sz w:val="28"/>
          <w:szCs w:val="28"/>
        </w:rPr>
      </w:pPr>
      <w:r>
        <w:rPr>
          <w:rFonts w:hint="default" w:hAnsi="宋体" w:cs="宋体"/>
          <w:sz w:val="28"/>
          <w:szCs w:val="28"/>
        </w:rPr>
        <w:t>乙方确认其有效的送达地址为【 】；联系人：【 】；联系电话【 】；电子邮箱【 】。</w:t>
      </w:r>
    </w:p>
    <w:p w14:paraId="6BA58A5B">
      <w:pPr>
        <w:spacing w:beforeLines="0" w:afterLines="0" w:line="360" w:lineRule="auto"/>
        <w:ind w:firstLine="560" w:firstLineChars="200"/>
        <w:rPr>
          <w:rFonts w:hint="default" w:hAnsi="宋体" w:cs="宋体"/>
          <w:sz w:val="28"/>
          <w:szCs w:val="28"/>
        </w:rPr>
      </w:pPr>
      <w:r>
        <w:rPr>
          <w:rFonts w:hint="default" w:hAnsi="宋体" w:cs="宋体"/>
          <w:sz w:val="28"/>
          <w:szCs w:val="28"/>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2BC716B9">
      <w:pPr>
        <w:spacing w:beforeLines="0" w:afterLines="0" w:line="360" w:lineRule="auto"/>
        <w:ind w:firstLine="560" w:firstLineChars="200"/>
        <w:rPr>
          <w:rFonts w:hint="default" w:hAnsi="宋体" w:cs="宋体"/>
          <w:sz w:val="28"/>
          <w:szCs w:val="28"/>
        </w:rPr>
      </w:pPr>
      <w:r>
        <w:rPr>
          <w:rFonts w:hint="default" w:hAnsi="宋体" w:cs="宋体"/>
          <w:sz w:val="28"/>
          <w:szCs w:val="28"/>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5B85E5AC">
      <w:pPr>
        <w:spacing w:beforeLines="0" w:afterLines="0" w:line="360" w:lineRule="auto"/>
        <w:ind w:firstLine="560" w:firstLineChars="200"/>
        <w:rPr>
          <w:rFonts w:hint="default" w:hAnsi="宋体" w:cs="宋体"/>
          <w:sz w:val="28"/>
          <w:szCs w:val="28"/>
        </w:rPr>
      </w:pPr>
      <w:r>
        <w:rPr>
          <w:rFonts w:hint="default" w:hAnsi="宋体" w:cs="宋体"/>
          <w:sz w:val="28"/>
          <w:szCs w:val="28"/>
        </w:rPr>
        <w:t>3.甲方的送达地址需要变更时应当履行及时通知的义务，应提前【五】个工作日通过【书面或电子】 的方式向乙方进行通知；乙方的送达地址需要变更时应当履行及时通知的义务，应提前【五】个工作日通过【书面】的方式向甲方进行通知。</w:t>
      </w:r>
    </w:p>
    <w:p w14:paraId="7E8EFF37">
      <w:pPr>
        <w:spacing w:beforeLines="0" w:afterLines="0" w:line="360" w:lineRule="auto"/>
        <w:ind w:firstLine="560" w:firstLineChars="200"/>
        <w:rPr>
          <w:rFonts w:hint="default" w:hAnsi="宋体" w:cs="宋体"/>
          <w:sz w:val="28"/>
          <w:szCs w:val="28"/>
        </w:rPr>
      </w:pPr>
      <w:r>
        <w:rPr>
          <w:rFonts w:hint="default" w:hAnsi="宋体" w:cs="宋体"/>
          <w:sz w:val="28"/>
          <w:szCs w:val="28"/>
        </w:rPr>
        <w:t>4.本条款具有独立法律效力，不因合同其他条款的无效而无效。</w:t>
      </w:r>
    </w:p>
    <w:p w14:paraId="75B5742B">
      <w:pPr>
        <w:spacing w:beforeLines="0" w:afterLines="0" w:line="360" w:lineRule="auto"/>
        <w:ind w:firstLine="562" w:firstLineChars="200"/>
        <w:rPr>
          <w:rFonts w:hint="default" w:hAnsi="宋体" w:cs="宋体"/>
          <w:sz w:val="28"/>
          <w:szCs w:val="28"/>
        </w:rPr>
      </w:pPr>
      <w:r>
        <w:rPr>
          <w:rFonts w:hint="default" w:hAnsi="宋体" w:cs="宋体"/>
          <w:b/>
          <w:sz w:val="28"/>
          <w:szCs w:val="28"/>
        </w:rPr>
        <w:t>第十四条  其他</w:t>
      </w:r>
    </w:p>
    <w:p w14:paraId="1FCFE134">
      <w:pPr>
        <w:spacing w:beforeLines="0" w:afterLines="0" w:line="360" w:lineRule="auto"/>
        <w:ind w:firstLine="560" w:firstLineChars="200"/>
        <w:rPr>
          <w:rFonts w:hint="default" w:hAnsi="宋体" w:cs="宋体"/>
          <w:sz w:val="28"/>
          <w:szCs w:val="28"/>
        </w:rPr>
      </w:pPr>
      <w:r>
        <w:rPr>
          <w:rFonts w:hint="default" w:hAnsi="宋体" w:cs="宋体"/>
          <w:sz w:val="28"/>
          <w:szCs w:val="28"/>
        </w:rPr>
        <w:t>1.在执行本合同的过程中，对具体服务内容需要变更或补充的，不违反法律法规的前提下，经双方协商，可共同签署补充协议，补充协议与本协议具有同等的法律效力。</w:t>
      </w:r>
    </w:p>
    <w:p w14:paraId="20D918D3">
      <w:pPr>
        <w:spacing w:beforeLines="0" w:afterLines="0" w:line="360" w:lineRule="auto"/>
        <w:ind w:firstLine="560" w:firstLineChars="200"/>
        <w:rPr>
          <w:rFonts w:hint="default" w:hAnsi="宋体" w:cs="宋体"/>
          <w:sz w:val="28"/>
          <w:szCs w:val="28"/>
        </w:rPr>
      </w:pPr>
      <w:r>
        <w:rPr>
          <w:rFonts w:hint="default" w:hAnsi="宋体" w:cs="宋体"/>
          <w:sz w:val="28"/>
          <w:szCs w:val="28"/>
        </w:rPr>
        <w:t xml:space="preserve">2.本合同一式 </w:t>
      </w:r>
      <w:r>
        <w:rPr>
          <w:rFonts w:hint="default" w:hAnsi="宋体" w:cs="宋体"/>
          <w:sz w:val="28"/>
          <w:szCs w:val="28"/>
          <w:u w:val="single"/>
        </w:rPr>
        <w:t xml:space="preserve">   </w:t>
      </w:r>
      <w:r>
        <w:rPr>
          <w:rFonts w:hint="default" w:hAnsi="宋体" w:cs="宋体"/>
          <w:sz w:val="28"/>
          <w:szCs w:val="28"/>
        </w:rPr>
        <w:t xml:space="preserve">份，甲方 </w:t>
      </w:r>
      <w:r>
        <w:rPr>
          <w:rFonts w:hint="default" w:hAnsi="宋体" w:cs="宋体"/>
          <w:sz w:val="28"/>
          <w:szCs w:val="28"/>
          <w:u w:val="single"/>
        </w:rPr>
        <w:t xml:space="preserve">   </w:t>
      </w:r>
      <w:r>
        <w:rPr>
          <w:rFonts w:hint="default" w:hAnsi="宋体" w:cs="宋体"/>
          <w:sz w:val="28"/>
          <w:szCs w:val="28"/>
        </w:rPr>
        <w:t xml:space="preserve">份，乙方 </w:t>
      </w:r>
      <w:r>
        <w:rPr>
          <w:rFonts w:hint="default" w:hAnsi="宋体" w:cs="宋体"/>
          <w:sz w:val="28"/>
          <w:szCs w:val="28"/>
          <w:u w:val="single"/>
        </w:rPr>
        <w:t xml:space="preserve">   </w:t>
      </w:r>
      <w:r>
        <w:rPr>
          <w:rFonts w:hint="default" w:hAnsi="宋体" w:cs="宋体"/>
          <w:sz w:val="28"/>
          <w:szCs w:val="28"/>
        </w:rPr>
        <w:t>份，每份均具有同等法律效力，自双方法定代表人或授权代表签字并盖章之日起生效。本合同附件是本合同不可分割内容，与本合同同时生效，同具法律效力。当附件内容与本合同不一致时，以利于甲方的约定为准。</w:t>
      </w:r>
    </w:p>
    <w:p w14:paraId="7322C2A1">
      <w:pPr>
        <w:spacing w:beforeLines="0" w:afterLines="0" w:line="360" w:lineRule="auto"/>
        <w:ind w:firstLine="560" w:firstLineChars="200"/>
        <w:rPr>
          <w:rFonts w:hint="default" w:hAnsi="宋体" w:cs="宋体"/>
          <w:sz w:val="28"/>
          <w:szCs w:val="28"/>
        </w:rPr>
      </w:pPr>
      <w:r>
        <w:rPr>
          <w:rFonts w:hint="default" w:hAnsi="宋体" w:cs="宋体"/>
          <w:sz w:val="28"/>
          <w:szCs w:val="28"/>
        </w:rPr>
        <w:t>附件一：报价文件</w:t>
      </w:r>
    </w:p>
    <w:p w14:paraId="154FACD3">
      <w:pPr>
        <w:spacing w:beforeLines="0" w:afterLines="0" w:line="360" w:lineRule="auto"/>
        <w:ind w:firstLine="560" w:firstLineChars="200"/>
        <w:rPr>
          <w:rFonts w:hint="default" w:hAnsi="宋体" w:cs="宋体"/>
          <w:sz w:val="28"/>
          <w:szCs w:val="28"/>
        </w:rPr>
      </w:pPr>
      <w:r>
        <w:rPr>
          <w:rFonts w:hint="default" w:hAnsi="宋体" w:cs="宋体"/>
          <w:sz w:val="28"/>
          <w:szCs w:val="28"/>
        </w:rPr>
        <w:t>附件二：用户需求书</w:t>
      </w:r>
    </w:p>
    <w:p w14:paraId="1D77D578">
      <w:pPr>
        <w:spacing w:beforeLines="0" w:afterLines="0" w:line="360" w:lineRule="auto"/>
        <w:ind w:firstLine="560" w:firstLineChars="200"/>
        <w:rPr>
          <w:rFonts w:hint="default" w:hAnsi="宋体" w:cs="宋体"/>
          <w:sz w:val="28"/>
          <w:szCs w:val="28"/>
        </w:rPr>
      </w:pPr>
      <w:r>
        <w:rPr>
          <w:rFonts w:hint="default" w:hAnsi="宋体" w:cs="宋体"/>
          <w:sz w:val="28"/>
          <w:szCs w:val="28"/>
        </w:rPr>
        <w:t>附件三：承诺书</w:t>
      </w:r>
    </w:p>
    <w:p w14:paraId="15340CF1">
      <w:pPr>
        <w:spacing w:beforeLines="0" w:afterLines="0" w:line="360" w:lineRule="auto"/>
        <w:ind w:firstLine="560" w:firstLineChars="200"/>
        <w:rPr>
          <w:rFonts w:hint="default" w:hAnsi="宋体" w:cs="宋体"/>
          <w:sz w:val="28"/>
          <w:szCs w:val="28"/>
        </w:rPr>
      </w:pPr>
      <w:r>
        <w:rPr>
          <w:rFonts w:hint="default" w:hAnsi="宋体" w:cs="宋体"/>
          <w:sz w:val="28"/>
          <w:szCs w:val="28"/>
        </w:rPr>
        <w:t>附件四：廉洁协议书</w:t>
      </w:r>
    </w:p>
    <w:p w14:paraId="171482D9">
      <w:pPr>
        <w:spacing w:beforeLines="0" w:afterLines="0" w:line="360" w:lineRule="auto"/>
        <w:ind w:firstLine="560" w:firstLineChars="200"/>
        <w:rPr>
          <w:rFonts w:hint="default" w:hAnsi="宋体" w:cs="宋体"/>
          <w:sz w:val="28"/>
          <w:szCs w:val="28"/>
        </w:rPr>
      </w:pPr>
      <w:r>
        <w:rPr>
          <w:rFonts w:hint="default" w:hAnsi="宋体" w:cs="宋体"/>
          <w:sz w:val="28"/>
          <w:szCs w:val="28"/>
        </w:rPr>
        <w:t>附件五、服务验收单</w:t>
      </w:r>
    </w:p>
    <w:p w14:paraId="429F9AA9">
      <w:pPr>
        <w:spacing w:beforeLines="0" w:afterLines="0" w:line="360" w:lineRule="auto"/>
        <w:ind w:firstLine="562" w:firstLineChars="200"/>
        <w:rPr>
          <w:rFonts w:hint="default" w:hAnsi="宋体" w:cs="宋体"/>
          <w:b/>
          <w:sz w:val="28"/>
          <w:szCs w:val="28"/>
        </w:rPr>
      </w:pPr>
      <w:r>
        <w:rPr>
          <w:rFonts w:hint="default" w:hAnsi="宋体" w:cs="宋体"/>
          <w:b/>
          <w:sz w:val="28"/>
          <w:szCs w:val="28"/>
        </w:rPr>
        <w:t>（以下无正文，为签署页）</w:t>
      </w:r>
    </w:p>
    <w:p w14:paraId="71E113E2">
      <w:pPr>
        <w:spacing w:beforeLines="0" w:afterLines="0" w:line="360" w:lineRule="auto"/>
        <w:ind w:firstLine="560" w:firstLineChars="200"/>
        <w:rPr>
          <w:rFonts w:hint="default" w:hAnsi="宋体" w:cs="宋体"/>
          <w:sz w:val="28"/>
          <w:szCs w:val="28"/>
        </w:rPr>
      </w:pPr>
    </w:p>
    <w:p w14:paraId="24CB665C">
      <w:pPr>
        <w:spacing w:beforeLines="0" w:afterLines="0" w:line="360" w:lineRule="auto"/>
        <w:ind w:firstLine="560" w:firstLineChars="200"/>
        <w:rPr>
          <w:rFonts w:hint="default" w:hAnsi="宋体" w:cs="宋体"/>
          <w:sz w:val="28"/>
          <w:szCs w:val="28"/>
        </w:rPr>
      </w:pPr>
    </w:p>
    <w:p w14:paraId="269F829A">
      <w:pPr>
        <w:spacing w:line="360" w:lineRule="auto"/>
        <w:rPr>
          <w:rFonts w:hint="default" w:hAnsi="宋体" w:cs="宋体"/>
          <w:sz w:val="28"/>
          <w:szCs w:val="28"/>
        </w:rPr>
      </w:pPr>
      <w:r>
        <w:rPr>
          <w:rFonts w:hint="default" w:hAnsi="宋体" w:cs="宋体"/>
          <w:sz w:val="28"/>
          <w:szCs w:val="28"/>
        </w:rPr>
        <w:t xml:space="preserve">甲方（签章）：                   乙方（签章）： </w:t>
      </w:r>
    </w:p>
    <w:p w14:paraId="568E0C6E">
      <w:pPr>
        <w:spacing w:line="360" w:lineRule="auto"/>
        <w:ind w:firstLine="560" w:firstLineChars="200"/>
        <w:rPr>
          <w:rFonts w:hint="default" w:hAnsi="宋体" w:cs="宋体"/>
          <w:sz w:val="28"/>
          <w:szCs w:val="28"/>
        </w:rPr>
      </w:pPr>
      <w:r>
        <w:rPr>
          <w:rFonts w:hint="default" w:hAnsi="宋体" w:cs="宋体"/>
          <w:sz w:val="28"/>
          <w:szCs w:val="28"/>
        </w:rPr>
        <w:t xml:space="preserve">  </w:t>
      </w:r>
    </w:p>
    <w:p w14:paraId="089FA08D">
      <w:pPr>
        <w:spacing w:line="360" w:lineRule="auto"/>
        <w:rPr>
          <w:rFonts w:hint="default" w:hAnsi="宋体" w:cs="宋体"/>
          <w:sz w:val="28"/>
          <w:szCs w:val="28"/>
        </w:rPr>
      </w:pPr>
      <w:r>
        <w:rPr>
          <w:rFonts w:hint="default" w:hAnsi="宋体" w:cs="宋体"/>
          <w:sz w:val="28"/>
          <w:szCs w:val="28"/>
        </w:rPr>
        <w:t>法定代表人/授权代表（签名）：      法定代表人/授权代表（签名）：</w:t>
      </w:r>
    </w:p>
    <w:p w14:paraId="1BB15FC9">
      <w:pPr>
        <w:spacing w:line="360" w:lineRule="auto"/>
        <w:ind w:firstLine="560" w:firstLineChars="200"/>
        <w:rPr>
          <w:rFonts w:hint="default" w:hAnsi="宋体" w:cs="宋体"/>
          <w:sz w:val="28"/>
          <w:szCs w:val="28"/>
        </w:rPr>
      </w:pPr>
      <w:r>
        <w:rPr>
          <w:rFonts w:hint="default" w:hAnsi="宋体" w:cs="宋体"/>
          <w:sz w:val="28"/>
          <w:szCs w:val="28"/>
        </w:rPr>
        <w:t xml:space="preserve"> </w:t>
      </w:r>
    </w:p>
    <w:p w14:paraId="1B0E5A3D">
      <w:pPr>
        <w:spacing w:line="360" w:lineRule="auto"/>
        <w:rPr>
          <w:rFonts w:hint="default" w:hAnsi="宋体" w:cs="宋体"/>
          <w:sz w:val="28"/>
          <w:szCs w:val="28"/>
        </w:rPr>
      </w:pPr>
      <w:r>
        <w:rPr>
          <w:rFonts w:hint="default" w:hAnsi="宋体" w:cs="宋体"/>
          <w:sz w:val="28"/>
          <w:szCs w:val="28"/>
        </w:rPr>
        <w:t xml:space="preserve">地址：                           地址：                         </w:t>
      </w:r>
    </w:p>
    <w:p w14:paraId="05C9797F">
      <w:pPr>
        <w:spacing w:beforeLines="0" w:afterLines="0" w:line="360" w:lineRule="auto"/>
        <w:ind w:firstLine="560" w:firstLineChars="200"/>
        <w:rPr>
          <w:rFonts w:hint="default" w:hAnsi="宋体" w:cs="宋体"/>
          <w:sz w:val="28"/>
          <w:szCs w:val="28"/>
        </w:rPr>
      </w:pPr>
    </w:p>
    <w:p w14:paraId="51D65DF0">
      <w:pPr>
        <w:spacing w:beforeLines="0" w:afterLines="0" w:line="360" w:lineRule="auto"/>
        <w:rPr>
          <w:rFonts w:hint="default" w:hAnsi="宋体" w:cs="宋体"/>
          <w:sz w:val="28"/>
          <w:szCs w:val="28"/>
        </w:rPr>
      </w:pPr>
      <w:r>
        <w:rPr>
          <w:rFonts w:hint="default" w:hAnsi="宋体" w:cs="宋体"/>
          <w:sz w:val="28"/>
          <w:szCs w:val="28"/>
        </w:rPr>
        <w:t>签订地址：东莞市</w:t>
      </w:r>
    </w:p>
    <w:p w14:paraId="45CB381C">
      <w:pPr>
        <w:spacing w:beforeLines="0" w:afterLines="0" w:line="360" w:lineRule="auto"/>
        <w:rPr>
          <w:rFonts w:hint="default" w:hAnsi="宋体" w:cs="宋体"/>
          <w:sz w:val="28"/>
          <w:szCs w:val="28"/>
        </w:rPr>
      </w:pPr>
      <w:r>
        <w:rPr>
          <w:rFonts w:hint="default" w:hAnsi="宋体" w:cs="宋体"/>
          <w:sz w:val="28"/>
          <w:szCs w:val="28"/>
        </w:rPr>
        <w:t xml:space="preserve">日期：     年    月    日                 </w:t>
      </w:r>
    </w:p>
    <w:p w14:paraId="61A5B623">
      <w:pPr>
        <w:spacing w:beforeLines="0" w:afterLines="0"/>
        <w:rPr>
          <w:rFonts w:hint="default" w:hAnsi="宋体" w:cs="宋体"/>
          <w:sz w:val="28"/>
          <w:szCs w:val="28"/>
        </w:rPr>
      </w:pPr>
      <w:r>
        <w:rPr>
          <w:rFonts w:hint="default" w:hAnsi="宋体" w:cs="宋体"/>
          <w:sz w:val="28"/>
          <w:szCs w:val="28"/>
        </w:rPr>
        <w:br w:type="page"/>
      </w:r>
    </w:p>
    <w:p w14:paraId="54530FE2">
      <w:pPr>
        <w:widowControl/>
        <w:spacing w:beforeLines="0" w:afterLines="0"/>
        <w:rPr>
          <w:rFonts w:hint="default" w:hAnsi="宋体" w:cs="宋体"/>
          <w:sz w:val="28"/>
          <w:szCs w:val="28"/>
        </w:rPr>
      </w:pPr>
      <w:r>
        <w:rPr>
          <w:rFonts w:hint="default" w:hAnsi="宋体" w:cs="宋体"/>
          <w:sz w:val="28"/>
          <w:szCs w:val="28"/>
        </w:rPr>
        <w:t>附件一：报价文件</w:t>
      </w:r>
    </w:p>
    <w:p w14:paraId="32AF9538">
      <w:pPr>
        <w:spacing w:beforeLines="0" w:afterLines="0"/>
        <w:rPr>
          <w:rFonts w:hint="default" w:hAnsi="宋体" w:cs="宋体"/>
          <w:sz w:val="28"/>
          <w:szCs w:val="28"/>
        </w:rPr>
      </w:pPr>
    </w:p>
    <w:p w14:paraId="5223C169">
      <w:pPr>
        <w:widowControl/>
        <w:spacing w:beforeLines="0" w:afterLines="0"/>
        <w:rPr>
          <w:rFonts w:hint="default" w:hAnsi="宋体" w:cs="宋体"/>
          <w:sz w:val="28"/>
          <w:szCs w:val="28"/>
        </w:rPr>
      </w:pPr>
      <w:r>
        <w:rPr>
          <w:rFonts w:hint="default" w:hAnsi="宋体" w:cs="宋体"/>
          <w:sz w:val="28"/>
          <w:szCs w:val="28"/>
        </w:rPr>
        <w:br w:type="page"/>
      </w:r>
    </w:p>
    <w:p w14:paraId="3DDFFE16">
      <w:pPr>
        <w:spacing w:beforeLines="0" w:afterLines="0"/>
        <w:rPr>
          <w:rFonts w:hint="default" w:hAnsi="宋体" w:cs="宋体"/>
          <w:sz w:val="28"/>
          <w:szCs w:val="28"/>
        </w:rPr>
      </w:pPr>
      <w:r>
        <w:rPr>
          <w:rFonts w:hint="default" w:hAnsi="宋体" w:cs="宋体"/>
          <w:sz w:val="28"/>
          <w:szCs w:val="28"/>
        </w:rPr>
        <w:t>附件二：用户需求书</w:t>
      </w:r>
    </w:p>
    <w:p w14:paraId="586A68D3">
      <w:pPr>
        <w:spacing w:beforeLines="0" w:afterLines="0"/>
        <w:rPr>
          <w:rFonts w:hint="default" w:hAnsi="宋体" w:cs="宋体"/>
          <w:sz w:val="28"/>
          <w:szCs w:val="28"/>
        </w:rPr>
      </w:pPr>
    </w:p>
    <w:p w14:paraId="58A36D62">
      <w:pPr>
        <w:widowControl/>
        <w:spacing w:beforeLines="0" w:afterLines="0"/>
        <w:rPr>
          <w:rFonts w:hint="default" w:hAnsi="宋体" w:cs="宋体"/>
          <w:sz w:val="28"/>
          <w:szCs w:val="28"/>
        </w:rPr>
      </w:pPr>
      <w:r>
        <w:rPr>
          <w:rFonts w:hint="default" w:hAnsi="宋体" w:cs="宋体"/>
          <w:sz w:val="28"/>
          <w:szCs w:val="28"/>
        </w:rPr>
        <w:br w:type="page"/>
      </w:r>
    </w:p>
    <w:p w14:paraId="1211C3AF">
      <w:pPr>
        <w:spacing w:beforeLines="0" w:afterLines="0"/>
        <w:rPr>
          <w:rFonts w:hint="default" w:hAnsi="宋体" w:cs="宋体"/>
          <w:sz w:val="28"/>
          <w:szCs w:val="28"/>
        </w:rPr>
      </w:pPr>
      <w:r>
        <w:rPr>
          <w:rFonts w:hint="default" w:hAnsi="宋体" w:cs="宋体"/>
          <w:sz w:val="28"/>
          <w:szCs w:val="28"/>
        </w:rPr>
        <w:t>附件三：承诺书</w:t>
      </w:r>
    </w:p>
    <w:p w14:paraId="4A5438AC">
      <w:pPr>
        <w:spacing w:beforeLines="0" w:afterLines="0" w:line="360" w:lineRule="auto"/>
        <w:jc w:val="center"/>
        <w:rPr>
          <w:rFonts w:hint="default" w:hAnsi="宋体" w:cs="宋体"/>
          <w:sz w:val="28"/>
          <w:szCs w:val="28"/>
        </w:rPr>
      </w:pPr>
      <w:r>
        <w:rPr>
          <w:rFonts w:hint="default" w:hAnsi="宋体" w:cs="宋体"/>
          <w:sz w:val="28"/>
          <w:szCs w:val="28"/>
        </w:rPr>
        <w:t>承诺书</w:t>
      </w:r>
    </w:p>
    <w:p w14:paraId="74257E34">
      <w:pPr>
        <w:spacing w:beforeLines="0" w:afterLines="0" w:line="360" w:lineRule="auto"/>
        <w:rPr>
          <w:rFonts w:hint="default" w:hAnsi="宋体" w:cs="宋体"/>
          <w:sz w:val="28"/>
          <w:szCs w:val="28"/>
          <w:u w:val="single"/>
        </w:rPr>
      </w:pPr>
    </w:p>
    <w:p w14:paraId="7271E1E2">
      <w:pPr>
        <w:spacing w:beforeLines="0" w:afterLines="0" w:line="360" w:lineRule="auto"/>
        <w:rPr>
          <w:rFonts w:hint="default" w:hAnsi="宋体" w:cs="宋体"/>
          <w:sz w:val="28"/>
          <w:szCs w:val="28"/>
          <w:u w:val="single"/>
        </w:rPr>
      </w:pPr>
      <w:r>
        <w:rPr>
          <w:rFonts w:hint="default" w:hAnsi="宋体" w:cs="宋体"/>
          <w:sz w:val="28"/>
          <w:szCs w:val="28"/>
          <w:u w:val="single"/>
        </w:rPr>
        <w:t xml:space="preserve">               （甲方主体）： </w:t>
      </w:r>
    </w:p>
    <w:p w14:paraId="374DF71E">
      <w:pPr>
        <w:spacing w:beforeLines="0" w:afterLines="0" w:line="360" w:lineRule="auto"/>
        <w:ind w:firstLine="560" w:firstLineChars="200"/>
        <w:rPr>
          <w:rFonts w:hint="default" w:hAnsi="宋体" w:cs="宋体"/>
          <w:sz w:val="28"/>
          <w:szCs w:val="28"/>
        </w:rPr>
      </w:pPr>
      <w:r>
        <w:rPr>
          <w:rFonts w:hint="default" w:hAnsi="宋体" w:cs="宋体"/>
          <w:sz w:val="28"/>
          <w:szCs w:val="28"/>
        </w:rPr>
        <w:t>我司根据《</w:t>
      </w:r>
      <w:r>
        <w:rPr>
          <w:rFonts w:hint="default" w:hAnsi="宋体" w:cs="宋体"/>
          <w:sz w:val="28"/>
          <w:szCs w:val="28"/>
          <w:u w:val="single"/>
        </w:rPr>
        <w:t xml:space="preserve">              </w:t>
      </w:r>
      <w:r>
        <w:rPr>
          <w:rFonts w:hint="default" w:hAnsi="宋体" w:cs="宋体"/>
          <w:sz w:val="28"/>
          <w:szCs w:val="28"/>
        </w:rPr>
        <w:t>项目合同》相关条款全力配合贵公司工作，并自愿做出如下承诺：</w:t>
      </w:r>
    </w:p>
    <w:p w14:paraId="201CE58A">
      <w:pPr>
        <w:spacing w:beforeLines="0" w:afterLines="0" w:line="360" w:lineRule="auto"/>
        <w:ind w:firstLine="560" w:firstLineChars="200"/>
        <w:rPr>
          <w:rFonts w:hint="default" w:hAnsi="宋体" w:cs="宋体"/>
          <w:sz w:val="28"/>
          <w:szCs w:val="28"/>
        </w:rPr>
      </w:pPr>
      <w:r>
        <w:rPr>
          <w:rFonts w:hint="default" w:hAnsi="宋体" w:cs="宋体"/>
          <w:sz w:val="28"/>
          <w:szCs w:val="28"/>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2B313CF2">
      <w:pPr>
        <w:spacing w:beforeLines="0" w:afterLines="0" w:line="360" w:lineRule="auto"/>
        <w:ind w:firstLine="560" w:firstLineChars="200"/>
        <w:rPr>
          <w:rFonts w:hint="default" w:hAnsi="宋体" w:cs="宋体"/>
          <w:sz w:val="28"/>
          <w:szCs w:val="28"/>
        </w:rPr>
      </w:pPr>
      <w:r>
        <w:rPr>
          <w:rFonts w:hint="default" w:hAnsi="宋体" w:cs="宋体"/>
          <w:sz w:val="28"/>
          <w:szCs w:val="28"/>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74161640">
      <w:pPr>
        <w:spacing w:beforeLines="0" w:afterLines="0" w:line="360" w:lineRule="auto"/>
        <w:ind w:firstLine="560" w:firstLineChars="200"/>
        <w:rPr>
          <w:rFonts w:hint="default" w:hAnsi="宋体" w:cs="宋体"/>
          <w:sz w:val="28"/>
          <w:szCs w:val="28"/>
        </w:rPr>
      </w:pPr>
      <w:r>
        <w:rPr>
          <w:rFonts w:hint="default" w:hAnsi="宋体" w:cs="宋体"/>
          <w:sz w:val="28"/>
          <w:szCs w:val="28"/>
        </w:rPr>
        <w:t>（三）如我司有违反本项目管理及合同约定等行为，我司将同意并接受贵公司根据相关约定对我司进行处罚；</w:t>
      </w:r>
    </w:p>
    <w:p w14:paraId="2E4E5268">
      <w:pPr>
        <w:spacing w:beforeLines="0" w:afterLines="0" w:line="360" w:lineRule="auto"/>
        <w:ind w:firstLine="560" w:firstLineChars="200"/>
        <w:rPr>
          <w:rFonts w:hint="default" w:hAnsi="宋体" w:cs="宋体"/>
          <w:sz w:val="28"/>
          <w:szCs w:val="28"/>
        </w:rPr>
      </w:pPr>
      <w:r>
        <w:rPr>
          <w:rFonts w:hint="default" w:hAnsi="宋体" w:cs="宋体"/>
          <w:sz w:val="28"/>
          <w:szCs w:val="28"/>
        </w:rPr>
        <w:t>（四）如我司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14:paraId="5FA59905">
      <w:pPr>
        <w:spacing w:beforeLines="0" w:afterLines="0" w:line="360" w:lineRule="auto"/>
        <w:ind w:firstLine="560" w:firstLineChars="200"/>
        <w:rPr>
          <w:rFonts w:hint="default" w:hAnsi="宋体" w:cs="宋体"/>
          <w:sz w:val="28"/>
          <w:szCs w:val="28"/>
        </w:rPr>
      </w:pPr>
    </w:p>
    <w:p w14:paraId="19B45D19">
      <w:pPr>
        <w:spacing w:beforeLines="0" w:afterLines="0" w:line="360" w:lineRule="auto"/>
        <w:ind w:right="1004" w:firstLine="3528" w:firstLineChars="1200"/>
        <w:rPr>
          <w:rFonts w:hint="default" w:hAnsi="宋体" w:cs="宋体"/>
          <w:w w:val="105"/>
          <w:sz w:val="28"/>
          <w:szCs w:val="28"/>
        </w:rPr>
      </w:pPr>
      <w:r>
        <w:rPr>
          <w:rFonts w:hint="default" w:hAnsi="宋体" w:cs="宋体"/>
          <w:w w:val="105"/>
          <w:sz w:val="28"/>
          <w:szCs w:val="28"/>
        </w:rPr>
        <w:t xml:space="preserve"> 承诺单位（盖章）：</w:t>
      </w:r>
    </w:p>
    <w:p w14:paraId="5A647AFC">
      <w:pPr>
        <w:spacing w:beforeLines="0" w:afterLines="0" w:line="360" w:lineRule="auto"/>
        <w:ind w:right="960"/>
        <w:rPr>
          <w:rFonts w:hint="default" w:hAnsi="宋体" w:cs="宋体"/>
          <w:sz w:val="28"/>
          <w:szCs w:val="28"/>
        </w:rPr>
      </w:pPr>
      <w:r>
        <w:rPr>
          <w:rFonts w:hint="default" w:hAnsi="宋体" w:cs="宋体"/>
          <w:sz w:val="28"/>
          <w:szCs w:val="28"/>
        </w:rPr>
        <w:t xml:space="preserve">               法人代表人（授权代理人）签名（或盖私章）：</w:t>
      </w:r>
    </w:p>
    <w:p w14:paraId="54600C91">
      <w:pPr>
        <w:spacing w:beforeLines="0" w:afterLines="0" w:line="360" w:lineRule="auto"/>
        <w:ind w:left="4480" w:right="960" w:hanging="4480" w:hangingChars="1600"/>
        <w:rPr>
          <w:rFonts w:hint="default" w:hAnsi="宋体" w:cs="宋体"/>
          <w:sz w:val="28"/>
          <w:szCs w:val="28"/>
        </w:rPr>
      </w:pPr>
      <w:r>
        <w:rPr>
          <w:rFonts w:hint="default" w:hAnsi="宋体" w:cs="宋体"/>
          <w:sz w:val="28"/>
          <w:szCs w:val="28"/>
        </w:rPr>
        <w:t xml:space="preserve">                                                   年    月    日</w:t>
      </w:r>
    </w:p>
    <w:p w14:paraId="0D2AB3FB">
      <w:pPr>
        <w:pStyle w:val="6"/>
        <w:spacing w:beforeLines="0" w:afterLines="0" w:line="480" w:lineRule="auto"/>
        <w:ind w:firstLine="0" w:firstLineChars="0"/>
        <w:rPr>
          <w:rFonts w:hint="default" w:cs="宋体"/>
          <w:sz w:val="28"/>
          <w:szCs w:val="28"/>
        </w:rPr>
      </w:pPr>
    </w:p>
    <w:p w14:paraId="138D7783">
      <w:pPr>
        <w:pStyle w:val="6"/>
        <w:spacing w:beforeLines="0" w:afterLines="0" w:line="480" w:lineRule="auto"/>
        <w:ind w:firstLine="0" w:firstLineChars="0"/>
        <w:rPr>
          <w:rFonts w:hint="default" w:cs="宋体"/>
          <w:sz w:val="28"/>
          <w:szCs w:val="28"/>
        </w:rPr>
      </w:pPr>
    </w:p>
    <w:p w14:paraId="6C33D527">
      <w:pPr>
        <w:pStyle w:val="6"/>
        <w:spacing w:beforeLines="0" w:afterLines="0" w:line="480" w:lineRule="auto"/>
        <w:ind w:firstLine="0" w:firstLineChars="0"/>
        <w:rPr>
          <w:rFonts w:hint="default" w:cs="宋体"/>
          <w:sz w:val="28"/>
          <w:szCs w:val="28"/>
        </w:rPr>
      </w:pPr>
    </w:p>
    <w:p w14:paraId="13222E13">
      <w:pPr>
        <w:pStyle w:val="6"/>
        <w:spacing w:beforeLines="0" w:afterLines="0" w:line="480" w:lineRule="auto"/>
        <w:ind w:firstLine="0" w:firstLineChars="0"/>
        <w:rPr>
          <w:rFonts w:hint="default" w:cs="宋体"/>
          <w:sz w:val="28"/>
          <w:szCs w:val="28"/>
        </w:rPr>
      </w:pPr>
    </w:p>
    <w:p w14:paraId="0E6E0794">
      <w:pPr>
        <w:pStyle w:val="6"/>
        <w:spacing w:beforeLines="0" w:afterLines="0" w:line="480" w:lineRule="auto"/>
        <w:ind w:firstLine="0" w:firstLineChars="0"/>
        <w:rPr>
          <w:rFonts w:hint="default" w:cs="宋体"/>
          <w:sz w:val="28"/>
          <w:szCs w:val="28"/>
        </w:rPr>
      </w:pPr>
    </w:p>
    <w:p w14:paraId="1CA26889">
      <w:pPr>
        <w:pStyle w:val="6"/>
        <w:spacing w:beforeLines="0" w:afterLines="0" w:line="480" w:lineRule="auto"/>
        <w:ind w:firstLine="0" w:firstLineChars="0"/>
        <w:rPr>
          <w:rFonts w:hint="default" w:cs="宋体"/>
          <w:sz w:val="28"/>
          <w:szCs w:val="28"/>
        </w:rPr>
      </w:pPr>
    </w:p>
    <w:p w14:paraId="4B0843D4">
      <w:pPr>
        <w:spacing w:beforeLines="0" w:afterLines="0"/>
        <w:rPr>
          <w:rFonts w:hint="default" w:hAnsi="宋体" w:cs="宋体"/>
          <w:sz w:val="28"/>
          <w:szCs w:val="28"/>
        </w:rPr>
      </w:pPr>
      <w:r>
        <w:rPr>
          <w:rFonts w:hint="default" w:hAnsi="宋体" w:cs="宋体"/>
          <w:sz w:val="28"/>
          <w:szCs w:val="28"/>
        </w:rPr>
        <w:br w:type="page"/>
      </w:r>
    </w:p>
    <w:p w14:paraId="767114A0">
      <w:pPr>
        <w:spacing w:beforeLines="0" w:afterLines="0"/>
        <w:rPr>
          <w:rFonts w:hint="default" w:hAnsi="宋体" w:cs="宋体"/>
          <w:sz w:val="28"/>
          <w:szCs w:val="28"/>
        </w:rPr>
      </w:pPr>
      <w:r>
        <w:rPr>
          <w:rFonts w:hint="default" w:hAnsi="宋体" w:cs="宋体"/>
          <w:sz w:val="28"/>
          <w:szCs w:val="28"/>
        </w:rPr>
        <w:t>附件四：廉洁协议书</w:t>
      </w:r>
    </w:p>
    <w:p w14:paraId="4AB42909">
      <w:pPr>
        <w:spacing w:beforeLines="0" w:afterLines="0" w:line="600" w:lineRule="exact"/>
        <w:ind w:right="36" w:rightChars="1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廉洁协议书</w:t>
      </w:r>
    </w:p>
    <w:p w14:paraId="4D72FDA2">
      <w:pPr>
        <w:spacing w:beforeLines="0" w:afterLines="0" w:line="600" w:lineRule="exact"/>
        <w:ind w:right="36" w:rightChars="15"/>
        <w:jc w:val="center"/>
        <w:rPr>
          <w:rFonts w:hint="default" w:hAnsi="宋体"/>
          <w:b/>
          <w:sz w:val="44"/>
          <w:szCs w:val="44"/>
        </w:rPr>
      </w:pPr>
    </w:p>
    <w:p w14:paraId="526AE8C9">
      <w:pPr>
        <w:spacing w:beforeLines="0" w:afterLines="0" w:line="560" w:lineRule="exact"/>
        <w:rPr>
          <w:rFonts w:hint="default" w:ascii="Times New Roman" w:eastAsia="仿宋_GB2312"/>
          <w:sz w:val="32"/>
          <w:szCs w:val="32"/>
        </w:rPr>
      </w:pPr>
      <w:r>
        <w:rPr>
          <w:rFonts w:hint="eastAsia" w:ascii="Times New Roman" w:eastAsia="仿宋_GB2312"/>
          <w:b/>
          <w:sz w:val="32"/>
          <w:szCs w:val="32"/>
        </w:rPr>
        <w:t>项目名称：</w:t>
      </w:r>
      <w:r>
        <w:rPr>
          <w:rFonts w:hint="eastAsia" w:ascii="Times New Roman" w:eastAsia="仿宋_GB2312"/>
          <w:sz w:val="32"/>
          <w:szCs w:val="32"/>
        </w:rPr>
        <w:t xml:space="preserve">                 （采购编号：</w:t>
      </w:r>
      <w:r>
        <w:rPr>
          <w:rFonts w:hint="eastAsia" w:ascii="Times New Roman" w:eastAsia="仿宋_GB2312"/>
          <w:sz w:val="32"/>
          <w:szCs w:val="32"/>
          <w:u w:val="single"/>
        </w:rPr>
        <w:t xml:space="preserve">            </w:t>
      </w:r>
      <w:r>
        <w:rPr>
          <w:rFonts w:hint="eastAsia" w:ascii="Times New Roman" w:eastAsia="仿宋_GB2312"/>
          <w:sz w:val="32"/>
          <w:szCs w:val="32"/>
        </w:rPr>
        <w:t>）</w:t>
      </w:r>
    </w:p>
    <w:p w14:paraId="594107BE">
      <w:pPr>
        <w:spacing w:beforeLines="0" w:afterLines="0" w:line="560" w:lineRule="exact"/>
        <w:rPr>
          <w:rFonts w:hint="default" w:ascii="Times New Roman" w:eastAsia="仿宋_GB2312"/>
          <w:b/>
          <w:sz w:val="32"/>
          <w:szCs w:val="32"/>
        </w:rPr>
      </w:pPr>
      <w:r>
        <w:rPr>
          <w:rFonts w:hint="eastAsia" w:ascii="Times New Roman" w:eastAsia="仿宋_GB2312"/>
          <w:b/>
          <w:sz w:val="32"/>
          <w:szCs w:val="32"/>
        </w:rPr>
        <w:t>甲方（业主单位）：</w:t>
      </w:r>
    </w:p>
    <w:p w14:paraId="12783102">
      <w:pPr>
        <w:spacing w:beforeLines="0" w:afterLines="0" w:line="560" w:lineRule="exact"/>
        <w:rPr>
          <w:rFonts w:hint="default" w:ascii="Times New Roman" w:eastAsia="仿宋_GB2312"/>
          <w:b/>
          <w:sz w:val="32"/>
          <w:szCs w:val="32"/>
        </w:rPr>
      </w:pPr>
      <w:r>
        <w:rPr>
          <w:rFonts w:hint="eastAsia" w:ascii="Times New Roman" w:eastAsia="仿宋_GB2312"/>
          <w:b/>
          <w:sz w:val="32"/>
          <w:szCs w:val="32"/>
        </w:rPr>
        <w:t>乙方：</w:t>
      </w:r>
    </w:p>
    <w:p w14:paraId="5BE0D4B2">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564C7FC">
      <w:pPr>
        <w:spacing w:line="560" w:lineRule="exact"/>
        <w:ind w:firstLine="643" w:firstLineChars="200"/>
        <w:rPr>
          <w:rFonts w:hint="default" w:ascii="Times New Roman" w:eastAsia="仿宋_GB2312"/>
          <w:b/>
          <w:sz w:val="32"/>
          <w:szCs w:val="32"/>
        </w:rPr>
      </w:pPr>
      <w:r>
        <w:rPr>
          <w:rFonts w:hint="eastAsia" w:ascii="Times New Roman" w:eastAsia="仿宋_GB2312"/>
          <w:b/>
          <w:sz w:val="32"/>
          <w:szCs w:val="32"/>
        </w:rPr>
        <w:t>第一条  甲乙双方的权利和义务</w:t>
      </w:r>
    </w:p>
    <w:p w14:paraId="56CB678C">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（一）严格遵守党和国家有关法律法规等有关廉洁从业规定。</w:t>
      </w:r>
    </w:p>
    <w:p w14:paraId="1867D896">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（二）严格执行本项目的合同文件，自觉按合同办事。</w:t>
      </w:r>
    </w:p>
    <w:p w14:paraId="3ABEDDA4">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（三）双方的业务活动坚持公开、公正、诚信、透明的原则（除法律认定的商业秘密和合同文件另有规定之外）不得损害国家和集体利益，违反工程建设管理及其他法律法规规章制度。</w:t>
      </w:r>
    </w:p>
    <w:p w14:paraId="41108327">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（四）建立健全廉洁制度，开展廉洁教育，设立廉洁监督公示牌，公布举报电话，监督并认真查处违法违纪行为。</w:t>
      </w:r>
    </w:p>
    <w:p w14:paraId="42625AA8">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（五）发现对方在业务活动中有违反廉洁规定的行为，有及时提醒对方纠正的权利和义务。</w:t>
      </w:r>
    </w:p>
    <w:p w14:paraId="202706B1">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（六）发现对方严重违反本协议义务条款的行为，有向其上级有关部门举报、建议给予处理并要求告知处理结果的权利。</w:t>
      </w:r>
    </w:p>
    <w:p w14:paraId="3DC71077">
      <w:pPr>
        <w:spacing w:line="560" w:lineRule="exact"/>
        <w:ind w:firstLine="643" w:firstLineChars="200"/>
        <w:rPr>
          <w:rFonts w:hint="default" w:ascii="Times New Roman" w:eastAsia="仿宋_GB2312"/>
          <w:b/>
          <w:sz w:val="32"/>
          <w:szCs w:val="32"/>
        </w:rPr>
      </w:pPr>
      <w:r>
        <w:rPr>
          <w:rFonts w:hint="eastAsia" w:ascii="Times New Roman" w:eastAsia="仿宋_GB2312"/>
          <w:b/>
          <w:sz w:val="32"/>
          <w:szCs w:val="32"/>
        </w:rPr>
        <w:t>第二条  甲方的义务</w:t>
      </w:r>
    </w:p>
    <w:p w14:paraId="63991023">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（一）甲方及其工作人员不得索要或接受乙方的礼金、有价证券和贵重物品，不得在乙方报销任何应由甲方或个人支付的费用。</w:t>
      </w:r>
    </w:p>
    <w:p w14:paraId="49F54364">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（二）甲方工作人员不得参加乙方安排的高消费宴请和娱乐活动；不得接受乙方提供的通讯工具、交通工具和高档办公用品。</w:t>
      </w:r>
    </w:p>
    <w:p w14:paraId="0B8D3F6E">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（三）甲方及其工作人员不得要求或者接受乙方为其住房装修、婚丧嫁娶活动、家属或亲友的工作安排以及出国出境、旅游等提供方便。</w:t>
      </w:r>
    </w:p>
    <w:p w14:paraId="2E2BF580">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（四）甲方工作人员不得向乙方介绍其家属或者亲友（包括家属或亲友开办的公司企业）从事于本项目涉及的经济业务活动。</w:t>
      </w:r>
    </w:p>
    <w:p w14:paraId="0B0A7849">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（五）甲方及其工作人员不得以任何理由向乙方推荐分包单位，不得要求乙方购买合同规定外的材料和设备。</w:t>
      </w:r>
    </w:p>
    <w:p w14:paraId="5B1EA965">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（六）甲方及其工作人员不得进行违反廉洁规定的其他活动。</w:t>
      </w:r>
    </w:p>
    <w:p w14:paraId="23786A32">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（七）甲方应对甲方工作人员进行廉洁监督管理，如甲方工作人员违反本协议第一、第二条，甲方应依据有关法律法规、党纪规定对其进行处理；涉嫌犯罪的，甲方应将其移交司法机关追究刑事责任。</w:t>
      </w:r>
    </w:p>
    <w:p w14:paraId="32C6805D">
      <w:pPr>
        <w:spacing w:line="560" w:lineRule="exact"/>
        <w:ind w:firstLine="643" w:firstLineChars="200"/>
        <w:rPr>
          <w:rFonts w:hint="default" w:ascii="Times New Roman" w:eastAsia="仿宋_GB2312"/>
          <w:b/>
          <w:sz w:val="32"/>
          <w:szCs w:val="32"/>
        </w:rPr>
      </w:pPr>
      <w:r>
        <w:rPr>
          <w:rFonts w:hint="eastAsia" w:ascii="Times New Roman" w:eastAsia="仿宋_GB2312"/>
          <w:b/>
          <w:sz w:val="32"/>
          <w:szCs w:val="32"/>
        </w:rPr>
        <w:t>第三条  乙方义务</w:t>
      </w:r>
    </w:p>
    <w:p w14:paraId="7665E097">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（一）乙方不得以任何理由向甲方及其工作人员馈赠礼金、有价证券、贵重礼品，或报销应由甲方单位或个人支付的任何费用。</w:t>
      </w:r>
    </w:p>
    <w:p w14:paraId="544F5F17">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（二）乙方及其工作人员不得以考察、参观、洽谈业务、签订合同等的借口邀请甲方及其工作人员参加高消费的宴请、娱乐和健身等活动。</w:t>
      </w:r>
    </w:p>
    <w:p w14:paraId="368888EF">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（三）乙方不得为甲方单位和个人购置或提供通讯工具、交通工具和高档办公用品等。</w:t>
      </w:r>
    </w:p>
    <w:p w14:paraId="772C9695">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（四）乙方及其工作人员不得为甲方工作人员购买、装修、维修私人住房、汽车等。</w:t>
      </w:r>
    </w:p>
    <w:p w14:paraId="62C49EE9">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（五）乙方及其工作人员不得为甲方工作人员的婚丧嫁娶、家属或亲友的工作安排，及出国出境提供方便以及报销任何私人消费的费用。</w:t>
      </w:r>
    </w:p>
    <w:p w14:paraId="54853491">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（六）乙方及其工作人员不得进行影响甲方及其工作人员公正执行合同和履行职务的其他活动。</w:t>
      </w:r>
    </w:p>
    <w:p w14:paraId="24FEDA4B">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03DEA34E">
      <w:pPr>
        <w:spacing w:line="560" w:lineRule="exact"/>
        <w:ind w:firstLine="643" w:firstLineChars="200"/>
        <w:rPr>
          <w:rFonts w:hint="default" w:ascii="Times New Roman" w:eastAsia="仿宋_GB2312"/>
          <w:b/>
          <w:sz w:val="32"/>
          <w:szCs w:val="32"/>
        </w:rPr>
      </w:pPr>
      <w:r>
        <w:rPr>
          <w:rFonts w:hint="eastAsia" w:ascii="Times New Roman" w:eastAsia="仿宋_GB2312"/>
          <w:b/>
          <w:sz w:val="32"/>
          <w:szCs w:val="32"/>
        </w:rPr>
        <w:t>第四条  违约责任</w:t>
      </w:r>
    </w:p>
    <w:p w14:paraId="05D8D256">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（一）甲方违反本协议第一、第二条给乙方单位造成经济损失的，应予以赔偿。</w:t>
      </w:r>
    </w:p>
    <w:p w14:paraId="4B782E5D">
      <w:pPr>
        <w:spacing w:line="560" w:lineRule="exact"/>
        <w:ind w:firstLine="640" w:firstLineChars="200"/>
        <w:rPr>
          <w:rFonts w:hint="default" w:ascii="Times New Roman" w:eastAsia="仿宋_GB2312"/>
          <w:color w:val="FF0000"/>
          <w:sz w:val="32"/>
          <w:szCs w:val="32"/>
        </w:rPr>
      </w:pPr>
      <w:r>
        <w:rPr>
          <w:rFonts w:hint="eastAsia" w:ascii="Times New Roman" w:eastAsia="仿宋_GB2312"/>
          <w:sz w:val="32"/>
          <w:szCs w:val="32"/>
        </w:rPr>
        <w:t>（二）乙方违反本协议第一、第三条给甲方单位造成经济损失的，应予以赔偿。</w:t>
      </w:r>
    </w:p>
    <w:p w14:paraId="1EDB7F46">
      <w:pPr>
        <w:spacing w:line="560" w:lineRule="exact"/>
        <w:ind w:firstLine="643" w:firstLineChars="200"/>
        <w:rPr>
          <w:rFonts w:hint="default" w:ascii="Times New Roman" w:eastAsia="仿宋_GB2312"/>
          <w:b/>
          <w:sz w:val="32"/>
          <w:szCs w:val="32"/>
        </w:rPr>
      </w:pPr>
      <w:r>
        <w:rPr>
          <w:rFonts w:hint="eastAsia" w:ascii="Times New Roman" w:eastAsia="仿宋_GB2312"/>
          <w:b/>
          <w:sz w:val="32"/>
          <w:szCs w:val="32"/>
        </w:rPr>
        <w:t xml:space="preserve">第五条 </w:t>
      </w:r>
      <w:r>
        <w:rPr>
          <w:rFonts w:hint="default" w:ascii="Times New Roman" w:eastAsia="仿宋_GB2312"/>
          <w:b/>
          <w:sz w:val="32"/>
          <w:szCs w:val="32"/>
        </w:rPr>
        <w:t xml:space="preserve"> </w:t>
      </w:r>
      <w:r>
        <w:rPr>
          <w:rFonts w:hint="eastAsia" w:ascii="Times New Roman" w:eastAsia="仿宋_GB2312"/>
          <w:b/>
          <w:sz w:val="32"/>
          <w:szCs w:val="32"/>
        </w:rPr>
        <w:t>监督检查</w:t>
      </w:r>
    </w:p>
    <w:p w14:paraId="34B5930D">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甲乙双方的廉洁从业行为由双方或双方上级单位的纪检、监察部门负责监督，对本协议履行情况进行检查。</w:t>
      </w:r>
    </w:p>
    <w:p w14:paraId="0ACEF045">
      <w:pPr>
        <w:numPr>
          <w:ilvl w:val="0"/>
          <w:numId w:val="0"/>
        </w:numPr>
        <w:spacing w:line="560" w:lineRule="exact"/>
        <w:ind w:firstLine="643" w:firstLineChars="200"/>
        <w:rPr>
          <w:rFonts w:hint="default" w:ascii="Times New Roman" w:eastAsia="仿宋_GB2312"/>
          <w:b/>
          <w:sz w:val="32"/>
          <w:szCs w:val="32"/>
        </w:rPr>
      </w:pPr>
      <w:r>
        <w:rPr>
          <w:rFonts w:hint="eastAsia" w:ascii="Times New Roman" w:eastAsia="仿宋_GB2312"/>
          <w:b/>
          <w:sz w:val="32"/>
          <w:szCs w:val="32"/>
        </w:rPr>
        <w:t>第六条 举报信访受理</w:t>
      </w:r>
    </w:p>
    <w:p w14:paraId="634A7F9A">
      <w:pPr>
        <w:numPr>
          <w:ilvl w:val="0"/>
          <w:numId w:val="0"/>
        </w:numPr>
        <w:spacing w:line="560" w:lineRule="exact"/>
        <w:ind w:firstLine="560"/>
        <w:rPr>
          <w:rFonts w:hint="default" w:ascii="Times New Roman" w:eastAsia="仿宋_GB2312"/>
          <w:sz w:val="32"/>
          <w:szCs w:val="32"/>
        </w:rPr>
      </w:pPr>
      <w:r>
        <w:rPr>
          <w:rFonts w:hint="eastAsia" w:ascii="Times New Roman" w:eastAsia="仿宋_GB2312"/>
          <w:sz w:val="32"/>
          <w:szCs w:val="32"/>
        </w:rPr>
        <w:t>（一）举报受理部门：东莞市水务集团有限公司纪检监察部。</w:t>
      </w:r>
    </w:p>
    <w:p w14:paraId="4256F971">
      <w:pPr>
        <w:numPr>
          <w:ilvl w:val="0"/>
          <w:numId w:val="0"/>
        </w:numPr>
        <w:spacing w:line="560" w:lineRule="exact"/>
        <w:ind w:firstLine="560"/>
        <w:rPr>
          <w:rFonts w:hint="default" w:ascii="Times New Roman" w:eastAsia="仿宋_GB2312"/>
          <w:sz w:val="32"/>
          <w:szCs w:val="32"/>
        </w:rPr>
      </w:pPr>
      <w:r>
        <w:rPr>
          <w:rFonts w:hint="eastAsia" w:ascii="Times New Roman" w:eastAsia="仿宋_GB2312"/>
          <w:sz w:val="32"/>
          <w:szCs w:val="32"/>
        </w:rPr>
        <w:t>（二）举报电话：（0769）23076092。</w:t>
      </w:r>
    </w:p>
    <w:p w14:paraId="3F828B6A">
      <w:pPr>
        <w:numPr>
          <w:ilvl w:val="0"/>
          <w:numId w:val="0"/>
        </w:numPr>
        <w:spacing w:line="560" w:lineRule="exact"/>
        <w:ind w:firstLine="560"/>
        <w:rPr>
          <w:rFonts w:hint="default" w:ascii="Times New Roman" w:eastAsia="仿宋_GB2312"/>
          <w:sz w:val="32"/>
          <w:szCs w:val="32"/>
        </w:rPr>
      </w:pPr>
      <w:r>
        <w:rPr>
          <w:rFonts w:hint="eastAsia" w:ascii="Times New Roman" w:eastAsia="仿宋_GB2312"/>
          <w:sz w:val="32"/>
          <w:szCs w:val="32"/>
        </w:rPr>
        <w:t>（三）举报邮箱：</w:t>
      </w:r>
      <w:r>
        <w:rPr>
          <w:rFonts w:hint="default" w:ascii="Times New Roman" w:eastAsia="仿宋_GB2312"/>
          <w:sz w:val="32"/>
          <w:szCs w:val="32"/>
        </w:rPr>
        <w:fldChar w:fldCharType="begin"/>
      </w:r>
      <w:r>
        <w:rPr>
          <w:rFonts w:hint="default" w:ascii="Times New Roman" w:eastAsia="仿宋_GB2312"/>
          <w:sz w:val="32"/>
          <w:szCs w:val="32"/>
        </w:rPr>
        <w:instrText xml:space="preserve"> HYPERLINK "mailto:jcsj@dgswjt.cn</w:instrText>
      </w:r>
      <w:r>
        <w:rPr>
          <w:rFonts w:hint="eastAsia" w:ascii="Times New Roman" w:eastAsia="仿宋_GB2312"/>
          <w:sz w:val="32"/>
          <w:szCs w:val="32"/>
        </w:rPr>
        <w:instrText xml:space="preserve">。" </w:instrText>
      </w:r>
      <w:r>
        <w:rPr>
          <w:rFonts w:hint="eastAsia" w:ascii="Times New Roman" w:eastAsia="仿宋_GB2312"/>
          <w:sz w:val="32"/>
          <w:szCs w:val="32"/>
        </w:rPr>
        <w:fldChar w:fldCharType="separate"/>
      </w:r>
      <w:r>
        <w:rPr>
          <w:rStyle w:val="11"/>
          <w:rFonts w:hint="default" w:ascii="Times New Roman" w:eastAsia="仿宋_GB2312"/>
          <w:sz w:val="32"/>
          <w:szCs w:val="32"/>
        </w:rPr>
        <w:t>jcsj@dgswjt.cn</w:t>
      </w:r>
      <w:r>
        <w:rPr>
          <w:rStyle w:val="11"/>
          <w:rFonts w:hint="eastAsia" w:ascii="Times New Roman" w:eastAsia="仿宋_GB2312"/>
          <w:sz w:val="32"/>
          <w:szCs w:val="32"/>
        </w:rPr>
        <w:t>。</w:t>
      </w:r>
      <w:r>
        <w:rPr>
          <w:rStyle w:val="11"/>
          <w:rFonts w:hint="eastAsia" w:ascii="Times New Roman" w:eastAsia="仿宋_GB2312"/>
          <w:sz w:val="32"/>
          <w:szCs w:val="32"/>
        </w:rPr>
        <w:fldChar w:fldCharType="end"/>
      </w:r>
    </w:p>
    <w:p w14:paraId="2ABAE9FE">
      <w:pPr>
        <w:numPr>
          <w:ilvl w:val="0"/>
          <w:numId w:val="0"/>
        </w:numPr>
        <w:spacing w:line="560" w:lineRule="exact"/>
        <w:ind w:firstLine="560"/>
        <w:rPr>
          <w:rFonts w:hint="default" w:ascii="Times New Roman" w:eastAsia="仿宋_GB2312"/>
          <w:sz w:val="32"/>
          <w:szCs w:val="32"/>
        </w:rPr>
      </w:pPr>
      <w:r>
        <w:rPr>
          <w:rFonts w:hint="eastAsia" w:ascii="Times New Roman" w:eastAsia="仿宋_GB2312"/>
          <w:sz w:val="32"/>
          <w:szCs w:val="32"/>
        </w:rPr>
        <w:t>（四）信访地址：广东省东莞市东城街道育华路1号。</w:t>
      </w:r>
    </w:p>
    <w:p w14:paraId="4326E15C">
      <w:pPr>
        <w:numPr>
          <w:ilvl w:val="0"/>
          <w:numId w:val="0"/>
        </w:numPr>
        <w:spacing w:line="560" w:lineRule="exact"/>
        <w:ind w:firstLine="643" w:firstLineChars="200"/>
        <w:rPr>
          <w:rFonts w:hint="default" w:ascii="Times New Roman" w:eastAsia="仿宋_GB2312"/>
          <w:b/>
          <w:sz w:val="32"/>
          <w:szCs w:val="32"/>
        </w:rPr>
      </w:pPr>
      <w:r>
        <w:rPr>
          <w:rFonts w:hint="eastAsia" w:ascii="Times New Roman" w:eastAsia="仿宋_GB2312"/>
          <w:b/>
          <w:sz w:val="32"/>
          <w:szCs w:val="32"/>
        </w:rPr>
        <w:t>第七条</w:t>
      </w:r>
      <w:r>
        <w:rPr>
          <w:rFonts w:hint="default" w:ascii="Times New Roman" w:eastAsia="仿宋_GB2312"/>
          <w:b/>
          <w:sz w:val="32"/>
          <w:szCs w:val="32"/>
        </w:rPr>
        <w:t xml:space="preserve"> </w:t>
      </w:r>
      <w:r>
        <w:rPr>
          <w:rFonts w:hint="eastAsia" w:ascii="Times New Roman" w:eastAsia="仿宋_GB2312"/>
          <w:b/>
          <w:sz w:val="32"/>
          <w:szCs w:val="32"/>
        </w:rPr>
        <w:t>其他</w:t>
      </w:r>
    </w:p>
    <w:p w14:paraId="5B86BA5C">
      <w:pPr>
        <w:spacing w:line="560" w:lineRule="exact"/>
        <w:ind w:firstLine="640" w:firstLineChars="200"/>
        <w:rPr>
          <w:rFonts w:hint="default" w:ascii="Times New Roman" w:eastAsia="仿宋_GB2312"/>
          <w:sz w:val="32"/>
          <w:szCs w:val="32"/>
        </w:rPr>
      </w:pPr>
      <w:r>
        <w:rPr>
          <w:rFonts w:hint="eastAsia" w:ascii="Times New Roman" w:eastAsia="仿宋_GB2312"/>
          <w:sz w:val="32"/>
          <w:szCs w:val="32"/>
        </w:rPr>
        <w:t>本协议有效期为甲乙双方签字并加盖公章之日起至该工程/采购项目竣工验收完毕，质保期/服务期满后止。本协议一式</w:t>
      </w:r>
      <w:r>
        <w:rPr>
          <w:rFonts w:hint="default" w:ascii="Times New Roman" w:eastAsia="仿宋_GB2312"/>
          <w:sz w:val="32"/>
          <w:szCs w:val="32"/>
          <w:u w:val="single"/>
        </w:rPr>
        <w:t xml:space="preserve">   </w:t>
      </w:r>
      <w:r>
        <w:rPr>
          <w:rFonts w:hint="eastAsia" w:ascii="Times New Roman" w:eastAsia="仿宋_GB2312"/>
          <w:sz w:val="32"/>
          <w:szCs w:val="32"/>
        </w:rPr>
        <w:t>份，甲、乙双方各执</w:t>
      </w:r>
      <w:r>
        <w:rPr>
          <w:rFonts w:hint="default" w:ascii="Times New Roman" w:eastAsia="仿宋_GB2312"/>
          <w:sz w:val="32"/>
          <w:szCs w:val="32"/>
          <w:u w:val="single"/>
        </w:rPr>
        <w:t xml:space="preserve">   </w:t>
      </w:r>
      <w:r>
        <w:rPr>
          <w:rFonts w:hint="eastAsia" w:ascii="Times New Roman" w:eastAsia="仿宋_GB2312"/>
          <w:sz w:val="32"/>
          <w:szCs w:val="32"/>
        </w:rPr>
        <w:t>份，甲、乙双方上级主管部门各执</w:t>
      </w:r>
      <w:r>
        <w:rPr>
          <w:rFonts w:hint="default" w:ascii="Times New Roman" w:eastAsia="仿宋_GB2312"/>
          <w:sz w:val="32"/>
          <w:szCs w:val="32"/>
          <w:u w:val="single"/>
        </w:rPr>
        <w:t xml:space="preserve">   </w:t>
      </w:r>
      <w:r>
        <w:rPr>
          <w:rFonts w:hint="eastAsia" w:ascii="Times New Roman" w:eastAsia="仿宋_GB2312"/>
          <w:sz w:val="32"/>
          <w:szCs w:val="32"/>
        </w:rPr>
        <w:t>份。</w:t>
      </w:r>
    </w:p>
    <w:p w14:paraId="6AA787C9">
      <w:pPr>
        <w:spacing w:beforeLines="0" w:afterLines="0" w:line="560" w:lineRule="exact"/>
        <w:ind w:firstLine="640" w:firstLineChars="200"/>
        <w:rPr>
          <w:rFonts w:hint="default" w:ascii="Times New Roman" w:eastAsia="仿宋_GB2312"/>
          <w:sz w:val="32"/>
          <w:szCs w:val="32"/>
        </w:rPr>
      </w:pPr>
    </w:p>
    <w:p w14:paraId="6B1C6C3A">
      <w:pPr>
        <w:spacing w:beforeLines="0" w:afterLines="0" w:line="560" w:lineRule="exact"/>
        <w:rPr>
          <w:rFonts w:hint="default" w:ascii="Times New Roman" w:eastAsia="仿宋_GB2312"/>
          <w:sz w:val="32"/>
          <w:szCs w:val="32"/>
        </w:rPr>
      </w:pPr>
    </w:p>
    <w:p w14:paraId="0CCF6543">
      <w:pPr>
        <w:spacing w:beforeLines="0" w:afterLines="0" w:line="560" w:lineRule="exact"/>
        <w:ind w:firstLine="640" w:firstLineChars="200"/>
        <w:rPr>
          <w:rFonts w:hint="default" w:ascii="Times New Roman" w:eastAsia="仿宋_GB2312"/>
          <w:sz w:val="32"/>
          <w:szCs w:val="32"/>
        </w:rPr>
      </w:pPr>
      <w:r>
        <w:rPr>
          <w:rFonts w:hint="eastAsia" w:ascii="Times New Roman" w:eastAsia="仿宋_GB2312"/>
          <w:sz w:val="32"/>
          <w:szCs w:val="32"/>
        </w:rPr>
        <w:t xml:space="preserve">甲方（盖章）：                乙方（盖章）： </w:t>
      </w:r>
    </w:p>
    <w:p w14:paraId="458F0667">
      <w:pPr>
        <w:spacing w:beforeLines="0" w:afterLines="0" w:line="560" w:lineRule="exact"/>
        <w:ind w:firstLine="640" w:firstLineChars="200"/>
        <w:rPr>
          <w:rFonts w:hint="default" w:ascii="Times New Roman" w:eastAsia="仿宋_GB2312"/>
          <w:sz w:val="32"/>
          <w:szCs w:val="32"/>
        </w:rPr>
      </w:pPr>
    </w:p>
    <w:p w14:paraId="30D7A8C6">
      <w:pPr>
        <w:spacing w:beforeLines="0" w:afterLines="0" w:line="560" w:lineRule="exact"/>
        <w:ind w:firstLine="640" w:firstLineChars="200"/>
        <w:rPr>
          <w:rFonts w:hint="default" w:ascii="Times New Roman" w:eastAsia="仿宋_GB2312"/>
          <w:sz w:val="32"/>
          <w:szCs w:val="32"/>
        </w:rPr>
      </w:pPr>
      <w:r>
        <w:rPr>
          <w:rFonts w:hint="eastAsia" w:ascii="Times New Roman" w:eastAsia="仿宋_GB2312"/>
          <w:sz w:val="32"/>
          <w:szCs w:val="32"/>
        </w:rPr>
        <w:t>法定代表人：                 法定代表人：</w:t>
      </w:r>
    </w:p>
    <w:p w14:paraId="27B1804A">
      <w:pPr>
        <w:spacing w:beforeLines="0" w:afterLines="0" w:line="560" w:lineRule="exact"/>
        <w:ind w:firstLine="640" w:firstLineChars="200"/>
        <w:rPr>
          <w:rFonts w:hint="default" w:ascii="Times New Roman" w:eastAsia="仿宋_GB2312"/>
          <w:sz w:val="32"/>
          <w:szCs w:val="32"/>
        </w:rPr>
      </w:pPr>
      <w:r>
        <w:rPr>
          <w:rFonts w:hint="eastAsia" w:ascii="Times New Roman" w:eastAsia="仿宋_GB2312"/>
          <w:sz w:val="32"/>
          <w:szCs w:val="32"/>
        </w:rPr>
        <w:t>甲方代表：                   乙方代表：</w:t>
      </w:r>
    </w:p>
    <w:p w14:paraId="06007602">
      <w:pPr>
        <w:spacing w:beforeLines="0" w:afterLines="0" w:line="560" w:lineRule="exact"/>
        <w:rPr>
          <w:rFonts w:hint="default" w:ascii="Times New Roman" w:eastAsia="仿宋_GB2312"/>
          <w:sz w:val="32"/>
          <w:szCs w:val="32"/>
        </w:rPr>
      </w:pPr>
    </w:p>
    <w:p w14:paraId="6BE72A09">
      <w:pPr>
        <w:spacing w:beforeLines="0" w:afterLines="0" w:line="560" w:lineRule="exact"/>
        <w:ind w:firstLine="640" w:firstLineChars="200"/>
        <w:rPr>
          <w:rFonts w:hint="default" w:ascii="Times New Roman" w:eastAsia="仿宋_GB2312"/>
          <w:sz w:val="32"/>
          <w:szCs w:val="32"/>
        </w:rPr>
      </w:pPr>
      <w:r>
        <w:rPr>
          <w:rFonts w:hint="eastAsia" w:ascii="Times New Roman" w:eastAsia="仿宋_GB2312"/>
          <w:sz w:val="32"/>
          <w:szCs w:val="32"/>
        </w:rPr>
        <w:t>签订日期：</w:t>
      </w:r>
      <w:r>
        <w:rPr>
          <w:rFonts w:hint="default" w:ascii="Times New Roman" w:eastAsia="仿宋_GB2312"/>
          <w:sz w:val="32"/>
          <w:szCs w:val="32"/>
        </w:rPr>
        <w:t xml:space="preserve">    </w:t>
      </w:r>
      <w:r>
        <w:rPr>
          <w:rFonts w:hint="eastAsia" w:ascii="Times New Roman" w:eastAsia="仿宋_GB2312"/>
          <w:sz w:val="32"/>
          <w:szCs w:val="32"/>
        </w:rPr>
        <w:t xml:space="preserve">年  月  日      </w:t>
      </w:r>
      <w:r>
        <w:rPr>
          <w:rFonts w:hint="default" w:ascii="Times New Roman" w:eastAsia="仿宋_GB2312"/>
          <w:sz w:val="32"/>
          <w:szCs w:val="32"/>
        </w:rPr>
        <w:t xml:space="preserve">   </w:t>
      </w:r>
      <w:r>
        <w:rPr>
          <w:rFonts w:hint="eastAsia" w:ascii="Times New Roman" w:eastAsia="仿宋_GB2312"/>
          <w:sz w:val="32"/>
          <w:szCs w:val="32"/>
        </w:rPr>
        <w:t>年  月  日</w:t>
      </w:r>
    </w:p>
    <w:p w14:paraId="2484BCB2">
      <w:pPr>
        <w:spacing w:beforeLines="0" w:afterLines="0"/>
        <w:rPr>
          <w:rFonts w:hint="default" w:ascii="Times New Roman" w:eastAsia="仿宋_GB2312"/>
          <w:sz w:val="32"/>
          <w:szCs w:val="32"/>
        </w:rPr>
      </w:pPr>
      <w:r>
        <w:rPr>
          <w:rFonts w:hint="default" w:ascii="Times New Roman" w:eastAsia="仿宋_GB2312"/>
          <w:sz w:val="32"/>
          <w:szCs w:val="32"/>
        </w:rPr>
        <w:br w:type="page"/>
      </w:r>
    </w:p>
    <w:p w14:paraId="1CB35A72">
      <w:pPr>
        <w:spacing w:beforeLines="0" w:afterLines="0" w:line="360" w:lineRule="auto"/>
        <w:outlineLvl w:val="0"/>
        <w:rPr>
          <w:rFonts w:hint="default" w:hAnsi="宋体" w:cs="宋体"/>
          <w:b/>
          <w:sz w:val="24"/>
          <w:szCs w:val="24"/>
        </w:rPr>
      </w:pPr>
      <w:bookmarkStart w:id="46" w:name="_Toc25336"/>
      <w:bookmarkStart w:id="47" w:name="_Toc2819"/>
      <w:r>
        <w:rPr>
          <w:rFonts w:hint="default" w:hAnsi="宋体" w:cs="宋体"/>
          <w:b/>
          <w:sz w:val="24"/>
          <w:szCs w:val="24"/>
        </w:rPr>
        <w:t>附件五、服务验收单</w:t>
      </w:r>
      <w:bookmarkEnd w:id="46"/>
      <w:bookmarkEnd w:id="47"/>
    </w:p>
    <w:p w14:paraId="19275A15">
      <w:pPr>
        <w:pStyle w:val="3"/>
        <w:widowControl/>
        <w:spacing w:beforeLines="0" w:afterLines="0" w:line="600" w:lineRule="exact"/>
        <w:jc w:val="both"/>
        <w:rPr>
          <w:rFonts w:hint="default" w:ascii="Times New Roman" w:eastAsia="方正小标宋简体"/>
          <w:b w:val="0"/>
          <w:color w:val="000000"/>
          <w:spacing w:val="-10"/>
          <w:sz w:val="44"/>
          <w:szCs w:val="44"/>
        </w:rPr>
      </w:pPr>
    </w:p>
    <w:p w14:paraId="117227A8">
      <w:pPr>
        <w:pStyle w:val="3"/>
        <w:widowControl/>
        <w:spacing w:beforeLines="0" w:afterLines="0" w:line="600" w:lineRule="exact"/>
        <w:rPr>
          <w:rFonts w:hint="default" w:ascii="Times New Roman" w:eastAsia="方正小标宋简体"/>
          <w:color w:val="000000"/>
          <w:spacing w:val="-10"/>
          <w:sz w:val="44"/>
          <w:szCs w:val="44"/>
        </w:rPr>
      </w:pPr>
      <w:r>
        <w:rPr>
          <w:rFonts w:hint="eastAsia" w:ascii="Times New Roman" w:eastAsia="方正小标宋简体"/>
          <w:b w:val="0"/>
          <w:color w:val="000000"/>
          <w:spacing w:val="-10"/>
          <w:sz w:val="44"/>
          <w:szCs w:val="44"/>
        </w:rPr>
        <w:t>服务验收</w:t>
      </w:r>
      <w:r>
        <w:rPr>
          <w:rFonts w:hint="eastAsia" w:ascii="Times New Roman" w:eastAsia="方正小标宋简体"/>
          <w:b w:val="0"/>
          <w:color w:val="000000"/>
          <w:spacing w:val="-10"/>
          <w:sz w:val="44"/>
          <w:szCs w:val="44"/>
          <w:lang w:val="en-US"/>
        </w:rPr>
        <w:t>单</w:t>
      </w:r>
    </w:p>
    <w:p w14:paraId="14E9EBD1">
      <w:pPr>
        <w:pStyle w:val="3"/>
        <w:spacing w:beforeLines="0" w:afterLines="0"/>
        <w:rPr>
          <w:rFonts w:hint="default" w:ascii="Times New Roman"/>
          <w:color w:val="000000"/>
          <w:sz w:val="22"/>
          <w:szCs w:val="22"/>
        </w:rPr>
      </w:pPr>
    </w:p>
    <w:p w14:paraId="616AA2F7">
      <w:pPr>
        <w:pStyle w:val="3"/>
        <w:spacing w:beforeLines="0" w:afterLines="0"/>
        <w:rPr>
          <w:rFonts w:hint="default" w:ascii="Times New Roman" w:eastAsia="仿宋_GB2312"/>
          <w:sz w:val="84"/>
          <w:szCs w:val="84"/>
        </w:rPr>
      </w:pPr>
      <w:r>
        <w:rPr>
          <w:rFonts w:hint="eastAsia" w:ascii="Times New Roman" w:eastAsia="仿宋_GB2312"/>
          <w:b w:val="0"/>
          <w:color w:val="000000"/>
          <w:sz w:val="22"/>
          <w:szCs w:val="22"/>
        </w:rPr>
        <w:t xml:space="preserve">编号：              </w:t>
      </w:r>
    </w:p>
    <w:tbl>
      <w:tblPr>
        <w:tblStyle w:val="9"/>
        <w:tblW w:w="9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872"/>
        <w:gridCol w:w="1487"/>
        <w:gridCol w:w="1652"/>
        <w:gridCol w:w="157"/>
        <w:gridCol w:w="359"/>
        <w:gridCol w:w="1081"/>
        <w:gridCol w:w="683"/>
        <w:gridCol w:w="1292"/>
        <w:gridCol w:w="907"/>
      </w:tblGrid>
      <w:tr w14:paraId="19BC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1" w:hRule="atLeast"/>
          <w:jc w:val="center"/>
        </w:trPr>
        <w:tc>
          <w:tcPr>
            <w:tcW w:w="146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A42B3A2">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合同名称</w:t>
            </w:r>
          </w:p>
        </w:tc>
        <w:tc>
          <w:tcPr>
            <w:tcW w:w="7618"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14:paraId="7F0077C3">
            <w:pPr>
              <w:widowControl/>
              <w:spacing w:beforeLines="0" w:afterLines="0"/>
              <w:rPr>
                <w:rFonts w:hint="default" w:ascii="Times New Roman" w:eastAsia="仿宋_GB2312"/>
                <w:color w:val="000000"/>
                <w:sz w:val="22"/>
                <w:szCs w:val="22"/>
              </w:rPr>
            </w:pPr>
          </w:p>
        </w:tc>
      </w:tr>
      <w:tr w14:paraId="5B17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46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EE9DC2">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服务单位</w:t>
            </w:r>
          </w:p>
        </w:tc>
        <w:tc>
          <w:tcPr>
            <w:tcW w:w="313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3F4ED3">
            <w:pPr>
              <w:widowControl/>
              <w:spacing w:beforeLines="0" w:afterLines="0"/>
              <w:rPr>
                <w:rFonts w:hint="default" w:ascii="Times New Roman" w:eastAsia="仿宋_GB2312"/>
                <w:color w:val="000000"/>
                <w:sz w:val="22"/>
                <w:szCs w:val="22"/>
              </w:rPr>
            </w:pPr>
          </w:p>
        </w:tc>
        <w:tc>
          <w:tcPr>
            <w:tcW w:w="159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BE91E3C">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服务方式</w:t>
            </w:r>
          </w:p>
        </w:tc>
        <w:tc>
          <w:tcPr>
            <w:tcW w:w="288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A06850F">
            <w:pPr>
              <w:widowControl/>
              <w:spacing w:beforeLines="0" w:afterLines="0"/>
              <w:rPr>
                <w:rFonts w:hint="default" w:ascii="Times New Roman" w:eastAsia="仿宋_GB2312"/>
                <w:color w:val="000000"/>
                <w:sz w:val="22"/>
                <w:szCs w:val="22"/>
              </w:rPr>
            </w:pPr>
            <w:r>
              <w:rPr>
                <w:rFonts w:hint="default" w:ascii="Times New Roman" w:eastAsia="仿宋_GB2312"/>
                <w:sz w:val="23"/>
                <w:szCs w:val="23"/>
              </w:rPr>
              <w:t>□</w:t>
            </w:r>
            <w:r>
              <w:rPr>
                <w:rFonts w:hint="eastAsia" w:ascii="Times New Roman" w:eastAsia="仿宋_GB2312"/>
                <w:sz w:val="23"/>
                <w:szCs w:val="23"/>
              </w:rPr>
              <w:t>驻场服务   □常规服务</w:t>
            </w:r>
          </w:p>
        </w:tc>
      </w:tr>
      <w:tr w14:paraId="7893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46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2D2532B">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采购单位</w:t>
            </w:r>
          </w:p>
        </w:tc>
        <w:tc>
          <w:tcPr>
            <w:tcW w:w="313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DBDF5B0">
            <w:pPr>
              <w:widowControl/>
              <w:spacing w:beforeLines="0" w:afterLines="0"/>
              <w:rPr>
                <w:rFonts w:hint="default" w:ascii="Times New Roman" w:eastAsia="仿宋_GB2312"/>
                <w:color w:val="000000"/>
                <w:sz w:val="22"/>
                <w:szCs w:val="22"/>
              </w:rPr>
            </w:pPr>
          </w:p>
        </w:tc>
        <w:tc>
          <w:tcPr>
            <w:tcW w:w="159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62BE79E">
            <w:pPr>
              <w:widowControl/>
              <w:spacing w:beforeLines="0" w:afterLines="0"/>
              <w:rPr>
                <w:rFonts w:hint="default" w:ascii="Times New Roman" w:eastAsia="仿宋_GB2312"/>
                <w:color w:val="000000"/>
                <w:sz w:val="22"/>
                <w:szCs w:val="22"/>
              </w:rPr>
            </w:pPr>
            <w:r>
              <w:rPr>
                <w:rFonts w:hint="eastAsia" w:ascii="Times New Roman" w:eastAsia="仿宋_GB2312"/>
                <w:color w:val="000000"/>
                <w:sz w:val="22"/>
                <w:szCs w:val="22"/>
              </w:rPr>
              <w:t>服务验收时间</w:t>
            </w:r>
          </w:p>
        </w:tc>
        <w:tc>
          <w:tcPr>
            <w:tcW w:w="288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555D819">
            <w:pPr>
              <w:widowControl/>
              <w:spacing w:beforeLines="0" w:afterLines="0"/>
              <w:rPr>
                <w:rFonts w:hint="default" w:ascii="Times New Roman" w:eastAsia="仿宋_GB2312"/>
                <w:color w:val="000000"/>
                <w:sz w:val="22"/>
                <w:szCs w:val="22"/>
              </w:rPr>
            </w:pPr>
            <w:r>
              <w:rPr>
                <w:rFonts w:hint="default" w:ascii="Times New Roman" w:eastAsia="仿宋_GB2312"/>
                <w:color w:val="000000"/>
                <w:sz w:val="22"/>
                <w:szCs w:val="22"/>
              </w:rPr>
              <w:t xml:space="preserve">        </w:t>
            </w:r>
            <w:r>
              <w:rPr>
                <w:rFonts w:hint="eastAsia" w:ascii="Times New Roman" w:eastAsia="仿宋_GB2312"/>
                <w:color w:val="000000"/>
                <w:sz w:val="22"/>
                <w:szCs w:val="22"/>
              </w:rPr>
              <w:t>年    月    日</w:t>
            </w:r>
          </w:p>
        </w:tc>
      </w:tr>
      <w:tr w14:paraId="2AE0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078"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62E2BA7E">
            <w:pPr>
              <w:widowControl/>
              <w:spacing w:beforeLines="0" w:afterLines="0"/>
              <w:rPr>
                <w:rFonts w:hint="default" w:ascii="Times New Roman" w:eastAsia="仿宋_GB2312"/>
                <w:color w:val="000000"/>
                <w:sz w:val="22"/>
                <w:szCs w:val="22"/>
              </w:rPr>
            </w:pPr>
            <w:r>
              <w:rPr>
                <w:rFonts w:hint="eastAsia" w:ascii="Times New Roman" w:eastAsia="仿宋_GB2312"/>
                <w:color w:val="000000"/>
                <w:sz w:val="22"/>
                <w:szCs w:val="22"/>
              </w:rPr>
              <w:t>一、服务项目评价</w:t>
            </w:r>
          </w:p>
        </w:tc>
      </w:tr>
      <w:tr w14:paraId="3D92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078"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373786B2">
            <w:pPr>
              <w:widowControl/>
              <w:spacing w:beforeLines="0" w:afterLines="0"/>
              <w:rPr>
                <w:rFonts w:hint="default" w:ascii="Times New Roman" w:eastAsia="仿宋_GB2312"/>
                <w:color w:val="000000"/>
                <w:sz w:val="22"/>
                <w:szCs w:val="22"/>
              </w:rPr>
            </w:pPr>
            <w:r>
              <w:rPr>
                <w:rFonts w:hint="default" w:ascii="Times New Roman" w:eastAsia="仿宋_GB2312"/>
                <w:color w:val="000000"/>
                <w:sz w:val="22"/>
                <w:szCs w:val="22"/>
              </w:rPr>
              <w:t>1 XXXX</w:t>
            </w:r>
            <w:r>
              <w:rPr>
                <w:rFonts w:hint="eastAsia" w:ascii="Times New Roman" w:eastAsia="仿宋_GB2312"/>
                <w:color w:val="000000"/>
                <w:sz w:val="22"/>
                <w:szCs w:val="22"/>
              </w:rPr>
              <w:t>服务</w:t>
            </w:r>
          </w:p>
        </w:tc>
      </w:tr>
      <w:tr w14:paraId="518F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394576DF">
            <w:pPr>
              <w:widowControl/>
              <w:spacing w:beforeLines="0" w:afterLines="0"/>
              <w:ind w:left="-120" w:leftChars="-50" w:right="-120" w:rightChars="-50"/>
              <w:jc w:val="center"/>
              <w:rPr>
                <w:rFonts w:hint="default" w:ascii="Times New Roman" w:eastAsia="仿宋_GB2312"/>
                <w:color w:val="000000"/>
                <w:sz w:val="22"/>
                <w:szCs w:val="22"/>
              </w:rPr>
            </w:pPr>
            <w:r>
              <w:rPr>
                <w:rFonts w:hint="eastAsia" w:ascii="Times New Roman" w:eastAsia="仿宋_GB2312"/>
                <w:color w:val="000000"/>
                <w:sz w:val="22"/>
                <w:szCs w:val="22"/>
              </w:rPr>
              <w:t>序号</w:t>
            </w:r>
          </w:p>
        </w:tc>
        <w:tc>
          <w:tcPr>
            <w:tcW w:w="23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C21868">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服务项目名称</w:t>
            </w:r>
          </w:p>
        </w:tc>
        <w:tc>
          <w:tcPr>
            <w:tcW w:w="216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9C234F5">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服务内容</w:t>
            </w:r>
          </w:p>
        </w:tc>
        <w:tc>
          <w:tcPr>
            <w:tcW w:w="1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2B4ED1F">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评分标准</w:t>
            </w: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D4D85">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服务得分</w:t>
            </w: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E297D4">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备注</w:t>
            </w:r>
          </w:p>
        </w:tc>
      </w:tr>
      <w:tr w14:paraId="2407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0B99A481">
            <w:pPr>
              <w:widowControl/>
              <w:spacing w:beforeLines="0" w:afterLines="0"/>
              <w:ind w:left="-120" w:leftChars="-50" w:right="-120" w:rightChars="-50"/>
              <w:jc w:val="center"/>
              <w:rPr>
                <w:rFonts w:hint="default" w:ascii="Times New Roman" w:eastAsia="仿宋_GB2312"/>
                <w:color w:val="000000"/>
                <w:sz w:val="22"/>
                <w:szCs w:val="22"/>
              </w:rPr>
            </w:pPr>
            <w:r>
              <w:rPr>
                <w:rFonts w:hint="default" w:ascii="Times New Roman" w:eastAsia="仿宋_GB2312"/>
                <w:color w:val="000000"/>
                <w:sz w:val="22"/>
                <w:szCs w:val="22"/>
              </w:rPr>
              <w:t>1</w:t>
            </w:r>
          </w:p>
        </w:tc>
        <w:tc>
          <w:tcPr>
            <w:tcW w:w="23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CB94D13">
            <w:pPr>
              <w:widowControl/>
              <w:spacing w:beforeLines="0" w:afterLines="0"/>
              <w:jc w:val="center"/>
              <w:rPr>
                <w:rFonts w:hint="default" w:ascii="Times New Roman" w:eastAsia="仿宋_GB2312"/>
                <w:color w:val="000000"/>
                <w:sz w:val="22"/>
                <w:szCs w:val="22"/>
              </w:rPr>
            </w:pPr>
          </w:p>
        </w:tc>
        <w:tc>
          <w:tcPr>
            <w:tcW w:w="216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97592DC">
            <w:pPr>
              <w:widowControl/>
              <w:spacing w:beforeLines="0" w:afterLines="0"/>
              <w:jc w:val="center"/>
              <w:rPr>
                <w:rFonts w:hint="default" w:ascii="Times New Roman" w:eastAsia="仿宋_GB2312"/>
                <w:color w:val="000000"/>
                <w:sz w:val="22"/>
                <w:szCs w:val="22"/>
              </w:rPr>
            </w:pPr>
          </w:p>
        </w:tc>
        <w:tc>
          <w:tcPr>
            <w:tcW w:w="1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2D7FBE6">
            <w:pPr>
              <w:widowControl/>
              <w:spacing w:beforeLines="0" w:afterLines="0"/>
              <w:jc w:val="center"/>
              <w:rPr>
                <w:rFonts w:hint="default" w:ascii="Times New Roman" w:eastAsia="仿宋_GB2312"/>
                <w:color w:val="000000"/>
                <w:sz w:val="22"/>
                <w:szCs w:val="22"/>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AF1A25">
            <w:pPr>
              <w:widowControl/>
              <w:spacing w:beforeLines="0" w:afterLines="0"/>
              <w:jc w:val="center"/>
              <w:rPr>
                <w:rFonts w:hint="default" w:ascii="Times New Roman" w:eastAsia="仿宋_GB2312"/>
                <w:color w:val="000000"/>
                <w:sz w:val="22"/>
                <w:szCs w:val="22"/>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C2CA3">
            <w:pPr>
              <w:spacing w:beforeLines="0" w:afterLines="0"/>
              <w:jc w:val="center"/>
              <w:rPr>
                <w:rFonts w:hint="default" w:ascii="Times New Roman" w:eastAsia="仿宋_GB2312"/>
                <w:color w:val="000000"/>
                <w:sz w:val="22"/>
                <w:szCs w:val="22"/>
              </w:rPr>
            </w:pPr>
          </w:p>
        </w:tc>
      </w:tr>
      <w:tr w14:paraId="2BD0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64A06877">
            <w:pPr>
              <w:widowControl/>
              <w:spacing w:beforeLines="0" w:afterLines="0"/>
              <w:ind w:left="-120" w:leftChars="-50" w:right="-120" w:rightChars="-50"/>
              <w:jc w:val="center"/>
              <w:rPr>
                <w:rFonts w:hint="default" w:ascii="Times New Roman" w:eastAsia="仿宋_GB2312"/>
                <w:color w:val="000000"/>
                <w:sz w:val="22"/>
                <w:szCs w:val="22"/>
              </w:rPr>
            </w:pPr>
            <w:r>
              <w:rPr>
                <w:rFonts w:hint="default" w:ascii="Times New Roman" w:eastAsia="仿宋_GB2312"/>
                <w:color w:val="000000"/>
                <w:sz w:val="22"/>
                <w:szCs w:val="22"/>
              </w:rPr>
              <w:t>2</w:t>
            </w:r>
          </w:p>
        </w:tc>
        <w:tc>
          <w:tcPr>
            <w:tcW w:w="23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31C92A0">
            <w:pPr>
              <w:widowControl/>
              <w:spacing w:beforeLines="0" w:afterLines="0"/>
              <w:jc w:val="center"/>
              <w:rPr>
                <w:rFonts w:hint="default" w:ascii="Times New Roman" w:eastAsia="仿宋_GB2312"/>
                <w:color w:val="000000"/>
                <w:sz w:val="22"/>
                <w:szCs w:val="22"/>
              </w:rPr>
            </w:pPr>
          </w:p>
        </w:tc>
        <w:tc>
          <w:tcPr>
            <w:tcW w:w="216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87BB632">
            <w:pPr>
              <w:widowControl/>
              <w:spacing w:beforeLines="0" w:afterLines="0"/>
              <w:jc w:val="center"/>
              <w:rPr>
                <w:rFonts w:hint="default" w:ascii="Times New Roman" w:eastAsia="仿宋_GB2312"/>
                <w:color w:val="000000"/>
                <w:sz w:val="22"/>
                <w:szCs w:val="22"/>
              </w:rPr>
            </w:pPr>
          </w:p>
        </w:tc>
        <w:tc>
          <w:tcPr>
            <w:tcW w:w="1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BF8E6B">
            <w:pPr>
              <w:widowControl/>
              <w:spacing w:beforeLines="0" w:afterLines="0"/>
              <w:jc w:val="center"/>
              <w:rPr>
                <w:rFonts w:hint="default" w:ascii="Times New Roman" w:eastAsia="仿宋_GB2312"/>
                <w:color w:val="000000"/>
                <w:sz w:val="22"/>
                <w:szCs w:val="22"/>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000CED">
            <w:pPr>
              <w:widowControl/>
              <w:spacing w:beforeLines="0" w:afterLines="0"/>
              <w:jc w:val="center"/>
              <w:rPr>
                <w:rFonts w:hint="default" w:ascii="Times New Roman" w:eastAsia="仿宋_GB2312"/>
                <w:color w:val="000000"/>
                <w:sz w:val="22"/>
                <w:szCs w:val="22"/>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856BA7">
            <w:pPr>
              <w:spacing w:beforeLines="0" w:afterLines="0"/>
              <w:jc w:val="center"/>
              <w:rPr>
                <w:rFonts w:hint="default" w:ascii="Times New Roman" w:eastAsia="仿宋_GB2312"/>
                <w:color w:val="000000"/>
                <w:sz w:val="22"/>
                <w:szCs w:val="22"/>
              </w:rPr>
            </w:pPr>
          </w:p>
        </w:tc>
      </w:tr>
      <w:tr w14:paraId="5134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249D6BF1">
            <w:pPr>
              <w:widowControl/>
              <w:spacing w:beforeLines="0" w:afterLines="0"/>
              <w:ind w:left="-120" w:leftChars="-50" w:right="-120" w:rightChars="-50"/>
              <w:jc w:val="center"/>
              <w:rPr>
                <w:rFonts w:hint="default" w:ascii="Times New Roman" w:eastAsia="仿宋_GB2312"/>
                <w:color w:val="000000"/>
                <w:sz w:val="22"/>
                <w:szCs w:val="22"/>
              </w:rPr>
            </w:pPr>
            <w:r>
              <w:rPr>
                <w:rFonts w:hint="default" w:ascii="Times New Roman" w:eastAsia="仿宋_GB2312"/>
                <w:color w:val="000000"/>
                <w:sz w:val="22"/>
                <w:szCs w:val="22"/>
              </w:rPr>
              <w:t>3</w:t>
            </w:r>
          </w:p>
        </w:tc>
        <w:tc>
          <w:tcPr>
            <w:tcW w:w="23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EAA16FD">
            <w:pPr>
              <w:widowControl/>
              <w:spacing w:beforeLines="0" w:afterLines="0"/>
              <w:jc w:val="center"/>
              <w:rPr>
                <w:rFonts w:hint="default" w:ascii="Times New Roman" w:eastAsia="仿宋_GB2312"/>
                <w:color w:val="000000"/>
                <w:sz w:val="22"/>
                <w:szCs w:val="22"/>
              </w:rPr>
            </w:pPr>
          </w:p>
        </w:tc>
        <w:tc>
          <w:tcPr>
            <w:tcW w:w="216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2769CD5">
            <w:pPr>
              <w:widowControl/>
              <w:spacing w:beforeLines="0" w:afterLines="0"/>
              <w:jc w:val="center"/>
              <w:rPr>
                <w:rFonts w:hint="default" w:ascii="Times New Roman" w:eastAsia="仿宋_GB2312"/>
                <w:color w:val="000000"/>
                <w:sz w:val="22"/>
                <w:szCs w:val="22"/>
              </w:rPr>
            </w:pPr>
          </w:p>
        </w:tc>
        <w:tc>
          <w:tcPr>
            <w:tcW w:w="1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5532D85">
            <w:pPr>
              <w:widowControl/>
              <w:spacing w:beforeLines="0" w:afterLines="0"/>
              <w:jc w:val="center"/>
              <w:rPr>
                <w:rFonts w:hint="default" w:ascii="Times New Roman" w:eastAsia="仿宋_GB2312"/>
                <w:color w:val="000000"/>
                <w:sz w:val="22"/>
                <w:szCs w:val="22"/>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09552">
            <w:pPr>
              <w:widowControl/>
              <w:spacing w:beforeLines="0" w:afterLines="0"/>
              <w:jc w:val="center"/>
              <w:rPr>
                <w:rFonts w:hint="default" w:ascii="Times New Roman" w:eastAsia="仿宋_GB2312"/>
                <w:color w:val="000000"/>
                <w:sz w:val="22"/>
                <w:szCs w:val="22"/>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2EB896">
            <w:pPr>
              <w:spacing w:beforeLines="0" w:afterLines="0"/>
              <w:jc w:val="center"/>
              <w:rPr>
                <w:rFonts w:hint="default" w:ascii="Times New Roman" w:eastAsia="仿宋_GB2312"/>
                <w:color w:val="000000"/>
                <w:sz w:val="22"/>
                <w:szCs w:val="22"/>
              </w:rPr>
            </w:pPr>
          </w:p>
        </w:tc>
      </w:tr>
      <w:tr w14:paraId="1C28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255405B2">
            <w:pPr>
              <w:widowControl/>
              <w:spacing w:beforeLines="0" w:afterLines="0"/>
              <w:ind w:left="-120" w:leftChars="-50" w:right="-120" w:rightChars="-50"/>
              <w:jc w:val="center"/>
              <w:rPr>
                <w:rFonts w:hint="default" w:ascii="Times New Roman" w:eastAsia="仿宋_GB2312"/>
                <w:color w:val="000000"/>
                <w:sz w:val="22"/>
                <w:szCs w:val="22"/>
              </w:rPr>
            </w:pPr>
            <w:r>
              <w:rPr>
                <w:rFonts w:hint="default" w:ascii="Times New Roman" w:eastAsia="仿宋_GB2312"/>
                <w:color w:val="000000"/>
                <w:sz w:val="22"/>
                <w:szCs w:val="22"/>
              </w:rPr>
              <w:t>4</w:t>
            </w:r>
          </w:p>
        </w:tc>
        <w:tc>
          <w:tcPr>
            <w:tcW w:w="23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45875A">
            <w:pPr>
              <w:widowControl/>
              <w:spacing w:beforeLines="0" w:afterLines="0"/>
              <w:jc w:val="center"/>
              <w:rPr>
                <w:rFonts w:hint="default" w:ascii="Times New Roman" w:eastAsia="仿宋_GB2312"/>
                <w:color w:val="000000"/>
                <w:sz w:val="22"/>
                <w:szCs w:val="22"/>
              </w:rPr>
            </w:pPr>
          </w:p>
        </w:tc>
        <w:tc>
          <w:tcPr>
            <w:tcW w:w="216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3BB85D5">
            <w:pPr>
              <w:widowControl/>
              <w:spacing w:beforeLines="0" w:afterLines="0"/>
              <w:jc w:val="center"/>
              <w:rPr>
                <w:rFonts w:hint="default" w:ascii="Times New Roman" w:eastAsia="仿宋_GB2312"/>
                <w:color w:val="000000"/>
                <w:sz w:val="22"/>
                <w:szCs w:val="22"/>
              </w:rPr>
            </w:pPr>
          </w:p>
        </w:tc>
        <w:tc>
          <w:tcPr>
            <w:tcW w:w="17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FBF1424">
            <w:pPr>
              <w:widowControl/>
              <w:spacing w:beforeLines="0" w:afterLines="0"/>
              <w:jc w:val="center"/>
              <w:rPr>
                <w:rFonts w:hint="default" w:ascii="Times New Roman" w:eastAsia="仿宋_GB2312"/>
                <w:color w:val="000000"/>
                <w:sz w:val="22"/>
                <w:szCs w:val="22"/>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0BCA4">
            <w:pPr>
              <w:widowControl/>
              <w:spacing w:beforeLines="0" w:afterLines="0"/>
              <w:jc w:val="center"/>
              <w:rPr>
                <w:rFonts w:hint="default" w:ascii="Times New Roman" w:eastAsia="仿宋_GB2312"/>
                <w:color w:val="000000"/>
                <w:sz w:val="22"/>
                <w:szCs w:val="22"/>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E0CD3">
            <w:pPr>
              <w:spacing w:beforeLines="0" w:afterLines="0"/>
              <w:jc w:val="center"/>
              <w:rPr>
                <w:rFonts w:hint="default" w:ascii="Times New Roman" w:eastAsia="仿宋_GB2312"/>
                <w:color w:val="000000"/>
                <w:sz w:val="22"/>
                <w:szCs w:val="22"/>
              </w:rPr>
            </w:pPr>
          </w:p>
        </w:tc>
      </w:tr>
      <w:tr w14:paraId="56B16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29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D9C3AF7">
            <w:pPr>
              <w:widowControl/>
              <w:spacing w:beforeLines="0" w:afterLines="0"/>
              <w:jc w:val="center"/>
              <w:rPr>
                <w:rFonts w:hint="default" w:ascii="Times New Roman" w:eastAsia="仿宋_GB2312"/>
                <w:color w:val="000000"/>
                <w:sz w:val="22"/>
                <w:szCs w:val="22"/>
              </w:rPr>
            </w:pPr>
            <w:r>
              <w:rPr>
                <w:rFonts w:hint="eastAsia" w:ascii="Times New Roman" w:eastAsia="仿宋_GB2312"/>
                <w:color w:val="000000"/>
                <w:sz w:val="22"/>
                <w:szCs w:val="22"/>
              </w:rPr>
              <w:t>服务评价</w:t>
            </w:r>
          </w:p>
        </w:tc>
        <w:tc>
          <w:tcPr>
            <w:tcW w:w="6131"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13E4DAD2">
            <w:pPr>
              <w:spacing w:beforeLines="0" w:afterLines="0"/>
              <w:rPr>
                <w:rFonts w:hint="default" w:ascii="Times New Roman" w:eastAsia="仿宋_GB2312"/>
                <w:color w:val="000000"/>
                <w:sz w:val="22"/>
                <w:szCs w:val="22"/>
              </w:rPr>
            </w:pPr>
            <w:r>
              <w:rPr>
                <w:rFonts w:hint="default" w:ascii="Times New Roman" w:eastAsia="仿宋_GB2312"/>
                <w:color w:val="000000"/>
                <w:sz w:val="22"/>
                <w:szCs w:val="22"/>
              </w:rPr>
              <w:t>□</w:t>
            </w:r>
            <w:r>
              <w:rPr>
                <w:rFonts w:hint="eastAsia" w:ascii="Times New Roman" w:eastAsia="仿宋_GB2312"/>
                <w:color w:val="000000"/>
                <w:sz w:val="22"/>
                <w:szCs w:val="22"/>
              </w:rPr>
              <w:t>合计得分不低于**分，服务评价：优秀</w:t>
            </w:r>
          </w:p>
          <w:p w14:paraId="797B9A38">
            <w:pPr>
              <w:spacing w:beforeLines="0" w:afterLines="0"/>
              <w:rPr>
                <w:rFonts w:hint="default" w:ascii="Times New Roman" w:eastAsia="仿宋_GB2312"/>
                <w:color w:val="000000"/>
                <w:sz w:val="22"/>
                <w:szCs w:val="22"/>
              </w:rPr>
            </w:pPr>
            <w:r>
              <w:rPr>
                <w:rFonts w:hint="default" w:ascii="Times New Roman" w:eastAsia="仿宋_GB2312"/>
                <w:color w:val="000000"/>
                <w:sz w:val="22"/>
                <w:szCs w:val="22"/>
              </w:rPr>
              <w:t>□</w:t>
            </w:r>
            <w:r>
              <w:rPr>
                <w:rFonts w:hint="eastAsia" w:ascii="Times New Roman" w:eastAsia="仿宋_GB2312"/>
                <w:color w:val="000000"/>
                <w:sz w:val="22"/>
                <w:szCs w:val="22"/>
              </w:rPr>
              <w:t>合计得分低于**分，达到**分的，服务评价：良好</w:t>
            </w:r>
          </w:p>
          <w:p w14:paraId="65891818">
            <w:pPr>
              <w:spacing w:beforeLines="0" w:afterLines="0"/>
              <w:rPr>
                <w:rFonts w:hint="default" w:ascii="Times New Roman" w:eastAsia="仿宋_GB2312"/>
                <w:color w:val="000000"/>
                <w:sz w:val="22"/>
                <w:szCs w:val="22"/>
              </w:rPr>
            </w:pPr>
            <w:r>
              <w:rPr>
                <w:rFonts w:hint="default" w:ascii="Times New Roman" w:eastAsia="仿宋_GB2312"/>
                <w:color w:val="000000"/>
                <w:sz w:val="22"/>
                <w:szCs w:val="22"/>
              </w:rPr>
              <w:t>□</w:t>
            </w:r>
            <w:r>
              <w:rPr>
                <w:rFonts w:hint="eastAsia" w:ascii="Times New Roman" w:eastAsia="仿宋_GB2312"/>
                <w:color w:val="000000"/>
                <w:sz w:val="22"/>
                <w:szCs w:val="22"/>
              </w:rPr>
              <w:t>合计得分低于**分，达到**分的，服务评价：及格</w:t>
            </w:r>
          </w:p>
          <w:p w14:paraId="0351F2BC">
            <w:pPr>
              <w:spacing w:beforeLines="0" w:afterLines="0"/>
              <w:rPr>
                <w:rFonts w:hint="default" w:ascii="Times New Roman" w:eastAsia="仿宋_GB2312"/>
                <w:color w:val="000000"/>
                <w:sz w:val="22"/>
                <w:szCs w:val="22"/>
              </w:rPr>
            </w:pPr>
            <w:r>
              <w:rPr>
                <w:rFonts w:hint="default" w:ascii="Times New Roman" w:eastAsia="仿宋_GB2312"/>
                <w:color w:val="000000"/>
                <w:sz w:val="22"/>
                <w:szCs w:val="22"/>
              </w:rPr>
              <w:t>□</w:t>
            </w:r>
            <w:r>
              <w:rPr>
                <w:rFonts w:hint="eastAsia" w:ascii="Times New Roman" w:eastAsia="仿宋_GB2312"/>
                <w:color w:val="000000"/>
                <w:sz w:val="22"/>
                <w:szCs w:val="22"/>
              </w:rPr>
              <w:t>合计得分低于**分，服务评价：不及格</w:t>
            </w:r>
          </w:p>
          <w:p w14:paraId="2D268317">
            <w:pPr>
              <w:spacing w:beforeLines="0" w:afterLines="0"/>
              <w:rPr>
                <w:rFonts w:hint="default" w:ascii="Times New Roman" w:eastAsia="仿宋_GB2312"/>
                <w:color w:val="000000"/>
                <w:sz w:val="22"/>
                <w:szCs w:val="22"/>
              </w:rPr>
            </w:pPr>
            <w:r>
              <w:rPr>
                <w:rFonts w:hint="eastAsia" w:ascii="Times New Roman" w:eastAsia="仿宋_GB2312"/>
                <w:color w:val="000000"/>
                <w:sz w:val="22"/>
                <w:szCs w:val="22"/>
              </w:rPr>
              <w:t xml:space="preserve">补充说明：                                    </w:t>
            </w:r>
          </w:p>
        </w:tc>
      </w:tr>
      <w:tr w14:paraId="1F59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078"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14:paraId="05B48AFA">
            <w:pPr>
              <w:spacing w:beforeLines="0" w:afterLines="0" w:line="360" w:lineRule="auto"/>
              <w:rPr>
                <w:rFonts w:hint="default" w:ascii="Times New Roman" w:eastAsia="仿宋_GB2312"/>
                <w:color w:val="0000FF"/>
                <w:sz w:val="22"/>
                <w:szCs w:val="22"/>
              </w:rPr>
            </w:pPr>
            <w:r>
              <w:rPr>
                <w:rFonts w:hint="eastAsia" w:ascii="Times New Roman" w:eastAsia="仿宋_GB2312"/>
                <w:sz w:val="24"/>
                <w:szCs w:val="24"/>
              </w:rPr>
              <w:t>二、服务资料</w:t>
            </w:r>
          </w:p>
          <w:p w14:paraId="2F56E11F">
            <w:pPr>
              <w:spacing w:beforeLines="0" w:afterLines="0" w:line="360" w:lineRule="auto"/>
              <w:jc w:val="center"/>
              <w:rPr>
                <w:rFonts w:hint="default" w:ascii="Times New Roman" w:eastAsia="仿宋_GB2312"/>
                <w:sz w:val="22"/>
                <w:szCs w:val="22"/>
              </w:rPr>
            </w:pPr>
            <w:r>
              <w:rPr>
                <w:rFonts w:hint="eastAsia" w:ascii="Times New Roman" w:eastAsia="仿宋_GB2312"/>
                <w:sz w:val="22"/>
                <w:szCs w:val="22"/>
              </w:rPr>
              <w:t>（填写服务过程、服务完成移交资料）</w:t>
            </w:r>
          </w:p>
          <w:p w14:paraId="3EA307B7">
            <w:pPr>
              <w:spacing w:beforeLines="0" w:afterLines="0" w:line="360" w:lineRule="auto"/>
              <w:rPr>
                <w:rFonts w:hint="default" w:ascii="Times New Roman" w:eastAsia="仿宋_GB2312"/>
                <w:sz w:val="22"/>
                <w:szCs w:val="22"/>
              </w:rPr>
            </w:pPr>
          </w:p>
          <w:p w14:paraId="6E6D8003">
            <w:pPr>
              <w:spacing w:beforeLines="0" w:afterLines="0" w:line="360" w:lineRule="auto"/>
              <w:rPr>
                <w:rFonts w:hint="default" w:ascii="Times New Roman" w:eastAsia="仿宋_GB2312"/>
                <w:sz w:val="22"/>
                <w:szCs w:val="22"/>
              </w:rPr>
            </w:pPr>
          </w:p>
          <w:p w14:paraId="5D4E6DB8">
            <w:pPr>
              <w:spacing w:beforeLines="0" w:afterLines="0"/>
              <w:rPr>
                <w:rFonts w:hint="default" w:ascii="Times New Roman" w:eastAsia="仿宋_GB2312"/>
                <w:sz w:val="22"/>
                <w:szCs w:val="22"/>
              </w:rPr>
            </w:pPr>
            <w:r>
              <w:rPr>
                <w:rFonts w:hint="eastAsia" w:ascii="Times New Roman" w:eastAsia="仿宋_GB2312"/>
                <w:sz w:val="22"/>
                <w:szCs w:val="22"/>
              </w:rPr>
              <w:t>移交人：                         清点人：</w:t>
            </w:r>
          </w:p>
        </w:tc>
      </w:tr>
      <w:tr w14:paraId="67A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9078"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14:paraId="7DC01951">
            <w:pPr>
              <w:spacing w:beforeLines="0" w:afterLines="0" w:line="360" w:lineRule="auto"/>
              <w:rPr>
                <w:rFonts w:hint="default" w:ascii="Times New Roman" w:eastAsia="仿宋_GB2312"/>
                <w:color w:val="auto"/>
                <w:sz w:val="24"/>
                <w:szCs w:val="24"/>
              </w:rPr>
            </w:pPr>
            <w:r>
              <w:rPr>
                <w:rFonts w:hint="eastAsia" w:ascii="Times New Roman" w:eastAsia="仿宋_GB2312"/>
                <w:color w:val="auto"/>
                <w:sz w:val="24"/>
                <w:szCs w:val="24"/>
              </w:rPr>
              <w:t>三、存在问题</w:t>
            </w:r>
          </w:p>
          <w:p w14:paraId="2989D9B0">
            <w:pPr>
              <w:spacing w:beforeLines="0" w:afterLines="0" w:line="240" w:lineRule="exact"/>
              <w:ind w:firstLine="462" w:firstLineChars="210"/>
              <w:rPr>
                <w:rFonts w:hint="default" w:ascii="Times New Roman" w:eastAsia="仿宋_GB2312"/>
                <w:color w:val="auto"/>
                <w:sz w:val="22"/>
                <w:szCs w:val="24"/>
              </w:rPr>
            </w:pPr>
          </w:p>
          <w:p w14:paraId="2F18EC3B">
            <w:pPr>
              <w:spacing w:beforeLines="0" w:afterLines="0"/>
              <w:ind w:right="-29" w:rightChars="-12"/>
              <w:rPr>
                <w:rFonts w:hint="default" w:ascii="Times New Roman" w:eastAsia="仿宋_GB2312"/>
                <w:color w:val="auto"/>
                <w:sz w:val="31"/>
                <w:szCs w:val="24"/>
              </w:rPr>
            </w:pPr>
          </w:p>
          <w:p w14:paraId="43B4A2BF">
            <w:pPr>
              <w:spacing w:beforeLines="0" w:afterLines="0" w:line="360" w:lineRule="auto"/>
              <w:jc w:val="center"/>
              <w:rPr>
                <w:rFonts w:hint="default" w:ascii="Times New Roman" w:eastAsia="仿宋_GB2312"/>
                <w:color w:val="auto"/>
                <w:sz w:val="22"/>
                <w:szCs w:val="24"/>
              </w:rPr>
            </w:pPr>
            <w:r>
              <w:rPr>
                <w:rFonts w:hint="eastAsia" w:ascii="Times New Roman" w:eastAsia="仿宋_GB2312"/>
                <w:color w:val="auto"/>
                <w:sz w:val="22"/>
                <w:szCs w:val="24"/>
              </w:rPr>
              <w:t>（填写服务过程中存在问题，包括服务质量、服务态度、响应情况等。）</w:t>
            </w:r>
          </w:p>
          <w:p w14:paraId="7C11316A">
            <w:pPr>
              <w:spacing w:beforeLines="0" w:afterLines="0" w:line="360" w:lineRule="auto"/>
              <w:ind w:firstLine="462" w:firstLineChars="210"/>
              <w:rPr>
                <w:rFonts w:hint="default" w:ascii="Times New Roman" w:eastAsia="仿宋_GB2312"/>
                <w:color w:val="auto"/>
                <w:sz w:val="22"/>
                <w:szCs w:val="22"/>
              </w:rPr>
            </w:pPr>
          </w:p>
        </w:tc>
      </w:tr>
      <w:tr w14:paraId="32FE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078"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14:paraId="5004A5DB">
            <w:pPr>
              <w:numPr>
                <w:ilvl w:val="0"/>
                <w:numId w:val="0"/>
              </w:numPr>
              <w:spacing w:beforeLines="0" w:afterLines="0" w:line="360" w:lineRule="auto"/>
              <w:rPr>
                <w:rFonts w:hint="default" w:ascii="Times New Roman" w:eastAsia="仿宋_GB2312"/>
                <w:color w:val="auto"/>
                <w:sz w:val="24"/>
                <w:szCs w:val="24"/>
              </w:rPr>
            </w:pPr>
            <w:r>
              <w:rPr>
                <w:rFonts w:hint="eastAsia" w:ascii="Times New Roman" w:eastAsia="仿宋_GB2312"/>
                <w:color w:val="auto"/>
                <w:sz w:val="24"/>
                <w:szCs w:val="24"/>
              </w:rPr>
              <w:t>四、问题整改情况</w:t>
            </w:r>
          </w:p>
          <w:p w14:paraId="1A677603">
            <w:pPr>
              <w:spacing w:beforeLines="0" w:afterLines="0"/>
              <w:ind w:right="-29" w:rightChars="-12"/>
              <w:rPr>
                <w:rFonts w:hint="default" w:ascii="Times New Roman" w:eastAsia="仿宋_GB2312"/>
                <w:color w:val="auto"/>
                <w:sz w:val="31"/>
                <w:szCs w:val="24"/>
              </w:rPr>
            </w:pPr>
          </w:p>
          <w:p w14:paraId="3C73A1CA">
            <w:pPr>
              <w:spacing w:beforeLines="0" w:afterLines="0" w:line="360" w:lineRule="auto"/>
              <w:jc w:val="center"/>
              <w:rPr>
                <w:rFonts w:hint="default" w:ascii="Times New Roman" w:eastAsia="仿宋_GB2312"/>
                <w:color w:val="auto"/>
                <w:sz w:val="22"/>
                <w:szCs w:val="24"/>
              </w:rPr>
            </w:pPr>
            <w:r>
              <w:rPr>
                <w:rFonts w:hint="eastAsia" w:ascii="Times New Roman" w:eastAsia="仿宋_GB2312"/>
                <w:color w:val="auto"/>
                <w:sz w:val="22"/>
                <w:szCs w:val="24"/>
              </w:rPr>
              <w:t>（填写服务问题的整改情况。）</w:t>
            </w:r>
          </w:p>
          <w:p w14:paraId="7510E3BC">
            <w:pPr>
              <w:spacing w:beforeLines="0" w:afterLines="0" w:line="360" w:lineRule="auto"/>
              <w:rPr>
                <w:rFonts w:hint="default" w:ascii="Times New Roman" w:eastAsia="仿宋_GB2312"/>
                <w:color w:val="auto"/>
                <w:sz w:val="22"/>
                <w:szCs w:val="22"/>
              </w:rPr>
            </w:pPr>
          </w:p>
        </w:tc>
      </w:tr>
      <w:tr w14:paraId="4E74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9078"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14:paraId="14281D4E">
            <w:pPr>
              <w:spacing w:beforeLines="0" w:afterLines="0"/>
              <w:rPr>
                <w:rFonts w:hint="default" w:ascii="Times New Roman" w:eastAsia="仿宋_GB2312"/>
                <w:color w:val="auto"/>
                <w:sz w:val="22"/>
                <w:szCs w:val="22"/>
              </w:rPr>
            </w:pPr>
            <w:r>
              <w:rPr>
                <w:rFonts w:hint="eastAsia" w:ascii="Times New Roman" w:eastAsia="仿宋_GB2312"/>
                <w:color w:val="auto"/>
                <w:sz w:val="24"/>
                <w:szCs w:val="24"/>
              </w:rPr>
              <w:t>五、服务验收意见</w:t>
            </w:r>
          </w:p>
        </w:tc>
      </w:tr>
      <w:tr w14:paraId="24983E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3" w:hRule="atLeast"/>
          <w:jc w:val="center"/>
        </w:trPr>
        <w:tc>
          <w:tcPr>
            <w:tcW w:w="9078" w:type="dxa"/>
            <w:gridSpan w:val="10"/>
            <w:tcBorders>
              <w:top w:val="single" w:color="auto" w:sz="6" w:space="0"/>
              <w:left w:val="single" w:color="auto" w:sz="6" w:space="0"/>
              <w:bottom w:val="single" w:color="auto" w:sz="6" w:space="0"/>
              <w:right w:val="single" w:color="auto" w:sz="6" w:space="0"/>
              <w:tl2br w:val="nil"/>
              <w:tr2bl w:val="nil"/>
            </w:tcBorders>
            <w:noWrap/>
            <w:vAlign w:val="center"/>
          </w:tcPr>
          <w:p w14:paraId="2756B9E2">
            <w:pPr>
              <w:spacing w:beforeLines="0" w:afterLines="0" w:line="360" w:lineRule="auto"/>
              <w:rPr>
                <w:rFonts w:hint="default" w:ascii="Times New Roman" w:eastAsia="仿宋_GB2312"/>
                <w:color w:val="000000"/>
                <w:sz w:val="22"/>
                <w:szCs w:val="22"/>
              </w:rPr>
            </w:pPr>
            <w:r>
              <w:rPr>
                <w:rFonts w:hint="eastAsia" w:ascii="Times New Roman" w:eastAsia="仿宋_GB2312"/>
                <w:sz w:val="22"/>
                <w:szCs w:val="22"/>
              </w:rPr>
              <w:t>参 加 服 务 验 收 的 单 位 和 代 表 （签 字）</w:t>
            </w:r>
          </w:p>
        </w:tc>
      </w:tr>
      <w:tr w14:paraId="613380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41" w:hRule="atLeast"/>
          <w:jc w:val="center"/>
        </w:trPr>
        <w:tc>
          <w:tcPr>
            <w:tcW w:w="4756" w:type="dxa"/>
            <w:gridSpan w:val="5"/>
            <w:tcBorders>
              <w:top w:val="single" w:color="auto" w:sz="6" w:space="0"/>
              <w:left w:val="single" w:color="auto" w:sz="6" w:space="0"/>
              <w:bottom w:val="single" w:color="auto" w:sz="6" w:space="0"/>
              <w:right w:val="single" w:color="auto" w:sz="6" w:space="0"/>
              <w:tl2br w:val="nil"/>
              <w:tr2bl w:val="nil"/>
            </w:tcBorders>
            <w:noWrap/>
            <w:vAlign w:val="top"/>
          </w:tcPr>
          <w:p w14:paraId="697C71A2">
            <w:pPr>
              <w:spacing w:beforeLines="0" w:afterLines="0"/>
              <w:rPr>
                <w:rFonts w:hint="default" w:ascii="Times New Roman" w:eastAsia="仿宋_GB2312"/>
                <w:color w:val="000000"/>
                <w:sz w:val="22"/>
                <w:szCs w:val="22"/>
              </w:rPr>
            </w:pPr>
            <w:r>
              <w:rPr>
                <w:rFonts w:hint="eastAsia" w:ascii="Times New Roman" w:eastAsia="仿宋_GB2312"/>
                <w:color w:val="000000"/>
                <w:sz w:val="22"/>
                <w:szCs w:val="22"/>
              </w:rPr>
              <w:t>服务单位</w:t>
            </w:r>
          </w:p>
        </w:tc>
        <w:tc>
          <w:tcPr>
            <w:tcW w:w="4322"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48231C38">
            <w:pPr>
              <w:spacing w:beforeLines="0" w:afterLines="0"/>
              <w:rPr>
                <w:rFonts w:hint="default" w:ascii="Times New Roman" w:eastAsia="仿宋_GB2312"/>
                <w:color w:val="000000"/>
                <w:sz w:val="22"/>
                <w:szCs w:val="22"/>
              </w:rPr>
            </w:pPr>
            <w:r>
              <w:rPr>
                <w:rFonts w:hint="eastAsia" w:ascii="Times New Roman" w:eastAsia="仿宋_GB2312"/>
                <w:color w:val="000000"/>
                <w:sz w:val="22"/>
                <w:szCs w:val="22"/>
              </w:rPr>
              <w:t>采购单位</w:t>
            </w:r>
          </w:p>
        </w:tc>
      </w:tr>
    </w:tbl>
    <w:p w14:paraId="4FAC7788">
      <w:pPr>
        <w:widowControl/>
        <w:spacing w:beforeLines="0" w:afterLines="0"/>
        <w:rPr>
          <w:rFonts w:hint="default" w:ascii="Times New Roman" w:eastAsia="仿宋_GB2312"/>
          <w:color w:val="000000"/>
          <w:sz w:val="22"/>
          <w:szCs w:val="22"/>
        </w:rPr>
      </w:pPr>
      <w:r>
        <w:rPr>
          <w:rFonts w:hint="eastAsia" w:ascii="Times New Roman" w:eastAsia="仿宋_GB2312"/>
          <w:color w:val="000000"/>
          <w:sz w:val="22"/>
          <w:szCs w:val="22"/>
        </w:rPr>
        <w:t>此表一式两份，服务单位、采购单位各存一份。</w:t>
      </w:r>
    </w:p>
    <w:p w14:paraId="52200DFA">
      <w:pPr>
        <w:rPr>
          <w:rFonts w:hint="default" w:hAnsi="宋体" w:eastAsia="宋体" w:cs="宋体"/>
          <w:color w:val="auto"/>
          <w:sz w:val="24"/>
          <w:szCs w:val="24"/>
          <w:lang w:val="en-US" w:eastAsia="zh-CN"/>
        </w:rPr>
      </w:pPr>
    </w:p>
    <w:p w14:paraId="2E88EC72">
      <w:pPr>
        <w:rPr>
          <w:rFonts w:hint="default" w:hAnsi="宋体" w:cs="宋体"/>
          <w:color w:val="auto"/>
          <w:sz w:val="24"/>
          <w:szCs w:val="24"/>
          <w:lang w:val="en-US"/>
        </w:rPr>
      </w:pPr>
    </w:p>
    <w:p w14:paraId="5548E69E">
      <w:pPr>
        <w:rPr>
          <w:rFonts w:hint="default" w:hAnsi="宋体" w:cs="宋体"/>
          <w:color w:val="auto"/>
          <w:sz w:val="24"/>
          <w:szCs w:val="24"/>
          <w:lang w:val="en-US"/>
        </w:rPr>
      </w:pPr>
    </w:p>
    <w:p w14:paraId="10687E43">
      <w:pPr>
        <w:rPr>
          <w:rFonts w:hint="default" w:hAnsi="宋体" w:cs="宋体"/>
          <w:color w:val="auto"/>
          <w:sz w:val="24"/>
          <w:szCs w:val="24"/>
          <w:lang w:val="en-US"/>
        </w:rPr>
      </w:pPr>
    </w:p>
    <w:p w14:paraId="53EC7E4C">
      <w:pPr>
        <w:rPr>
          <w:rFonts w:hint="default" w:hAnsi="宋体" w:cs="宋体"/>
          <w:color w:val="auto"/>
          <w:sz w:val="24"/>
          <w:szCs w:val="24"/>
          <w:lang w:val="en-US"/>
        </w:rPr>
      </w:pPr>
    </w:p>
    <w:p w14:paraId="5720522D">
      <w:pPr>
        <w:rPr>
          <w:rFonts w:hint="default" w:hAnsi="宋体" w:cs="宋体"/>
          <w:color w:val="auto"/>
          <w:sz w:val="24"/>
          <w:szCs w:val="24"/>
          <w:lang w:val="en-US"/>
        </w:rPr>
      </w:pPr>
    </w:p>
    <w:p w14:paraId="76274218">
      <w:pPr>
        <w:rPr>
          <w:rFonts w:hint="default" w:hAnsi="宋体" w:cs="宋体"/>
          <w:color w:val="auto"/>
          <w:sz w:val="24"/>
          <w:szCs w:val="24"/>
          <w:lang w:val="en-US"/>
        </w:rPr>
      </w:pPr>
    </w:p>
    <w:p w14:paraId="0E3D2F63">
      <w:pPr>
        <w:rPr>
          <w:rFonts w:hint="default" w:hAnsi="宋体" w:cs="宋体"/>
          <w:color w:val="auto"/>
          <w:sz w:val="24"/>
          <w:szCs w:val="24"/>
          <w:lang w:val="en-US"/>
        </w:rPr>
      </w:pPr>
    </w:p>
    <w:p w14:paraId="4459DD6F">
      <w:pPr>
        <w:rPr>
          <w:rFonts w:hint="default" w:hAnsi="宋体" w:cs="宋体"/>
          <w:color w:val="auto"/>
          <w:sz w:val="24"/>
          <w:szCs w:val="24"/>
          <w:lang w:val="en-US"/>
        </w:rPr>
      </w:pPr>
    </w:p>
    <w:p w14:paraId="6EB260A6">
      <w:pPr>
        <w:rPr>
          <w:rFonts w:hint="default" w:hAnsi="宋体" w:cs="宋体"/>
          <w:color w:val="auto"/>
          <w:sz w:val="24"/>
          <w:szCs w:val="24"/>
          <w:lang w:val="en-US"/>
        </w:rPr>
      </w:pPr>
    </w:p>
    <w:p w14:paraId="2786B72C">
      <w:pPr>
        <w:rPr>
          <w:rFonts w:hint="default" w:hAnsi="宋体" w:cs="宋体"/>
          <w:color w:val="auto"/>
          <w:sz w:val="24"/>
          <w:szCs w:val="24"/>
          <w:lang w:val="en-US"/>
        </w:rPr>
      </w:pPr>
    </w:p>
    <w:p w14:paraId="4505A1D2">
      <w:pPr>
        <w:spacing w:beforeLines="0" w:afterLines="0"/>
        <w:rPr>
          <w:rFonts w:hint="default" w:hAnsi="宋体"/>
          <w:b/>
          <w:sz w:val="24"/>
          <w:szCs w:val="32"/>
        </w:rPr>
      </w:pPr>
      <w:bookmarkStart w:id="48" w:name="_Toc30018"/>
    </w:p>
    <w:p w14:paraId="16849FC5">
      <w:pPr>
        <w:spacing w:beforeLines="0" w:afterLines="0"/>
        <w:rPr>
          <w:rFonts w:hint="default" w:hAnsi="宋体"/>
          <w:b/>
          <w:sz w:val="24"/>
          <w:szCs w:val="32"/>
        </w:rPr>
      </w:pPr>
    </w:p>
    <w:p w14:paraId="36E1EEE6">
      <w:pPr>
        <w:pStyle w:val="4"/>
        <w:numPr>
          <w:ilvl w:val="0"/>
          <w:numId w:val="2"/>
        </w:numPr>
        <w:snapToGrid w:val="0"/>
        <w:spacing w:before="0" w:beforeLines="0" w:after="0" w:afterLines="0"/>
        <w:jc w:val="center"/>
        <w:rPr>
          <w:rFonts w:hint="default"/>
        </w:rPr>
      </w:pPr>
      <w:bookmarkStart w:id="49" w:name="_Toc17293"/>
      <w:r>
        <w:rPr>
          <w:rFonts w:hint="default" w:hAnsi="宋体"/>
          <w:sz w:val="32"/>
          <w:szCs w:val="32"/>
        </w:rPr>
        <w:t>报价须知</w:t>
      </w:r>
      <w:bookmarkEnd w:id="48"/>
      <w:bookmarkEnd w:id="49"/>
    </w:p>
    <w:p w14:paraId="56B653B2">
      <w:pPr>
        <w:numPr>
          <w:ilvl w:val="0"/>
          <w:numId w:val="0"/>
        </w:numPr>
        <w:spacing w:beforeLines="0" w:afterLines="0"/>
        <w:rPr>
          <w:rFonts w:hint="default"/>
          <w:sz w:val="24"/>
          <w:szCs w:val="24"/>
        </w:rPr>
      </w:pPr>
    </w:p>
    <w:p w14:paraId="17C7E69A">
      <w:pPr>
        <w:snapToGrid w:val="0"/>
        <w:spacing w:beforeLines="0" w:afterLines="0" w:line="360" w:lineRule="auto"/>
        <w:outlineLvl w:val="1"/>
        <w:rPr>
          <w:rFonts w:hint="default" w:hAnsi="宋体"/>
          <w:b/>
          <w:sz w:val="24"/>
          <w:szCs w:val="24"/>
        </w:rPr>
      </w:pPr>
      <w:bookmarkStart w:id="50" w:name="_Toc27442"/>
      <w:r>
        <w:rPr>
          <w:rFonts w:hint="default" w:hAnsi="宋体"/>
          <w:b/>
          <w:sz w:val="24"/>
          <w:szCs w:val="24"/>
        </w:rPr>
        <w:t>一、项目费用说明</w:t>
      </w:r>
      <w:bookmarkEnd w:id="50"/>
    </w:p>
    <w:p w14:paraId="2E2EA44D">
      <w:pPr>
        <w:snapToGrid w:val="0"/>
        <w:spacing w:beforeLines="0" w:afterLines="0" w:line="360" w:lineRule="auto"/>
        <w:ind w:firstLine="424" w:firstLineChars="177"/>
        <w:rPr>
          <w:rFonts w:hint="default" w:hAnsi="宋体"/>
          <w:sz w:val="24"/>
          <w:szCs w:val="24"/>
        </w:rPr>
      </w:pPr>
      <w:r>
        <w:rPr>
          <w:rFonts w:hint="default" w:hAnsi="宋体"/>
          <w:sz w:val="24"/>
          <w:szCs w:val="24"/>
        </w:rPr>
        <w:t>报价人应按询价文件要求及企业的自身情况进行报价。所报的价格包含完成询价文件规定的工作所需的全部费用，并承担所有相应项目风险。</w:t>
      </w:r>
    </w:p>
    <w:p w14:paraId="66082DFE">
      <w:pPr>
        <w:snapToGrid w:val="0"/>
        <w:spacing w:beforeLines="0" w:afterLines="0" w:line="360" w:lineRule="auto"/>
        <w:rPr>
          <w:rFonts w:hint="default" w:hAnsi="宋体"/>
          <w:b/>
          <w:sz w:val="24"/>
          <w:szCs w:val="24"/>
        </w:rPr>
      </w:pPr>
    </w:p>
    <w:p w14:paraId="516193F9">
      <w:pPr>
        <w:snapToGrid w:val="0"/>
        <w:spacing w:beforeLines="0" w:afterLines="0" w:line="360" w:lineRule="auto"/>
        <w:outlineLvl w:val="1"/>
        <w:rPr>
          <w:rFonts w:hint="default" w:hAnsi="宋体"/>
          <w:b/>
          <w:sz w:val="24"/>
          <w:szCs w:val="24"/>
        </w:rPr>
      </w:pPr>
      <w:bookmarkStart w:id="51" w:name="_Toc2697"/>
      <w:r>
        <w:rPr>
          <w:rFonts w:hint="default" w:hAnsi="宋体"/>
          <w:b/>
          <w:sz w:val="24"/>
          <w:szCs w:val="24"/>
        </w:rPr>
        <w:t>二、报价文件的组成</w:t>
      </w:r>
      <w:bookmarkEnd w:id="51"/>
    </w:p>
    <w:p w14:paraId="6AC650EA">
      <w:pPr>
        <w:snapToGrid w:val="0"/>
        <w:spacing w:beforeLines="0" w:afterLines="0" w:line="360" w:lineRule="auto"/>
        <w:ind w:firstLine="424" w:firstLineChars="177"/>
        <w:rPr>
          <w:rFonts w:hint="default" w:hAnsi="宋体"/>
          <w:color w:val="000000"/>
          <w:sz w:val="24"/>
          <w:szCs w:val="24"/>
        </w:rPr>
      </w:pPr>
      <w:r>
        <w:rPr>
          <w:rFonts w:hint="default" w:hAnsi="宋体"/>
          <w:color w:val="000000"/>
          <w:sz w:val="24"/>
          <w:szCs w:val="24"/>
        </w:rPr>
        <w:t>1.报价表；</w:t>
      </w:r>
    </w:p>
    <w:p w14:paraId="141883D3">
      <w:pPr>
        <w:snapToGrid w:val="0"/>
        <w:spacing w:beforeLines="0" w:afterLines="0" w:line="360" w:lineRule="auto"/>
        <w:ind w:firstLine="424" w:firstLineChars="177"/>
        <w:rPr>
          <w:rFonts w:hint="default" w:hAnsi="宋体"/>
          <w:color w:val="000000"/>
          <w:sz w:val="24"/>
          <w:szCs w:val="24"/>
        </w:rPr>
      </w:pPr>
      <w:r>
        <w:rPr>
          <w:rFonts w:hint="eastAsia" w:hAnsi="宋体"/>
          <w:color w:val="000000"/>
          <w:sz w:val="24"/>
          <w:szCs w:val="24"/>
          <w:lang w:val="en-US" w:eastAsia="zh-CN"/>
        </w:rPr>
        <w:t>2</w:t>
      </w:r>
      <w:r>
        <w:rPr>
          <w:rFonts w:hint="default" w:hAnsi="宋体"/>
          <w:color w:val="000000"/>
          <w:sz w:val="24"/>
          <w:szCs w:val="24"/>
        </w:rPr>
        <w:t>.报价承诺书；</w:t>
      </w:r>
    </w:p>
    <w:p w14:paraId="326C88A8">
      <w:pPr>
        <w:snapToGrid w:val="0"/>
        <w:spacing w:beforeLines="0" w:afterLines="0" w:line="360" w:lineRule="auto"/>
        <w:ind w:firstLine="424" w:firstLineChars="177"/>
        <w:rPr>
          <w:rFonts w:hint="eastAsia" w:hAnsi="宋体"/>
          <w:color w:val="000000"/>
          <w:sz w:val="24"/>
          <w:szCs w:val="24"/>
          <w:lang w:eastAsia="zh-CN"/>
        </w:rPr>
      </w:pPr>
      <w:r>
        <w:rPr>
          <w:rFonts w:hint="eastAsia" w:hAnsi="宋体"/>
          <w:color w:val="000000"/>
          <w:sz w:val="24"/>
          <w:szCs w:val="24"/>
          <w:lang w:val="en-US" w:eastAsia="zh-CN"/>
        </w:rPr>
        <w:t>3</w:t>
      </w:r>
      <w:r>
        <w:rPr>
          <w:rFonts w:hint="default" w:hAnsi="宋体"/>
          <w:color w:val="000000"/>
          <w:sz w:val="24"/>
          <w:szCs w:val="24"/>
        </w:rPr>
        <w:t>.营业执照</w:t>
      </w:r>
      <w:r>
        <w:rPr>
          <w:rFonts w:hint="eastAsia" w:hAnsi="宋体"/>
          <w:color w:val="000000"/>
          <w:sz w:val="24"/>
          <w:szCs w:val="24"/>
          <w:lang w:eastAsia="zh-CN"/>
        </w:rPr>
        <w:t>；</w:t>
      </w:r>
    </w:p>
    <w:p w14:paraId="79DBFEFA">
      <w:pPr>
        <w:pStyle w:val="2"/>
        <w:rPr>
          <w:rFonts w:hint="eastAsia" w:hAnsi="宋体"/>
          <w:color w:val="000000"/>
          <w:sz w:val="24"/>
          <w:szCs w:val="24"/>
          <w:lang w:val="en-US" w:eastAsia="zh-CN"/>
        </w:rPr>
      </w:pPr>
      <w:r>
        <w:rPr>
          <w:rFonts w:hint="eastAsia" w:hAnsi="宋体"/>
          <w:color w:val="000000"/>
          <w:sz w:val="24"/>
          <w:szCs w:val="24"/>
          <w:lang w:val="en-US" w:eastAsia="zh-CN"/>
        </w:rPr>
        <w:t xml:space="preserve">  4.信息化升级建设项目业绩；</w:t>
      </w:r>
    </w:p>
    <w:p w14:paraId="05041A93">
      <w:pPr>
        <w:pStyle w:val="2"/>
        <w:rPr>
          <w:rFonts w:hint="default" w:hAnsi="宋体"/>
          <w:color w:val="000000"/>
          <w:sz w:val="24"/>
          <w:szCs w:val="24"/>
          <w:lang w:val="en-US" w:eastAsia="zh-CN"/>
        </w:rPr>
      </w:pPr>
      <w:r>
        <w:rPr>
          <w:rFonts w:hint="eastAsia" w:hAnsi="宋体"/>
          <w:color w:val="000000"/>
          <w:sz w:val="24"/>
          <w:szCs w:val="24"/>
          <w:lang w:val="en-US" w:eastAsia="zh-CN"/>
        </w:rPr>
        <w:t xml:space="preserve">  5.信用中国网站截图。</w:t>
      </w:r>
    </w:p>
    <w:p w14:paraId="793E280C">
      <w:pPr>
        <w:pStyle w:val="2"/>
        <w:spacing w:beforeLines="0" w:afterLines="0"/>
        <w:rPr>
          <w:rFonts w:hint="default" w:hAnsi="宋体"/>
          <w:color w:val="000000"/>
          <w:sz w:val="24"/>
          <w:szCs w:val="24"/>
        </w:rPr>
      </w:pPr>
    </w:p>
    <w:p w14:paraId="46F798B0">
      <w:pPr>
        <w:snapToGrid w:val="0"/>
        <w:spacing w:beforeLines="0" w:afterLines="0" w:line="360" w:lineRule="auto"/>
        <w:outlineLvl w:val="1"/>
        <w:rPr>
          <w:rFonts w:hint="default" w:hAnsi="宋体"/>
          <w:b/>
          <w:sz w:val="24"/>
          <w:szCs w:val="24"/>
        </w:rPr>
      </w:pPr>
      <w:bookmarkStart w:id="52" w:name="_Toc11475"/>
      <w:r>
        <w:rPr>
          <w:rFonts w:hint="default" w:hAnsi="宋体"/>
          <w:b/>
          <w:sz w:val="24"/>
          <w:szCs w:val="24"/>
        </w:rPr>
        <w:t>三、报价文件的封装和递交</w:t>
      </w:r>
      <w:bookmarkEnd w:id="52"/>
    </w:p>
    <w:p w14:paraId="5B49B5FC">
      <w:pPr>
        <w:snapToGrid w:val="0"/>
        <w:spacing w:beforeLines="0" w:afterLines="0" w:line="360" w:lineRule="auto"/>
        <w:ind w:firstLine="424" w:firstLineChars="177"/>
        <w:rPr>
          <w:rFonts w:hint="default" w:hAnsi="宋体"/>
          <w:sz w:val="24"/>
          <w:szCs w:val="24"/>
        </w:rPr>
      </w:pPr>
      <w:r>
        <w:rPr>
          <w:rFonts w:hint="default" w:hAnsi="宋体"/>
          <w:sz w:val="24"/>
          <w:szCs w:val="24"/>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15A0551D">
      <w:pPr>
        <w:snapToGrid w:val="0"/>
        <w:spacing w:beforeLines="0" w:afterLines="0" w:line="360" w:lineRule="auto"/>
        <w:ind w:firstLine="424" w:firstLineChars="177"/>
        <w:rPr>
          <w:rFonts w:hint="default" w:hAnsi="宋体"/>
          <w:sz w:val="24"/>
          <w:szCs w:val="24"/>
        </w:rPr>
      </w:pPr>
      <w:r>
        <w:rPr>
          <w:rFonts w:hint="default" w:hAnsi="宋体"/>
          <w:sz w:val="24"/>
          <w:szCs w:val="24"/>
        </w:rPr>
        <w:t>2.密封好的报价文件，应于询价邀请函中规定的截止时间前递交到采购人指定的递交地点。</w:t>
      </w:r>
    </w:p>
    <w:p w14:paraId="625958F7">
      <w:pPr>
        <w:pStyle w:val="2"/>
        <w:rPr>
          <w:rFonts w:hint="default" w:hAnsi="宋体"/>
          <w:sz w:val="24"/>
          <w:szCs w:val="24"/>
        </w:rPr>
      </w:pPr>
    </w:p>
    <w:p w14:paraId="01267C71">
      <w:pPr>
        <w:snapToGrid w:val="0"/>
        <w:spacing w:line="360" w:lineRule="auto"/>
        <w:outlineLvl w:val="1"/>
        <w:rPr>
          <w:rFonts w:hint="default" w:ascii="宋体" w:hAnsi="宋体" w:eastAsia="宋体" w:cs="Times New Roman"/>
          <w:b/>
          <w:bCs w:val="0"/>
          <w:sz w:val="24"/>
          <w:szCs w:val="24"/>
        </w:rPr>
      </w:pPr>
      <w:r>
        <w:rPr>
          <w:rFonts w:hint="eastAsia" w:ascii="宋体" w:hAnsi="宋体" w:eastAsia="宋体" w:cs="Times New Roman"/>
          <w:b/>
          <w:bCs w:val="0"/>
          <w:sz w:val="24"/>
          <w:szCs w:val="24"/>
          <w:lang w:val="en-US" w:eastAsia="zh-CN"/>
        </w:rPr>
        <w:t>四</w:t>
      </w:r>
      <w:r>
        <w:rPr>
          <w:rFonts w:hint="default" w:ascii="宋体" w:hAnsi="宋体" w:eastAsia="宋体" w:cs="Times New Roman"/>
          <w:b/>
          <w:bCs w:val="0"/>
          <w:sz w:val="24"/>
          <w:szCs w:val="24"/>
        </w:rPr>
        <w:t>、</w:t>
      </w:r>
      <w:r>
        <w:rPr>
          <w:rFonts w:hint="eastAsia" w:ascii="宋体" w:hAnsi="宋体" w:eastAsia="宋体" w:cs="Times New Roman"/>
          <w:b/>
          <w:bCs w:val="0"/>
          <w:sz w:val="24"/>
          <w:szCs w:val="24"/>
          <w:lang w:val="en-US" w:eastAsia="zh-CN"/>
        </w:rPr>
        <w:t>其他要求</w:t>
      </w:r>
    </w:p>
    <w:p w14:paraId="1E51155D">
      <w:pPr>
        <w:pStyle w:val="2"/>
        <w:autoSpaceDE/>
        <w:autoSpaceDN/>
        <w:spacing w:line="360" w:lineRule="auto"/>
        <w:ind w:firstLine="422" w:firstLineChars="176"/>
        <w:rPr>
          <w:rFonts w:hint="eastAsia" w:hAnsi="宋体" w:cs="宋体"/>
          <w:b w:val="0"/>
          <w:bCs w:val="0"/>
        </w:rPr>
      </w:pPr>
      <w:r>
        <w:rPr>
          <w:rFonts w:hint="eastAsia" w:hAnsi="宋体" w:cs="宋体"/>
          <w:b w:val="0"/>
          <w:bCs w:val="0"/>
          <w:sz w:val="24"/>
          <w:szCs w:val="24"/>
        </w:rPr>
        <w:t>1.</w:t>
      </w:r>
      <w:r>
        <w:rPr>
          <w:rFonts w:hint="eastAsia" w:hAnsi="宋体" w:cs="宋体"/>
          <w:b w:val="0"/>
          <w:bCs w:val="0"/>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w:t>
      </w:r>
    </w:p>
    <w:p w14:paraId="28709459">
      <w:pPr>
        <w:pStyle w:val="2"/>
        <w:autoSpaceDE/>
        <w:autoSpaceDN/>
        <w:spacing w:line="360" w:lineRule="auto"/>
        <w:ind w:firstLine="422" w:firstLineChars="176"/>
        <w:rPr>
          <w:rFonts w:hint="default" w:hAnsi="宋体"/>
          <w:sz w:val="24"/>
          <w:szCs w:val="24"/>
        </w:rPr>
      </w:pPr>
      <w:r>
        <w:rPr>
          <w:rFonts w:hint="eastAsia" w:hAnsi="宋体" w:cs="宋体"/>
          <w:b w:val="0"/>
          <w:bCs w:val="0"/>
        </w:rPr>
        <w:t>2.当最低价供应商放弃成交资格时，采购人有权确定实质性满足采购需求的第二低价供应商作为成交供应商，或重新进行采购。</w:t>
      </w:r>
    </w:p>
    <w:p w14:paraId="2FCA5C69">
      <w:pPr>
        <w:snapToGrid w:val="0"/>
        <w:spacing w:line="360" w:lineRule="auto"/>
        <w:rPr>
          <w:rFonts w:hint="default" w:ascii="宋体" w:hAnsi="Times New Roman" w:eastAsia="宋体" w:cs="Times New Roman"/>
          <w:sz w:val="24"/>
          <w:szCs w:val="24"/>
          <w:lang w:val="en-US" w:eastAsia="zh-CN" w:bidi="ar-SA"/>
        </w:rPr>
      </w:pPr>
      <w:r>
        <w:rPr>
          <w:rFonts w:hint="default" w:hAnsi="宋体"/>
          <w:sz w:val="24"/>
          <w:szCs w:val="24"/>
        </w:rPr>
        <w:br w:type="page"/>
      </w:r>
    </w:p>
    <w:p w14:paraId="023DC5E8">
      <w:pPr>
        <w:pStyle w:val="4"/>
        <w:snapToGrid w:val="0"/>
        <w:spacing w:before="0" w:beforeLines="0" w:after="0" w:afterLines="0"/>
        <w:jc w:val="center"/>
        <w:rPr>
          <w:rFonts w:hint="default" w:hAnsi="宋体"/>
          <w:sz w:val="32"/>
          <w:szCs w:val="32"/>
        </w:rPr>
      </w:pPr>
      <w:bookmarkStart w:id="53" w:name="_Toc30920"/>
      <w:bookmarkStart w:id="54" w:name="_Toc13624"/>
      <w:r>
        <w:rPr>
          <w:rFonts w:hint="default" w:hAnsi="宋体"/>
          <w:sz w:val="32"/>
          <w:szCs w:val="32"/>
        </w:rPr>
        <w:t>第</w:t>
      </w:r>
      <w:r>
        <w:rPr>
          <w:rFonts w:hint="eastAsia" w:hAnsi="宋体"/>
          <w:sz w:val="32"/>
          <w:szCs w:val="32"/>
          <w:lang w:val="en-US" w:eastAsia="zh-CN"/>
        </w:rPr>
        <w:t>五</w:t>
      </w:r>
      <w:r>
        <w:rPr>
          <w:rFonts w:hint="default" w:hAnsi="宋体"/>
          <w:sz w:val="32"/>
          <w:szCs w:val="32"/>
        </w:rPr>
        <w:t>章 报价文件（格式）</w:t>
      </w:r>
      <w:bookmarkEnd w:id="53"/>
      <w:bookmarkEnd w:id="54"/>
    </w:p>
    <w:p w14:paraId="74E900FF">
      <w:pPr>
        <w:snapToGrid w:val="0"/>
        <w:spacing w:beforeLines="0" w:afterLines="0" w:line="360" w:lineRule="auto"/>
        <w:outlineLvl w:val="1"/>
        <w:rPr>
          <w:rFonts w:hint="default" w:hAnsi="宋体"/>
          <w:b/>
          <w:color w:val="000000"/>
          <w:sz w:val="28"/>
          <w:szCs w:val="28"/>
        </w:rPr>
      </w:pPr>
      <w:bookmarkStart w:id="55" w:name="_Toc9653"/>
      <w:r>
        <w:rPr>
          <w:rFonts w:hint="default" w:hAnsi="宋体"/>
          <w:b/>
          <w:color w:val="000000"/>
          <w:sz w:val="28"/>
          <w:szCs w:val="28"/>
        </w:rPr>
        <w:t>1、报价表</w:t>
      </w:r>
      <w:bookmarkEnd w:id="55"/>
    </w:p>
    <w:tbl>
      <w:tblPr>
        <w:tblStyle w:val="9"/>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487"/>
      </w:tblGrid>
      <w:tr w14:paraId="2D2C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2EEC7">
            <w:pPr>
              <w:pStyle w:val="7"/>
              <w:adjustRightInd w:val="0"/>
              <w:snapToGrid w:val="0"/>
              <w:spacing w:beforeLines="0" w:afterLines="0" w:line="360" w:lineRule="auto"/>
              <w:jc w:val="center"/>
              <w:rPr>
                <w:rFonts w:hint="default" w:hAnsi="宋体"/>
                <w:color w:val="000000"/>
                <w:sz w:val="24"/>
                <w:szCs w:val="28"/>
              </w:rPr>
            </w:pPr>
            <w:bookmarkStart w:id="56" w:name="_Hlk33287059"/>
            <w:r>
              <w:rPr>
                <w:rFonts w:hint="default" w:hAnsi="宋体"/>
                <w:color w:val="000000"/>
                <w:sz w:val="24"/>
                <w:szCs w:val="28"/>
              </w:rPr>
              <w:t>项目名称</w:t>
            </w:r>
          </w:p>
        </w:tc>
        <w:tc>
          <w:tcPr>
            <w:tcW w:w="6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F4147C">
            <w:pPr>
              <w:snapToGrid w:val="0"/>
              <w:spacing w:beforeLines="0" w:afterLines="0" w:line="360" w:lineRule="auto"/>
              <w:ind w:left="662" w:leftChars="276" w:firstLine="237" w:firstLineChars="99"/>
              <w:rPr>
                <w:rFonts w:hint="default" w:hAnsi="宋体"/>
                <w:color w:val="000000"/>
                <w:sz w:val="24"/>
                <w:szCs w:val="28"/>
              </w:rPr>
            </w:pPr>
            <w:r>
              <w:rPr>
                <w:rFonts w:hint="default" w:hAnsi="宋体"/>
                <w:color w:val="000000"/>
                <w:sz w:val="24"/>
                <w:szCs w:val="24"/>
              </w:rPr>
              <w:t>管网运营平台管网清疏检测功能升级建设项目</w:t>
            </w:r>
          </w:p>
        </w:tc>
      </w:tr>
      <w:bookmarkEnd w:id="56"/>
      <w:tr w14:paraId="01D1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C0111">
            <w:pPr>
              <w:pStyle w:val="7"/>
              <w:adjustRightInd w:val="0"/>
              <w:snapToGrid w:val="0"/>
              <w:spacing w:beforeLines="0" w:afterLines="0" w:line="360" w:lineRule="auto"/>
              <w:jc w:val="center"/>
              <w:rPr>
                <w:rFonts w:hint="default" w:hAnsi="宋体"/>
                <w:color w:val="000000"/>
                <w:sz w:val="24"/>
                <w:szCs w:val="28"/>
              </w:rPr>
            </w:pPr>
          </w:p>
          <w:p w14:paraId="641A5D03">
            <w:pPr>
              <w:pStyle w:val="7"/>
              <w:adjustRightInd w:val="0"/>
              <w:snapToGrid w:val="0"/>
              <w:spacing w:beforeLines="0" w:afterLines="0" w:line="360" w:lineRule="auto"/>
              <w:ind w:firstLine="480" w:firstLineChars="200"/>
              <w:rPr>
                <w:rFonts w:hint="default" w:hAnsi="宋体"/>
                <w:color w:val="000000"/>
                <w:sz w:val="24"/>
                <w:szCs w:val="28"/>
              </w:rPr>
            </w:pPr>
            <w:r>
              <w:rPr>
                <w:rFonts w:hint="default" w:hAnsi="宋体"/>
                <w:color w:val="000000"/>
                <w:sz w:val="24"/>
                <w:szCs w:val="28"/>
              </w:rPr>
              <w:t>不含税总价</w:t>
            </w:r>
          </w:p>
          <w:p w14:paraId="07B7B05E">
            <w:pPr>
              <w:pStyle w:val="7"/>
              <w:adjustRightInd w:val="0"/>
              <w:snapToGrid w:val="0"/>
              <w:spacing w:beforeLines="0" w:afterLines="0" w:line="360" w:lineRule="auto"/>
              <w:jc w:val="center"/>
              <w:rPr>
                <w:rFonts w:hint="default" w:hAnsi="宋体"/>
                <w:color w:val="000000"/>
                <w:sz w:val="24"/>
                <w:szCs w:val="28"/>
              </w:rPr>
            </w:pPr>
          </w:p>
        </w:tc>
        <w:tc>
          <w:tcPr>
            <w:tcW w:w="6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DA464">
            <w:pPr>
              <w:pStyle w:val="7"/>
              <w:adjustRightInd w:val="0"/>
              <w:snapToGrid w:val="0"/>
              <w:spacing w:beforeLines="0" w:afterLines="0" w:line="360" w:lineRule="auto"/>
              <w:ind w:firstLine="1200" w:firstLineChars="500"/>
              <w:rPr>
                <w:rFonts w:hint="default" w:hAnsi="宋体"/>
                <w:sz w:val="24"/>
                <w:szCs w:val="24"/>
              </w:rPr>
            </w:pPr>
          </w:p>
          <w:p w14:paraId="642E4E00">
            <w:pPr>
              <w:pStyle w:val="7"/>
              <w:adjustRightInd w:val="0"/>
              <w:snapToGrid w:val="0"/>
              <w:spacing w:beforeLines="0" w:afterLines="0" w:line="360" w:lineRule="auto"/>
              <w:ind w:firstLine="1200" w:firstLineChars="500"/>
              <w:rPr>
                <w:rFonts w:hint="default" w:hAnsi="宋体"/>
                <w:sz w:val="24"/>
                <w:szCs w:val="24"/>
              </w:rPr>
            </w:pPr>
            <w:r>
              <w:rPr>
                <w:rFonts w:hint="default" w:hAnsi="宋体"/>
                <w:sz w:val="24"/>
                <w:szCs w:val="24"/>
              </w:rPr>
              <w:t>大写：</w:t>
            </w:r>
          </w:p>
          <w:p w14:paraId="01941CCF">
            <w:pPr>
              <w:pStyle w:val="7"/>
              <w:adjustRightInd w:val="0"/>
              <w:snapToGrid w:val="0"/>
              <w:spacing w:beforeLines="0" w:afterLines="0" w:line="360" w:lineRule="auto"/>
              <w:ind w:firstLine="1200" w:firstLineChars="500"/>
              <w:rPr>
                <w:rFonts w:hint="default" w:hAnsi="宋体"/>
                <w:sz w:val="24"/>
                <w:szCs w:val="24"/>
                <w:u w:val="single"/>
              </w:rPr>
            </w:pPr>
            <w:r>
              <w:rPr>
                <w:rFonts w:hint="default" w:hAnsi="宋体"/>
                <w:sz w:val="24"/>
                <w:szCs w:val="24"/>
              </w:rPr>
              <w:t>小写：</w:t>
            </w:r>
          </w:p>
          <w:p w14:paraId="7F6C2497">
            <w:pPr>
              <w:snapToGrid w:val="0"/>
              <w:spacing w:beforeLines="0" w:afterLines="0"/>
              <w:ind w:firstLine="1680" w:firstLineChars="700"/>
              <w:rPr>
                <w:rFonts w:hint="default" w:hAnsi="宋体"/>
                <w:sz w:val="24"/>
                <w:szCs w:val="24"/>
              </w:rPr>
            </w:pPr>
          </w:p>
        </w:tc>
      </w:tr>
      <w:tr w14:paraId="7120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C0791">
            <w:pPr>
              <w:pStyle w:val="7"/>
              <w:adjustRightInd w:val="0"/>
              <w:snapToGrid w:val="0"/>
              <w:spacing w:beforeLines="0" w:afterLines="0" w:line="360" w:lineRule="auto"/>
              <w:jc w:val="center"/>
              <w:rPr>
                <w:rFonts w:hint="default" w:hAnsi="宋体"/>
                <w:color w:val="000000"/>
                <w:sz w:val="24"/>
                <w:szCs w:val="28"/>
                <w:u w:val="single"/>
              </w:rPr>
            </w:pPr>
            <w:r>
              <w:rPr>
                <w:rFonts w:hint="default" w:hAnsi="宋体"/>
                <w:color w:val="000000"/>
                <w:sz w:val="24"/>
                <w:szCs w:val="28"/>
              </w:rPr>
              <w:t>完成时间</w:t>
            </w:r>
          </w:p>
        </w:tc>
        <w:tc>
          <w:tcPr>
            <w:tcW w:w="6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7D7565">
            <w:pPr>
              <w:autoSpaceDE/>
              <w:autoSpaceDN/>
              <w:adjustRightInd/>
              <w:spacing w:line="560" w:lineRule="exact"/>
              <w:jc w:val="center"/>
              <w:rPr>
                <w:rFonts w:hint="default" w:hAnsi="宋体"/>
                <w:color w:val="000000"/>
                <w:sz w:val="24"/>
                <w:szCs w:val="24"/>
              </w:rPr>
            </w:pPr>
            <w:r>
              <w:rPr>
                <w:rFonts w:hint="default" w:hAnsi="宋体"/>
                <w:color w:val="000000"/>
                <w:sz w:val="24"/>
                <w:szCs w:val="24"/>
              </w:rPr>
              <w:t>详见用户需求书</w:t>
            </w:r>
          </w:p>
        </w:tc>
      </w:tr>
      <w:tr w14:paraId="1172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FCA5A">
            <w:pPr>
              <w:pStyle w:val="7"/>
              <w:adjustRightInd w:val="0"/>
              <w:snapToGrid w:val="0"/>
              <w:spacing w:beforeLines="0" w:afterLines="0" w:line="360" w:lineRule="auto"/>
              <w:jc w:val="center"/>
              <w:rPr>
                <w:rFonts w:hint="default" w:hAnsi="宋体"/>
                <w:color w:val="000000"/>
                <w:sz w:val="24"/>
                <w:szCs w:val="28"/>
              </w:rPr>
            </w:pPr>
            <w:r>
              <w:rPr>
                <w:rFonts w:hint="default" w:hAnsi="宋体"/>
                <w:color w:val="000000"/>
                <w:sz w:val="24"/>
                <w:szCs w:val="28"/>
              </w:rPr>
              <w:t>备注</w:t>
            </w:r>
          </w:p>
        </w:tc>
        <w:tc>
          <w:tcPr>
            <w:tcW w:w="6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B7D733">
            <w:pPr>
              <w:numPr>
                <w:ilvl w:val="0"/>
                <w:numId w:val="3"/>
              </w:numPr>
              <w:autoSpaceDE/>
              <w:autoSpaceDN/>
              <w:snapToGrid w:val="0"/>
              <w:spacing w:beforeLines="0" w:afterLines="0" w:line="360" w:lineRule="auto"/>
              <w:jc w:val="both"/>
              <w:rPr>
                <w:rFonts w:hint="default" w:hAnsi="宋体"/>
                <w:sz w:val="21"/>
                <w:szCs w:val="21"/>
              </w:rPr>
            </w:pPr>
            <w:r>
              <w:rPr>
                <w:rFonts w:hint="default" w:hAnsi="宋体"/>
                <w:sz w:val="21"/>
                <w:szCs w:val="21"/>
              </w:rPr>
              <w:t>本项目报价为不含税报价，报价人所报价格不得超过限价。报价均包括但不限于完成本项目所需的全部费用，从实质性满足采购需求的供应商中，按不含税报价最低成交原则确定成交供应商。</w:t>
            </w:r>
          </w:p>
          <w:p w14:paraId="654304FF">
            <w:pPr>
              <w:numPr>
                <w:ilvl w:val="0"/>
                <w:numId w:val="3"/>
              </w:numPr>
              <w:autoSpaceDE/>
              <w:autoSpaceDN/>
              <w:snapToGrid w:val="0"/>
              <w:spacing w:beforeLines="0" w:afterLines="0" w:line="360" w:lineRule="auto"/>
              <w:jc w:val="both"/>
              <w:rPr>
                <w:rFonts w:hint="default" w:hAnsi="宋体"/>
                <w:sz w:val="21"/>
                <w:szCs w:val="21"/>
              </w:rPr>
            </w:pPr>
            <w:r>
              <w:rPr>
                <w:rFonts w:hint="default" w:hAnsi="宋体"/>
                <w:sz w:val="21"/>
                <w:szCs w:val="21"/>
              </w:rPr>
              <w:t>已详细审查全部询价文件要求，并响应询价文件全部要求。</w:t>
            </w:r>
          </w:p>
          <w:p w14:paraId="0E26326C">
            <w:pPr>
              <w:numPr>
                <w:ilvl w:val="0"/>
                <w:numId w:val="3"/>
              </w:numPr>
              <w:autoSpaceDE/>
              <w:autoSpaceDN/>
              <w:snapToGrid w:val="0"/>
              <w:spacing w:beforeLines="0" w:afterLines="0" w:line="360" w:lineRule="auto"/>
              <w:jc w:val="both"/>
              <w:rPr>
                <w:rFonts w:hint="default" w:hAnsi="宋体"/>
                <w:sz w:val="21"/>
                <w:szCs w:val="21"/>
              </w:rPr>
            </w:pPr>
            <w:r>
              <w:rPr>
                <w:rFonts w:hint="default" w:hAnsi="宋体"/>
                <w:sz w:val="21"/>
                <w:szCs w:val="21"/>
              </w:rPr>
              <w:t>上述报价数值保留小数点后2位，从小数点后第3位四舍五入。</w:t>
            </w:r>
          </w:p>
          <w:p w14:paraId="717EA181">
            <w:pPr>
              <w:numPr>
                <w:ilvl w:val="0"/>
                <w:numId w:val="3"/>
              </w:numPr>
              <w:autoSpaceDE/>
              <w:autoSpaceDN/>
              <w:snapToGrid w:val="0"/>
              <w:spacing w:beforeLines="0" w:afterLines="0" w:line="360" w:lineRule="auto"/>
              <w:jc w:val="both"/>
              <w:rPr>
                <w:rFonts w:hint="default" w:hAnsi="宋体"/>
                <w:color w:val="000000"/>
                <w:sz w:val="24"/>
                <w:szCs w:val="28"/>
              </w:rPr>
            </w:pPr>
            <w:r>
              <w:rPr>
                <w:rFonts w:hint="default" w:hAnsi="宋体"/>
                <w:sz w:val="21"/>
                <w:szCs w:val="21"/>
              </w:rPr>
              <w:t>本报价表不允许调整，擅自修改，将视为无效报价。</w:t>
            </w:r>
          </w:p>
        </w:tc>
      </w:tr>
    </w:tbl>
    <w:p w14:paraId="0FF511B4">
      <w:pPr>
        <w:pStyle w:val="7"/>
        <w:adjustRightInd w:val="0"/>
        <w:snapToGrid w:val="0"/>
        <w:spacing w:beforeLines="0" w:afterLines="0" w:line="360" w:lineRule="auto"/>
        <w:rPr>
          <w:rFonts w:hint="default" w:hAnsi="宋体"/>
          <w:color w:val="000000"/>
          <w:sz w:val="24"/>
          <w:szCs w:val="28"/>
        </w:rPr>
      </w:pPr>
    </w:p>
    <w:p w14:paraId="7BD4345D">
      <w:pPr>
        <w:pStyle w:val="7"/>
        <w:adjustRightInd w:val="0"/>
        <w:snapToGrid w:val="0"/>
        <w:spacing w:beforeLines="0" w:afterLines="0" w:line="360" w:lineRule="auto"/>
        <w:ind w:firstLine="240" w:firstLineChars="100"/>
        <w:rPr>
          <w:rFonts w:hint="default" w:hAnsi="宋体"/>
          <w:color w:val="000000"/>
          <w:sz w:val="24"/>
          <w:szCs w:val="28"/>
        </w:rPr>
      </w:pPr>
      <w:r>
        <w:rPr>
          <w:rFonts w:hint="default" w:hAnsi="宋体"/>
          <w:color w:val="000000"/>
          <w:sz w:val="24"/>
          <w:szCs w:val="28"/>
        </w:rPr>
        <w:t xml:space="preserve">联系人：                         </w:t>
      </w:r>
      <w:r>
        <w:rPr>
          <w:rFonts w:hint="eastAsia" w:hAnsi="宋体"/>
          <w:color w:val="000000"/>
          <w:sz w:val="24"/>
          <w:szCs w:val="28"/>
          <w:lang w:val="en-US" w:eastAsia="zh-CN"/>
        </w:rPr>
        <w:t xml:space="preserve">   </w:t>
      </w:r>
      <w:r>
        <w:rPr>
          <w:rFonts w:hint="default" w:hAnsi="宋体"/>
          <w:color w:val="000000"/>
          <w:sz w:val="24"/>
          <w:szCs w:val="28"/>
        </w:rPr>
        <w:t xml:space="preserve"> 联系电话：</w:t>
      </w:r>
    </w:p>
    <w:p w14:paraId="06271830">
      <w:pPr>
        <w:pStyle w:val="7"/>
        <w:adjustRightInd w:val="0"/>
        <w:snapToGrid w:val="0"/>
        <w:spacing w:beforeLines="0" w:afterLines="0" w:line="360" w:lineRule="auto"/>
        <w:ind w:firstLine="240" w:firstLineChars="100"/>
        <w:rPr>
          <w:rFonts w:hint="default" w:hAnsi="宋体"/>
          <w:color w:val="000000"/>
          <w:sz w:val="24"/>
          <w:szCs w:val="28"/>
        </w:rPr>
      </w:pPr>
      <w:r>
        <w:rPr>
          <w:rFonts w:hint="default" w:hAnsi="宋体"/>
          <w:color w:val="000000"/>
          <w:sz w:val="24"/>
          <w:szCs w:val="28"/>
        </w:rPr>
        <w:t xml:space="preserve">联系地址：                        </w:t>
      </w:r>
      <w:r>
        <w:rPr>
          <w:rFonts w:hint="eastAsia" w:hAnsi="宋体"/>
          <w:color w:val="000000"/>
          <w:sz w:val="24"/>
          <w:szCs w:val="28"/>
          <w:lang w:val="en-US" w:eastAsia="zh-CN"/>
        </w:rPr>
        <w:t xml:space="preserve">   </w:t>
      </w:r>
      <w:r>
        <w:rPr>
          <w:rFonts w:hint="default" w:hAnsi="宋体"/>
          <w:color w:val="000000"/>
          <w:sz w:val="24"/>
          <w:szCs w:val="28"/>
          <w:lang w:val="zh-CN"/>
        </w:rPr>
        <w:t>报价人：（公章）</w:t>
      </w:r>
    </w:p>
    <w:p w14:paraId="1C047400">
      <w:pPr>
        <w:snapToGrid w:val="0"/>
        <w:spacing w:beforeLines="0" w:afterLines="0" w:line="360" w:lineRule="auto"/>
        <w:jc w:val="center"/>
        <w:rPr>
          <w:rFonts w:hint="default" w:hAnsi="宋体"/>
          <w:color w:val="000000"/>
          <w:sz w:val="32"/>
          <w:szCs w:val="32"/>
        </w:rPr>
      </w:pPr>
      <w:r>
        <w:rPr>
          <w:rFonts w:hint="default" w:hAnsi="宋体"/>
          <w:color w:val="000000"/>
          <w:kern w:val="2"/>
          <w:sz w:val="24"/>
          <w:szCs w:val="28"/>
          <w:lang w:val="zh-CN"/>
        </w:rPr>
        <w:t xml:space="preserve">                      </w:t>
      </w:r>
      <w:r>
        <w:rPr>
          <w:rFonts w:hint="eastAsia" w:hAnsi="宋体"/>
          <w:color w:val="000000"/>
          <w:kern w:val="2"/>
          <w:sz w:val="24"/>
          <w:szCs w:val="28"/>
          <w:lang w:val="en-US" w:eastAsia="zh-CN"/>
        </w:rPr>
        <w:t xml:space="preserve">    </w:t>
      </w:r>
      <w:r>
        <w:rPr>
          <w:rFonts w:hint="default" w:hAnsi="宋体"/>
          <w:color w:val="000000"/>
          <w:kern w:val="2"/>
          <w:sz w:val="24"/>
          <w:szCs w:val="28"/>
          <w:lang w:val="zh-CN"/>
        </w:rPr>
        <w:t xml:space="preserve">日期：   年    月   </w:t>
      </w:r>
      <w:r>
        <w:rPr>
          <w:rFonts w:hint="default" w:hAnsi="宋体"/>
          <w:color w:val="000000"/>
          <w:kern w:val="2"/>
          <w:sz w:val="24"/>
          <w:szCs w:val="28"/>
        </w:rPr>
        <w:t>日</w:t>
      </w:r>
      <w:bookmarkStart w:id="57" w:name="_Toc27491776"/>
      <w:bookmarkStart w:id="58" w:name="_Toc27551756"/>
      <w:bookmarkStart w:id="59" w:name="_Toc27562528"/>
      <w:bookmarkStart w:id="60" w:name="_Toc25268"/>
    </w:p>
    <w:p w14:paraId="181CE462">
      <w:pPr>
        <w:pStyle w:val="4"/>
        <w:snapToGrid w:val="0"/>
        <w:spacing w:before="0" w:beforeLines="0" w:after="0" w:afterLines="0"/>
        <w:jc w:val="center"/>
        <w:outlineLvl w:val="9"/>
        <w:rPr>
          <w:rFonts w:hint="default" w:hAnsi="宋体"/>
          <w:color w:val="000000"/>
          <w:sz w:val="32"/>
          <w:szCs w:val="32"/>
        </w:rPr>
      </w:pPr>
    </w:p>
    <w:p w14:paraId="0FAFD1EE">
      <w:pPr>
        <w:pStyle w:val="4"/>
        <w:snapToGrid w:val="0"/>
        <w:spacing w:before="0" w:beforeLines="0" w:after="0" w:afterLines="0"/>
        <w:jc w:val="center"/>
        <w:outlineLvl w:val="9"/>
        <w:rPr>
          <w:rFonts w:hint="default" w:hAnsi="宋体"/>
          <w:color w:val="000000"/>
          <w:sz w:val="32"/>
          <w:szCs w:val="32"/>
        </w:rPr>
      </w:pPr>
    </w:p>
    <w:p w14:paraId="260222F5">
      <w:pPr>
        <w:rPr>
          <w:rFonts w:hint="default" w:hAnsi="宋体"/>
          <w:color w:val="000000"/>
          <w:sz w:val="32"/>
          <w:szCs w:val="32"/>
        </w:rPr>
      </w:pPr>
    </w:p>
    <w:p w14:paraId="0949843A">
      <w:pPr>
        <w:rPr>
          <w:rFonts w:hint="default" w:hAnsi="宋体"/>
          <w:color w:val="000000"/>
          <w:sz w:val="32"/>
          <w:szCs w:val="32"/>
        </w:rPr>
      </w:pPr>
    </w:p>
    <w:p w14:paraId="6973064F">
      <w:pPr>
        <w:rPr>
          <w:rFonts w:hint="default"/>
        </w:rPr>
      </w:pPr>
    </w:p>
    <w:bookmarkEnd w:id="57"/>
    <w:bookmarkEnd w:id="58"/>
    <w:bookmarkEnd w:id="59"/>
    <w:bookmarkEnd w:id="60"/>
    <w:p w14:paraId="445E365B">
      <w:pPr>
        <w:pStyle w:val="4"/>
        <w:snapToGrid w:val="0"/>
        <w:spacing w:before="0" w:beforeLines="0" w:after="0" w:afterLines="0"/>
        <w:jc w:val="left"/>
        <w:rPr>
          <w:rFonts w:hint="default" w:hAnsi="宋体"/>
          <w:color w:val="000000"/>
          <w:sz w:val="32"/>
          <w:szCs w:val="32"/>
          <w:lang w:val="zh-CN"/>
        </w:rPr>
      </w:pPr>
      <w:bookmarkStart w:id="61" w:name="_Toc15088"/>
      <w:bookmarkStart w:id="62" w:name="_Toc4843"/>
      <w:r>
        <w:rPr>
          <w:rFonts w:hint="eastAsia" w:hAnsi="宋体"/>
          <w:bCs/>
          <w:color w:val="000000"/>
          <w:sz w:val="28"/>
          <w:szCs w:val="28"/>
          <w:lang w:val="en-US" w:eastAsia="zh-CN"/>
        </w:rPr>
        <w:t>2、</w:t>
      </w:r>
      <w:r>
        <w:rPr>
          <w:rFonts w:hint="default" w:hAnsi="宋体"/>
          <w:bCs/>
          <w:color w:val="000000"/>
          <w:sz w:val="28"/>
          <w:szCs w:val="28"/>
        </w:rPr>
        <w:t>报价承诺书（格式）</w:t>
      </w:r>
      <w:bookmarkEnd w:id="61"/>
      <w:bookmarkEnd w:id="62"/>
    </w:p>
    <w:p w14:paraId="32823338">
      <w:pPr>
        <w:snapToGrid w:val="0"/>
        <w:spacing w:beforeLines="0" w:afterLines="0" w:line="360" w:lineRule="auto"/>
        <w:jc w:val="center"/>
        <w:rPr>
          <w:rFonts w:hint="default"/>
          <w:sz w:val="24"/>
          <w:szCs w:val="24"/>
          <w:lang w:val="zh-CN"/>
        </w:rPr>
      </w:pPr>
      <w:r>
        <w:rPr>
          <w:rFonts w:hint="default" w:hAnsi="宋体"/>
          <w:b/>
          <w:sz w:val="44"/>
          <w:szCs w:val="44"/>
          <w:lang w:val="zh-CN"/>
        </w:rPr>
        <w:t>承诺书</w:t>
      </w:r>
      <w:r>
        <w:rPr>
          <w:rFonts w:hint="default" w:hAnsi="宋体"/>
          <w:b/>
          <w:sz w:val="52"/>
          <w:szCs w:val="52"/>
          <w:lang w:val="zh-CN"/>
        </w:rPr>
        <w:br w:type="textWrapping"/>
      </w:r>
    </w:p>
    <w:p w14:paraId="582C541C">
      <w:pPr>
        <w:spacing w:beforeLines="0" w:afterLines="0" w:line="360" w:lineRule="auto"/>
        <w:jc w:val="both"/>
        <w:outlineLvl w:val="0"/>
        <w:rPr>
          <w:rFonts w:hint="default" w:hAnsi="宋体" w:cs="宋体"/>
          <w:color w:val="auto"/>
          <w:kern w:val="2"/>
          <w:sz w:val="24"/>
          <w:szCs w:val="24"/>
          <w:u w:val="single"/>
        </w:rPr>
      </w:pPr>
      <w:bookmarkStart w:id="63" w:name="_Toc11078"/>
      <w:bookmarkStart w:id="64" w:name="_Toc9440"/>
      <w:bookmarkStart w:id="65" w:name="_Toc30927"/>
      <w:bookmarkStart w:id="66" w:name="_Toc5634"/>
      <w:r>
        <w:rPr>
          <w:rFonts w:hint="default" w:hAnsi="宋体" w:cs="宋体"/>
          <w:color w:val="auto"/>
          <w:kern w:val="2"/>
          <w:sz w:val="24"/>
          <w:szCs w:val="24"/>
          <w:lang w:val="zh-CN"/>
        </w:rPr>
        <w:t>致：</w:t>
      </w:r>
      <w:r>
        <w:rPr>
          <w:rFonts w:hint="default" w:hAnsi="宋体" w:cs="宋体"/>
          <w:color w:val="auto"/>
          <w:kern w:val="2"/>
          <w:sz w:val="24"/>
          <w:szCs w:val="24"/>
          <w:u w:val="single"/>
        </w:rPr>
        <w:t>东莞市水务集团管网有限公司</w:t>
      </w:r>
      <w:bookmarkEnd w:id="63"/>
      <w:bookmarkEnd w:id="64"/>
      <w:bookmarkEnd w:id="65"/>
      <w:bookmarkEnd w:id="66"/>
    </w:p>
    <w:p w14:paraId="379BA245">
      <w:pPr>
        <w:spacing w:beforeLines="0" w:afterLines="0" w:line="360" w:lineRule="auto"/>
        <w:ind w:firstLine="420"/>
        <w:jc w:val="both"/>
        <w:rPr>
          <w:rFonts w:hint="default" w:hAnsi="宋体" w:cs="宋体"/>
          <w:color w:val="auto"/>
          <w:kern w:val="2"/>
          <w:sz w:val="24"/>
          <w:szCs w:val="24"/>
          <w:lang w:val="zh-CN"/>
        </w:rPr>
      </w:pPr>
      <w:r>
        <w:rPr>
          <w:rFonts w:hint="default" w:hAnsi="宋体" w:cs="宋体"/>
          <w:color w:val="auto"/>
          <w:kern w:val="2"/>
          <w:sz w:val="24"/>
          <w:szCs w:val="24"/>
        </w:rPr>
        <w:t>我司已收到</w:t>
      </w:r>
      <w:r>
        <w:rPr>
          <w:rFonts w:hint="default" w:hAnsi="宋体" w:cs="宋体"/>
          <w:color w:val="000000"/>
          <w:kern w:val="2"/>
          <w:sz w:val="24"/>
          <w:szCs w:val="24"/>
        </w:rPr>
        <w:t>管网运营平台管网清疏检测功能升级建设项目</w:t>
      </w:r>
      <w:r>
        <w:rPr>
          <w:rFonts w:hint="default" w:hAnsi="宋体" w:cs="宋体"/>
          <w:color w:val="auto"/>
          <w:kern w:val="2"/>
          <w:sz w:val="24"/>
          <w:szCs w:val="24"/>
        </w:rPr>
        <w:t>采购文件</w:t>
      </w:r>
      <w:r>
        <w:rPr>
          <w:rFonts w:hint="default" w:hAnsi="宋体" w:cs="宋体"/>
          <w:color w:val="auto"/>
          <w:kern w:val="2"/>
          <w:sz w:val="24"/>
          <w:szCs w:val="24"/>
          <w:lang w:val="zh-CN"/>
        </w:rPr>
        <w:t>，</w:t>
      </w:r>
      <w:r>
        <w:rPr>
          <w:rFonts w:hint="default" w:hAnsi="宋体" w:cs="宋体"/>
          <w:color w:val="auto"/>
          <w:kern w:val="2"/>
          <w:sz w:val="24"/>
          <w:szCs w:val="24"/>
        </w:rPr>
        <w:t>并</w:t>
      </w:r>
      <w:r>
        <w:rPr>
          <w:rFonts w:hint="default" w:hAnsi="宋体" w:cs="宋体"/>
          <w:color w:val="auto"/>
          <w:kern w:val="2"/>
          <w:sz w:val="24"/>
          <w:szCs w:val="24"/>
          <w:lang w:val="zh-CN"/>
        </w:rPr>
        <w:t>完全</w:t>
      </w:r>
      <w:r>
        <w:rPr>
          <w:rFonts w:hint="default" w:hAnsi="宋体" w:cs="宋体"/>
          <w:color w:val="auto"/>
          <w:kern w:val="2"/>
          <w:sz w:val="24"/>
          <w:szCs w:val="24"/>
        </w:rPr>
        <w:t>清楚了解采购</w:t>
      </w:r>
      <w:r>
        <w:rPr>
          <w:rFonts w:hint="default" w:hAnsi="宋体" w:cs="宋体"/>
          <w:color w:val="auto"/>
          <w:kern w:val="2"/>
          <w:sz w:val="24"/>
          <w:szCs w:val="24"/>
          <w:lang w:val="zh-CN"/>
        </w:rPr>
        <w:t>文件的所有条款要求，</w:t>
      </w:r>
      <w:r>
        <w:rPr>
          <w:rFonts w:hint="default" w:hAnsi="宋体" w:cs="宋体"/>
          <w:color w:val="auto"/>
          <w:kern w:val="2"/>
          <w:sz w:val="24"/>
          <w:szCs w:val="24"/>
        </w:rPr>
        <w:t>现</w:t>
      </w:r>
      <w:r>
        <w:rPr>
          <w:rFonts w:hint="default" w:hAnsi="宋体" w:cs="宋体"/>
          <w:color w:val="auto"/>
          <w:kern w:val="2"/>
          <w:sz w:val="24"/>
          <w:szCs w:val="24"/>
          <w:lang w:val="zh-CN"/>
        </w:rPr>
        <w:t>重申如下：</w:t>
      </w:r>
    </w:p>
    <w:p w14:paraId="6343117A">
      <w:pPr>
        <w:spacing w:beforeLines="0" w:afterLines="0" w:line="360" w:lineRule="auto"/>
        <w:ind w:firstLine="420"/>
        <w:jc w:val="both"/>
        <w:rPr>
          <w:rFonts w:hint="default" w:hAnsi="宋体" w:cs="宋体"/>
          <w:color w:val="auto"/>
          <w:kern w:val="2"/>
          <w:sz w:val="24"/>
          <w:szCs w:val="24"/>
          <w:lang w:val="zh-CN"/>
        </w:rPr>
      </w:pPr>
      <w:bookmarkStart w:id="67" w:name="_Hlk82789349"/>
      <w:r>
        <w:rPr>
          <w:rFonts w:hint="default" w:hAnsi="宋体" w:cs="宋体"/>
          <w:color w:val="auto"/>
          <w:kern w:val="2"/>
          <w:sz w:val="24"/>
          <w:szCs w:val="24"/>
          <w:lang w:val="zh-CN"/>
        </w:rPr>
        <w:t>如我司</w:t>
      </w:r>
      <w:r>
        <w:rPr>
          <w:rFonts w:hint="default" w:hAnsi="宋体"/>
          <w:color w:val="auto"/>
          <w:kern w:val="2"/>
          <w:sz w:val="24"/>
          <w:szCs w:val="24"/>
          <w:lang w:val="zh-CN"/>
        </w:rPr>
        <w:t>存在</w:t>
      </w:r>
      <w:r>
        <w:rPr>
          <w:rFonts w:hint="default" w:hAnsi="宋体"/>
          <w:color w:val="auto"/>
          <w:kern w:val="2"/>
          <w:sz w:val="24"/>
          <w:szCs w:val="24"/>
        </w:rPr>
        <w:t>成交后放弃</w:t>
      </w:r>
      <w:r>
        <w:rPr>
          <w:rFonts w:hint="default" w:hAnsi="宋体"/>
          <w:color w:val="auto"/>
          <w:kern w:val="2"/>
          <w:sz w:val="24"/>
          <w:szCs w:val="24"/>
          <w:lang w:val="zh-CN"/>
        </w:rPr>
        <w:t>或</w:t>
      </w:r>
      <w:r>
        <w:rPr>
          <w:rFonts w:hint="default" w:hAnsi="宋体" w:cs="宋体"/>
          <w:color w:val="auto"/>
          <w:kern w:val="2"/>
          <w:sz w:val="24"/>
          <w:szCs w:val="24"/>
          <w:lang w:val="zh-CN"/>
        </w:rPr>
        <w:t>提供虚假证明文件、虚假响应文件或存在</w:t>
      </w:r>
      <w:r>
        <w:rPr>
          <w:rFonts w:hint="default" w:hAnsi="宋体"/>
          <w:color w:val="auto"/>
          <w:sz w:val="24"/>
          <w:szCs w:val="24"/>
        </w:rPr>
        <w:t>实际供货技术参数、质量低于响应文件承诺的标准</w:t>
      </w:r>
      <w:r>
        <w:rPr>
          <w:rFonts w:hint="default" w:hAnsi="宋体" w:cs="宋体"/>
          <w:color w:val="auto"/>
          <w:kern w:val="2"/>
          <w:sz w:val="24"/>
          <w:szCs w:val="24"/>
          <w:lang w:val="zh-CN"/>
        </w:rPr>
        <w:t>等</w:t>
      </w:r>
      <w:r>
        <w:rPr>
          <w:rFonts w:hint="default" w:hAnsi="宋体" w:cs="宋体"/>
          <w:color w:val="auto"/>
          <w:kern w:val="2"/>
          <w:sz w:val="24"/>
          <w:szCs w:val="24"/>
        </w:rPr>
        <w:t>情况的</w:t>
      </w:r>
      <w:r>
        <w:rPr>
          <w:rFonts w:hint="default" w:hAnsi="宋体" w:cs="宋体"/>
          <w:color w:val="auto"/>
          <w:kern w:val="2"/>
          <w:sz w:val="24"/>
          <w:szCs w:val="24"/>
          <w:lang w:val="zh-CN"/>
        </w:rPr>
        <w:t>，我司将同意并接受贵司</w:t>
      </w:r>
      <w:r>
        <w:rPr>
          <w:rFonts w:hint="default" w:hAnsi="宋体" w:cs="宋体"/>
          <w:color w:val="auto"/>
          <w:kern w:val="2"/>
          <w:sz w:val="24"/>
          <w:szCs w:val="24"/>
        </w:rPr>
        <w:t>按照采购文件追究责任，并</w:t>
      </w:r>
      <w:r>
        <w:rPr>
          <w:rFonts w:hint="default" w:hAnsi="宋体" w:cs="宋体"/>
          <w:color w:val="auto"/>
          <w:kern w:val="2"/>
          <w:sz w:val="24"/>
          <w:szCs w:val="24"/>
          <w:lang w:val="zh-CN"/>
        </w:rPr>
        <w:t>采取包括但不限于以下措施：</w:t>
      </w:r>
    </w:p>
    <w:p w14:paraId="505300D2">
      <w:pPr>
        <w:spacing w:beforeLines="0" w:afterLines="0" w:line="360" w:lineRule="auto"/>
        <w:ind w:firstLine="420"/>
        <w:jc w:val="both"/>
        <w:rPr>
          <w:rFonts w:hint="default" w:hAnsi="宋体" w:cs="宋体"/>
          <w:color w:val="auto"/>
          <w:kern w:val="2"/>
          <w:sz w:val="24"/>
          <w:szCs w:val="24"/>
          <w:lang w:val="zh-CN"/>
        </w:rPr>
      </w:pPr>
      <w:r>
        <w:rPr>
          <w:rFonts w:hint="default" w:hAnsi="宋体" w:cs="宋体"/>
          <w:color w:val="auto"/>
          <w:kern w:val="2"/>
          <w:sz w:val="24"/>
          <w:szCs w:val="24"/>
          <w:lang w:val="zh-CN"/>
        </w:rPr>
        <w:t>1、在东莞市水务集团有限公司官网、东莞阳光网、东莞日报等媒体公开我司失信行为，并在贵司以后的招标采购项目评标时充分考虑我司的不良行为和履约问题；</w:t>
      </w:r>
    </w:p>
    <w:p w14:paraId="4D557137">
      <w:pPr>
        <w:spacing w:beforeLines="0" w:afterLines="0" w:line="360" w:lineRule="auto"/>
        <w:ind w:firstLine="420"/>
        <w:jc w:val="both"/>
        <w:rPr>
          <w:rFonts w:hint="default" w:hAnsi="宋体" w:cs="宋体"/>
          <w:color w:val="auto"/>
          <w:kern w:val="2"/>
          <w:sz w:val="24"/>
          <w:szCs w:val="24"/>
          <w:lang w:val="zh-CN"/>
        </w:rPr>
      </w:pPr>
      <w:r>
        <w:rPr>
          <w:rFonts w:hint="default" w:hAnsi="宋体" w:cs="宋体"/>
          <w:color w:val="auto"/>
          <w:kern w:val="2"/>
          <w:sz w:val="24"/>
          <w:szCs w:val="24"/>
        </w:rPr>
        <w:t>2</w:t>
      </w:r>
      <w:r>
        <w:rPr>
          <w:rFonts w:hint="default" w:hAnsi="宋体" w:cs="宋体"/>
          <w:color w:val="auto"/>
          <w:kern w:val="2"/>
          <w:sz w:val="24"/>
          <w:szCs w:val="24"/>
          <w:lang w:val="zh-CN"/>
        </w:rPr>
        <w:t>、上报</w:t>
      </w:r>
      <w:bookmarkStart w:id="68" w:name="_Hlk82789221"/>
      <w:r>
        <w:rPr>
          <w:rFonts w:hint="default" w:hAnsi="宋体" w:cs="宋体"/>
          <w:color w:val="auto"/>
          <w:kern w:val="2"/>
          <w:sz w:val="24"/>
          <w:szCs w:val="24"/>
          <w:lang w:val="zh-CN"/>
        </w:rPr>
        <w:t>东莞市市场监督管理局</w:t>
      </w:r>
      <w:bookmarkEnd w:id="68"/>
      <w:r>
        <w:rPr>
          <w:rFonts w:hint="default" w:hAnsi="宋体" w:cs="宋体"/>
          <w:color w:val="auto"/>
          <w:kern w:val="2"/>
          <w:sz w:val="24"/>
          <w:szCs w:val="24"/>
          <w:lang w:val="zh-CN"/>
        </w:rPr>
        <w:t>等</w:t>
      </w:r>
      <w:r>
        <w:rPr>
          <w:rFonts w:hint="default" w:hAnsi="宋体" w:cs="宋体"/>
          <w:color w:val="auto"/>
          <w:kern w:val="2"/>
          <w:sz w:val="24"/>
          <w:szCs w:val="24"/>
        </w:rPr>
        <w:t>相关</w:t>
      </w:r>
      <w:r>
        <w:rPr>
          <w:rFonts w:hint="default" w:hAnsi="宋体" w:cs="宋体"/>
          <w:color w:val="auto"/>
          <w:kern w:val="2"/>
          <w:sz w:val="24"/>
          <w:szCs w:val="24"/>
          <w:lang w:val="zh-CN"/>
        </w:rPr>
        <w:t>部门，要求将我司列入重点监管名单，</w:t>
      </w:r>
      <w:r>
        <w:rPr>
          <w:rFonts w:hint="default" w:hAnsi="宋体" w:cs="宋体"/>
          <w:color w:val="auto"/>
          <w:kern w:val="2"/>
          <w:sz w:val="24"/>
          <w:szCs w:val="24"/>
        </w:rPr>
        <w:t>并向</w:t>
      </w:r>
      <w:r>
        <w:rPr>
          <w:rFonts w:hint="default" w:hAnsi="宋体" w:cs="宋体"/>
          <w:color w:val="auto"/>
          <w:kern w:val="2"/>
          <w:sz w:val="24"/>
          <w:szCs w:val="24"/>
          <w:lang w:val="zh-CN"/>
        </w:rPr>
        <w:t>广东省国资委进行通报，按相关规定</w:t>
      </w:r>
      <w:r>
        <w:rPr>
          <w:rFonts w:hint="default" w:hAnsi="宋体" w:cs="宋体"/>
          <w:color w:val="auto"/>
          <w:kern w:val="2"/>
          <w:sz w:val="24"/>
          <w:szCs w:val="24"/>
        </w:rPr>
        <w:t>进行</w:t>
      </w:r>
      <w:r>
        <w:rPr>
          <w:rFonts w:hint="default" w:hAnsi="宋体" w:cs="宋体"/>
          <w:color w:val="auto"/>
          <w:kern w:val="2"/>
          <w:sz w:val="24"/>
          <w:szCs w:val="24"/>
          <w:lang w:val="zh-CN"/>
        </w:rPr>
        <w:t>处理。</w:t>
      </w:r>
    </w:p>
    <w:p w14:paraId="3C4E2589">
      <w:pPr>
        <w:spacing w:beforeLines="0" w:afterLines="0" w:line="360" w:lineRule="auto"/>
        <w:ind w:firstLine="420"/>
        <w:jc w:val="both"/>
        <w:rPr>
          <w:rFonts w:hint="default" w:hAnsi="宋体" w:cs="宋体"/>
          <w:color w:val="auto"/>
          <w:kern w:val="2"/>
          <w:sz w:val="24"/>
          <w:szCs w:val="24"/>
          <w:lang w:val="zh-CN"/>
        </w:rPr>
      </w:pPr>
      <w:r>
        <w:rPr>
          <w:rFonts w:hint="default" w:hAnsi="宋体" w:cs="宋体"/>
          <w:color w:val="auto"/>
          <w:kern w:val="2"/>
          <w:sz w:val="24"/>
          <w:szCs w:val="24"/>
          <w:lang w:val="zh-CN"/>
        </w:rPr>
        <w:t>由此产生的</w:t>
      </w:r>
      <w:r>
        <w:rPr>
          <w:rFonts w:hint="default" w:hAnsi="宋体" w:cs="宋体"/>
          <w:color w:val="auto"/>
          <w:kern w:val="2"/>
          <w:sz w:val="24"/>
          <w:szCs w:val="24"/>
        </w:rPr>
        <w:t>不利</w:t>
      </w:r>
      <w:r>
        <w:rPr>
          <w:rFonts w:hint="default" w:hAnsi="宋体" w:cs="宋体"/>
          <w:color w:val="auto"/>
          <w:kern w:val="2"/>
          <w:sz w:val="24"/>
          <w:szCs w:val="24"/>
          <w:lang w:val="zh-CN"/>
        </w:rPr>
        <w:t>影响</w:t>
      </w:r>
      <w:r>
        <w:rPr>
          <w:rFonts w:hint="default" w:hAnsi="宋体" w:cs="宋体"/>
          <w:color w:val="auto"/>
          <w:kern w:val="2"/>
          <w:sz w:val="24"/>
          <w:szCs w:val="24"/>
        </w:rPr>
        <w:t>与经济损失均</w:t>
      </w:r>
      <w:r>
        <w:rPr>
          <w:rFonts w:hint="default" w:hAnsi="宋体" w:cs="宋体"/>
          <w:color w:val="auto"/>
          <w:kern w:val="2"/>
          <w:sz w:val="24"/>
          <w:szCs w:val="24"/>
          <w:lang w:val="zh-CN"/>
        </w:rPr>
        <w:t>由我司</w:t>
      </w:r>
      <w:r>
        <w:rPr>
          <w:rFonts w:hint="default" w:hAnsi="宋体" w:cs="宋体"/>
          <w:color w:val="auto"/>
          <w:kern w:val="2"/>
          <w:sz w:val="24"/>
          <w:szCs w:val="24"/>
        </w:rPr>
        <w:t>自行</w:t>
      </w:r>
      <w:r>
        <w:rPr>
          <w:rFonts w:hint="default" w:hAnsi="宋体" w:cs="宋体"/>
          <w:color w:val="auto"/>
          <w:kern w:val="2"/>
          <w:sz w:val="24"/>
          <w:szCs w:val="24"/>
          <w:lang w:val="zh-CN"/>
        </w:rPr>
        <w:t>承担，</w:t>
      </w:r>
      <w:r>
        <w:rPr>
          <w:rFonts w:hint="default" w:hAnsi="宋体" w:cs="宋体"/>
          <w:color w:val="auto"/>
          <w:kern w:val="2"/>
          <w:sz w:val="24"/>
          <w:szCs w:val="24"/>
        </w:rPr>
        <w:t>与贵司无关</w:t>
      </w:r>
      <w:r>
        <w:rPr>
          <w:rFonts w:hint="default" w:hAnsi="宋体" w:cs="宋体"/>
          <w:color w:val="auto"/>
          <w:kern w:val="2"/>
          <w:sz w:val="24"/>
          <w:szCs w:val="24"/>
          <w:lang w:val="zh-CN"/>
        </w:rPr>
        <w:t>。</w:t>
      </w:r>
    </w:p>
    <w:bookmarkEnd w:id="67"/>
    <w:p w14:paraId="14ED8041">
      <w:pPr>
        <w:spacing w:beforeLines="0" w:afterLines="0" w:line="360" w:lineRule="auto"/>
        <w:rPr>
          <w:rFonts w:hint="default" w:hAnsi="宋体" w:cs="宋体"/>
          <w:color w:val="auto"/>
          <w:sz w:val="24"/>
          <w:szCs w:val="24"/>
        </w:rPr>
      </w:pPr>
    </w:p>
    <w:p w14:paraId="1347B00E">
      <w:pPr>
        <w:spacing w:beforeLines="0" w:afterLines="0" w:line="360" w:lineRule="auto"/>
        <w:rPr>
          <w:rFonts w:hint="default" w:hAnsi="宋体" w:cs="宋体"/>
          <w:color w:val="auto"/>
          <w:sz w:val="24"/>
          <w:szCs w:val="24"/>
        </w:rPr>
      </w:pPr>
    </w:p>
    <w:p w14:paraId="7DCA1EA5">
      <w:pPr>
        <w:spacing w:beforeLines="0" w:afterLines="0" w:line="360" w:lineRule="auto"/>
        <w:ind w:firstLine="5040"/>
        <w:jc w:val="both"/>
        <w:rPr>
          <w:rFonts w:hint="default" w:hAnsi="宋体" w:cs="宋体"/>
          <w:color w:val="auto"/>
          <w:kern w:val="2"/>
          <w:sz w:val="24"/>
          <w:szCs w:val="24"/>
        </w:rPr>
      </w:pPr>
      <w:r>
        <w:rPr>
          <w:rFonts w:hint="default" w:hAnsi="宋体" w:cs="宋体"/>
          <w:color w:val="auto"/>
          <w:kern w:val="2"/>
          <w:sz w:val="24"/>
          <w:szCs w:val="24"/>
        </w:rPr>
        <w:t>供应商</w:t>
      </w:r>
      <w:r>
        <w:rPr>
          <w:rFonts w:hint="default" w:hAnsi="宋体" w:cs="宋体"/>
          <w:color w:val="auto"/>
          <w:kern w:val="2"/>
          <w:sz w:val="24"/>
          <w:szCs w:val="24"/>
          <w:lang w:val="zh-CN"/>
        </w:rPr>
        <w:t>：（盖公章）</w:t>
      </w:r>
    </w:p>
    <w:p w14:paraId="01A68153">
      <w:pPr>
        <w:spacing w:beforeLines="0" w:afterLines="0" w:line="360" w:lineRule="auto"/>
        <w:ind w:firstLine="5040"/>
        <w:jc w:val="both"/>
        <w:rPr>
          <w:rFonts w:hint="default" w:hAnsi="宋体" w:cs="宋体"/>
          <w:color w:val="auto"/>
          <w:kern w:val="2"/>
          <w:sz w:val="24"/>
          <w:szCs w:val="24"/>
          <w:lang w:val="zh-CN"/>
        </w:rPr>
      </w:pPr>
      <w:r>
        <w:rPr>
          <w:rFonts w:hint="default" w:hAnsi="宋体" w:cs="宋体"/>
          <w:color w:val="auto"/>
          <w:kern w:val="2"/>
          <w:sz w:val="24"/>
          <w:szCs w:val="24"/>
          <w:lang w:val="zh-CN"/>
        </w:rPr>
        <w:t>日期：   年   月   日</w:t>
      </w:r>
    </w:p>
    <w:p w14:paraId="7EF05D84">
      <w:pPr>
        <w:widowControl/>
        <w:autoSpaceDE/>
        <w:autoSpaceDN/>
        <w:adjustRightInd/>
        <w:spacing w:beforeLines="0" w:afterLines="0"/>
        <w:rPr>
          <w:rFonts w:hint="default"/>
          <w:color w:val="auto"/>
          <w:sz w:val="24"/>
          <w:szCs w:val="24"/>
        </w:rPr>
      </w:pPr>
    </w:p>
    <w:p w14:paraId="4772136A">
      <w:pPr>
        <w:spacing w:beforeLines="0" w:afterLines="0"/>
        <w:rPr>
          <w:rFonts w:hint="default"/>
          <w:sz w:val="24"/>
          <w:szCs w:val="24"/>
        </w:rPr>
      </w:pPr>
    </w:p>
    <w:p w14:paraId="28020376">
      <w:pPr>
        <w:widowControl/>
        <w:autoSpaceDE/>
        <w:autoSpaceDN/>
        <w:adjustRightInd/>
        <w:spacing w:beforeLines="0" w:afterLines="0"/>
        <w:rPr>
          <w:rFonts w:hint="default" w:hAnsi="宋体"/>
          <w:sz w:val="24"/>
          <w:szCs w:val="24"/>
        </w:rPr>
      </w:pPr>
    </w:p>
    <w:p w14:paraId="2CCD4C04">
      <w:pPr>
        <w:spacing w:beforeLines="0" w:afterLines="0"/>
        <w:rPr>
          <w:rFonts w:hint="default"/>
          <w:sz w:val="24"/>
          <w:szCs w:val="24"/>
        </w:rPr>
      </w:pPr>
    </w:p>
    <w:p w14:paraId="0A333D45">
      <w:pPr>
        <w:pStyle w:val="2"/>
        <w:spacing w:beforeLines="0" w:afterLines="0"/>
        <w:rPr>
          <w:rFonts w:hint="default"/>
          <w:sz w:val="24"/>
          <w:szCs w:val="24"/>
        </w:rPr>
      </w:pPr>
    </w:p>
    <w:p w14:paraId="6AFFA412">
      <w:pPr>
        <w:pStyle w:val="2"/>
        <w:spacing w:beforeLines="0" w:afterLines="0"/>
        <w:rPr>
          <w:rFonts w:hint="default"/>
          <w:sz w:val="24"/>
          <w:szCs w:val="24"/>
        </w:rPr>
      </w:pPr>
    </w:p>
    <w:p w14:paraId="4E982155">
      <w:pPr>
        <w:pStyle w:val="2"/>
        <w:spacing w:beforeLines="0" w:afterLines="0"/>
        <w:rPr>
          <w:rFonts w:hint="default"/>
          <w:sz w:val="24"/>
          <w:szCs w:val="24"/>
        </w:rPr>
      </w:pPr>
    </w:p>
    <w:p w14:paraId="7A90522D">
      <w:pPr>
        <w:pStyle w:val="2"/>
        <w:spacing w:beforeLines="0" w:afterLines="0"/>
        <w:rPr>
          <w:rFonts w:hint="default"/>
          <w:sz w:val="24"/>
          <w:szCs w:val="24"/>
        </w:rPr>
      </w:pPr>
    </w:p>
    <w:p w14:paraId="520AAC2D">
      <w:pPr>
        <w:pStyle w:val="2"/>
        <w:spacing w:beforeLines="0" w:afterLines="0"/>
        <w:rPr>
          <w:rFonts w:hint="default"/>
          <w:sz w:val="24"/>
          <w:szCs w:val="24"/>
        </w:rPr>
      </w:pPr>
    </w:p>
    <w:p w14:paraId="0BFAF320">
      <w:pPr>
        <w:pStyle w:val="2"/>
        <w:spacing w:beforeLines="0" w:afterLines="0"/>
        <w:ind w:firstLine="0" w:firstLineChars="0"/>
        <w:rPr>
          <w:rFonts w:hint="default" w:eastAsia="宋体"/>
          <w:sz w:val="24"/>
          <w:szCs w:val="24"/>
          <w:lang w:val="en-US" w:eastAsia="zh-CN"/>
        </w:rPr>
      </w:pPr>
    </w:p>
    <w:p w14:paraId="2B63AC35">
      <w:pPr>
        <w:pStyle w:val="2"/>
        <w:numPr>
          <w:ilvl w:val="0"/>
          <w:numId w:val="4"/>
        </w:numPr>
        <w:spacing w:beforeLines="0" w:afterLines="0"/>
        <w:ind w:firstLine="0" w:firstLineChars="0"/>
        <w:rPr>
          <w:rFonts w:hint="eastAsia"/>
          <w:b/>
          <w:bCs/>
          <w:sz w:val="28"/>
          <w:szCs w:val="28"/>
          <w:lang w:val="en-US" w:eastAsia="zh-CN"/>
        </w:rPr>
      </w:pPr>
      <w:r>
        <w:rPr>
          <w:rFonts w:hint="eastAsia"/>
          <w:b/>
          <w:bCs/>
          <w:sz w:val="28"/>
          <w:szCs w:val="28"/>
          <w:lang w:val="en-US" w:eastAsia="zh-CN"/>
        </w:rPr>
        <w:t>营业执照</w:t>
      </w:r>
    </w:p>
    <w:p w14:paraId="14113216">
      <w:pPr>
        <w:pStyle w:val="2"/>
        <w:numPr>
          <w:ilvl w:val="0"/>
          <w:numId w:val="0"/>
        </w:numPr>
        <w:spacing w:beforeLines="0" w:afterLines="0"/>
        <w:rPr>
          <w:rFonts w:hint="default"/>
          <w:sz w:val="24"/>
          <w:szCs w:val="24"/>
          <w:lang w:val="en-US" w:eastAsia="zh-CN"/>
        </w:rPr>
      </w:pPr>
    </w:p>
    <w:p w14:paraId="104280D6">
      <w:pPr>
        <w:pStyle w:val="2"/>
        <w:numPr>
          <w:ilvl w:val="0"/>
          <w:numId w:val="0"/>
        </w:numPr>
        <w:spacing w:beforeLines="0" w:afterLines="0"/>
        <w:rPr>
          <w:rFonts w:hint="default"/>
          <w:sz w:val="24"/>
          <w:szCs w:val="24"/>
          <w:lang w:val="en-US" w:eastAsia="zh-CN"/>
        </w:rPr>
      </w:pPr>
    </w:p>
    <w:p w14:paraId="54BD2715">
      <w:pPr>
        <w:pStyle w:val="2"/>
        <w:numPr>
          <w:ilvl w:val="0"/>
          <w:numId w:val="0"/>
        </w:numPr>
        <w:spacing w:beforeLines="0" w:afterLines="0"/>
        <w:rPr>
          <w:rFonts w:hint="default"/>
          <w:sz w:val="24"/>
          <w:szCs w:val="24"/>
          <w:lang w:val="en-US" w:eastAsia="zh-CN"/>
        </w:rPr>
      </w:pPr>
    </w:p>
    <w:p w14:paraId="2ACD8347">
      <w:pPr>
        <w:pStyle w:val="2"/>
        <w:numPr>
          <w:ilvl w:val="0"/>
          <w:numId w:val="0"/>
        </w:numPr>
        <w:spacing w:beforeLines="0" w:afterLines="0"/>
        <w:rPr>
          <w:rFonts w:hint="default"/>
          <w:sz w:val="24"/>
          <w:szCs w:val="24"/>
          <w:lang w:val="en-US" w:eastAsia="zh-CN"/>
        </w:rPr>
      </w:pPr>
    </w:p>
    <w:p w14:paraId="67CC16BA">
      <w:pPr>
        <w:pStyle w:val="2"/>
        <w:numPr>
          <w:ilvl w:val="0"/>
          <w:numId w:val="0"/>
        </w:numPr>
        <w:spacing w:beforeLines="0" w:afterLines="0"/>
        <w:rPr>
          <w:rFonts w:hint="default"/>
          <w:sz w:val="24"/>
          <w:szCs w:val="24"/>
          <w:lang w:val="en-US" w:eastAsia="zh-CN"/>
        </w:rPr>
      </w:pPr>
    </w:p>
    <w:p w14:paraId="366E3FD2">
      <w:pPr>
        <w:pStyle w:val="2"/>
        <w:numPr>
          <w:ilvl w:val="0"/>
          <w:numId w:val="0"/>
        </w:numPr>
        <w:spacing w:beforeLines="0" w:afterLines="0"/>
        <w:rPr>
          <w:rFonts w:hint="default"/>
          <w:sz w:val="24"/>
          <w:szCs w:val="24"/>
          <w:lang w:val="en-US" w:eastAsia="zh-CN"/>
        </w:rPr>
      </w:pPr>
    </w:p>
    <w:p w14:paraId="72AE391A">
      <w:pPr>
        <w:pStyle w:val="2"/>
        <w:numPr>
          <w:ilvl w:val="0"/>
          <w:numId w:val="0"/>
        </w:numPr>
        <w:spacing w:beforeLines="0" w:afterLines="0"/>
        <w:rPr>
          <w:rFonts w:hint="default"/>
          <w:sz w:val="24"/>
          <w:szCs w:val="24"/>
          <w:lang w:val="en-US" w:eastAsia="zh-CN"/>
        </w:rPr>
      </w:pPr>
    </w:p>
    <w:p w14:paraId="047A5E80">
      <w:pPr>
        <w:pStyle w:val="2"/>
        <w:numPr>
          <w:ilvl w:val="0"/>
          <w:numId w:val="0"/>
        </w:numPr>
        <w:spacing w:beforeLines="0" w:afterLines="0"/>
        <w:rPr>
          <w:rFonts w:hint="default"/>
          <w:sz w:val="24"/>
          <w:szCs w:val="24"/>
          <w:lang w:val="en-US" w:eastAsia="zh-CN"/>
        </w:rPr>
      </w:pPr>
    </w:p>
    <w:p w14:paraId="0C792DDF">
      <w:pPr>
        <w:pStyle w:val="2"/>
        <w:numPr>
          <w:ilvl w:val="0"/>
          <w:numId w:val="0"/>
        </w:numPr>
        <w:spacing w:beforeLines="0" w:afterLines="0"/>
        <w:rPr>
          <w:rFonts w:hint="default"/>
          <w:sz w:val="24"/>
          <w:szCs w:val="24"/>
          <w:lang w:val="en-US" w:eastAsia="zh-CN"/>
        </w:rPr>
      </w:pPr>
    </w:p>
    <w:p w14:paraId="735D1B20">
      <w:pPr>
        <w:pStyle w:val="2"/>
        <w:numPr>
          <w:ilvl w:val="0"/>
          <w:numId w:val="0"/>
        </w:numPr>
        <w:spacing w:beforeLines="0" w:afterLines="0"/>
        <w:rPr>
          <w:rFonts w:hint="default"/>
          <w:sz w:val="24"/>
          <w:szCs w:val="24"/>
          <w:lang w:val="en-US" w:eastAsia="zh-CN"/>
        </w:rPr>
      </w:pPr>
    </w:p>
    <w:p w14:paraId="7307EC06">
      <w:pPr>
        <w:pStyle w:val="2"/>
        <w:numPr>
          <w:ilvl w:val="0"/>
          <w:numId w:val="0"/>
        </w:numPr>
        <w:spacing w:beforeLines="0" w:afterLines="0"/>
        <w:rPr>
          <w:rFonts w:hint="default"/>
          <w:sz w:val="24"/>
          <w:szCs w:val="24"/>
          <w:lang w:val="en-US" w:eastAsia="zh-CN"/>
        </w:rPr>
      </w:pPr>
    </w:p>
    <w:p w14:paraId="5CFC3B06">
      <w:pPr>
        <w:pStyle w:val="2"/>
        <w:numPr>
          <w:ilvl w:val="0"/>
          <w:numId w:val="0"/>
        </w:numPr>
        <w:spacing w:beforeLines="0" w:afterLines="0"/>
        <w:rPr>
          <w:rFonts w:hint="default"/>
          <w:sz w:val="24"/>
          <w:szCs w:val="24"/>
          <w:lang w:val="en-US" w:eastAsia="zh-CN"/>
        </w:rPr>
      </w:pPr>
    </w:p>
    <w:p w14:paraId="2A4D5C84">
      <w:pPr>
        <w:pStyle w:val="2"/>
        <w:numPr>
          <w:ilvl w:val="0"/>
          <w:numId w:val="0"/>
        </w:numPr>
        <w:spacing w:beforeLines="0" w:afterLines="0"/>
        <w:rPr>
          <w:rFonts w:hint="default"/>
          <w:sz w:val="24"/>
          <w:szCs w:val="24"/>
          <w:lang w:val="en-US" w:eastAsia="zh-CN"/>
        </w:rPr>
      </w:pPr>
    </w:p>
    <w:p w14:paraId="6043851F">
      <w:pPr>
        <w:pStyle w:val="2"/>
        <w:numPr>
          <w:ilvl w:val="0"/>
          <w:numId w:val="0"/>
        </w:numPr>
        <w:spacing w:beforeLines="0" w:afterLines="0"/>
        <w:rPr>
          <w:rFonts w:hint="default"/>
          <w:sz w:val="24"/>
          <w:szCs w:val="24"/>
          <w:lang w:val="en-US" w:eastAsia="zh-CN"/>
        </w:rPr>
      </w:pPr>
    </w:p>
    <w:p w14:paraId="6BF56223">
      <w:pPr>
        <w:pStyle w:val="2"/>
        <w:numPr>
          <w:ilvl w:val="0"/>
          <w:numId w:val="0"/>
        </w:numPr>
        <w:spacing w:beforeLines="0" w:afterLines="0"/>
        <w:rPr>
          <w:rFonts w:hint="default"/>
          <w:sz w:val="24"/>
          <w:szCs w:val="24"/>
          <w:lang w:val="en-US" w:eastAsia="zh-CN"/>
        </w:rPr>
      </w:pPr>
    </w:p>
    <w:p w14:paraId="6A4F5155">
      <w:pPr>
        <w:pStyle w:val="2"/>
        <w:numPr>
          <w:ilvl w:val="0"/>
          <w:numId w:val="0"/>
        </w:numPr>
        <w:spacing w:beforeLines="0" w:afterLines="0"/>
        <w:rPr>
          <w:rFonts w:hint="default"/>
          <w:sz w:val="24"/>
          <w:szCs w:val="24"/>
          <w:lang w:val="en-US" w:eastAsia="zh-CN"/>
        </w:rPr>
      </w:pPr>
    </w:p>
    <w:p w14:paraId="23C2CAB6">
      <w:pPr>
        <w:pStyle w:val="2"/>
        <w:numPr>
          <w:ilvl w:val="0"/>
          <w:numId w:val="0"/>
        </w:numPr>
        <w:spacing w:beforeLines="0" w:afterLines="0"/>
        <w:rPr>
          <w:rFonts w:hint="default"/>
          <w:sz w:val="24"/>
          <w:szCs w:val="24"/>
          <w:lang w:val="en-US" w:eastAsia="zh-CN"/>
        </w:rPr>
      </w:pPr>
    </w:p>
    <w:p w14:paraId="28C2C361">
      <w:pPr>
        <w:pStyle w:val="2"/>
        <w:numPr>
          <w:ilvl w:val="0"/>
          <w:numId w:val="0"/>
        </w:numPr>
        <w:spacing w:beforeLines="0" w:afterLines="0"/>
        <w:rPr>
          <w:rFonts w:hint="default"/>
          <w:sz w:val="24"/>
          <w:szCs w:val="24"/>
          <w:lang w:val="en-US" w:eastAsia="zh-CN"/>
        </w:rPr>
      </w:pPr>
    </w:p>
    <w:p w14:paraId="14D949C8">
      <w:pPr>
        <w:pStyle w:val="2"/>
        <w:numPr>
          <w:ilvl w:val="0"/>
          <w:numId w:val="0"/>
        </w:numPr>
        <w:spacing w:beforeLines="0" w:afterLines="0"/>
        <w:rPr>
          <w:rFonts w:hint="default"/>
          <w:sz w:val="24"/>
          <w:szCs w:val="24"/>
          <w:lang w:val="en-US" w:eastAsia="zh-CN"/>
        </w:rPr>
      </w:pPr>
    </w:p>
    <w:p w14:paraId="743BF24A">
      <w:pPr>
        <w:pStyle w:val="2"/>
        <w:numPr>
          <w:ilvl w:val="0"/>
          <w:numId w:val="0"/>
        </w:numPr>
        <w:spacing w:beforeLines="0" w:afterLines="0"/>
        <w:rPr>
          <w:rFonts w:hint="default"/>
          <w:sz w:val="24"/>
          <w:szCs w:val="24"/>
          <w:lang w:val="en-US" w:eastAsia="zh-CN"/>
        </w:rPr>
      </w:pPr>
    </w:p>
    <w:p w14:paraId="7BE83B54">
      <w:pPr>
        <w:pStyle w:val="2"/>
        <w:numPr>
          <w:ilvl w:val="0"/>
          <w:numId w:val="0"/>
        </w:numPr>
        <w:spacing w:beforeLines="0" w:afterLines="0"/>
        <w:rPr>
          <w:rFonts w:hint="default"/>
          <w:sz w:val="24"/>
          <w:szCs w:val="24"/>
          <w:lang w:val="en-US" w:eastAsia="zh-CN"/>
        </w:rPr>
      </w:pPr>
    </w:p>
    <w:p w14:paraId="0B540C22">
      <w:pPr>
        <w:pStyle w:val="2"/>
        <w:numPr>
          <w:ilvl w:val="0"/>
          <w:numId w:val="0"/>
        </w:numPr>
        <w:spacing w:beforeLines="0" w:afterLines="0"/>
        <w:rPr>
          <w:rFonts w:hint="default"/>
          <w:sz w:val="24"/>
          <w:szCs w:val="24"/>
          <w:lang w:val="en-US" w:eastAsia="zh-CN"/>
        </w:rPr>
      </w:pPr>
    </w:p>
    <w:p w14:paraId="5B4CDD23">
      <w:pPr>
        <w:pStyle w:val="2"/>
        <w:numPr>
          <w:ilvl w:val="0"/>
          <w:numId w:val="0"/>
        </w:numPr>
        <w:spacing w:beforeLines="0" w:afterLines="0"/>
        <w:rPr>
          <w:rFonts w:hint="default"/>
          <w:sz w:val="24"/>
          <w:szCs w:val="24"/>
          <w:lang w:val="en-US" w:eastAsia="zh-CN"/>
        </w:rPr>
      </w:pPr>
    </w:p>
    <w:p w14:paraId="4F0A7EA1">
      <w:pPr>
        <w:pStyle w:val="2"/>
        <w:numPr>
          <w:ilvl w:val="0"/>
          <w:numId w:val="0"/>
        </w:numPr>
        <w:spacing w:beforeLines="0" w:afterLines="0"/>
        <w:rPr>
          <w:rFonts w:hint="default"/>
          <w:sz w:val="24"/>
          <w:szCs w:val="24"/>
          <w:lang w:val="en-US" w:eastAsia="zh-CN"/>
        </w:rPr>
      </w:pPr>
    </w:p>
    <w:p w14:paraId="54DF8107">
      <w:pPr>
        <w:pStyle w:val="2"/>
        <w:numPr>
          <w:ilvl w:val="0"/>
          <w:numId w:val="0"/>
        </w:numPr>
        <w:spacing w:beforeLines="0" w:afterLines="0"/>
        <w:rPr>
          <w:rFonts w:hint="default"/>
          <w:sz w:val="24"/>
          <w:szCs w:val="24"/>
          <w:lang w:val="en-US" w:eastAsia="zh-CN"/>
        </w:rPr>
      </w:pPr>
    </w:p>
    <w:p w14:paraId="19205622">
      <w:pPr>
        <w:pStyle w:val="2"/>
        <w:numPr>
          <w:ilvl w:val="0"/>
          <w:numId w:val="0"/>
        </w:numPr>
        <w:spacing w:beforeLines="0" w:afterLines="0"/>
        <w:rPr>
          <w:rFonts w:hint="default"/>
          <w:sz w:val="24"/>
          <w:szCs w:val="24"/>
          <w:lang w:val="en-US" w:eastAsia="zh-CN"/>
        </w:rPr>
      </w:pPr>
    </w:p>
    <w:p w14:paraId="3773C57C">
      <w:pPr>
        <w:pStyle w:val="2"/>
        <w:numPr>
          <w:ilvl w:val="0"/>
          <w:numId w:val="0"/>
        </w:numPr>
        <w:spacing w:beforeLines="0" w:afterLines="0"/>
        <w:rPr>
          <w:rFonts w:hint="default"/>
          <w:sz w:val="24"/>
          <w:szCs w:val="24"/>
          <w:lang w:val="en-US" w:eastAsia="zh-CN"/>
        </w:rPr>
      </w:pPr>
    </w:p>
    <w:p w14:paraId="03195491">
      <w:pPr>
        <w:pStyle w:val="2"/>
        <w:numPr>
          <w:ilvl w:val="0"/>
          <w:numId w:val="0"/>
        </w:numPr>
        <w:spacing w:beforeLines="0" w:afterLines="0"/>
        <w:rPr>
          <w:rFonts w:hint="default"/>
          <w:sz w:val="24"/>
          <w:szCs w:val="24"/>
          <w:lang w:val="en-US" w:eastAsia="zh-CN"/>
        </w:rPr>
      </w:pPr>
    </w:p>
    <w:p w14:paraId="3BE331EE">
      <w:pPr>
        <w:pStyle w:val="2"/>
        <w:numPr>
          <w:ilvl w:val="0"/>
          <w:numId w:val="4"/>
        </w:numPr>
        <w:spacing w:beforeLines="0" w:afterLines="0"/>
        <w:ind w:firstLine="0" w:firstLineChars="0"/>
        <w:rPr>
          <w:rFonts w:hint="eastAsia"/>
          <w:b/>
          <w:bCs/>
          <w:sz w:val="28"/>
          <w:szCs w:val="28"/>
          <w:lang w:val="en-US" w:eastAsia="zh-CN"/>
        </w:rPr>
      </w:pPr>
      <w:r>
        <w:rPr>
          <w:rFonts w:hint="eastAsia"/>
          <w:b/>
          <w:bCs/>
          <w:sz w:val="28"/>
          <w:szCs w:val="28"/>
          <w:lang w:val="en-US" w:eastAsia="zh-CN"/>
        </w:rPr>
        <w:t>信息化升级建设项目业绩</w:t>
      </w:r>
    </w:p>
    <w:p w14:paraId="4FE1269B">
      <w:pPr>
        <w:pStyle w:val="2"/>
        <w:numPr>
          <w:ilvl w:val="0"/>
          <w:numId w:val="0"/>
        </w:numPr>
        <w:spacing w:beforeLines="0" w:afterLines="0"/>
        <w:rPr>
          <w:rFonts w:hint="default"/>
          <w:sz w:val="24"/>
          <w:szCs w:val="24"/>
          <w:lang w:val="en-US" w:eastAsia="zh-CN"/>
        </w:rPr>
      </w:pPr>
    </w:p>
    <w:p w14:paraId="2D126D49">
      <w:pPr>
        <w:pStyle w:val="2"/>
        <w:numPr>
          <w:ilvl w:val="0"/>
          <w:numId w:val="0"/>
        </w:numPr>
        <w:spacing w:beforeLines="0" w:afterLines="0"/>
        <w:rPr>
          <w:rFonts w:hint="default"/>
          <w:sz w:val="24"/>
          <w:szCs w:val="24"/>
          <w:lang w:val="en-US" w:eastAsia="zh-CN"/>
        </w:rPr>
      </w:pPr>
    </w:p>
    <w:p w14:paraId="616162B6">
      <w:pPr>
        <w:pStyle w:val="2"/>
        <w:numPr>
          <w:ilvl w:val="0"/>
          <w:numId w:val="0"/>
        </w:numPr>
        <w:spacing w:beforeLines="0" w:afterLines="0"/>
        <w:rPr>
          <w:rFonts w:hint="default"/>
          <w:sz w:val="24"/>
          <w:szCs w:val="24"/>
          <w:lang w:val="en-US" w:eastAsia="zh-CN"/>
        </w:rPr>
      </w:pPr>
    </w:p>
    <w:p w14:paraId="3DB4B2B4">
      <w:pPr>
        <w:pStyle w:val="2"/>
        <w:numPr>
          <w:ilvl w:val="0"/>
          <w:numId w:val="0"/>
        </w:numPr>
        <w:spacing w:beforeLines="0" w:afterLines="0"/>
        <w:rPr>
          <w:rFonts w:hint="default"/>
          <w:sz w:val="24"/>
          <w:szCs w:val="24"/>
          <w:lang w:val="en-US" w:eastAsia="zh-CN"/>
        </w:rPr>
      </w:pPr>
    </w:p>
    <w:p w14:paraId="2785D266">
      <w:pPr>
        <w:pStyle w:val="2"/>
        <w:numPr>
          <w:ilvl w:val="0"/>
          <w:numId w:val="0"/>
        </w:numPr>
        <w:spacing w:beforeLines="0" w:afterLines="0"/>
        <w:rPr>
          <w:rFonts w:hint="default"/>
          <w:sz w:val="24"/>
          <w:szCs w:val="24"/>
          <w:lang w:val="en-US" w:eastAsia="zh-CN"/>
        </w:rPr>
      </w:pPr>
    </w:p>
    <w:p w14:paraId="7B132386">
      <w:pPr>
        <w:pStyle w:val="2"/>
        <w:numPr>
          <w:ilvl w:val="0"/>
          <w:numId w:val="0"/>
        </w:numPr>
        <w:spacing w:beforeLines="0" w:afterLines="0"/>
        <w:rPr>
          <w:rFonts w:hint="default"/>
          <w:sz w:val="24"/>
          <w:szCs w:val="24"/>
          <w:lang w:val="en-US" w:eastAsia="zh-CN"/>
        </w:rPr>
      </w:pPr>
    </w:p>
    <w:p w14:paraId="3A67838A">
      <w:pPr>
        <w:pStyle w:val="2"/>
        <w:numPr>
          <w:ilvl w:val="0"/>
          <w:numId w:val="0"/>
        </w:numPr>
        <w:spacing w:beforeLines="0" w:afterLines="0"/>
        <w:rPr>
          <w:rFonts w:hint="default"/>
          <w:sz w:val="24"/>
          <w:szCs w:val="24"/>
          <w:lang w:val="en-US" w:eastAsia="zh-CN"/>
        </w:rPr>
      </w:pPr>
    </w:p>
    <w:p w14:paraId="0D94CF7A">
      <w:pPr>
        <w:pStyle w:val="2"/>
        <w:numPr>
          <w:ilvl w:val="0"/>
          <w:numId w:val="0"/>
        </w:numPr>
        <w:spacing w:beforeLines="0" w:afterLines="0"/>
        <w:rPr>
          <w:rFonts w:hint="default"/>
          <w:sz w:val="24"/>
          <w:szCs w:val="24"/>
          <w:lang w:val="en-US" w:eastAsia="zh-CN"/>
        </w:rPr>
      </w:pPr>
    </w:p>
    <w:p w14:paraId="7976EEEC">
      <w:pPr>
        <w:pStyle w:val="2"/>
        <w:numPr>
          <w:ilvl w:val="0"/>
          <w:numId w:val="0"/>
        </w:numPr>
        <w:spacing w:beforeLines="0" w:afterLines="0"/>
        <w:rPr>
          <w:rFonts w:hint="default"/>
          <w:sz w:val="24"/>
          <w:szCs w:val="24"/>
          <w:lang w:val="en-US" w:eastAsia="zh-CN"/>
        </w:rPr>
      </w:pPr>
    </w:p>
    <w:p w14:paraId="2527144E">
      <w:pPr>
        <w:pStyle w:val="2"/>
        <w:numPr>
          <w:ilvl w:val="0"/>
          <w:numId w:val="0"/>
        </w:numPr>
        <w:spacing w:beforeLines="0" w:afterLines="0"/>
        <w:rPr>
          <w:rFonts w:hint="default"/>
          <w:sz w:val="24"/>
          <w:szCs w:val="24"/>
          <w:lang w:val="en-US" w:eastAsia="zh-CN"/>
        </w:rPr>
      </w:pPr>
    </w:p>
    <w:p w14:paraId="55616335">
      <w:pPr>
        <w:pStyle w:val="2"/>
        <w:numPr>
          <w:ilvl w:val="0"/>
          <w:numId w:val="0"/>
        </w:numPr>
        <w:spacing w:beforeLines="0" w:afterLines="0"/>
        <w:rPr>
          <w:rFonts w:hint="default"/>
          <w:sz w:val="24"/>
          <w:szCs w:val="24"/>
          <w:lang w:val="en-US" w:eastAsia="zh-CN"/>
        </w:rPr>
      </w:pPr>
    </w:p>
    <w:p w14:paraId="34598F4F">
      <w:pPr>
        <w:pStyle w:val="2"/>
        <w:numPr>
          <w:ilvl w:val="0"/>
          <w:numId w:val="0"/>
        </w:numPr>
        <w:spacing w:beforeLines="0" w:afterLines="0"/>
        <w:rPr>
          <w:rFonts w:hint="default"/>
          <w:sz w:val="24"/>
          <w:szCs w:val="24"/>
          <w:lang w:val="en-US" w:eastAsia="zh-CN"/>
        </w:rPr>
      </w:pPr>
    </w:p>
    <w:p w14:paraId="7A139621">
      <w:pPr>
        <w:pStyle w:val="2"/>
        <w:numPr>
          <w:ilvl w:val="0"/>
          <w:numId w:val="0"/>
        </w:numPr>
        <w:spacing w:beforeLines="0" w:afterLines="0"/>
        <w:rPr>
          <w:rFonts w:hint="default"/>
          <w:sz w:val="24"/>
          <w:szCs w:val="24"/>
          <w:lang w:val="en-US" w:eastAsia="zh-CN"/>
        </w:rPr>
      </w:pPr>
    </w:p>
    <w:p w14:paraId="08B67E62">
      <w:pPr>
        <w:pStyle w:val="2"/>
        <w:numPr>
          <w:ilvl w:val="0"/>
          <w:numId w:val="0"/>
        </w:numPr>
        <w:spacing w:beforeLines="0" w:afterLines="0"/>
        <w:rPr>
          <w:rFonts w:hint="default"/>
          <w:sz w:val="24"/>
          <w:szCs w:val="24"/>
          <w:lang w:val="en-US" w:eastAsia="zh-CN"/>
        </w:rPr>
      </w:pPr>
    </w:p>
    <w:p w14:paraId="78CA9DB3">
      <w:pPr>
        <w:pStyle w:val="2"/>
        <w:numPr>
          <w:ilvl w:val="0"/>
          <w:numId w:val="0"/>
        </w:numPr>
        <w:spacing w:beforeLines="0" w:afterLines="0"/>
        <w:rPr>
          <w:rFonts w:hint="default"/>
          <w:sz w:val="24"/>
          <w:szCs w:val="24"/>
          <w:lang w:val="en-US" w:eastAsia="zh-CN"/>
        </w:rPr>
      </w:pPr>
    </w:p>
    <w:p w14:paraId="2E6EF633">
      <w:pPr>
        <w:pStyle w:val="2"/>
        <w:numPr>
          <w:ilvl w:val="0"/>
          <w:numId w:val="0"/>
        </w:numPr>
        <w:spacing w:beforeLines="0" w:afterLines="0"/>
        <w:rPr>
          <w:rFonts w:hint="default"/>
          <w:sz w:val="24"/>
          <w:szCs w:val="24"/>
          <w:lang w:val="en-US" w:eastAsia="zh-CN"/>
        </w:rPr>
      </w:pPr>
    </w:p>
    <w:p w14:paraId="4CB5A10E">
      <w:pPr>
        <w:pStyle w:val="2"/>
        <w:numPr>
          <w:ilvl w:val="0"/>
          <w:numId w:val="0"/>
        </w:numPr>
        <w:spacing w:beforeLines="0" w:afterLines="0"/>
        <w:rPr>
          <w:rFonts w:hint="default"/>
          <w:sz w:val="24"/>
          <w:szCs w:val="24"/>
          <w:lang w:val="en-US" w:eastAsia="zh-CN"/>
        </w:rPr>
      </w:pPr>
    </w:p>
    <w:p w14:paraId="0174309C">
      <w:pPr>
        <w:pStyle w:val="2"/>
        <w:numPr>
          <w:ilvl w:val="0"/>
          <w:numId w:val="0"/>
        </w:numPr>
        <w:spacing w:beforeLines="0" w:afterLines="0"/>
        <w:rPr>
          <w:rFonts w:hint="default"/>
          <w:sz w:val="24"/>
          <w:szCs w:val="24"/>
          <w:lang w:val="en-US" w:eastAsia="zh-CN"/>
        </w:rPr>
      </w:pPr>
    </w:p>
    <w:p w14:paraId="5043FFE7">
      <w:pPr>
        <w:pStyle w:val="2"/>
        <w:numPr>
          <w:ilvl w:val="0"/>
          <w:numId w:val="0"/>
        </w:numPr>
        <w:spacing w:beforeLines="0" w:afterLines="0"/>
        <w:rPr>
          <w:rFonts w:hint="default"/>
          <w:sz w:val="24"/>
          <w:szCs w:val="24"/>
          <w:lang w:val="en-US" w:eastAsia="zh-CN"/>
        </w:rPr>
      </w:pPr>
    </w:p>
    <w:p w14:paraId="6A6748B8">
      <w:pPr>
        <w:pStyle w:val="2"/>
        <w:numPr>
          <w:ilvl w:val="0"/>
          <w:numId w:val="0"/>
        </w:numPr>
        <w:spacing w:beforeLines="0" w:afterLines="0"/>
        <w:rPr>
          <w:rFonts w:hint="default"/>
          <w:sz w:val="24"/>
          <w:szCs w:val="24"/>
          <w:lang w:val="en-US" w:eastAsia="zh-CN"/>
        </w:rPr>
      </w:pPr>
    </w:p>
    <w:p w14:paraId="5D1F19F0">
      <w:pPr>
        <w:pStyle w:val="2"/>
        <w:numPr>
          <w:ilvl w:val="0"/>
          <w:numId w:val="0"/>
        </w:numPr>
        <w:spacing w:beforeLines="0" w:afterLines="0"/>
        <w:rPr>
          <w:rFonts w:hint="default"/>
          <w:sz w:val="24"/>
          <w:szCs w:val="24"/>
          <w:lang w:val="en-US" w:eastAsia="zh-CN"/>
        </w:rPr>
      </w:pPr>
    </w:p>
    <w:p w14:paraId="04BD0AEE">
      <w:pPr>
        <w:pStyle w:val="2"/>
        <w:numPr>
          <w:ilvl w:val="0"/>
          <w:numId w:val="0"/>
        </w:numPr>
        <w:spacing w:beforeLines="0" w:afterLines="0"/>
        <w:rPr>
          <w:rFonts w:hint="default"/>
          <w:sz w:val="24"/>
          <w:szCs w:val="24"/>
          <w:lang w:val="en-US" w:eastAsia="zh-CN"/>
        </w:rPr>
      </w:pPr>
    </w:p>
    <w:p w14:paraId="4C9CE2BB">
      <w:pPr>
        <w:pStyle w:val="2"/>
        <w:numPr>
          <w:ilvl w:val="0"/>
          <w:numId w:val="0"/>
        </w:numPr>
        <w:spacing w:beforeLines="0" w:afterLines="0"/>
        <w:rPr>
          <w:rFonts w:hint="default"/>
          <w:sz w:val="24"/>
          <w:szCs w:val="24"/>
          <w:lang w:val="en-US" w:eastAsia="zh-CN"/>
        </w:rPr>
      </w:pPr>
    </w:p>
    <w:p w14:paraId="11D30521">
      <w:pPr>
        <w:pStyle w:val="2"/>
        <w:numPr>
          <w:ilvl w:val="0"/>
          <w:numId w:val="0"/>
        </w:numPr>
        <w:spacing w:beforeLines="0" w:afterLines="0"/>
        <w:rPr>
          <w:rFonts w:hint="default"/>
          <w:sz w:val="24"/>
          <w:szCs w:val="24"/>
          <w:lang w:val="en-US" w:eastAsia="zh-CN"/>
        </w:rPr>
      </w:pPr>
    </w:p>
    <w:p w14:paraId="7B7FA03F">
      <w:pPr>
        <w:pStyle w:val="2"/>
        <w:numPr>
          <w:ilvl w:val="0"/>
          <w:numId w:val="0"/>
        </w:numPr>
        <w:spacing w:beforeLines="0" w:afterLines="0"/>
        <w:rPr>
          <w:rFonts w:hint="default"/>
          <w:sz w:val="24"/>
          <w:szCs w:val="24"/>
          <w:lang w:val="en-US" w:eastAsia="zh-CN"/>
        </w:rPr>
      </w:pPr>
    </w:p>
    <w:p w14:paraId="416F7467">
      <w:pPr>
        <w:pStyle w:val="2"/>
        <w:numPr>
          <w:ilvl w:val="0"/>
          <w:numId w:val="0"/>
        </w:numPr>
        <w:spacing w:beforeLines="0" w:afterLines="0"/>
        <w:rPr>
          <w:rFonts w:hint="default"/>
          <w:sz w:val="24"/>
          <w:szCs w:val="24"/>
          <w:lang w:val="en-US" w:eastAsia="zh-CN"/>
        </w:rPr>
      </w:pPr>
    </w:p>
    <w:p w14:paraId="118D83C3">
      <w:pPr>
        <w:pStyle w:val="2"/>
        <w:numPr>
          <w:ilvl w:val="0"/>
          <w:numId w:val="0"/>
        </w:numPr>
        <w:spacing w:beforeLines="0" w:afterLines="0"/>
        <w:rPr>
          <w:rFonts w:hint="default"/>
          <w:sz w:val="24"/>
          <w:szCs w:val="24"/>
          <w:lang w:val="en-US" w:eastAsia="zh-CN"/>
        </w:rPr>
      </w:pPr>
    </w:p>
    <w:p w14:paraId="39E6B4DB">
      <w:pPr>
        <w:pStyle w:val="2"/>
        <w:numPr>
          <w:ilvl w:val="0"/>
          <w:numId w:val="0"/>
        </w:numPr>
        <w:spacing w:beforeLines="0" w:afterLines="0"/>
        <w:rPr>
          <w:rFonts w:hint="default"/>
          <w:sz w:val="24"/>
          <w:szCs w:val="24"/>
          <w:lang w:val="en-US" w:eastAsia="zh-CN"/>
        </w:rPr>
      </w:pPr>
    </w:p>
    <w:p w14:paraId="3C5042C9">
      <w:pPr>
        <w:pStyle w:val="2"/>
        <w:numPr>
          <w:ilvl w:val="0"/>
          <w:numId w:val="0"/>
        </w:numPr>
        <w:spacing w:beforeLines="0" w:afterLines="0"/>
        <w:rPr>
          <w:rFonts w:hint="default"/>
          <w:b/>
          <w:bCs/>
          <w:sz w:val="28"/>
          <w:szCs w:val="28"/>
          <w:lang w:val="en-US" w:eastAsia="zh-CN"/>
        </w:rPr>
      </w:pPr>
      <w:r>
        <w:rPr>
          <w:rFonts w:hint="eastAsia"/>
          <w:b/>
          <w:bCs/>
          <w:sz w:val="28"/>
          <w:szCs w:val="28"/>
          <w:lang w:val="en-US" w:eastAsia="zh-CN"/>
        </w:rPr>
        <w:t>5.信用中国网站截图</w:t>
      </w:r>
    </w:p>
    <w:p w14:paraId="0E535833">
      <w:pPr>
        <w:pStyle w:val="2"/>
        <w:spacing w:beforeLines="0" w:afterLines="0"/>
        <w:rPr>
          <w:rFonts w:hint="default"/>
          <w:sz w:val="24"/>
          <w:szCs w:val="24"/>
        </w:rPr>
      </w:pPr>
    </w:p>
    <w:p w14:paraId="26C00C6A">
      <w:pPr>
        <w:pStyle w:val="2"/>
        <w:spacing w:beforeLines="0" w:afterLines="0"/>
        <w:rPr>
          <w:rFonts w:hint="default"/>
          <w:sz w:val="24"/>
          <w:szCs w:val="24"/>
        </w:rPr>
      </w:pPr>
    </w:p>
    <w:p w14:paraId="4BC02A5C">
      <w:pPr>
        <w:pStyle w:val="2"/>
        <w:spacing w:beforeLines="0" w:afterLines="0"/>
        <w:rPr>
          <w:rFonts w:hint="default"/>
          <w:sz w:val="24"/>
          <w:szCs w:val="24"/>
        </w:rPr>
      </w:pPr>
    </w:p>
    <w:p w14:paraId="13810596"/>
    <w:sectPr>
      <w:pgSz w:w="11906" w:h="16838"/>
      <w:pgMar w:top="2098" w:right="1474" w:bottom="1984" w:left="1587"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E3F8">
    <w:pPr>
      <w:pStyle w:val="8"/>
      <w:spacing w:beforeLines="0" w:afterLines="0"/>
      <w:jc w:val="center"/>
      <w:rPr>
        <w:rFonts w:hint="eastAsia"/>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3A5B27">
                          <w:pPr>
                            <w:pStyle w:val="8"/>
                            <w:spacing w:beforeLines="0" w:afterLines="0"/>
                            <w:jc w:val="center"/>
                            <w:rPr>
                              <w:rFonts w:hint="eastAsia"/>
                              <w:sz w:val="18"/>
                              <w:szCs w:val="18"/>
                            </w:rPr>
                          </w:pP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2</w:t>
                          </w:r>
                          <w:r>
                            <w:rPr>
                              <w:rFonts w:hint="eastAsia"/>
                              <w:sz w:val="18"/>
                              <w:szCs w:val="18"/>
                              <w:lang w:val="zh-CN"/>
                            </w:rPr>
                            <w:fldChar w:fldCharType="end"/>
                          </w:r>
                        </w:p>
                        <w:p w14:paraId="2EF6C50A">
                          <w:pPr>
                            <w:pStyle w:val="3"/>
                            <w:spacing w:beforeLines="0" w:afterLines="0"/>
                            <w:rPr>
                              <w:rFonts w:hint="default"/>
                              <w:sz w:val="84"/>
                              <w:szCs w:val="84"/>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14:paraId="353A5B27">
                    <w:pPr>
                      <w:pStyle w:val="8"/>
                      <w:spacing w:beforeLines="0" w:afterLines="0"/>
                      <w:jc w:val="center"/>
                      <w:rPr>
                        <w:rFonts w:hint="eastAsia"/>
                        <w:sz w:val="18"/>
                        <w:szCs w:val="18"/>
                      </w:rPr>
                    </w:pP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2</w:t>
                    </w:r>
                    <w:r>
                      <w:rPr>
                        <w:rFonts w:hint="eastAsia"/>
                        <w:sz w:val="18"/>
                        <w:szCs w:val="18"/>
                        <w:lang w:val="zh-CN"/>
                      </w:rPr>
                      <w:fldChar w:fldCharType="end"/>
                    </w:r>
                  </w:p>
                  <w:p w14:paraId="2EF6C50A">
                    <w:pPr>
                      <w:pStyle w:val="3"/>
                      <w:spacing w:beforeLines="0" w:afterLines="0"/>
                      <w:rPr>
                        <w:rFonts w:hint="default"/>
                        <w:sz w:val="84"/>
                        <w:szCs w:val="84"/>
                      </w:rPr>
                    </w:pPr>
                  </w:p>
                </w:txbxContent>
              </v:textbox>
            </v:shape>
          </w:pict>
        </mc:Fallback>
      </mc:AlternateContent>
    </w:r>
  </w:p>
  <w:p w14:paraId="22A65165">
    <w:pPr>
      <w:pStyle w:val="8"/>
      <w:spacing w:beforeLines="0" w:afterLines="0"/>
      <w:rPr>
        <w:rFonts w:hint="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9A6F8"/>
    <w:multiLevelType w:val="singleLevel"/>
    <w:tmpl w:val="B4A9A6F8"/>
    <w:lvl w:ilvl="0" w:tentative="0">
      <w:start w:val="3"/>
      <w:numFmt w:val="decimal"/>
      <w:lvlText w:val="%1."/>
      <w:lvlJc w:val="left"/>
      <w:pPr>
        <w:tabs>
          <w:tab w:val="left" w:pos="312"/>
        </w:tabs>
      </w:pPr>
    </w:lvl>
  </w:abstractNum>
  <w:abstractNum w:abstractNumId="1">
    <w:nsid w:val="D84B93BB"/>
    <w:multiLevelType w:val="multilevel"/>
    <w:tmpl w:val="D84B93BB"/>
    <w:lvl w:ilvl="0" w:tentative="0">
      <w:start w:val="2"/>
      <w:numFmt w:val="chineseCounting"/>
      <w:suff w:val="space"/>
      <w:lvlText w:val="第%1章"/>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FEEA96E8"/>
    <w:multiLevelType w:val="multilevel"/>
    <w:tmpl w:val="FEEA96E8"/>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3AAF625F"/>
    <w:multiLevelType w:val="singleLevel"/>
    <w:tmpl w:val="3AAF625F"/>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mZkZmJiMjIyNzY1MDhmYjU3MjY1NmIwMGM3ZDQifQ=="/>
  </w:docVars>
  <w:rsids>
    <w:rsidRoot w:val="00172A27"/>
    <w:rsid w:val="06AF3A24"/>
    <w:rsid w:val="11AF2004"/>
    <w:rsid w:val="135D4BEE"/>
    <w:rsid w:val="17A447D0"/>
    <w:rsid w:val="25F54CF7"/>
    <w:rsid w:val="2C71344D"/>
    <w:rsid w:val="2DE81100"/>
    <w:rsid w:val="3F6841F0"/>
    <w:rsid w:val="413D04EE"/>
    <w:rsid w:val="494C3BAA"/>
    <w:rsid w:val="4FC11EE5"/>
    <w:rsid w:val="58022636"/>
    <w:rsid w:val="58BE087D"/>
    <w:rsid w:val="645E3F5E"/>
    <w:rsid w:val="6A6C4B08"/>
    <w:rsid w:val="705679BB"/>
    <w:rsid w:val="71A26264"/>
    <w:rsid w:val="72BF04DB"/>
    <w:rsid w:val="7A9A30C2"/>
    <w:rsid w:val="7CD1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adjustRightInd w:val="0"/>
      <w:spacing w:beforeLines="0" w:afterLines="0"/>
    </w:pPr>
    <w:rPr>
      <w:rFonts w:hint="default" w:ascii="宋体" w:hAnsi="Times New Roman" w:eastAsia="宋体" w:cs="Times New Roman"/>
      <w:sz w:val="24"/>
      <w:szCs w:val="24"/>
      <w:lang w:val="en-US" w:eastAsia="zh-CN" w:bidi="ar-SA"/>
    </w:rPr>
  </w:style>
  <w:style w:type="paragraph" w:styleId="4">
    <w:name w:val="heading 1"/>
    <w:basedOn w:val="1"/>
    <w:next w:val="1"/>
    <w:unhideWhenUsed/>
    <w:qFormat/>
    <w:uiPriority w:val="9"/>
    <w:pPr>
      <w:keepNext/>
      <w:keepLines/>
      <w:spacing w:before="340" w:beforeLines="0" w:after="330" w:afterLines="0" w:line="360" w:lineRule="auto"/>
      <w:outlineLvl w:val="0"/>
    </w:pPr>
    <w:rPr>
      <w:rFonts w:hint="default"/>
      <w:b/>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beforeLines="0" w:after="120" w:afterLines="0"/>
      <w:ind w:right="0" w:firstLine="420" w:firstLineChars="100"/>
      <w:jc w:val="left"/>
    </w:pPr>
    <w:rPr>
      <w:rFonts w:hint="default"/>
      <w:b w:val="0"/>
      <w:sz w:val="24"/>
      <w:szCs w:val="24"/>
      <w:lang w:val="en-US"/>
    </w:rPr>
  </w:style>
  <w:style w:type="paragraph" w:styleId="3">
    <w:name w:val="Body Text"/>
    <w:basedOn w:val="1"/>
    <w:next w:val="1"/>
    <w:unhideWhenUsed/>
    <w:qFormat/>
    <w:uiPriority w:val="99"/>
    <w:pPr>
      <w:spacing w:beforeLines="0" w:afterLines="0"/>
      <w:ind w:right="-26"/>
      <w:jc w:val="center"/>
    </w:pPr>
    <w:rPr>
      <w:rFonts w:hint="default"/>
      <w:b/>
      <w:sz w:val="84"/>
      <w:szCs w:val="84"/>
      <w:lang w:val="zh-CN"/>
    </w:rPr>
  </w:style>
  <w:style w:type="paragraph" w:styleId="5">
    <w:name w:val="annotation text"/>
    <w:basedOn w:val="1"/>
    <w:unhideWhenUsed/>
    <w:qFormat/>
    <w:uiPriority w:val="99"/>
    <w:pPr>
      <w:spacing w:beforeLines="0" w:afterLines="0"/>
    </w:pPr>
    <w:rPr>
      <w:rFonts w:hint="default"/>
      <w:sz w:val="24"/>
      <w:szCs w:val="24"/>
    </w:rPr>
  </w:style>
  <w:style w:type="paragraph" w:styleId="6">
    <w:name w:val="Body Text Indent"/>
    <w:basedOn w:val="1"/>
    <w:unhideWhenUsed/>
    <w:qFormat/>
    <w:uiPriority w:val="0"/>
    <w:pPr>
      <w:spacing w:beforeLines="0" w:afterLines="0" w:line="400" w:lineRule="exact"/>
      <w:ind w:firstLine="420" w:firstLineChars="200"/>
    </w:pPr>
    <w:rPr>
      <w:rFonts w:hint="default" w:hAnsi="宋体"/>
      <w:color w:val="000000"/>
      <w:sz w:val="24"/>
      <w:szCs w:val="24"/>
    </w:rPr>
  </w:style>
  <w:style w:type="paragraph" w:styleId="7">
    <w:name w:val="Plain Text"/>
    <w:basedOn w:val="1"/>
    <w:unhideWhenUsed/>
    <w:qFormat/>
    <w:uiPriority w:val="99"/>
    <w:pPr>
      <w:autoSpaceDE/>
      <w:autoSpaceDN/>
      <w:adjustRightInd/>
      <w:spacing w:beforeLines="0" w:afterLines="0"/>
      <w:jc w:val="both"/>
    </w:pPr>
    <w:rPr>
      <w:rFonts w:hint="default" w:hAnsi="Courier New"/>
      <w:kern w:val="2"/>
      <w:sz w:val="21"/>
      <w:szCs w:val="20"/>
    </w:rPr>
  </w:style>
  <w:style w:type="paragraph" w:styleId="8">
    <w:name w:val="footer"/>
    <w:basedOn w:val="1"/>
    <w:unhideWhenUsed/>
    <w:qFormat/>
    <w:uiPriority w:val="99"/>
    <w:pPr>
      <w:tabs>
        <w:tab w:val="center" w:pos="4153"/>
        <w:tab w:val="right" w:pos="8306"/>
      </w:tabs>
      <w:autoSpaceDE/>
      <w:autoSpaceDN/>
      <w:adjustRightInd/>
      <w:snapToGrid w:val="0"/>
      <w:spacing w:beforeLines="0" w:afterLines="0"/>
    </w:pPr>
    <w:rPr>
      <w:rFonts w:hint="eastAsia" w:ascii="等线" w:hAnsi="等线" w:eastAsia="等线"/>
      <w:kern w:val="2"/>
      <w:sz w:val="18"/>
      <w:szCs w:val="18"/>
    </w:rPr>
  </w:style>
  <w:style w:type="character" w:styleId="11">
    <w:name w:val="Hyperlink"/>
    <w:basedOn w:val="10"/>
    <w:unhideWhenUsed/>
    <w:qFormat/>
    <w:uiPriority w:val="0"/>
    <w:rPr>
      <w:rFonts w:hint="default"/>
      <w:color w:val="0000FF"/>
      <w:sz w:val="24"/>
      <w:szCs w:val="24"/>
      <w:u w:val="single"/>
    </w:rPr>
  </w:style>
  <w:style w:type="paragraph" w:customStyle="1" w:styleId="12">
    <w:name w:val="WPSOffice手动目录 1"/>
    <w:unhideWhenUsed/>
    <w:qFormat/>
    <w:uiPriority w:val="0"/>
    <w:pPr>
      <w:spacing w:beforeLines="0" w:afterLines="0"/>
    </w:pPr>
    <w:rPr>
      <w:rFonts w:hint="eastAsia" w:ascii="Times New Roman" w:hAnsi="Times New Roman" w:eastAsia="Times New Roman" w:cs="Times New Roman"/>
      <w:sz w:val="20"/>
      <w:szCs w:val="20"/>
    </w:rPr>
  </w:style>
  <w:style w:type="paragraph" w:customStyle="1" w:styleId="13">
    <w:name w:val="Table Text"/>
    <w:basedOn w:val="1"/>
    <w:unhideWhenUsed/>
    <w:qFormat/>
    <w:uiPriority w:val="0"/>
    <w:pPr>
      <w:spacing w:beforeLines="0" w:afterLines="0"/>
    </w:pPr>
    <w:rPr>
      <w:rFonts w:hint="default" w:hAnsi="宋体" w:cs="宋体"/>
      <w:sz w:val="27"/>
      <w:szCs w:val="27"/>
      <w:lang w:eastAsia="en-US"/>
    </w:rPr>
  </w:style>
  <w:style w:type="character" w:customStyle="1" w:styleId="14">
    <w:name w:val="font11"/>
    <w:basedOn w:val="10"/>
    <w:unhideWhenUsed/>
    <w:qFormat/>
    <w:uiPriority w:val="0"/>
    <w:rPr>
      <w:rFonts w:hint="default" w:ascii="宋体" w:hAnsi="宋体" w:eastAsia="宋体" w:cs="宋体"/>
      <w:color w:val="000000"/>
      <w:sz w:val="30"/>
      <w:szCs w:val="30"/>
    </w:rPr>
  </w:style>
  <w:style w:type="character" w:customStyle="1" w:styleId="15">
    <w:name w:val="font21"/>
    <w:basedOn w:val="10"/>
    <w:unhideWhenUsed/>
    <w:qFormat/>
    <w:uiPriority w:val="0"/>
    <w:rPr>
      <w:rFonts w:hint="eastAsia" w:ascii="Times New Roman" w:hAnsi="Times New Roman" w:eastAsia="Times New Roman" w:cs="Times New Roman"/>
      <w:color w:val="000000"/>
      <w:sz w:val="30"/>
      <w:szCs w:val="30"/>
    </w:rPr>
  </w:style>
  <w:style w:type="paragraph" w:customStyle="1" w:styleId="16">
    <w:name w:val="Body text|1"/>
    <w:basedOn w:val="1"/>
    <w:unhideWhenUsed/>
    <w:qFormat/>
    <w:uiPriority w:val="0"/>
    <w:pPr>
      <w:spacing w:beforeLines="0" w:afterLines="0" w:line="437" w:lineRule="auto"/>
      <w:ind w:firstLine="400"/>
    </w:pPr>
    <w:rPr>
      <w:rFonts w:hint="default" w:hAnsi="宋体" w:cs="宋体"/>
      <w:color w:val="29282A"/>
      <w:sz w:val="20"/>
      <w:szCs w:val="20"/>
      <w:lang w:val="zh-TW" w:eastAsia="zh-TW" w:bidi="zh-TW"/>
    </w:rPr>
  </w:style>
  <w:style w:type="paragraph" w:customStyle="1" w:styleId="17">
    <w:name w:val="彩色列表 - 强调文字颜色 11"/>
    <w:basedOn w:val="1"/>
    <w:unhideWhenUsed/>
    <w:qFormat/>
    <w:uiPriority w:val="34"/>
    <w:pPr>
      <w:spacing w:beforeLines="0" w:afterLines="0"/>
      <w:ind w:firstLine="420" w:firstLineChars="200"/>
    </w:pPr>
    <w:rPr>
      <w:rFonts w:hint="default"/>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26860</Words>
  <Characters>27396</Characters>
  <Lines>0</Lines>
  <Paragraphs>0</Paragraphs>
  <TotalTime>22</TotalTime>
  <ScaleCrop>false</ScaleCrop>
  <LinksUpToDate>false</LinksUpToDate>
  <CharactersWithSpaces>28360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2024-11-08T00:59:00Z</dcterms:created>
  <dc:creator>Administrator</dc:creator>
  <cp:lastModifiedBy>刘靖芹</cp:lastModifiedBy>
  <dcterms:modified xsi:type="dcterms:W3CDTF">2024-12-10T01:49:47Z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AA6ABB313AFD4F228517B61AD490B335_12</vt:lpwstr>
  </property>
</Properties>
</file>