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FD380">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14:paraId="654F205A">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r>
        <w:rPr>
          <w:rFonts w:hint="eastAsia" w:ascii="宋体" w:hAnsi="宋体" w:eastAsia="宋体" w:cs="宋体"/>
          <w:b/>
          <w:bCs/>
          <w:color w:val="auto"/>
          <w:kern w:val="0"/>
          <w:sz w:val="52"/>
          <w:szCs w:val="52"/>
          <w:highlight w:val="none"/>
          <w:lang w:val="zh-CN"/>
        </w:rPr>
        <w:t>东莞市众源环境投资有限公司“特大城市市政污泥全过程管理体系”成效评估及提质增效路径研究技术服务采购项目</w:t>
      </w:r>
    </w:p>
    <w:p w14:paraId="713F068F">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14:paraId="715FC684">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45B42B38">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2F9D9606">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12166674">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69E7CCCA">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3B818CB9">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64DD8098">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号：广建咨询（东招）2025-0005号</w:t>
      </w:r>
    </w:p>
    <w:p w14:paraId="54627900">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人：东莞市众源环境投资有限公司</w:t>
      </w:r>
    </w:p>
    <w:p w14:paraId="65D71F99">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招标代理机构：建成工程咨询股份有限公司</w:t>
      </w:r>
    </w:p>
    <w:p w14:paraId="0581FAA1">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309CBCB6">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5018AEB6">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 xml:space="preserve"> 4 </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 xml:space="preserve"> 3  </w:t>
      </w:r>
      <w:r>
        <w:rPr>
          <w:rFonts w:hint="eastAsia" w:ascii="宋体" w:hAnsi="宋体" w:eastAsia="宋体" w:cs="宋体"/>
          <w:b/>
          <w:bCs/>
          <w:color w:val="auto"/>
          <w:sz w:val="32"/>
          <w:szCs w:val="32"/>
          <w:highlight w:val="none"/>
          <w:lang w:val="zh-CN"/>
        </w:rPr>
        <w:t>日</w:t>
      </w:r>
    </w:p>
    <w:p w14:paraId="1817C0F9">
      <w:pPr>
        <w:tabs>
          <w:tab w:val="left" w:pos="9923"/>
          <w:tab w:val="left" w:pos="10206"/>
        </w:tabs>
        <w:autoSpaceDE w:val="0"/>
        <w:autoSpaceDN w:val="0"/>
        <w:adjustRightInd w:val="0"/>
        <w:spacing w:line="360" w:lineRule="auto"/>
        <w:jc w:val="center"/>
        <w:rPr>
          <w:rFonts w:ascii="宋体" w:hAnsi="宋体" w:eastAsia="宋体" w:cs="Times New Roman"/>
          <w:b/>
          <w:color w:val="auto"/>
          <w:kern w:val="0"/>
          <w:szCs w:val="21"/>
          <w:highlight w:val="none"/>
        </w:rPr>
        <w:sectPr>
          <w:footerReference r:id="rId3" w:type="default"/>
          <w:pgSz w:w="11906" w:h="16838"/>
          <w:pgMar w:top="1191" w:right="1043" w:bottom="1191" w:left="1043" w:header="851" w:footer="992" w:gutter="0"/>
          <w:pgNumType w:fmt="decimal" w:start="1"/>
          <w:cols w:space="0" w:num="1"/>
          <w:rtlGutter w:val="0"/>
          <w:docGrid w:type="lines" w:linePitch="312" w:charSpace="0"/>
        </w:sectPr>
      </w:pPr>
      <w:bookmarkStart w:id="0" w:name="_Toc29891_WPSOffice_Type3"/>
    </w:p>
    <w:p w14:paraId="0ABB3746">
      <w:pPr>
        <w:tabs>
          <w:tab w:val="left" w:pos="9923"/>
          <w:tab w:val="left" w:pos="10206"/>
        </w:tabs>
        <w:autoSpaceDE w:val="0"/>
        <w:autoSpaceDN w:val="0"/>
        <w:adjustRightInd w:val="0"/>
        <w:spacing w:line="360" w:lineRule="auto"/>
        <w:jc w:val="center"/>
        <w:rPr>
          <w:rFonts w:ascii="宋体" w:hAnsi="宋体" w:eastAsia="宋体" w:cs="Times New Roman"/>
          <w:b/>
          <w:color w:val="auto"/>
          <w:kern w:val="0"/>
          <w:szCs w:val="21"/>
          <w:highlight w:val="none"/>
        </w:rPr>
      </w:pPr>
      <w:r>
        <w:rPr>
          <w:rFonts w:ascii="宋体" w:hAnsi="宋体" w:eastAsia="宋体" w:cs="Times New Roman"/>
          <w:b/>
          <w:color w:val="auto"/>
          <w:kern w:val="0"/>
          <w:sz w:val="24"/>
          <w:szCs w:val="24"/>
          <w:highlight w:val="none"/>
        </w:rPr>
        <w:t>目</w:t>
      </w:r>
      <w:r>
        <w:rPr>
          <w:rFonts w:hint="eastAsia" w:ascii="宋体" w:hAnsi="宋体" w:eastAsia="宋体" w:cs="Times New Roman"/>
          <w:b/>
          <w:color w:val="auto"/>
          <w:kern w:val="0"/>
          <w:sz w:val="24"/>
          <w:szCs w:val="24"/>
          <w:highlight w:val="none"/>
          <w:lang w:val="en-US" w:eastAsia="zh-CN"/>
        </w:rPr>
        <w:t xml:space="preserve">  </w:t>
      </w:r>
      <w:r>
        <w:rPr>
          <w:rFonts w:ascii="宋体" w:hAnsi="宋体" w:eastAsia="宋体" w:cs="Times New Roman"/>
          <w:b/>
          <w:color w:val="auto"/>
          <w:kern w:val="0"/>
          <w:sz w:val="24"/>
          <w:szCs w:val="24"/>
          <w:highlight w:val="none"/>
        </w:rPr>
        <w:t>录</w:t>
      </w:r>
    </w:p>
    <w:p w14:paraId="15CC07D4">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TOC \o "1-3" \h \u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_Toc9537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第一篇 招标公告</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4</w:t>
      </w:r>
      <w:r>
        <w:rPr>
          <w:rFonts w:hint="eastAsia" w:ascii="宋体" w:hAnsi="宋体" w:eastAsia="宋体" w:cs="宋体"/>
          <w:bCs/>
          <w:color w:val="auto"/>
          <w:szCs w:val="21"/>
          <w:highlight w:val="none"/>
        </w:rPr>
        <w:fldChar w:fldCharType="end"/>
      </w:r>
    </w:p>
    <w:p w14:paraId="227FFE92">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_Toc22834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第二篇</w:t>
      </w:r>
      <w:r>
        <w:rPr>
          <w:rFonts w:hint="eastAsia" w:ascii="宋体" w:hAnsi="宋体" w:eastAsia="宋体" w:cs="宋体"/>
          <w:bCs/>
          <w:color w:val="auto"/>
          <w:kern w:val="44"/>
          <w:szCs w:val="32"/>
          <w:highlight w:val="none"/>
        </w:rPr>
        <w:t xml:space="preserve"> </w:t>
      </w:r>
      <w:r>
        <w:rPr>
          <w:rFonts w:hint="eastAsia" w:ascii="宋体" w:hAnsi="宋体" w:eastAsia="宋体" w:cs="宋体"/>
          <w:bCs/>
          <w:color w:val="auto"/>
          <w:kern w:val="44"/>
          <w:szCs w:val="32"/>
          <w:highlight w:val="none"/>
          <w:lang w:val="zh-CN"/>
        </w:rPr>
        <w:t>投标人须知</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6</w:t>
      </w:r>
      <w:r>
        <w:rPr>
          <w:rFonts w:hint="eastAsia" w:ascii="宋体" w:hAnsi="宋体" w:eastAsia="宋体" w:cs="宋体"/>
          <w:bCs/>
          <w:color w:val="auto"/>
          <w:szCs w:val="21"/>
          <w:highlight w:val="none"/>
        </w:rPr>
        <w:fldChar w:fldCharType="end"/>
      </w:r>
    </w:p>
    <w:p w14:paraId="73F13593">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_Toc18835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一、总则</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6</w:t>
      </w:r>
      <w:r>
        <w:rPr>
          <w:rFonts w:hint="eastAsia" w:ascii="宋体" w:hAnsi="宋体" w:eastAsia="宋体" w:cs="宋体"/>
          <w:bCs/>
          <w:color w:val="auto"/>
          <w:szCs w:val="21"/>
          <w:highlight w:val="none"/>
        </w:rPr>
        <w:fldChar w:fldCharType="end"/>
      </w:r>
    </w:p>
    <w:p w14:paraId="3832E65E">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_Toc31237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 资金来源：企业自筹资金。</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6</w:t>
      </w:r>
      <w:r>
        <w:rPr>
          <w:rFonts w:hint="eastAsia" w:ascii="宋体" w:hAnsi="宋体" w:eastAsia="宋体" w:cs="宋体"/>
          <w:bCs/>
          <w:color w:val="auto"/>
          <w:szCs w:val="21"/>
          <w:highlight w:val="none"/>
        </w:rPr>
        <w:fldChar w:fldCharType="end"/>
      </w:r>
    </w:p>
    <w:p w14:paraId="32360B78">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_Toc12640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 合格的投标人</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6</w:t>
      </w:r>
      <w:r>
        <w:rPr>
          <w:rFonts w:hint="eastAsia" w:ascii="宋体" w:hAnsi="宋体" w:eastAsia="宋体" w:cs="宋体"/>
          <w:bCs/>
          <w:color w:val="auto"/>
          <w:szCs w:val="21"/>
          <w:highlight w:val="none"/>
        </w:rPr>
        <w:fldChar w:fldCharType="end"/>
      </w:r>
    </w:p>
    <w:p w14:paraId="3C8C90E4">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_Toc2280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3 合格的</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6</w:t>
      </w:r>
      <w:r>
        <w:rPr>
          <w:rFonts w:hint="eastAsia" w:ascii="宋体" w:hAnsi="宋体" w:eastAsia="宋体" w:cs="宋体"/>
          <w:bCs/>
          <w:color w:val="auto"/>
          <w:szCs w:val="21"/>
          <w:highlight w:val="none"/>
        </w:rPr>
        <w:fldChar w:fldCharType="end"/>
      </w:r>
    </w:p>
    <w:p w14:paraId="535B2A2B">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_Toc17012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4 其它说明</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7</w:t>
      </w:r>
      <w:r>
        <w:rPr>
          <w:rFonts w:hint="eastAsia" w:ascii="宋体" w:hAnsi="宋体" w:eastAsia="宋体" w:cs="宋体"/>
          <w:bCs/>
          <w:color w:val="auto"/>
          <w:szCs w:val="21"/>
          <w:highlight w:val="none"/>
        </w:rPr>
        <w:fldChar w:fldCharType="end"/>
      </w:r>
    </w:p>
    <w:p w14:paraId="3FE86139">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_Toc27285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二、招标文件</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7</w:t>
      </w:r>
      <w:r>
        <w:rPr>
          <w:rFonts w:hint="eastAsia" w:ascii="宋体" w:hAnsi="宋体" w:eastAsia="宋体" w:cs="宋体"/>
          <w:bCs/>
          <w:color w:val="auto"/>
          <w:szCs w:val="21"/>
          <w:highlight w:val="none"/>
        </w:rPr>
        <w:fldChar w:fldCharType="end"/>
      </w:r>
    </w:p>
    <w:p w14:paraId="193A0C4D">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_Toc29780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5 招标文件的构成</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7</w:t>
      </w:r>
      <w:r>
        <w:rPr>
          <w:rFonts w:hint="eastAsia" w:ascii="宋体" w:hAnsi="宋体" w:eastAsia="宋体" w:cs="宋体"/>
          <w:bCs/>
          <w:color w:val="auto"/>
          <w:szCs w:val="21"/>
          <w:highlight w:val="none"/>
        </w:rPr>
        <w:fldChar w:fldCharType="end"/>
      </w:r>
    </w:p>
    <w:p w14:paraId="00AD9373">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_Toc3943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6 招标文件的异议</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9</w:t>
      </w:r>
      <w:r>
        <w:rPr>
          <w:rFonts w:hint="eastAsia" w:ascii="宋体" w:hAnsi="宋体" w:eastAsia="宋体" w:cs="宋体"/>
          <w:bCs/>
          <w:color w:val="auto"/>
          <w:szCs w:val="21"/>
          <w:highlight w:val="none"/>
        </w:rPr>
        <w:fldChar w:fldCharType="end"/>
      </w:r>
    </w:p>
    <w:p w14:paraId="26FBD25C">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_Toc6444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7 招标文件的澄清及修改</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9</w:t>
      </w:r>
      <w:r>
        <w:rPr>
          <w:rFonts w:hint="eastAsia" w:ascii="宋体" w:hAnsi="宋体" w:eastAsia="宋体" w:cs="宋体"/>
          <w:bCs/>
          <w:color w:val="auto"/>
          <w:szCs w:val="21"/>
          <w:highlight w:val="none"/>
        </w:rPr>
        <w:fldChar w:fldCharType="end"/>
      </w:r>
    </w:p>
    <w:p w14:paraId="6CE22F19">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_Toc7950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三、投标文件的编制</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9</w:t>
      </w:r>
      <w:r>
        <w:rPr>
          <w:rFonts w:hint="eastAsia" w:ascii="宋体" w:hAnsi="宋体" w:eastAsia="宋体" w:cs="宋体"/>
          <w:bCs/>
          <w:color w:val="auto"/>
          <w:szCs w:val="21"/>
          <w:highlight w:val="none"/>
        </w:rPr>
        <w:fldChar w:fldCharType="end"/>
      </w:r>
    </w:p>
    <w:p w14:paraId="365C5DC8">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_Toc18243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8 投标使用的文字及度量衡单位</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9</w:t>
      </w:r>
      <w:r>
        <w:rPr>
          <w:rFonts w:hint="eastAsia" w:ascii="宋体" w:hAnsi="宋体" w:eastAsia="宋体" w:cs="宋体"/>
          <w:bCs/>
          <w:color w:val="auto"/>
          <w:szCs w:val="21"/>
          <w:highlight w:val="none"/>
        </w:rPr>
        <w:fldChar w:fldCharType="end"/>
      </w:r>
    </w:p>
    <w:p w14:paraId="0DE42850">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_Toc30406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9</w:t>
      </w:r>
      <w:r>
        <w:rPr>
          <w:rFonts w:hint="eastAsia" w:ascii="宋体" w:hAnsi="宋体" w:eastAsia="宋体" w:cs="宋体"/>
          <w:color w:val="auto"/>
          <w:szCs w:val="24"/>
          <w:highlight w:val="none"/>
          <w:lang w:val="zh-CN"/>
        </w:rPr>
        <w:t xml:space="preserve"> </w:t>
      </w:r>
      <w:r>
        <w:rPr>
          <w:rFonts w:hint="eastAsia" w:ascii="宋体" w:hAnsi="宋体" w:eastAsia="宋体" w:cs="宋体"/>
          <w:color w:val="auto"/>
          <w:szCs w:val="21"/>
          <w:highlight w:val="none"/>
          <w:lang w:val="zh-CN"/>
        </w:rPr>
        <w:t>投标文件的组成</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9</w:t>
      </w:r>
      <w:r>
        <w:rPr>
          <w:rFonts w:hint="eastAsia" w:ascii="宋体" w:hAnsi="宋体" w:eastAsia="宋体" w:cs="宋体"/>
          <w:bCs/>
          <w:color w:val="auto"/>
          <w:szCs w:val="21"/>
          <w:highlight w:val="none"/>
        </w:rPr>
        <w:fldChar w:fldCharType="end"/>
      </w:r>
    </w:p>
    <w:p w14:paraId="19686403">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_Toc11972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10 投标函</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1</w:t>
      </w:r>
      <w:r>
        <w:rPr>
          <w:rFonts w:hint="eastAsia" w:ascii="宋体" w:hAnsi="宋体" w:eastAsia="宋体" w:cs="宋体"/>
          <w:bCs/>
          <w:color w:val="auto"/>
          <w:szCs w:val="21"/>
          <w:highlight w:val="none"/>
        </w:rPr>
        <w:fldChar w:fldCharType="end"/>
      </w:r>
      <w:r>
        <w:rPr>
          <w:rFonts w:hint="eastAsia" w:ascii="宋体" w:hAnsi="宋体" w:eastAsia="宋体" w:cs="宋体"/>
          <w:bCs/>
          <w:color w:val="auto"/>
          <w:szCs w:val="21"/>
          <w:highlight w:val="none"/>
          <w:lang w:val="en-US" w:eastAsia="zh-CN"/>
        </w:rPr>
        <w:t>1</w:t>
      </w:r>
    </w:p>
    <w:p w14:paraId="38C6F1A8">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_Toc13925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11 投标报价</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1</w:t>
      </w:r>
      <w:r>
        <w:rPr>
          <w:rFonts w:hint="eastAsia" w:ascii="宋体" w:hAnsi="宋体" w:eastAsia="宋体" w:cs="宋体"/>
          <w:bCs/>
          <w:color w:val="auto"/>
          <w:szCs w:val="21"/>
          <w:highlight w:val="none"/>
        </w:rPr>
        <w:fldChar w:fldCharType="end"/>
      </w:r>
      <w:r>
        <w:rPr>
          <w:rFonts w:hint="eastAsia" w:ascii="宋体" w:hAnsi="宋体" w:eastAsia="宋体" w:cs="宋体"/>
          <w:bCs/>
          <w:color w:val="auto"/>
          <w:szCs w:val="21"/>
          <w:highlight w:val="none"/>
          <w:lang w:val="en-US" w:eastAsia="zh-CN"/>
        </w:rPr>
        <w:t>1</w:t>
      </w:r>
    </w:p>
    <w:p w14:paraId="5F798CDA">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_Toc18210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12 投标报价货币</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_Toc18210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F0F50C5">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_Toc15036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13 证明投标人的合格性和资格的声明文件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_Toc15036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D0D6DEF">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_Toc22634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14 证明服务的合格性并符合招标文件规定的声明文件</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1</w:t>
      </w:r>
      <w:r>
        <w:rPr>
          <w:rFonts w:hint="eastAsia" w:ascii="宋体" w:hAnsi="宋体" w:eastAsia="宋体" w:cs="宋体"/>
          <w:bCs/>
          <w:color w:val="auto"/>
          <w:szCs w:val="21"/>
          <w:highlight w:val="none"/>
        </w:rPr>
        <w:fldChar w:fldCharType="end"/>
      </w:r>
      <w:r>
        <w:rPr>
          <w:rFonts w:hint="eastAsia" w:ascii="宋体" w:hAnsi="宋体" w:eastAsia="宋体" w:cs="宋体"/>
          <w:bCs/>
          <w:color w:val="auto"/>
          <w:szCs w:val="21"/>
          <w:highlight w:val="none"/>
          <w:lang w:val="en-US" w:eastAsia="zh-CN"/>
        </w:rPr>
        <w:t>2</w:t>
      </w:r>
    </w:p>
    <w:p w14:paraId="351E9876">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_Toc6174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15 投标保证金</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1</w:t>
      </w:r>
      <w:r>
        <w:rPr>
          <w:rFonts w:hint="eastAsia" w:ascii="宋体" w:hAnsi="宋体" w:eastAsia="宋体" w:cs="宋体"/>
          <w:bCs/>
          <w:color w:val="auto"/>
          <w:szCs w:val="21"/>
          <w:highlight w:val="none"/>
        </w:rPr>
        <w:fldChar w:fldCharType="end"/>
      </w:r>
      <w:r>
        <w:rPr>
          <w:rFonts w:hint="eastAsia" w:ascii="宋体" w:hAnsi="宋体" w:eastAsia="宋体" w:cs="宋体"/>
          <w:bCs/>
          <w:color w:val="auto"/>
          <w:szCs w:val="21"/>
          <w:highlight w:val="none"/>
          <w:lang w:val="en-US" w:eastAsia="zh-CN"/>
        </w:rPr>
        <w:t>2</w:t>
      </w:r>
    </w:p>
    <w:p w14:paraId="36ED51D7">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_Toc18484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16 投标有效期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_Toc18484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749263D3">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_Toc32272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17 投标文件的式样和签署</w:t>
      </w:r>
      <w:r>
        <w:rPr>
          <w:rFonts w:hint="eastAsia" w:ascii="宋体" w:hAnsi="宋体" w:eastAsia="宋体" w:cs="宋体"/>
          <w:color w:val="auto"/>
          <w:highlight w:val="none"/>
        </w:rPr>
        <w:tab/>
      </w:r>
      <w:r>
        <w:rPr>
          <w:rFonts w:hint="eastAsia" w:ascii="宋体" w:hAnsi="宋体" w:eastAsia="宋体" w:cs="宋体"/>
          <w:bCs/>
          <w:color w:val="auto"/>
          <w:szCs w:val="21"/>
          <w:highlight w:val="none"/>
        </w:rPr>
        <w:fldChar w:fldCharType="end"/>
      </w:r>
      <w:r>
        <w:rPr>
          <w:rFonts w:hint="eastAsia" w:ascii="宋体" w:hAnsi="宋体" w:eastAsia="宋体" w:cs="宋体"/>
          <w:color w:val="auto"/>
          <w:highlight w:val="none"/>
          <w:lang w:val="en-US" w:eastAsia="zh-CN"/>
        </w:rPr>
        <w:t>14</w:t>
      </w:r>
    </w:p>
    <w:p w14:paraId="0EC3A417">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_Toc3863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四、投标文件的递交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_Toc3863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960F02D">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_Toc30051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18 投标文件的密封和标记</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_Toc30051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77B73D3E">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_Toc8909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19 递交投标文件的截止日期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_Toc8909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01B4F389">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_Toc13392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20 迟交的投标文件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_Toc13392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662E2FC">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_Toc17006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21 投标文件的修改和撤回</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_Toc17006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738FCCED">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_Toc24659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五、开标与评标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_Toc24659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3DE95CA3">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_Toc15708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22 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_Toc15708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09F83D6D">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_Toc5062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 xml:space="preserve">23 </w:t>
      </w:r>
      <w:r>
        <w:rPr>
          <w:rFonts w:hint="eastAsia" w:ascii="宋体" w:hAnsi="宋体" w:eastAsia="宋体" w:cs="宋体"/>
          <w:color w:val="auto"/>
          <w:kern w:val="0"/>
          <w:szCs w:val="24"/>
          <w:highlight w:val="none"/>
        </w:rPr>
        <w:t>评标过程的保密性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_Toc5062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074E3A5A">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_Toc21222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24 评标委员会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_Toc21222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20C06AF7">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_Toc28060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25 投标文件的初审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_Toc28060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3CCD6BF3">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_Toc30632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26 投标文件的澄清</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_Toc30632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3B34C823">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_Toc25512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27 对投标文件的比较和评价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_Toc25512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3ED92552">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_Toc30507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28 评标原则及方法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_Toc30507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2BB076F1">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_Toc5196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评标结果公示及异议、投诉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_Toc5196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90A76D9">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_Toc23386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 真实性审查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_Toc23386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3BF0EE8B">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_Toc31375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_Toc31375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997F2D7">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_Toc4290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六、授予合同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EFBA98E">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_Toc16356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授予合同的准则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_Toc16356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D019A92">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_Toc13756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33 中标通知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_Toc13756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0494386">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_Toc298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签署合同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6094271">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_Toc13292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 xml:space="preserve">35 </w:t>
      </w:r>
      <w:r>
        <w:rPr>
          <w:rFonts w:hint="eastAsia" w:ascii="宋体" w:hAnsi="宋体" w:eastAsia="宋体" w:cs="宋体"/>
          <w:color w:val="auto"/>
          <w:szCs w:val="21"/>
          <w:highlight w:val="none"/>
          <w:lang w:val="zh-CN"/>
        </w:rPr>
        <w:t>履约担保</w:t>
      </w:r>
      <w:r>
        <w:rPr>
          <w:rFonts w:hint="eastAsia" w:ascii="宋体" w:hAnsi="宋体" w:eastAsia="宋体" w:cs="宋体"/>
          <w:color w:val="auto"/>
          <w:highlight w:val="none"/>
        </w:rPr>
        <w:tab/>
      </w:r>
      <w:r>
        <w:rPr>
          <w:rFonts w:hint="eastAsia" w:ascii="宋体" w:hAnsi="宋体" w:eastAsia="宋体" w:cs="宋体"/>
          <w:bCs/>
          <w:color w:val="auto"/>
          <w:szCs w:val="21"/>
          <w:highlight w:val="none"/>
        </w:rPr>
        <w:fldChar w:fldCharType="end"/>
      </w:r>
      <w:r>
        <w:rPr>
          <w:rFonts w:hint="eastAsia" w:ascii="宋体" w:hAnsi="宋体" w:eastAsia="宋体" w:cs="宋体"/>
          <w:color w:val="auto"/>
          <w:highlight w:val="none"/>
          <w:lang w:val="en-US" w:eastAsia="zh-CN"/>
        </w:rPr>
        <w:t>19</w:t>
      </w:r>
    </w:p>
    <w:p w14:paraId="5299E535">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_Toc18606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_Toc18606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1E1193A8">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_Toc32448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zh-CN"/>
        </w:rPr>
        <w:t xml:space="preserve"> 中标服务费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_Toc32448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35F91EB8">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_Toc19764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_Toc19764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247BB7D9">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_Toc26318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39 招标相关补充约定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_Toc26318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0657A0AD">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_Toc18001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40 本次招标活动的最终解释权归招标代理机构及招标人所有。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_Toc18001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7D350861">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_Toc12612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第三篇 用户需求书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_Toc12612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37CCC678">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_Toc26787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第四篇 合同条款格式</w:t>
      </w:r>
      <w:r>
        <w:rPr>
          <w:rFonts w:hint="eastAsia" w:ascii="宋体" w:hAnsi="宋体" w:eastAsia="宋体" w:cs="宋体"/>
          <w:color w:val="auto"/>
          <w:highlight w:val="none"/>
        </w:rPr>
        <w:tab/>
      </w:r>
      <w:r>
        <w:rPr>
          <w:rFonts w:hint="eastAsia" w:ascii="宋体" w:hAnsi="宋体" w:eastAsia="宋体" w:cs="宋体"/>
          <w:bCs/>
          <w:color w:val="auto"/>
          <w:szCs w:val="21"/>
          <w:highlight w:val="none"/>
        </w:rPr>
        <w:fldChar w:fldCharType="end"/>
      </w:r>
      <w:r>
        <w:rPr>
          <w:rFonts w:hint="eastAsia" w:ascii="宋体" w:hAnsi="宋体" w:eastAsia="宋体" w:cs="宋体"/>
          <w:color w:val="auto"/>
          <w:highlight w:val="none"/>
          <w:lang w:val="en-US" w:eastAsia="zh-CN"/>
        </w:rPr>
        <w:t>26</w:t>
      </w:r>
    </w:p>
    <w:p w14:paraId="08690695">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_Toc23502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szCs w:val="32"/>
          <w:highlight w:val="none"/>
          <w:lang w:val="zh-CN"/>
        </w:rPr>
        <w:t>第五篇 相关保函格式</w:t>
      </w:r>
      <w:r>
        <w:rPr>
          <w:rFonts w:hint="eastAsia" w:ascii="宋体" w:hAnsi="宋体" w:eastAsia="宋体" w:cs="宋体"/>
          <w:color w:val="auto"/>
          <w:highlight w:val="none"/>
        </w:rPr>
        <w:tab/>
      </w:r>
      <w:r>
        <w:rPr>
          <w:rFonts w:hint="eastAsia" w:ascii="宋体" w:hAnsi="宋体" w:eastAsia="宋体" w:cs="宋体"/>
          <w:bCs/>
          <w:color w:val="auto"/>
          <w:szCs w:val="21"/>
          <w:highlight w:val="none"/>
        </w:rPr>
        <w:fldChar w:fldCharType="end"/>
      </w:r>
      <w:r>
        <w:rPr>
          <w:rFonts w:hint="eastAsia" w:ascii="宋体" w:hAnsi="宋体" w:eastAsia="宋体" w:cs="宋体"/>
          <w:color w:val="auto"/>
          <w:highlight w:val="none"/>
          <w:lang w:val="en-US" w:eastAsia="zh-CN"/>
        </w:rPr>
        <w:t>38</w:t>
      </w:r>
    </w:p>
    <w:p w14:paraId="213DA38D">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_Toc28835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第六篇 投标文件格式</w:t>
      </w:r>
      <w:r>
        <w:rPr>
          <w:rFonts w:hint="eastAsia" w:ascii="宋体" w:hAnsi="宋体" w:eastAsia="宋体" w:cs="宋体"/>
          <w:color w:val="auto"/>
          <w:highlight w:val="none"/>
        </w:rPr>
        <w:tab/>
      </w:r>
      <w:r>
        <w:rPr>
          <w:rFonts w:hint="eastAsia" w:ascii="宋体" w:hAnsi="宋体" w:eastAsia="宋体" w:cs="宋体"/>
          <w:bCs/>
          <w:color w:val="auto"/>
          <w:szCs w:val="21"/>
          <w:highlight w:val="none"/>
        </w:rPr>
        <w:fldChar w:fldCharType="end"/>
      </w:r>
      <w:r>
        <w:rPr>
          <w:rFonts w:hint="eastAsia" w:ascii="宋体" w:hAnsi="宋体" w:eastAsia="宋体" w:cs="宋体"/>
          <w:color w:val="auto"/>
          <w:highlight w:val="none"/>
          <w:lang w:val="en-US" w:eastAsia="zh-CN"/>
        </w:rPr>
        <w:t>41</w:t>
      </w:r>
    </w:p>
    <w:p w14:paraId="2DC583D3">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_Toc13194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附件一：评标工作大纲</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7</w:t>
      </w:r>
      <w:r>
        <w:rPr>
          <w:rFonts w:hint="eastAsia" w:ascii="宋体" w:hAnsi="宋体" w:eastAsia="宋体" w:cs="宋体"/>
          <w:bCs/>
          <w:color w:val="auto"/>
          <w:szCs w:val="21"/>
          <w:highlight w:val="none"/>
        </w:rPr>
        <w:fldChar w:fldCharType="end"/>
      </w:r>
      <w:r>
        <w:rPr>
          <w:rFonts w:hint="eastAsia" w:ascii="宋体" w:hAnsi="宋体" w:eastAsia="宋体" w:cs="宋体"/>
          <w:bCs/>
          <w:color w:val="auto"/>
          <w:szCs w:val="21"/>
          <w:highlight w:val="none"/>
          <w:lang w:val="en-US" w:eastAsia="zh-CN"/>
        </w:rPr>
        <w:t>8</w:t>
      </w:r>
    </w:p>
    <w:p w14:paraId="66B6406A">
      <w:pPr>
        <w:keepNext w:val="0"/>
        <w:keepLines w:val="0"/>
        <w:pageBreakBefore w:val="0"/>
        <w:widowControl w:val="0"/>
        <w:tabs>
          <w:tab w:val="left" w:pos="851"/>
          <w:tab w:val="right" w:leader="dot" w:pos="102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Cs w:val="21"/>
          <w:highlight w:val="none"/>
        </w:rPr>
        <w:fldChar w:fldCharType="end"/>
      </w:r>
    </w:p>
    <w:bookmarkEnd w:id="0"/>
    <w:p w14:paraId="765E0A18">
      <w:pPr>
        <w:rPr>
          <w:rFonts w:ascii="宋体" w:hAnsi="宋体" w:eastAsia="宋体" w:cs="Times New Roman"/>
          <w:b/>
          <w:bCs/>
          <w:color w:val="auto"/>
          <w:kern w:val="44"/>
          <w:sz w:val="32"/>
          <w:szCs w:val="32"/>
          <w:highlight w:val="none"/>
          <w:lang w:val="zh-CN"/>
        </w:rPr>
      </w:pPr>
      <w:bookmarkStart w:id="1" w:name="_Toc486167660"/>
      <w:bookmarkStart w:id="2" w:name="_Toc2723_WPSOffice_Level1"/>
      <w:bookmarkStart w:id="3" w:name="_Toc20249"/>
      <w:bookmarkStart w:id="4" w:name="_Toc450662846"/>
      <w:bookmarkStart w:id="5" w:name="_Toc4869"/>
      <w:bookmarkStart w:id="6" w:name="_Toc17326"/>
      <w:bookmarkStart w:id="7" w:name="_Toc142508310"/>
      <w:r>
        <w:rPr>
          <w:rFonts w:ascii="宋体" w:hAnsi="宋体" w:eastAsia="宋体" w:cs="Times New Roman"/>
          <w:b/>
          <w:bCs/>
          <w:color w:val="auto"/>
          <w:kern w:val="44"/>
          <w:sz w:val="32"/>
          <w:szCs w:val="32"/>
          <w:highlight w:val="none"/>
          <w:lang w:val="zh-CN"/>
        </w:rPr>
        <w:br w:type="page"/>
      </w:r>
      <w:bookmarkStart w:id="863" w:name="_GoBack"/>
      <w:bookmarkEnd w:id="863"/>
    </w:p>
    <w:p w14:paraId="63719116">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auto"/>
          <w:kern w:val="44"/>
          <w:sz w:val="44"/>
          <w:szCs w:val="44"/>
          <w:highlight w:val="none"/>
          <w:lang w:val="zh-CN"/>
        </w:rPr>
      </w:pPr>
      <w:bookmarkStart w:id="8" w:name="_Toc9537"/>
      <w:bookmarkStart w:id="9" w:name="_Toc4099"/>
      <w:bookmarkStart w:id="10" w:name="_Toc29762"/>
      <w:r>
        <w:rPr>
          <w:rFonts w:ascii="宋体" w:hAnsi="宋体" w:eastAsia="宋体" w:cs="Times New Roman"/>
          <w:b/>
          <w:bCs/>
          <w:color w:val="auto"/>
          <w:kern w:val="44"/>
          <w:sz w:val="32"/>
          <w:szCs w:val="32"/>
          <w:highlight w:val="none"/>
          <w:lang w:val="zh-CN"/>
        </w:rPr>
        <w:t>第一篇 招标公告</w:t>
      </w:r>
      <w:bookmarkEnd w:id="1"/>
      <w:bookmarkEnd w:id="2"/>
      <w:bookmarkEnd w:id="3"/>
      <w:bookmarkEnd w:id="4"/>
      <w:bookmarkEnd w:id="5"/>
      <w:bookmarkEnd w:id="6"/>
      <w:bookmarkEnd w:id="7"/>
      <w:bookmarkEnd w:id="8"/>
      <w:bookmarkEnd w:id="9"/>
      <w:bookmarkEnd w:id="10"/>
    </w:p>
    <w:p w14:paraId="475F7B5A">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建成工程咨询股份有限公司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东莞市众源环境投资有限公司</w:t>
      </w:r>
      <w:r>
        <w:rPr>
          <w:rFonts w:ascii="宋体" w:hAnsi="宋体" w:eastAsia="宋体" w:cs="Times New Roman"/>
          <w:color w:val="auto"/>
          <w:szCs w:val="21"/>
          <w:highlight w:val="none"/>
          <w:lang w:val="zh-CN"/>
        </w:rPr>
        <w:t>（以下简称“招标人”）的委托，对</w:t>
      </w:r>
      <w:bookmarkStart w:id="11" w:name="_Hlk41903390"/>
      <w:r>
        <w:rPr>
          <w:rFonts w:hint="eastAsia" w:ascii="宋体" w:hAnsi="宋体" w:eastAsia="宋体" w:cs="Times New Roman"/>
          <w:color w:val="auto"/>
          <w:kern w:val="0"/>
          <w:szCs w:val="21"/>
          <w:highlight w:val="none"/>
          <w:lang w:eastAsia="zh-CN"/>
        </w:rPr>
        <w:t>东莞市众源环境投资有限公司“特大城市市政污泥全过程管理体系”成效评估及提质增效路径研究技术服务采购项目</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广建咨询（东招）2025-0005号</w:t>
      </w:r>
      <w:r>
        <w:rPr>
          <w:rFonts w:ascii="宋体" w:hAnsi="宋体" w:eastAsia="宋体" w:cs="Times New Roman"/>
          <w:color w:val="auto"/>
          <w:szCs w:val="21"/>
          <w:highlight w:val="none"/>
          <w:lang w:val="zh-CN"/>
        </w:rPr>
        <w:t>)</w:t>
      </w:r>
      <w:bookmarkEnd w:id="11"/>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3DD0C097">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6AA0F768">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w:t>
      </w:r>
      <w:r>
        <w:rPr>
          <w:rFonts w:hint="eastAsia" w:ascii="宋体" w:hAnsi="宋体" w:eastAsia="宋体" w:cs="Times New Roman"/>
          <w:color w:val="auto"/>
          <w:szCs w:val="21"/>
          <w:highlight w:val="none"/>
          <w:u w:val="none"/>
          <w:lang w:val="zh-CN"/>
        </w:rPr>
        <w:t>：</w:t>
      </w:r>
      <w:r>
        <w:rPr>
          <w:rFonts w:hint="eastAsia" w:ascii="宋体" w:hAnsi="宋体" w:eastAsia="宋体" w:cs="宋体"/>
          <w:color w:val="auto"/>
          <w:szCs w:val="21"/>
          <w:highlight w:val="none"/>
          <w:u w:val="none"/>
        </w:rPr>
        <w:t>为</w:t>
      </w:r>
      <w:r>
        <w:rPr>
          <w:rFonts w:hint="eastAsia" w:ascii="宋体" w:hAnsi="宋体" w:eastAsia="宋体" w:cs="宋体"/>
          <w:color w:val="auto"/>
          <w:szCs w:val="21"/>
          <w:highlight w:val="none"/>
          <w:u w:val="none"/>
          <w:lang w:eastAsia="zh-CN"/>
        </w:rPr>
        <w:t>东莞市众源环境投资有限公司</w:t>
      </w:r>
      <w:r>
        <w:rPr>
          <w:rFonts w:hint="eastAsia" w:ascii="宋体" w:hAnsi="宋体" w:eastAsia="宋体" w:cs="宋体"/>
          <w:color w:val="auto"/>
          <w:szCs w:val="21"/>
          <w:highlight w:val="none"/>
          <w:u w:val="none"/>
        </w:rPr>
        <w:t>的“特大城市市政污泥全过程管理体系”成效评估及提质增效路径研究</w:t>
      </w:r>
      <w:r>
        <w:rPr>
          <w:rFonts w:hint="eastAsia" w:ascii="宋体" w:hAnsi="宋体" w:eastAsia="宋体" w:cs="宋体"/>
          <w:color w:val="auto"/>
          <w:szCs w:val="21"/>
          <w:highlight w:val="none"/>
          <w:u w:val="none"/>
          <w:lang w:val="en-US" w:eastAsia="zh-CN"/>
        </w:rPr>
        <w:t>提供技术</w:t>
      </w:r>
      <w:r>
        <w:rPr>
          <w:rFonts w:hint="eastAsia" w:ascii="宋体" w:hAnsi="宋体" w:eastAsia="宋体" w:cs="宋体"/>
          <w:color w:val="auto"/>
          <w:szCs w:val="21"/>
          <w:highlight w:val="none"/>
          <w:u w:val="none"/>
        </w:rPr>
        <w:t>服务</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包括但不限于编制</w:t>
      </w:r>
      <w:r>
        <w:rPr>
          <w:rFonts w:hint="eastAsia" w:ascii="宋体" w:hAnsi="宋体" w:eastAsia="宋体" w:cs="Times New Roman"/>
          <w:color w:val="auto"/>
          <w:szCs w:val="21"/>
          <w:highlight w:val="none"/>
          <w:lang w:val="zh-CN"/>
        </w:rPr>
        <w:t>东莞市市政污泥全过程管理</w:t>
      </w:r>
      <w:r>
        <w:rPr>
          <w:rFonts w:hint="eastAsia" w:ascii="宋体" w:hAnsi="宋体" w:eastAsia="宋体" w:cs="宋体"/>
          <w:color w:val="auto"/>
          <w:szCs w:val="21"/>
          <w:highlight w:val="none"/>
          <w:u w:val="none"/>
          <w:lang w:val="en-US" w:eastAsia="zh-CN"/>
        </w:rPr>
        <w:t>的体系</w:t>
      </w:r>
      <w:r>
        <w:rPr>
          <w:rFonts w:hint="eastAsia" w:ascii="宋体" w:hAnsi="宋体" w:eastAsia="宋体" w:cs="Times New Roman"/>
          <w:color w:val="auto"/>
          <w:szCs w:val="21"/>
          <w:highlight w:val="none"/>
          <w:lang w:val="zh-CN"/>
        </w:rPr>
        <w:t>成效评估、提质增效研究报告、</w:t>
      </w:r>
      <w:r>
        <w:rPr>
          <w:rFonts w:hint="eastAsia" w:ascii="宋体" w:hAnsi="宋体" w:eastAsia="宋体" w:cs="Times New Roman"/>
          <w:color w:val="auto"/>
          <w:szCs w:val="21"/>
          <w:highlight w:val="none"/>
          <w:lang w:val="en-US" w:eastAsia="zh-CN"/>
        </w:rPr>
        <w:t>政策建议，撰写及发表论文，开展相关技术鉴定，申报及获得</w:t>
      </w:r>
      <w:r>
        <w:rPr>
          <w:rFonts w:hint="eastAsia" w:ascii="宋体" w:hAnsi="宋体" w:eastAsia="宋体" w:cs="宋体"/>
          <w:color w:val="auto"/>
          <w:szCs w:val="21"/>
          <w:highlight w:val="none"/>
        </w:rPr>
        <w:t>环保类科学技术</w:t>
      </w:r>
      <w:r>
        <w:rPr>
          <w:rFonts w:hint="eastAsia" w:ascii="宋体" w:hAnsi="宋体" w:eastAsia="宋体" w:cs="宋体"/>
          <w:color w:val="auto"/>
          <w:szCs w:val="21"/>
          <w:highlight w:val="none"/>
          <w:lang w:val="en-US" w:eastAsia="zh-CN"/>
        </w:rPr>
        <w:t>奖并在</w:t>
      </w:r>
      <w:r>
        <w:rPr>
          <w:rFonts w:hint="eastAsia" w:ascii="宋体" w:hAnsi="宋体" w:eastAsia="宋体" w:cs="宋体"/>
          <w:color w:val="auto"/>
          <w:szCs w:val="21"/>
          <w:highlight w:val="none"/>
        </w:rPr>
        <w:t>申报期间提供全过程的技术服务支撑</w:t>
      </w:r>
      <w:r>
        <w:rPr>
          <w:rFonts w:hint="eastAsia" w:ascii="宋体" w:hAnsi="宋体" w:eastAsia="宋体" w:cs="Times New Roman"/>
          <w:color w:val="auto"/>
          <w:szCs w:val="21"/>
          <w:highlight w:val="none"/>
          <w:lang w:val="en-US" w:eastAsia="zh-CN"/>
        </w:rPr>
        <w:t>等</w:t>
      </w:r>
      <w:r>
        <w:rPr>
          <w:rFonts w:hint="eastAsia" w:ascii="宋体" w:hAnsi="宋体" w:eastAsia="宋体" w:cs="宋体"/>
          <w:color w:val="auto"/>
          <w:szCs w:val="21"/>
          <w:highlight w:val="none"/>
          <w:u w:val="none"/>
          <w:lang w:eastAsia="zh-CN"/>
        </w:rPr>
        <w:t>。</w:t>
      </w:r>
      <w:r>
        <w:rPr>
          <w:rFonts w:hint="eastAsia" w:ascii="宋体" w:hAnsi="宋体" w:eastAsia="宋体" w:cs="Times New Roman"/>
          <w:color w:val="auto"/>
          <w:szCs w:val="21"/>
          <w:highlight w:val="none"/>
          <w:lang w:val="zh-CN"/>
        </w:rPr>
        <w:t>（具体内容详见：第三篇用户需求书）。</w:t>
      </w:r>
    </w:p>
    <w:p w14:paraId="14754F37">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14:paraId="5275B9C2">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14:paraId="66A11E05">
      <w:pPr>
        <w:pStyle w:val="161"/>
        <w:spacing w:line="360" w:lineRule="auto"/>
        <w:ind w:left="422" w:leftChars="0" w:right="-29" w:rightChars="-14" w:hanging="422" w:hangingChars="20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14:paraId="134B2302">
      <w:pPr>
        <w:pStyle w:val="161"/>
        <w:spacing w:line="360" w:lineRule="auto"/>
        <w:ind w:left="422" w:leftChars="0" w:right="-29" w:rightChars="-14" w:hanging="422" w:hangingChars="200"/>
        <w:jc w:val="both"/>
        <w:rPr>
          <w:rFonts w:hint="eastAsia" w:hAnsi="宋体" w:eastAsia="宋体"/>
          <w:b/>
          <w:color w:val="auto"/>
          <w:sz w:val="21"/>
          <w:szCs w:val="21"/>
          <w:highlight w:val="none"/>
          <w:lang w:val="en-US" w:eastAsia="zh-CN"/>
        </w:rPr>
      </w:pPr>
      <w:r>
        <w:rPr>
          <w:rFonts w:hint="eastAsia" w:hAnsi="宋体" w:eastAsia="宋体"/>
          <w:b/>
          <w:color w:val="auto"/>
          <w:sz w:val="21"/>
          <w:szCs w:val="21"/>
          <w:highlight w:val="none"/>
          <w:lang w:val="en-US" w:eastAsia="zh-CN"/>
        </w:rPr>
        <w:t>2.2 投标人</w:t>
      </w:r>
      <w:r>
        <w:rPr>
          <w:rFonts w:hint="eastAsia" w:hAnsi="宋体" w:eastAsia="宋体"/>
          <w:b/>
          <w:color w:val="auto"/>
          <w:sz w:val="21"/>
          <w:szCs w:val="21"/>
          <w:highlight w:val="none"/>
          <w:lang w:eastAsia="zh-CN"/>
        </w:rPr>
        <w:t>202</w:t>
      </w:r>
      <w:r>
        <w:rPr>
          <w:rFonts w:hint="eastAsia" w:hAnsi="宋体" w:eastAsia="宋体"/>
          <w:b/>
          <w:color w:val="auto"/>
          <w:sz w:val="21"/>
          <w:szCs w:val="21"/>
          <w:highlight w:val="none"/>
          <w:lang w:val="en-US" w:eastAsia="zh-CN"/>
        </w:rPr>
        <w:t>2</w:t>
      </w:r>
      <w:r>
        <w:rPr>
          <w:rFonts w:hint="eastAsia" w:hAnsi="宋体" w:eastAsia="宋体"/>
          <w:b/>
          <w:color w:val="auto"/>
          <w:sz w:val="21"/>
          <w:szCs w:val="21"/>
          <w:highlight w:val="none"/>
          <w:lang w:eastAsia="zh-CN"/>
        </w:rPr>
        <w:t>年1月1日</w:t>
      </w:r>
      <w:r>
        <w:rPr>
          <w:rFonts w:hint="eastAsia" w:hAnsi="宋体" w:eastAsia="宋体"/>
          <w:b/>
          <w:color w:val="auto"/>
          <w:sz w:val="21"/>
          <w:szCs w:val="21"/>
          <w:highlight w:val="none"/>
        </w:rPr>
        <w:t>以来</w:t>
      </w:r>
      <w:r>
        <w:rPr>
          <w:rFonts w:hint="eastAsia" w:hAnsi="宋体" w:eastAsia="宋体"/>
          <w:b/>
          <w:color w:val="auto"/>
          <w:sz w:val="21"/>
          <w:szCs w:val="21"/>
          <w:highlight w:val="none"/>
          <w:lang w:val="en-US" w:eastAsia="zh-CN"/>
        </w:rPr>
        <w:t>具有一份</w:t>
      </w:r>
      <w:r>
        <w:rPr>
          <w:rFonts w:hint="eastAsia" w:hAnsi="宋体" w:eastAsia="宋体"/>
          <w:b/>
          <w:color w:val="auto"/>
          <w:sz w:val="21"/>
          <w:szCs w:val="21"/>
          <w:highlight w:val="none"/>
        </w:rPr>
        <w:t>生态环境</w:t>
      </w:r>
      <w:r>
        <w:rPr>
          <w:rFonts w:hint="eastAsia" w:hAnsi="宋体" w:eastAsia="宋体"/>
          <w:b/>
          <w:color w:val="auto"/>
          <w:sz w:val="21"/>
          <w:szCs w:val="21"/>
          <w:highlight w:val="none"/>
          <w:lang w:eastAsia="zh-CN"/>
        </w:rPr>
        <w:t>领域技术研究服务同类业绩</w:t>
      </w:r>
      <w:r>
        <w:rPr>
          <w:rFonts w:hint="eastAsia" w:hAnsi="宋体" w:eastAsia="宋体"/>
          <w:b/>
          <w:color w:val="auto"/>
          <w:sz w:val="21"/>
          <w:szCs w:val="21"/>
          <w:highlight w:val="none"/>
        </w:rPr>
        <w:t>（合同签订日期为</w:t>
      </w:r>
      <w:r>
        <w:rPr>
          <w:rFonts w:hint="eastAsia" w:hAnsi="宋体" w:eastAsia="宋体"/>
          <w:b/>
          <w:color w:val="auto"/>
          <w:sz w:val="21"/>
          <w:szCs w:val="21"/>
          <w:highlight w:val="none"/>
          <w:lang w:eastAsia="zh-CN"/>
        </w:rPr>
        <w:t>202</w:t>
      </w:r>
      <w:r>
        <w:rPr>
          <w:rFonts w:hint="eastAsia" w:hAnsi="宋体" w:eastAsia="宋体"/>
          <w:b/>
          <w:color w:val="auto"/>
          <w:sz w:val="21"/>
          <w:szCs w:val="21"/>
          <w:highlight w:val="none"/>
          <w:lang w:val="en-US" w:eastAsia="zh-CN"/>
        </w:rPr>
        <w:t>2</w:t>
      </w:r>
      <w:r>
        <w:rPr>
          <w:rFonts w:hint="eastAsia" w:hAnsi="宋体" w:eastAsia="宋体"/>
          <w:b/>
          <w:color w:val="auto"/>
          <w:sz w:val="21"/>
          <w:szCs w:val="21"/>
          <w:highlight w:val="none"/>
          <w:lang w:eastAsia="zh-CN"/>
        </w:rPr>
        <w:t>年1月1日</w:t>
      </w:r>
      <w:r>
        <w:rPr>
          <w:rFonts w:hint="eastAsia" w:hAnsi="宋体" w:eastAsia="宋体"/>
          <w:b/>
          <w:color w:val="auto"/>
          <w:sz w:val="21"/>
          <w:szCs w:val="21"/>
          <w:highlight w:val="none"/>
        </w:rPr>
        <w:t>或以后）</w:t>
      </w:r>
      <w:r>
        <w:rPr>
          <w:rFonts w:hint="eastAsia" w:eastAsia="宋体"/>
          <w:color w:val="auto"/>
          <w:highlight w:val="none"/>
          <w:lang w:eastAsia="zh-CN"/>
        </w:rPr>
        <w:t>；</w:t>
      </w:r>
    </w:p>
    <w:p w14:paraId="22AD1950">
      <w:pPr>
        <w:pStyle w:val="161"/>
        <w:spacing w:line="360" w:lineRule="auto"/>
        <w:ind w:right="-29" w:rightChars="-14" w:firstLine="0" w:firstLineChars="0"/>
        <w:jc w:val="both"/>
        <w:rPr>
          <w:rFonts w:hint="eastAsia" w:hAnsi="宋体" w:eastAsia="宋体"/>
          <w:b/>
          <w:color w:val="auto"/>
          <w:sz w:val="21"/>
          <w:szCs w:val="21"/>
          <w:highlight w:val="none"/>
          <w:lang w:val="zh-CN"/>
        </w:rPr>
      </w:pPr>
      <w:bookmarkStart w:id="12" w:name="_Toc25819"/>
      <w:r>
        <w:rPr>
          <w:rFonts w:hint="eastAsia" w:hAnsi="宋体" w:eastAsia="宋体"/>
          <w:b/>
          <w:color w:val="auto"/>
          <w:sz w:val="21"/>
          <w:szCs w:val="21"/>
          <w:highlight w:val="none"/>
          <w:lang w:val="en-US" w:eastAsia="zh-CN"/>
        </w:rPr>
        <w:t xml:space="preserve">2.3 </w:t>
      </w:r>
      <w:r>
        <w:rPr>
          <w:rFonts w:hint="eastAsia" w:hAnsi="宋体" w:eastAsia="宋体"/>
          <w:b/>
          <w:color w:val="auto"/>
          <w:sz w:val="21"/>
          <w:szCs w:val="21"/>
          <w:highlight w:val="none"/>
          <w:lang w:val="zh-CN"/>
        </w:rPr>
        <w:t>本项目不接受联合体投标。</w:t>
      </w:r>
      <w:bookmarkEnd w:id="12"/>
    </w:p>
    <w:p w14:paraId="6A586B24">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12ED935C">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获取招标文件的方式：本项目采用“不记名网上下载”的方式发布招标文件，</w:t>
      </w:r>
      <w:r>
        <w:rPr>
          <w:rFonts w:hint="eastAsia" w:ascii="宋体" w:hAnsi="宋体" w:eastAsia="宋体" w:cs="Times New Roman"/>
          <w:color w:val="auto"/>
          <w:szCs w:val="21"/>
          <w:highlight w:val="none"/>
          <w:lang w:val="zh-CN"/>
        </w:rPr>
        <w:t>有意向的投标人可于本项目投标截止时间前，在本项目招标信息发布媒介</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详见本招标公告第7点（除中国招标投标公共服务平台外）</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下载招标文件</w:t>
      </w:r>
      <w:r>
        <w:rPr>
          <w:rFonts w:hint="eastAsia" w:ascii="宋体" w:hAnsi="宋体" w:eastAsia="宋体" w:cs="宋体"/>
          <w:color w:val="auto"/>
          <w:szCs w:val="21"/>
          <w:highlight w:val="none"/>
          <w:shd w:val="clear" w:color="auto" w:fill="FFFFFF"/>
        </w:rPr>
        <w:t>【本招标公告第7点媒介发布招标文件不一致时,以东莞市水务集团有限公司网(www,dgswjt.cn)发布的招标文件为准】</w:t>
      </w:r>
      <w:r>
        <w:rPr>
          <w:rFonts w:hint="eastAsia" w:ascii="宋体" w:hAnsi="宋体" w:eastAsia="宋体" w:cs="Times New Roman"/>
          <w:color w:val="auto"/>
          <w:szCs w:val="21"/>
          <w:highlight w:val="none"/>
          <w:lang w:val="zh-CN"/>
        </w:rPr>
        <w:t>。</w:t>
      </w:r>
    </w:p>
    <w:p w14:paraId="5C66E869">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2C6D796C">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1874F3A2">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56B10762">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14:paraId="2689CC42">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hint="eastAsia" w:ascii="宋体" w:hAnsi="宋体" w:eastAsia="宋体" w:cs="Times New Roman"/>
          <w:color w:val="auto"/>
          <w:szCs w:val="21"/>
          <w:highlight w:val="none"/>
          <w:u w:val="single"/>
          <w:lang w:val="zh-CN"/>
        </w:rPr>
        <w:t xml:space="preserve"> 202</w:t>
      </w:r>
      <w:r>
        <w:rPr>
          <w:rFonts w:hint="eastAsia" w:ascii="宋体" w:hAnsi="宋体" w:eastAsia="宋体" w:cs="Times New Roman"/>
          <w:color w:val="auto"/>
          <w:szCs w:val="21"/>
          <w:highlight w:val="none"/>
          <w:u w:val="single"/>
          <w:lang w:val="en-US" w:eastAsia="zh-CN"/>
        </w:rPr>
        <w:t>5</w:t>
      </w:r>
      <w:r>
        <w:rPr>
          <w:rFonts w:hint="eastAsia" w:ascii="宋体" w:hAnsi="宋体" w:eastAsia="宋体" w:cs="Times New Roman"/>
          <w:color w:val="auto"/>
          <w:szCs w:val="21"/>
          <w:highlight w:val="none"/>
          <w:u w:val="single"/>
          <w:lang w:val="zh-CN"/>
        </w:rPr>
        <w:t>年</w:t>
      </w:r>
      <w:r>
        <w:rPr>
          <w:rFonts w:hint="eastAsia" w:ascii="宋体" w:hAnsi="宋体" w:eastAsia="宋体" w:cs="Times New Roman"/>
          <w:color w:val="auto"/>
          <w:szCs w:val="21"/>
          <w:highlight w:val="none"/>
          <w:u w:val="single"/>
          <w:lang w:val="en-US" w:eastAsia="zh-CN"/>
        </w:rPr>
        <w:t xml:space="preserve"> 4 </w:t>
      </w:r>
      <w:r>
        <w:rPr>
          <w:rFonts w:hint="eastAsia" w:ascii="宋体" w:hAnsi="宋体" w:eastAsia="宋体" w:cs="Times New Roman"/>
          <w:color w:val="auto"/>
          <w:szCs w:val="21"/>
          <w:highlight w:val="none"/>
          <w:u w:val="single"/>
          <w:lang w:val="zh-CN"/>
        </w:rPr>
        <w:t>月</w:t>
      </w:r>
      <w:r>
        <w:rPr>
          <w:rFonts w:hint="eastAsia" w:ascii="宋体" w:hAnsi="宋体" w:eastAsia="宋体" w:cs="Times New Roman"/>
          <w:color w:val="auto"/>
          <w:szCs w:val="21"/>
          <w:highlight w:val="none"/>
          <w:u w:val="single"/>
          <w:lang w:val="en-US" w:eastAsia="zh-CN"/>
        </w:rPr>
        <w:t xml:space="preserve"> 24 </w:t>
      </w:r>
      <w:r>
        <w:rPr>
          <w:rFonts w:hint="eastAsia" w:ascii="宋体" w:hAnsi="宋体" w:eastAsia="宋体" w:cs="Times New Roman"/>
          <w:color w:val="auto"/>
          <w:szCs w:val="21"/>
          <w:highlight w:val="none"/>
          <w:u w:val="single"/>
          <w:lang w:val="zh-CN"/>
        </w:rPr>
        <w:t xml:space="preserve">日 </w:t>
      </w:r>
      <w:r>
        <w:rPr>
          <w:rFonts w:hint="eastAsia" w:ascii="宋体" w:hAnsi="宋体" w:eastAsia="宋体" w:cs="Times New Roman"/>
          <w:color w:val="auto"/>
          <w:szCs w:val="21"/>
          <w:highlight w:val="none"/>
          <w:u w:val="single"/>
          <w:lang w:val="en-US" w:eastAsia="zh-CN"/>
        </w:rPr>
        <w:t>13</w:t>
      </w:r>
      <w:r>
        <w:rPr>
          <w:rFonts w:hint="eastAsia" w:ascii="宋体" w:hAnsi="宋体" w:eastAsia="宋体" w:cs="Times New Roman"/>
          <w:color w:val="auto"/>
          <w:szCs w:val="21"/>
          <w:highlight w:val="none"/>
          <w:u w:val="single"/>
          <w:lang w:val="zh-CN"/>
        </w:rPr>
        <w:t>:</w:t>
      </w:r>
      <w:r>
        <w:rPr>
          <w:rFonts w:hint="eastAsia" w:ascii="宋体" w:hAnsi="宋体" w:eastAsia="宋体" w:cs="Times New Roman"/>
          <w:color w:val="auto"/>
          <w:szCs w:val="21"/>
          <w:highlight w:val="none"/>
          <w:u w:val="single"/>
          <w:lang w:val="en-US" w:eastAsia="zh-CN"/>
        </w:rPr>
        <w:t xml:space="preserve"> 30  </w:t>
      </w:r>
      <w:r>
        <w:rPr>
          <w:rFonts w:hint="eastAsia" w:ascii="宋体" w:hAnsi="宋体" w:eastAsia="宋体" w:cs="Times New Roman"/>
          <w:color w:val="auto"/>
          <w:szCs w:val="21"/>
          <w:highlight w:val="none"/>
          <w:u w:val="single"/>
          <w:lang w:val="zh-CN"/>
        </w:rPr>
        <w:t>～</w:t>
      </w:r>
      <w:r>
        <w:rPr>
          <w:rFonts w:hint="eastAsia" w:ascii="宋体" w:hAnsi="宋体" w:eastAsia="宋体" w:cs="Times New Roman"/>
          <w:color w:val="auto"/>
          <w:szCs w:val="21"/>
          <w:highlight w:val="none"/>
          <w:u w:val="single"/>
          <w:lang w:val="en-US" w:eastAsia="zh-CN"/>
        </w:rPr>
        <w:t xml:space="preserve"> 14 </w:t>
      </w:r>
      <w:r>
        <w:rPr>
          <w:rFonts w:hint="eastAsia" w:ascii="宋体" w:hAnsi="宋体" w:eastAsia="宋体" w:cs="Times New Roman"/>
          <w:color w:val="auto"/>
          <w:szCs w:val="21"/>
          <w:highlight w:val="none"/>
          <w:u w:val="single"/>
          <w:lang w:val="zh-CN"/>
        </w:rPr>
        <w:t>:</w:t>
      </w:r>
      <w:r>
        <w:rPr>
          <w:rFonts w:hint="eastAsia" w:ascii="宋体" w:hAnsi="宋体" w:eastAsia="宋体" w:cs="Times New Roman"/>
          <w:color w:val="auto"/>
          <w:szCs w:val="21"/>
          <w:highlight w:val="none"/>
          <w:u w:val="single"/>
          <w:lang w:val="en-US" w:eastAsia="zh-CN"/>
        </w:rPr>
        <w:t xml:space="preserve"> 00  </w:t>
      </w:r>
      <w:r>
        <w:rPr>
          <w:rFonts w:hint="eastAsia" w:ascii="宋体" w:hAnsi="宋体" w:eastAsia="宋体" w:cs="Times New Roman"/>
          <w:bCs/>
          <w:color w:val="auto"/>
          <w:kern w:val="0"/>
          <w:szCs w:val="21"/>
          <w:highlight w:val="none"/>
        </w:rPr>
        <w:t>；</w:t>
      </w:r>
    </w:p>
    <w:p w14:paraId="1843804D">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hint="eastAsia" w:ascii="宋体" w:hAnsi="宋体" w:eastAsia="宋体" w:cs="Times New Roman"/>
          <w:color w:val="auto"/>
          <w:szCs w:val="21"/>
          <w:highlight w:val="none"/>
          <w:u w:val="single"/>
          <w:lang w:val="zh-CN"/>
        </w:rPr>
        <w:t>202</w:t>
      </w:r>
      <w:r>
        <w:rPr>
          <w:rFonts w:hint="eastAsia" w:ascii="宋体" w:hAnsi="宋体" w:eastAsia="宋体" w:cs="Times New Roman"/>
          <w:color w:val="auto"/>
          <w:szCs w:val="21"/>
          <w:highlight w:val="none"/>
          <w:u w:val="single"/>
          <w:lang w:val="en-US" w:eastAsia="zh-CN"/>
        </w:rPr>
        <w:t>5</w:t>
      </w:r>
      <w:r>
        <w:rPr>
          <w:rFonts w:hint="eastAsia" w:ascii="宋体" w:hAnsi="宋体" w:eastAsia="宋体" w:cs="Times New Roman"/>
          <w:color w:val="auto"/>
          <w:szCs w:val="21"/>
          <w:highlight w:val="none"/>
          <w:u w:val="single"/>
          <w:lang w:val="zh-CN"/>
        </w:rPr>
        <w:t>年</w:t>
      </w:r>
      <w:r>
        <w:rPr>
          <w:rFonts w:hint="eastAsia" w:ascii="宋体" w:hAnsi="宋体" w:eastAsia="宋体" w:cs="Times New Roman"/>
          <w:color w:val="auto"/>
          <w:szCs w:val="21"/>
          <w:highlight w:val="none"/>
          <w:u w:val="single"/>
          <w:lang w:val="en-US" w:eastAsia="zh-CN"/>
        </w:rPr>
        <w:t xml:space="preserve"> 4 </w:t>
      </w:r>
      <w:r>
        <w:rPr>
          <w:rFonts w:hint="eastAsia" w:ascii="宋体" w:hAnsi="宋体" w:eastAsia="宋体" w:cs="Times New Roman"/>
          <w:color w:val="auto"/>
          <w:szCs w:val="21"/>
          <w:highlight w:val="none"/>
          <w:u w:val="single"/>
          <w:lang w:val="zh-CN"/>
        </w:rPr>
        <w:t>月</w:t>
      </w:r>
      <w:r>
        <w:rPr>
          <w:rFonts w:hint="eastAsia" w:ascii="宋体" w:hAnsi="宋体" w:eastAsia="宋体" w:cs="Times New Roman"/>
          <w:color w:val="auto"/>
          <w:szCs w:val="21"/>
          <w:highlight w:val="none"/>
          <w:u w:val="single"/>
          <w:lang w:val="en-US" w:eastAsia="zh-CN"/>
        </w:rPr>
        <w:t xml:space="preserve"> 24  </w:t>
      </w:r>
      <w:r>
        <w:rPr>
          <w:rFonts w:hint="eastAsia" w:ascii="宋体" w:hAnsi="宋体" w:eastAsia="宋体" w:cs="Times New Roman"/>
          <w:color w:val="auto"/>
          <w:szCs w:val="21"/>
          <w:highlight w:val="none"/>
          <w:u w:val="single"/>
          <w:lang w:val="zh-CN"/>
        </w:rPr>
        <w:t xml:space="preserve">日 </w:t>
      </w:r>
      <w:r>
        <w:rPr>
          <w:rFonts w:hint="eastAsia" w:ascii="宋体" w:hAnsi="宋体" w:eastAsia="宋体" w:cs="Times New Roman"/>
          <w:color w:val="auto"/>
          <w:szCs w:val="21"/>
          <w:highlight w:val="none"/>
          <w:u w:val="single"/>
          <w:lang w:val="en-US" w:eastAsia="zh-CN"/>
        </w:rPr>
        <w:t xml:space="preserve">14 </w:t>
      </w:r>
      <w:r>
        <w:rPr>
          <w:rFonts w:hint="eastAsia" w:ascii="宋体" w:hAnsi="宋体" w:eastAsia="宋体" w:cs="Times New Roman"/>
          <w:color w:val="auto"/>
          <w:szCs w:val="21"/>
          <w:highlight w:val="none"/>
          <w:u w:val="single"/>
          <w:lang w:val="zh-CN"/>
        </w:rPr>
        <w:t>:</w:t>
      </w:r>
      <w:r>
        <w:rPr>
          <w:rFonts w:hint="eastAsia" w:ascii="宋体" w:hAnsi="宋体" w:eastAsia="宋体" w:cs="Times New Roman"/>
          <w:color w:val="auto"/>
          <w:szCs w:val="21"/>
          <w:highlight w:val="none"/>
          <w:u w:val="single"/>
          <w:lang w:val="en-US" w:eastAsia="zh-CN"/>
        </w:rPr>
        <w:t xml:space="preserve"> 00  </w:t>
      </w:r>
      <w:r>
        <w:rPr>
          <w:rFonts w:hint="eastAsia" w:ascii="宋体" w:hAnsi="宋体" w:eastAsia="宋体" w:cs="Times New Roman"/>
          <w:bCs/>
          <w:color w:val="auto"/>
          <w:kern w:val="0"/>
          <w:szCs w:val="21"/>
          <w:highlight w:val="none"/>
        </w:rPr>
        <w:t>；</w:t>
      </w:r>
    </w:p>
    <w:p w14:paraId="6BAFEFB2">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kern w:val="0"/>
          <w:szCs w:val="21"/>
          <w:highlight w:val="none"/>
          <w:u w:val="single"/>
        </w:rPr>
        <w:t>广东省东莞市南城街道西平宏伟三路39号联景商业大厦16层会议01室</w:t>
      </w:r>
      <w:r>
        <w:rPr>
          <w:rFonts w:hint="eastAsia" w:ascii="宋体" w:hAnsi="宋体" w:eastAsia="宋体" w:cs="Times New Roman"/>
          <w:color w:val="auto"/>
          <w:kern w:val="0"/>
          <w:szCs w:val="21"/>
          <w:highlight w:val="none"/>
        </w:rPr>
        <w:t>。</w:t>
      </w:r>
    </w:p>
    <w:p w14:paraId="5CD681CE">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6AF9BA93">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14:paraId="3C27BC08">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780540BA">
      <w:pPr>
        <w:numPr>
          <w:ilvl w:val="0"/>
          <w:numId w:val="1"/>
        </w:numPr>
        <w:autoSpaceDE w:val="0"/>
        <w:autoSpaceDN w:val="0"/>
        <w:adjustRightInd w:val="0"/>
        <w:snapToGrid w:val="0"/>
        <w:spacing w:line="360" w:lineRule="auto"/>
        <w:ind w:right="-34"/>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本项目相关公告在以下媒介发布：</w:t>
      </w:r>
      <w:r>
        <w:rPr>
          <w:rFonts w:hint="eastAsia" w:ascii="宋体" w:hAnsi="宋体" w:eastAsia="宋体" w:cs="Times New Roman"/>
          <w:bCs/>
          <w:color w:val="auto"/>
          <w:szCs w:val="21"/>
          <w:highlight w:val="none"/>
          <w:lang w:eastAsia="zh-CN"/>
        </w:rPr>
        <w:t>广东省公共资源交易平台（ygp.gdzwfw.gov.cn）、</w:t>
      </w:r>
      <w:r>
        <w:rPr>
          <w:rFonts w:hint="eastAsia" w:ascii="宋体" w:hAnsi="宋体" w:eastAsia="宋体" w:cs="Times New Roman"/>
          <w:bCs/>
          <w:color w:val="auto"/>
          <w:szCs w:val="21"/>
          <w:highlight w:val="none"/>
        </w:rPr>
        <w:t>中国招标投标公共服务平台（www.cebpubservice.com）、</w:t>
      </w:r>
      <w:r>
        <w:rPr>
          <w:rFonts w:hint="eastAsia" w:ascii="宋体" w:hAnsi="宋体" w:eastAsia="宋体" w:cs="Times New Roman"/>
          <w:bCs/>
          <w:color w:val="auto"/>
          <w:szCs w:val="21"/>
          <w:highlight w:val="none"/>
          <w:lang w:eastAsia="zh-CN"/>
        </w:rPr>
        <w:t>东莞市水务集团有限公司网</w:t>
      </w:r>
      <w:r>
        <w:rPr>
          <w:rFonts w:hint="eastAsia" w:ascii="宋体" w:hAnsi="宋体" w:eastAsia="宋体" w:cs="Times New Roman"/>
          <w:bCs/>
          <w:color w:val="auto"/>
          <w:szCs w:val="21"/>
          <w:highlight w:val="none"/>
        </w:rPr>
        <w:t>（</w:t>
      </w:r>
      <w:bookmarkStart w:id="13" w:name="OLE_LINK3"/>
      <w:r>
        <w:rPr>
          <w:rFonts w:hint="eastAsia" w:ascii="宋体" w:hAnsi="宋体" w:eastAsia="宋体" w:cs="Times New Roman"/>
          <w:bCs/>
          <w:color w:val="auto"/>
          <w:szCs w:val="21"/>
          <w:highlight w:val="none"/>
        </w:rPr>
        <w:t>www.dgswjt.cn</w:t>
      </w:r>
      <w:bookmarkEnd w:id="13"/>
      <w:r>
        <w:rPr>
          <w:rFonts w:hint="eastAsia" w:ascii="宋体" w:hAnsi="宋体" w:eastAsia="宋体" w:cs="Times New Roman"/>
          <w:bCs/>
          <w:color w:val="auto"/>
          <w:szCs w:val="21"/>
          <w:highlight w:val="none"/>
        </w:rPr>
        <w:t>）、招标代理</w:t>
      </w:r>
      <w:r>
        <w:rPr>
          <w:rFonts w:hint="eastAsia" w:ascii="宋体" w:hAnsi="宋体" w:eastAsia="宋体" w:cs="Times New Roman"/>
          <w:bCs/>
          <w:color w:val="auto"/>
          <w:szCs w:val="21"/>
          <w:highlight w:val="none"/>
          <w:lang w:val="en-US" w:eastAsia="zh-CN"/>
        </w:rPr>
        <w:t>机构</w:t>
      </w:r>
      <w:r>
        <w:rPr>
          <w:rFonts w:hint="eastAsia" w:ascii="宋体" w:hAnsi="宋体" w:eastAsia="宋体" w:cs="Times New Roman"/>
          <w:bCs/>
          <w:color w:val="auto"/>
          <w:szCs w:val="21"/>
          <w:highlight w:val="none"/>
        </w:rPr>
        <w:t>网站（www.gzjc.com.cn</w:t>
      </w:r>
      <w:r>
        <w:rPr>
          <w:rFonts w:ascii="宋体" w:hAnsi="宋体" w:eastAsia="宋体" w:cs="Times New Roman"/>
          <w:bCs/>
          <w:color w:val="auto"/>
          <w:szCs w:val="21"/>
          <w:highlight w:val="none"/>
        </w:rPr>
        <w:t>）</w:t>
      </w:r>
      <w:r>
        <w:rPr>
          <w:rFonts w:ascii="宋体" w:hAnsi="宋体" w:eastAsia="宋体" w:cs="Times New Roman"/>
          <w:color w:val="auto"/>
          <w:szCs w:val="21"/>
          <w:highlight w:val="none"/>
          <w:lang w:val="zh-CN"/>
        </w:rPr>
        <w:t>。</w:t>
      </w:r>
    </w:p>
    <w:p w14:paraId="4CBA7702">
      <w:pPr>
        <w:pStyle w:val="38"/>
        <w:rPr>
          <w:color w:val="auto"/>
          <w:highlight w:val="none"/>
        </w:rPr>
      </w:pPr>
    </w:p>
    <w:p w14:paraId="55F00599">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14:paraId="553E52A9">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eastAsia="zh-CN"/>
        </w:rPr>
        <w:t>东莞市众源环境投资有限公司</w:t>
      </w:r>
    </w:p>
    <w:p w14:paraId="54758D17">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东莞市南城街道滨河路100号二期3号楼3楼</w:t>
      </w:r>
    </w:p>
    <w:p w14:paraId="69EF33DA">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lang w:val="en-US" w:eastAsia="zh-CN"/>
        </w:rPr>
        <w:t>何浩林</w:t>
      </w:r>
    </w:p>
    <w:p w14:paraId="13EEBEE2">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lang w:eastAsia="zh-CN"/>
        </w:rPr>
        <w:t>0769-22621996</w:t>
      </w:r>
    </w:p>
    <w:p w14:paraId="2F4AF89E">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08D67170">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lang w:val="en-US" w:eastAsia="zh-CN"/>
        </w:rPr>
        <w:t>及异议受理</w:t>
      </w:r>
      <w:r>
        <w:rPr>
          <w:rFonts w:ascii="宋体" w:hAnsi="宋体" w:eastAsia="宋体" w:cs="Times New Roman"/>
          <w:color w:val="auto"/>
          <w:szCs w:val="21"/>
          <w:highlight w:val="none"/>
        </w:rPr>
        <w:t>联系方式</w:t>
      </w:r>
    </w:p>
    <w:p w14:paraId="6DEB27E8">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bookmarkStart w:id="14" w:name="_Toc486167661"/>
      <w:bookmarkStart w:id="15" w:name="_Toc450662847"/>
      <w:bookmarkStart w:id="16" w:name="_Toc31764_WPSOffice_Level1"/>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lang w:eastAsia="zh-CN"/>
        </w:rPr>
        <w:t>建成工程咨询股份有限公司</w:t>
      </w:r>
    </w:p>
    <w:p w14:paraId="6CE715DF">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rPr>
        <w:t>广东省东莞市南城街道西平宏伟三路39号联景商业大厦16层</w:t>
      </w:r>
    </w:p>
    <w:p w14:paraId="193FE1D8">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lang w:val="en-US" w:eastAsia="zh-CN"/>
        </w:rPr>
        <w:t>杨冬妮</w:t>
      </w:r>
    </w:p>
    <w:p w14:paraId="04B1DA6A">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0769-22801999</w:t>
      </w:r>
    </w:p>
    <w:p w14:paraId="4E7CAC0C">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17" w:name="_Toc15111"/>
      <w:bookmarkStart w:id="18" w:name="_Toc23429"/>
      <w:bookmarkStart w:id="19" w:name="_Toc142508311"/>
      <w:bookmarkStart w:id="20" w:name="_Toc22834"/>
      <w:bookmarkStart w:id="21" w:name="_Toc17349"/>
      <w:bookmarkStart w:id="22" w:name="_Toc31498"/>
      <w:bookmarkStart w:id="23" w:name="_Toc18212"/>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4"/>
      <w:bookmarkEnd w:id="15"/>
      <w:bookmarkEnd w:id="16"/>
      <w:bookmarkEnd w:id="17"/>
      <w:bookmarkEnd w:id="18"/>
      <w:bookmarkEnd w:id="19"/>
      <w:bookmarkEnd w:id="20"/>
      <w:bookmarkEnd w:id="21"/>
      <w:bookmarkEnd w:id="22"/>
      <w:bookmarkEnd w:id="23"/>
    </w:p>
    <w:p w14:paraId="40E1082C">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4" w:name="_Toc11520"/>
      <w:bookmarkStart w:id="25" w:name="_Toc450662848"/>
      <w:bookmarkStart w:id="26" w:name="_Toc140596871"/>
      <w:bookmarkStart w:id="27" w:name="_Toc142508312"/>
      <w:bookmarkStart w:id="28" w:name="_Toc24479"/>
      <w:bookmarkStart w:id="29" w:name="_Toc486167662"/>
      <w:bookmarkStart w:id="30" w:name="_Toc29965"/>
      <w:bookmarkStart w:id="31" w:name="_Toc15366_WPSOffice_Level2"/>
      <w:bookmarkStart w:id="32" w:name="_Toc12631"/>
      <w:bookmarkStart w:id="33" w:name="_Toc9555"/>
      <w:bookmarkStart w:id="34" w:name="_Toc18835"/>
      <w:r>
        <w:rPr>
          <w:rFonts w:hint="eastAsia" w:ascii="宋体" w:hAnsi="宋体" w:eastAsia="宋体" w:cs="宋体"/>
          <w:b/>
          <w:bCs/>
          <w:color w:val="auto"/>
          <w:kern w:val="44"/>
          <w:szCs w:val="21"/>
          <w:highlight w:val="none"/>
          <w:lang w:val="zh-CN"/>
        </w:rPr>
        <w:t>一、总则</w:t>
      </w:r>
      <w:bookmarkEnd w:id="24"/>
      <w:bookmarkEnd w:id="25"/>
      <w:bookmarkEnd w:id="26"/>
      <w:bookmarkEnd w:id="27"/>
      <w:bookmarkEnd w:id="28"/>
      <w:bookmarkEnd w:id="29"/>
      <w:bookmarkEnd w:id="30"/>
      <w:bookmarkEnd w:id="31"/>
      <w:bookmarkEnd w:id="32"/>
      <w:bookmarkEnd w:id="33"/>
      <w:bookmarkEnd w:id="34"/>
    </w:p>
    <w:p w14:paraId="5204389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5" w:name="_Toc16303"/>
      <w:bookmarkStart w:id="36" w:name="_Toc9608"/>
      <w:bookmarkStart w:id="37" w:name="_Toc29051"/>
      <w:bookmarkStart w:id="38" w:name="_Toc21710_WPSOffice_Level3"/>
      <w:bookmarkStart w:id="39" w:name="_Toc23333"/>
      <w:bookmarkStart w:id="40" w:name="_Toc450662849"/>
      <w:bookmarkStart w:id="41" w:name="_Toc486167663"/>
      <w:bookmarkStart w:id="42" w:name="_Toc16770"/>
      <w:bookmarkStart w:id="43" w:name="_Toc142508313"/>
      <w:bookmarkStart w:id="44" w:name="_Toc31237"/>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35"/>
      <w:bookmarkEnd w:id="36"/>
      <w:bookmarkEnd w:id="37"/>
      <w:bookmarkEnd w:id="38"/>
      <w:bookmarkEnd w:id="39"/>
      <w:bookmarkEnd w:id="40"/>
      <w:bookmarkEnd w:id="41"/>
      <w:bookmarkEnd w:id="42"/>
      <w:bookmarkEnd w:id="43"/>
      <w:bookmarkEnd w:id="44"/>
    </w:p>
    <w:p w14:paraId="2070A6BF">
      <w:pPr>
        <w:autoSpaceDE w:val="0"/>
        <w:autoSpaceDN w:val="0"/>
        <w:adjustRightInd w:val="0"/>
        <w:jc w:val="left"/>
        <w:rPr>
          <w:rFonts w:ascii="宋体" w:hAnsi="宋体" w:eastAsia="宋体" w:cs="宋体"/>
          <w:color w:val="auto"/>
          <w:kern w:val="0"/>
          <w:sz w:val="24"/>
          <w:szCs w:val="24"/>
          <w:highlight w:val="none"/>
        </w:rPr>
      </w:pPr>
    </w:p>
    <w:p w14:paraId="57163A46">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45" w:name="_Toc32244"/>
      <w:bookmarkStart w:id="46" w:name="_Toc486167664"/>
      <w:bookmarkStart w:id="47" w:name="_Toc28698"/>
      <w:bookmarkStart w:id="48" w:name="_Toc18557"/>
      <w:bookmarkStart w:id="49" w:name="_Toc32455"/>
      <w:bookmarkStart w:id="50" w:name="_Toc12640"/>
      <w:bookmarkStart w:id="51" w:name="_Toc80_WPSOffice_Level3"/>
      <w:bookmarkStart w:id="52" w:name="_Toc10636"/>
      <w:bookmarkStart w:id="53" w:name="_Toc142508314"/>
      <w:bookmarkStart w:id="54" w:name="_Toc450662850"/>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45"/>
      <w:bookmarkEnd w:id="46"/>
      <w:bookmarkEnd w:id="47"/>
      <w:bookmarkEnd w:id="48"/>
      <w:bookmarkEnd w:id="49"/>
      <w:bookmarkEnd w:id="50"/>
      <w:bookmarkEnd w:id="51"/>
      <w:bookmarkEnd w:id="52"/>
      <w:bookmarkEnd w:id="53"/>
      <w:bookmarkEnd w:id="54"/>
    </w:p>
    <w:p w14:paraId="6171899F">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2.1  </w:t>
      </w:r>
      <w:r>
        <w:rPr>
          <w:rFonts w:hint="eastAsia" w:ascii="宋体" w:hAnsi="宋体" w:eastAsia="宋体" w:cs="宋体"/>
          <w:b/>
          <w:color w:val="auto"/>
          <w:szCs w:val="21"/>
          <w:highlight w:val="none"/>
          <w:u w:val="single"/>
          <w:lang w:val="zh-CN"/>
        </w:rPr>
        <w:t>合格的投标人条件见第一篇《招标公告》中第</w:t>
      </w:r>
      <w:r>
        <w:rPr>
          <w:rFonts w:ascii="宋体" w:hAnsi="宋体" w:eastAsia="宋体" w:cs="宋体"/>
          <w:b/>
          <w:color w:val="auto"/>
          <w:szCs w:val="21"/>
          <w:highlight w:val="none"/>
          <w:u w:val="single"/>
          <w:lang w:val="zh-CN"/>
        </w:rPr>
        <w:t>2</w:t>
      </w:r>
      <w:r>
        <w:rPr>
          <w:rFonts w:hint="eastAsia" w:ascii="宋体" w:hAnsi="宋体" w:eastAsia="宋体" w:cs="宋体"/>
          <w:b/>
          <w:color w:val="auto"/>
          <w:szCs w:val="21"/>
          <w:highlight w:val="none"/>
          <w:u w:val="single"/>
          <w:lang w:val="zh-CN"/>
        </w:rPr>
        <w:t>条的“合格投标人资格要求”及本条以下2.2款至2.</w:t>
      </w:r>
      <w:r>
        <w:rPr>
          <w:rFonts w:hint="eastAsia" w:ascii="宋体" w:hAnsi="宋体" w:eastAsia="宋体" w:cs="宋体"/>
          <w:b/>
          <w:color w:val="auto"/>
          <w:szCs w:val="21"/>
          <w:highlight w:val="none"/>
          <w:u w:val="single"/>
          <w:lang w:val="en-US" w:eastAsia="zh-CN"/>
        </w:rPr>
        <w:t>5</w:t>
      </w:r>
      <w:r>
        <w:rPr>
          <w:rFonts w:hint="eastAsia" w:ascii="宋体" w:hAnsi="宋体" w:eastAsia="宋体" w:cs="宋体"/>
          <w:b/>
          <w:color w:val="auto"/>
          <w:szCs w:val="21"/>
          <w:highlight w:val="none"/>
          <w:u w:val="single"/>
          <w:lang w:val="zh-CN"/>
        </w:rPr>
        <w:t>款的通用要求</w:t>
      </w:r>
      <w:r>
        <w:rPr>
          <w:rFonts w:hint="eastAsia" w:ascii="宋体" w:hAnsi="宋体" w:eastAsia="宋体" w:cs="宋体"/>
          <w:b/>
          <w:color w:val="auto"/>
          <w:szCs w:val="21"/>
          <w:highlight w:val="none"/>
          <w:lang w:val="zh-CN"/>
        </w:rPr>
        <w:t>。</w:t>
      </w:r>
    </w:p>
    <w:p w14:paraId="2C6FF7D9">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u w:val="single"/>
        </w:rPr>
        <w:t>投标人</w:t>
      </w:r>
      <w:r>
        <w:rPr>
          <w:rFonts w:hint="eastAsia" w:ascii="宋体" w:hAnsi="宋体" w:eastAsia="宋体" w:cs="Times New Roman"/>
          <w:b/>
          <w:color w:val="auto"/>
          <w:kern w:val="0"/>
          <w:szCs w:val="21"/>
          <w:highlight w:val="none"/>
          <w:u w:val="single"/>
        </w:rPr>
        <w:t>在参加本项目投标前的三年内不得在投标活动中存在《中华人民共和国招标投标法（2023年修订）》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u w:val="single"/>
          <w:lang w:val="zh-CN"/>
        </w:rPr>
        <w:t>处罚说明</w:t>
      </w:r>
      <w:r>
        <w:rPr>
          <w:rFonts w:hint="eastAsia" w:ascii="宋体" w:hAnsi="宋体" w:eastAsia="宋体" w:cs="Times New Roman"/>
          <w:b/>
          <w:color w:val="auto"/>
          <w:kern w:val="0"/>
          <w:szCs w:val="21"/>
          <w:highlight w:val="none"/>
          <w:u w:val="singl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427EA22A">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w:t>
      </w:r>
      <w:r>
        <w:rPr>
          <w:rFonts w:hint="eastAsia" w:ascii="宋体" w:hAnsi="宋体" w:eastAsia="宋体" w:cs="宋体"/>
          <w:b/>
          <w:color w:val="auto"/>
          <w:kern w:val="0"/>
          <w:szCs w:val="21"/>
          <w:highlight w:val="none"/>
          <w:u w:val="single"/>
          <w:lang w:val="zh-CN"/>
        </w:rPr>
        <w:t>投标人</w:t>
      </w:r>
      <w:r>
        <w:rPr>
          <w:rFonts w:hint="eastAsia" w:ascii="宋体" w:hAnsi="宋体" w:eastAsia="宋体" w:cs="宋体"/>
          <w:b/>
          <w:color w:val="auto"/>
          <w:szCs w:val="21"/>
          <w:highlight w:val="none"/>
          <w:u w:val="single"/>
          <w:lang w:val="zh-CN"/>
        </w:rPr>
        <w:t>符合《中华人民共和国招标投标法》第二十六条规定</w:t>
      </w:r>
      <w:r>
        <w:rPr>
          <w:rFonts w:hint="eastAsia" w:ascii="宋体" w:hAnsi="宋体" w:eastAsia="宋体" w:cs="宋体"/>
          <w:b/>
          <w:color w:val="auto"/>
          <w:szCs w:val="21"/>
          <w:highlight w:val="none"/>
          <w:lang w:val="zh-CN"/>
        </w:rPr>
        <w:t>。</w:t>
      </w:r>
    </w:p>
    <w:p w14:paraId="1BD14505">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宋体"/>
          <w:b/>
          <w:color w:val="auto"/>
          <w:kern w:val="0"/>
          <w:szCs w:val="21"/>
          <w:highlight w:val="none"/>
          <w:u w:val="single"/>
        </w:rPr>
        <w:t xml:space="preserve"> </w:t>
      </w:r>
      <w:r>
        <w:rPr>
          <w:rFonts w:hint="eastAsia" w:ascii="宋体" w:hAnsi="宋体" w:eastAsia="宋体" w:cs="Times New Roman"/>
          <w:b/>
          <w:color w:val="auto"/>
          <w:kern w:val="0"/>
          <w:szCs w:val="21"/>
          <w:highlight w:val="none"/>
          <w:u w:val="single"/>
        </w:rPr>
        <w:t>投标人（含其不具有独立法人资格的分支机构）未被列入“信用中国”网站（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u w:val="single"/>
          <w:lang w:val="en-US" w:eastAsia="zh-CN"/>
        </w:rPr>
        <w:t>政府采购</w:t>
      </w:r>
      <w:r>
        <w:rPr>
          <w:rFonts w:hint="eastAsia" w:ascii="宋体" w:hAnsi="宋体" w:eastAsia="宋体" w:cs="Times New Roman"/>
          <w:b/>
          <w:color w:val="auto"/>
          <w:kern w:val="0"/>
          <w:szCs w:val="21"/>
          <w:highlight w:val="none"/>
          <w:u w:val="single"/>
        </w:rPr>
        <w:t>严重违法失信行为记录名单（处罚期限届满的除外）</w:t>
      </w:r>
      <w:r>
        <w:rPr>
          <w:rFonts w:hint="eastAsia" w:ascii="宋体" w:hAnsi="宋体" w:eastAsia="宋体" w:cs="宋体"/>
          <w:b/>
          <w:color w:val="auto"/>
          <w:kern w:val="0"/>
          <w:szCs w:val="21"/>
          <w:highlight w:val="none"/>
        </w:rPr>
        <w:t>。</w:t>
      </w:r>
    </w:p>
    <w:p w14:paraId="41570660">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u w:val="singl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3DB4552A">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6E4C0B74">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en-US" w:eastAsia="zh-CN"/>
        </w:rPr>
      </w:pPr>
      <w:bookmarkStart w:id="55" w:name="_Toc23847_WPSOffice_Level3"/>
      <w:bookmarkStart w:id="56" w:name="_Toc142508315"/>
      <w:bookmarkStart w:id="57" w:name="_Toc19774"/>
      <w:bookmarkStart w:id="58" w:name="_Toc21591"/>
      <w:bookmarkStart w:id="59" w:name="_Toc8189"/>
      <w:bookmarkStart w:id="60" w:name="_Toc16100"/>
      <w:bookmarkStart w:id="61" w:name="_Toc2280"/>
      <w:bookmarkStart w:id="62" w:name="_Toc11689"/>
      <w:bookmarkStart w:id="63" w:name="_Toc486167665"/>
      <w:bookmarkStart w:id="64" w:name="_Toc450662851"/>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w:t>
      </w:r>
      <w:bookmarkEnd w:id="55"/>
      <w:bookmarkEnd w:id="56"/>
      <w:r>
        <w:rPr>
          <w:rFonts w:hint="eastAsia" w:ascii="宋体" w:hAnsi="宋体" w:eastAsia="宋体" w:cs="宋体"/>
          <w:b/>
          <w:color w:val="auto"/>
          <w:szCs w:val="21"/>
          <w:highlight w:val="none"/>
          <w:lang w:val="en-US" w:eastAsia="zh-CN"/>
        </w:rPr>
        <w:t>服务</w:t>
      </w:r>
      <w:bookmarkEnd w:id="57"/>
      <w:bookmarkEnd w:id="58"/>
      <w:bookmarkEnd w:id="59"/>
      <w:bookmarkEnd w:id="60"/>
      <w:bookmarkEnd w:id="61"/>
      <w:bookmarkEnd w:id="62"/>
    </w:p>
    <w:p w14:paraId="1BB1D320">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“服务”是指投标人按招标文件规定完成的全部服务内容，其中包括完成服务所需的货物和工程，及须承担的技术支持、培训和其它伴随服务。</w:t>
      </w:r>
    </w:p>
    <w:p w14:paraId="31776B0F">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5" w:name="_Toc1977663"/>
      <w:bookmarkStart w:id="66" w:name="_Toc533708063"/>
      <w:r>
        <w:rPr>
          <w:rFonts w:hint="eastAsia" w:ascii="宋体" w:hAnsi="宋体" w:eastAsia="宋体" w:cs="宋体"/>
          <w:color w:val="auto"/>
          <w:szCs w:val="21"/>
          <w:highlight w:val="none"/>
          <w:lang w:val="zh-CN"/>
        </w:rPr>
        <w:t xml:space="preserve">3.2  </w:t>
      </w:r>
      <w:bookmarkEnd w:id="65"/>
      <w:bookmarkEnd w:id="66"/>
      <w:bookmarkStart w:id="67" w:name="_Toc533708065"/>
      <w:bookmarkStart w:id="68" w:name="_Toc19776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w:t>
      </w: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lang w:val="zh-CN"/>
        </w:rPr>
        <w:t>或</w:t>
      </w: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lang w:val="zh-CN"/>
        </w:rPr>
        <w:t>的任何部分均为最新正式版本</w:t>
      </w:r>
      <w:r>
        <w:rPr>
          <w:rFonts w:hint="eastAsia" w:ascii="宋体" w:hAnsi="宋体" w:eastAsia="宋体" w:cs="宋体"/>
          <w:color w:val="auto"/>
          <w:szCs w:val="21"/>
          <w:highlight w:val="none"/>
          <w:lang w:val="zh-CN"/>
        </w:rPr>
        <w:t>。</w:t>
      </w:r>
      <w:bookmarkEnd w:id="67"/>
      <w:bookmarkEnd w:id="68"/>
    </w:p>
    <w:p w14:paraId="2DDEBB2C">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9" w:name="_Toc533708066"/>
      <w:bookmarkStart w:id="70" w:name="_Toc19776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 xml:space="preserve">  </w:t>
      </w:r>
      <w:bookmarkEnd w:id="69"/>
      <w:bookmarkEnd w:id="70"/>
      <w:bookmarkStart w:id="71" w:name="_Toc533708067"/>
      <w:bookmarkStart w:id="72" w:name="_Toc1977667"/>
      <w:r>
        <w:rPr>
          <w:rFonts w:hint="eastAsia" w:ascii="宋体" w:hAnsi="宋体" w:eastAsia="宋体" w:cs="宋体"/>
          <w:color w:val="auto"/>
          <w:szCs w:val="21"/>
          <w:highlight w:val="none"/>
          <w:lang w:val="zh-CN"/>
        </w:rPr>
        <w:t>投标人</w:t>
      </w:r>
      <w:r>
        <w:rPr>
          <w:rFonts w:hint="eastAsia" w:ascii="宋体" w:hAnsi="宋体" w:eastAsia="宋体" w:cs="Times New Roman"/>
          <w:color w:val="auto"/>
          <w:kern w:val="0"/>
          <w:szCs w:val="21"/>
          <w:highlight w:val="none"/>
        </w:rPr>
        <w:t>应保证招标人在中华人民共和国使用</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或</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71"/>
      <w:bookmarkEnd w:id="72"/>
    </w:p>
    <w:p w14:paraId="05604413">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3" w:name="_Toc1977668"/>
      <w:bookmarkStart w:id="74" w:name="_Toc5337080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bookmarkEnd w:id="73"/>
      <w:bookmarkEnd w:id="74"/>
      <w:r>
        <w:rPr>
          <w:rFonts w:hint="eastAsia" w:ascii="宋体" w:hAnsi="宋体" w:eastAsia="宋体" w:cs="宋体"/>
          <w:color w:val="auto"/>
          <w:szCs w:val="21"/>
          <w:highlight w:val="none"/>
          <w:lang w:val="zh-CN"/>
        </w:rPr>
        <w:t>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p>
    <w:p w14:paraId="395E4E32">
      <w:pPr>
        <w:autoSpaceDE w:val="0"/>
        <w:autoSpaceDN w:val="0"/>
        <w:adjustRightInd w:val="0"/>
        <w:spacing w:line="360" w:lineRule="auto"/>
        <w:jc w:val="left"/>
        <w:rPr>
          <w:rFonts w:ascii="宋体" w:hAnsi="宋体" w:eastAsia="宋体" w:cs="宋体"/>
          <w:color w:val="auto"/>
          <w:szCs w:val="21"/>
          <w:highlight w:val="none"/>
          <w:lang w:val="zh-CN"/>
        </w:rPr>
      </w:pPr>
    </w:p>
    <w:p w14:paraId="32FB6F1F">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5" w:name="_Toc3404"/>
      <w:bookmarkStart w:id="76" w:name="_Toc142508316"/>
      <w:bookmarkStart w:id="77" w:name="_Toc9753"/>
      <w:bookmarkStart w:id="78" w:name="_Toc17012"/>
      <w:bookmarkStart w:id="79" w:name="_Toc9658_WPSOffice_Level3"/>
      <w:bookmarkStart w:id="80" w:name="_Toc11443"/>
      <w:bookmarkStart w:id="81" w:name="_Toc11533"/>
      <w:bookmarkStart w:id="82" w:name="_Toc26494"/>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75"/>
      <w:bookmarkEnd w:id="76"/>
      <w:bookmarkEnd w:id="77"/>
      <w:bookmarkEnd w:id="78"/>
      <w:bookmarkEnd w:id="79"/>
      <w:bookmarkEnd w:id="80"/>
      <w:bookmarkEnd w:id="81"/>
      <w:bookmarkEnd w:id="82"/>
    </w:p>
    <w:p w14:paraId="32238854">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83" w:name="_Toc533708070"/>
      <w:bookmarkStart w:id="84" w:name="_Toc1977670"/>
      <w:r>
        <w:rPr>
          <w:rFonts w:hint="eastAsia" w:ascii="宋体" w:hAnsi="宋体" w:eastAsia="宋体" w:cs="宋体"/>
          <w:color w:val="auto"/>
          <w:szCs w:val="21"/>
          <w:highlight w:val="none"/>
          <w:lang w:val="zh-CN"/>
        </w:rPr>
        <w:t>4.1  投标费用</w:t>
      </w:r>
      <w:bookmarkEnd w:id="83"/>
      <w:bookmarkEnd w:id="84"/>
    </w:p>
    <w:p w14:paraId="78E527BF">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85" w:name="_Toc1977672"/>
      <w:bookmarkStart w:id="86" w:name="_Toc5337080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85"/>
      <w:bookmarkEnd w:id="86"/>
    </w:p>
    <w:p w14:paraId="5828DFA2">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87" w:name="_Toc1977673"/>
      <w:bookmarkStart w:id="88" w:name="_Toc533708073"/>
      <w:r>
        <w:rPr>
          <w:rFonts w:hint="eastAsia" w:ascii="宋体" w:hAnsi="宋体" w:eastAsia="宋体" w:cs="宋体"/>
          <w:color w:val="auto"/>
          <w:szCs w:val="21"/>
          <w:highlight w:val="none"/>
          <w:lang w:val="zh-CN"/>
        </w:rPr>
        <w:t>4.2  踏勘现场</w:t>
      </w:r>
      <w:bookmarkEnd w:id="87"/>
      <w:bookmarkEnd w:id="88"/>
    </w:p>
    <w:p w14:paraId="7B8C4A3B">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89" w:name="_Toc1977676"/>
      <w:bookmarkStart w:id="90" w:name="_Toc533708076"/>
      <w:r>
        <w:rPr>
          <w:rFonts w:hint="eastAsia" w:ascii="宋体" w:hAnsi="宋体" w:eastAsia="宋体" w:cs="Times New Roman"/>
          <w:color w:val="auto"/>
          <w:kern w:val="0"/>
          <w:szCs w:val="21"/>
          <w:highlight w:val="none"/>
        </w:rPr>
        <w:t>（1）本项目不组织集中踏勘现场和答疑，投标人应自行到实地踏勘考察。</w:t>
      </w:r>
    </w:p>
    <w:p w14:paraId="11CD50A8">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14:paraId="1C08FCA9">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25C67C82">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29D4BB09">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63"/>
      <w:bookmarkEnd w:id="64"/>
      <w:bookmarkEnd w:id="89"/>
      <w:bookmarkEnd w:id="90"/>
    </w:p>
    <w:p w14:paraId="2260040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14:paraId="2D6D715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14:paraId="6DD3D21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14:paraId="494C73A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540ABC2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1E40D8F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264C42ED">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41A8823C">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91" w:name="_Toc1565"/>
      <w:bookmarkStart w:id="92" w:name="_Toc140596876"/>
      <w:bookmarkStart w:id="93" w:name="_Toc450662853"/>
      <w:bookmarkStart w:id="94" w:name="_Toc5395"/>
      <w:bookmarkStart w:id="95" w:name="_Toc32441"/>
      <w:bookmarkStart w:id="96" w:name="_Toc486167667"/>
      <w:bookmarkStart w:id="97" w:name="_Toc4772"/>
      <w:bookmarkStart w:id="98" w:name="_Toc23213"/>
      <w:bookmarkStart w:id="99" w:name="_Toc30507_WPSOffice_Level2"/>
      <w:bookmarkStart w:id="100" w:name="_Toc27285"/>
      <w:bookmarkStart w:id="101" w:name="_Toc142508317"/>
      <w:r>
        <w:rPr>
          <w:rFonts w:hint="eastAsia" w:ascii="宋体" w:hAnsi="宋体" w:eastAsia="宋体" w:cs="宋体"/>
          <w:b/>
          <w:bCs/>
          <w:color w:val="auto"/>
          <w:kern w:val="44"/>
          <w:szCs w:val="21"/>
          <w:highlight w:val="none"/>
          <w:lang w:val="zh-CN"/>
        </w:rPr>
        <w:t>二、招标文件</w:t>
      </w:r>
      <w:bookmarkEnd w:id="91"/>
      <w:bookmarkEnd w:id="92"/>
      <w:bookmarkEnd w:id="93"/>
      <w:bookmarkEnd w:id="94"/>
      <w:bookmarkEnd w:id="95"/>
      <w:bookmarkEnd w:id="96"/>
      <w:bookmarkEnd w:id="97"/>
      <w:bookmarkEnd w:id="98"/>
      <w:bookmarkEnd w:id="99"/>
      <w:bookmarkEnd w:id="100"/>
      <w:bookmarkEnd w:id="101"/>
    </w:p>
    <w:p w14:paraId="6F56C0F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2" w:name="_Toc29780"/>
      <w:bookmarkStart w:id="103" w:name="_Toc3978"/>
      <w:bookmarkStart w:id="104" w:name="_Toc142508318"/>
      <w:bookmarkStart w:id="105" w:name="_Toc28893"/>
      <w:bookmarkStart w:id="106" w:name="_Toc450662854"/>
      <w:bookmarkStart w:id="107" w:name="_Toc25190"/>
      <w:bookmarkStart w:id="108" w:name="_Toc26635_WPSOffice_Level3"/>
      <w:bookmarkStart w:id="109" w:name="_Toc26629"/>
      <w:bookmarkStart w:id="110" w:name="_Toc486167668"/>
      <w:bookmarkStart w:id="111" w:name="_Toc2406"/>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102"/>
      <w:bookmarkEnd w:id="103"/>
      <w:bookmarkEnd w:id="104"/>
      <w:bookmarkEnd w:id="105"/>
      <w:bookmarkEnd w:id="106"/>
      <w:bookmarkEnd w:id="107"/>
      <w:bookmarkEnd w:id="108"/>
      <w:bookmarkEnd w:id="109"/>
      <w:bookmarkEnd w:id="110"/>
      <w:bookmarkEnd w:id="111"/>
    </w:p>
    <w:p w14:paraId="1685A6C6">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115C8DA4">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11DA58DA">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14:paraId="0D67B161">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7788045F">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14:paraId="1335E215">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6919A524">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1081CFFE">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14:paraId="09D9C481">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标志的部分为投标人、投标拟供服务必备的条件或重要指示），那么投标人的投标文件将有可能被拒绝接收或评审为无效投标文件</w:t>
      </w:r>
      <w:r>
        <w:rPr>
          <w:rFonts w:hint="eastAsia" w:ascii="宋体" w:hAnsi="宋体" w:eastAsia="宋体" w:cs="宋体"/>
          <w:b/>
          <w:bCs/>
          <w:color w:val="auto"/>
          <w:szCs w:val="21"/>
          <w:highlight w:val="none"/>
          <w:u w:val="single"/>
          <w:lang w:val="zh-CN"/>
        </w:rPr>
        <w:t>。</w:t>
      </w:r>
    </w:p>
    <w:p w14:paraId="0748B800">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2EF0233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东莞市众源环境投资有限公司</w:t>
      </w:r>
      <w:r>
        <w:rPr>
          <w:rFonts w:hint="eastAsia" w:ascii="宋体" w:hAnsi="宋体" w:eastAsia="宋体" w:cs="Times New Roman"/>
          <w:color w:val="auto"/>
          <w:kern w:val="0"/>
          <w:szCs w:val="21"/>
          <w:highlight w:val="none"/>
        </w:rPr>
        <w:t>；</w:t>
      </w:r>
    </w:p>
    <w:p w14:paraId="5E837D8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w:t>
      </w:r>
      <w:r>
        <w:rPr>
          <w:rFonts w:hint="eastAsia" w:ascii="宋体" w:hAnsi="宋体" w:eastAsia="宋体" w:cs="Times New Roman"/>
          <w:color w:val="auto"/>
          <w:kern w:val="0"/>
          <w:szCs w:val="21"/>
          <w:highlight w:val="none"/>
          <w:lang w:eastAsia="zh-CN"/>
        </w:rPr>
        <w:t>建成工程咨询股份有限公司</w:t>
      </w:r>
      <w:r>
        <w:rPr>
          <w:rFonts w:hint="eastAsia" w:ascii="宋体" w:hAnsi="宋体" w:eastAsia="宋体" w:cs="Times New Roman"/>
          <w:color w:val="auto"/>
          <w:kern w:val="0"/>
          <w:szCs w:val="21"/>
          <w:highlight w:val="none"/>
        </w:rPr>
        <w:t>；</w:t>
      </w:r>
    </w:p>
    <w:p w14:paraId="5B4830B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）“投标人”指参加</w:t>
      </w:r>
      <w:r>
        <w:rPr>
          <w:rFonts w:hint="eastAsia" w:ascii="宋体" w:hAnsi="宋体" w:eastAsia="宋体" w:cs="Times New Roman"/>
          <w:color w:val="auto"/>
          <w:kern w:val="0"/>
          <w:szCs w:val="21"/>
          <w:highlight w:val="none"/>
          <w:lang w:eastAsia="zh-CN"/>
        </w:rPr>
        <w:t>东莞市众源环境投资有限公司“特大城市市政污泥全过程管理体系”成效评估及提质增效路径研究技术服务采购项目</w:t>
      </w:r>
      <w:r>
        <w:rPr>
          <w:rFonts w:hint="eastAsia" w:ascii="宋体" w:hAnsi="宋体" w:eastAsia="宋体" w:cs="Times New Roman"/>
          <w:color w:val="auto"/>
          <w:kern w:val="0"/>
          <w:szCs w:val="21"/>
          <w:highlight w:val="none"/>
        </w:rPr>
        <w:t>所需的</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的投标，并向招标代理机构提交投标文件的当事人；</w:t>
      </w:r>
    </w:p>
    <w:p w14:paraId="0C019D8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14:paraId="6513C55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）“中标人”指其投标被招标人接受，并与招标人签订合同的当事人；</w:t>
      </w:r>
    </w:p>
    <w:p w14:paraId="77CD0F6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）“甲方”指在合同条款中指明的购买服务的单位，即</w:t>
      </w:r>
      <w:r>
        <w:rPr>
          <w:rFonts w:hint="eastAsia" w:ascii="宋体" w:hAnsi="宋体" w:eastAsia="宋体" w:cs="Times New Roman"/>
          <w:color w:val="auto"/>
          <w:kern w:val="0"/>
          <w:szCs w:val="21"/>
          <w:highlight w:val="none"/>
          <w:lang w:eastAsia="zh-CN"/>
        </w:rPr>
        <w:t>东莞市众源环境投资有限公司</w:t>
      </w:r>
      <w:r>
        <w:rPr>
          <w:rFonts w:hint="eastAsia" w:ascii="宋体" w:hAnsi="宋体" w:eastAsia="宋体" w:cs="Times New Roman"/>
          <w:color w:val="auto"/>
          <w:kern w:val="0"/>
          <w:szCs w:val="21"/>
          <w:highlight w:val="none"/>
        </w:rPr>
        <w:t>；</w:t>
      </w:r>
    </w:p>
    <w:p w14:paraId="3151A44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）“乙方”指在合同条款中指明的本合同项下提供服务的公司或实体；</w:t>
      </w:r>
    </w:p>
    <w:p w14:paraId="4AF7ADC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）“招标文件”指由招标代理机构发出的本招标文件，包括全部章节和附件；</w:t>
      </w:r>
    </w:p>
    <w:p w14:paraId="3DC3A35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）“投标文件”指投标人根据本招标文件向招标代理机构提交的全部文件；</w:t>
      </w:r>
    </w:p>
    <w:p w14:paraId="3C6D1E7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14:paraId="4C2B56D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）“合同”指由本次招标所产生的合同或合约文件；</w:t>
      </w:r>
    </w:p>
    <w:p w14:paraId="7D7D6B6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14:paraId="03B2D04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14:paraId="11AEC00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14</w:t>
      </w:r>
      <w:r>
        <w:rPr>
          <w:rFonts w:hint="eastAsia" w:ascii="宋体" w:hAnsi="宋体" w:eastAsia="宋体" w:cs="Times New Roman"/>
          <w:color w:val="auto"/>
          <w:kern w:val="0"/>
          <w:szCs w:val="21"/>
          <w:highlight w:val="none"/>
        </w:rPr>
        <w:t>）不含税价，即为《中华人民共和国增值税暂行条例》（国务院令第6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1D8E6FE4">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2CADC6E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12" w:name="_Toc11346"/>
      <w:bookmarkStart w:id="113" w:name="_Toc3727"/>
      <w:bookmarkStart w:id="114" w:name="_Toc29125_WPSOffice_Level3"/>
      <w:bookmarkStart w:id="115" w:name="_Toc450662855"/>
      <w:bookmarkStart w:id="116" w:name="_Toc1433"/>
      <w:bookmarkStart w:id="117" w:name="_Toc3943"/>
      <w:bookmarkStart w:id="118" w:name="_Toc4088"/>
      <w:bookmarkStart w:id="119" w:name="_Toc142508319"/>
      <w:bookmarkStart w:id="120" w:name="_Toc10480"/>
      <w:bookmarkStart w:id="121" w:name="_Toc486167669"/>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112"/>
      <w:bookmarkEnd w:id="113"/>
      <w:bookmarkEnd w:id="114"/>
      <w:bookmarkEnd w:id="115"/>
      <w:bookmarkEnd w:id="116"/>
      <w:bookmarkEnd w:id="117"/>
      <w:bookmarkEnd w:id="118"/>
      <w:bookmarkEnd w:id="119"/>
      <w:bookmarkEnd w:id="120"/>
      <w:bookmarkEnd w:id="121"/>
    </w:p>
    <w:p w14:paraId="361DA423">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019A22F5">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153FF3D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22" w:name="_Toc30606"/>
      <w:bookmarkStart w:id="123" w:name="_Toc486167670"/>
      <w:bookmarkStart w:id="124" w:name="_Toc142508320"/>
      <w:bookmarkStart w:id="125" w:name="_Toc6444"/>
      <w:bookmarkStart w:id="126" w:name="_Toc450662856"/>
      <w:bookmarkStart w:id="127" w:name="_Toc39"/>
      <w:bookmarkStart w:id="128" w:name="_Toc9936"/>
      <w:bookmarkStart w:id="129" w:name="_Toc29864"/>
      <w:bookmarkStart w:id="130" w:name="_Toc17145"/>
      <w:bookmarkStart w:id="131" w:name="_Toc23483_WPSOffice_Level3"/>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122"/>
      <w:bookmarkEnd w:id="123"/>
      <w:bookmarkEnd w:id="124"/>
      <w:bookmarkEnd w:id="125"/>
      <w:bookmarkEnd w:id="126"/>
      <w:bookmarkEnd w:id="127"/>
      <w:bookmarkEnd w:id="128"/>
      <w:bookmarkEnd w:id="129"/>
      <w:bookmarkEnd w:id="130"/>
      <w:bookmarkEnd w:id="131"/>
    </w:p>
    <w:p w14:paraId="6D32E56C">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14:paraId="527052D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23DD3C37">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hint="eastAsia" w:ascii="宋体" w:hAnsi="宋体" w:eastAsia="宋体" w:cs="Times New Roman"/>
          <w:bCs/>
          <w:color w:val="auto"/>
          <w:szCs w:val="21"/>
          <w:highlight w:val="none"/>
          <w:lang w:eastAsia="zh-CN"/>
        </w:rPr>
        <w:t>广东省公共资源交易平台（ygp.gdzwfw.gov.cn）、</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45"/>
          <w:rFonts w:ascii="宋体" w:hAnsi="宋体" w:eastAsia="宋体" w:cs="Times New Roman"/>
          <w:color w:val="auto"/>
          <w:sz w:val="21"/>
          <w:szCs w:val="21"/>
          <w:highlight w:val="none"/>
        </w:rPr>
        <w:t>www.dgswjt.cn）</w:t>
      </w:r>
      <w:r>
        <w:rPr>
          <w:rStyle w:val="45"/>
          <w:rFonts w:ascii="宋体" w:hAnsi="宋体" w:eastAsia="宋体" w:cs="Times New Roman"/>
          <w:color w:val="auto"/>
          <w:sz w:val="21"/>
          <w:szCs w:val="21"/>
          <w:highlight w:val="none"/>
          <w:lang w:val="zh-CN"/>
        </w:rPr>
        <w:t>、</w:t>
      </w:r>
      <w:r>
        <w:rPr>
          <w:rStyle w:val="45"/>
          <w:rFonts w:hint="eastAsia" w:ascii="宋体" w:hAnsi="宋体" w:eastAsia="宋体" w:cs="Times New Roman"/>
          <w:bCs/>
          <w:color w:val="auto"/>
          <w:kern w:val="0"/>
          <w:sz w:val="21"/>
          <w:szCs w:val="21"/>
          <w:highlight w:val="none"/>
        </w:rPr>
        <w:t>招标代理</w:t>
      </w:r>
      <w:r>
        <w:rPr>
          <w:rStyle w:val="45"/>
          <w:rFonts w:hint="eastAsia" w:ascii="宋体" w:hAnsi="宋体" w:eastAsia="宋体" w:cs="Times New Roman"/>
          <w:bCs/>
          <w:color w:val="auto"/>
          <w:kern w:val="0"/>
          <w:sz w:val="21"/>
          <w:szCs w:val="21"/>
          <w:highlight w:val="none"/>
          <w:lang w:val="en-US" w:eastAsia="zh-CN"/>
        </w:rPr>
        <w:t>机构</w:t>
      </w:r>
      <w:r>
        <w:rPr>
          <w:rStyle w:val="45"/>
          <w:rFonts w:hint="eastAsia" w:ascii="宋体" w:hAnsi="宋体" w:eastAsia="宋体" w:cs="Times New Roman"/>
          <w:bCs/>
          <w:color w:val="auto"/>
          <w:kern w:val="0"/>
          <w:sz w:val="21"/>
          <w:szCs w:val="21"/>
          <w:highlight w:val="none"/>
        </w:rPr>
        <w:t>网站（www.gzjc.com.cn</w:t>
      </w:r>
      <w:r>
        <w:rPr>
          <w:rStyle w:val="45"/>
          <w:rFonts w:ascii="宋体" w:hAnsi="宋体" w:eastAsia="宋体" w:cs="Times New Roman"/>
          <w:bCs/>
          <w:color w:val="auto"/>
          <w:kern w:val="0"/>
          <w:sz w:val="21"/>
          <w:szCs w:val="21"/>
          <w:highlight w:val="none"/>
        </w:rPr>
        <w:t>）</w:t>
      </w:r>
      <w:r>
        <w:rPr>
          <w:rStyle w:val="45"/>
          <w:rFonts w:ascii="宋体" w:hAnsi="宋体" w:eastAsia="宋体" w:cs="Times New Roman"/>
          <w:bCs/>
          <w:color w:val="auto"/>
          <w:kern w:val="0"/>
          <w:sz w:val="21"/>
          <w:szCs w:val="21"/>
          <w:highlight w:val="none"/>
        </w:rPr>
        <w:fldChar w:fldCharType="end"/>
      </w:r>
      <w:r>
        <w:rPr>
          <w:rFonts w:hint="eastAsia" w:ascii="宋体" w:hAnsi="宋体" w:eastAsia="宋体" w:cs="宋体"/>
          <w:color w:val="auto"/>
          <w:szCs w:val="21"/>
          <w:highlight w:val="none"/>
          <w:lang w:val="zh-CN"/>
        </w:rPr>
        <w:t>公布，请各投标人密切留意。</w:t>
      </w:r>
    </w:p>
    <w:p w14:paraId="469F0640">
      <w:pPr>
        <w:autoSpaceDE w:val="0"/>
        <w:autoSpaceDN w:val="0"/>
        <w:adjustRightInd w:val="0"/>
        <w:spacing w:line="360" w:lineRule="auto"/>
        <w:ind w:left="357" w:leftChars="-100" w:hanging="567"/>
        <w:rPr>
          <w:rFonts w:ascii="宋体" w:hAnsi="宋体" w:eastAsia="宋体" w:cs="宋体"/>
          <w:color w:val="auto"/>
          <w:szCs w:val="21"/>
          <w:highlight w:val="none"/>
        </w:rPr>
      </w:pPr>
    </w:p>
    <w:p w14:paraId="1CC45FC8">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32" w:name="_Toc486167671"/>
      <w:bookmarkStart w:id="133" w:name="_Toc46"/>
      <w:bookmarkStart w:id="134" w:name="_Toc24932"/>
      <w:bookmarkStart w:id="135" w:name="_Toc23342"/>
      <w:bookmarkStart w:id="136" w:name="_Toc7950"/>
      <w:bookmarkStart w:id="137" w:name="_Toc140596880"/>
      <w:bookmarkStart w:id="138" w:name="_Toc142508321"/>
      <w:bookmarkStart w:id="139" w:name="_Toc29659_WPSOffice_Level2"/>
      <w:bookmarkStart w:id="140" w:name="_Toc8711"/>
      <w:bookmarkStart w:id="141" w:name="_Toc27196"/>
      <w:bookmarkStart w:id="142" w:name="_Toc450662857"/>
      <w:r>
        <w:rPr>
          <w:rFonts w:hint="eastAsia" w:ascii="宋体" w:hAnsi="宋体" w:eastAsia="宋体" w:cs="宋体"/>
          <w:b/>
          <w:bCs/>
          <w:color w:val="auto"/>
          <w:kern w:val="44"/>
          <w:szCs w:val="21"/>
          <w:highlight w:val="none"/>
          <w:lang w:val="zh-CN"/>
        </w:rPr>
        <w:t>三、投标文件的编制</w:t>
      </w:r>
      <w:bookmarkEnd w:id="132"/>
      <w:bookmarkEnd w:id="133"/>
      <w:bookmarkEnd w:id="134"/>
      <w:bookmarkEnd w:id="135"/>
      <w:bookmarkEnd w:id="136"/>
      <w:bookmarkEnd w:id="137"/>
      <w:bookmarkEnd w:id="138"/>
      <w:bookmarkEnd w:id="139"/>
      <w:bookmarkEnd w:id="140"/>
      <w:bookmarkEnd w:id="141"/>
      <w:bookmarkEnd w:id="142"/>
    </w:p>
    <w:p w14:paraId="29FB7042">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3" w:name="_Toc450662858"/>
      <w:bookmarkStart w:id="144" w:name="_Toc3827"/>
      <w:bookmarkStart w:id="145" w:name="_Toc10015_WPSOffice_Level3"/>
      <w:bookmarkStart w:id="146" w:name="_Toc31162"/>
      <w:bookmarkStart w:id="147" w:name="_Toc14164"/>
      <w:bookmarkStart w:id="148" w:name="_Toc29376"/>
      <w:bookmarkStart w:id="149" w:name="_Toc486167672"/>
      <w:bookmarkStart w:id="150" w:name="_Toc142508322"/>
      <w:bookmarkStart w:id="151" w:name="_Toc6244"/>
      <w:bookmarkStart w:id="152" w:name="_Toc18243"/>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43"/>
      <w:bookmarkEnd w:id="144"/>
      <w:bookmarkEnd w:id="145"/>
      <w:bookmarkEnd w:id="146"/>
      <w:bookmarkEnd w:id="147"/>
      <w:bookmarkEnd w:id="148"/>
      <w:bookmarkEnd w:id="149"/>
      <w:bookmarkEnd w:id="150"/>
      <w:bookmarkEnd w:id="151"/>
      <w:bookmarkEnd w:id="152"/>
    </w:p>
    <w:p w14:paraId="2746C8E4">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617E33EC">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0205A2BA">
      <w:pPr>
        <w:autoSpaceDE w:val="0"/>
        <w:autoSpaceDN w:val="0"/>
        <w:adjustRightInd w:val="0"/>
        <w:spacing w:line="360" w:lineRule="auto"/>
        <w:rPr>
          <w:rFonts w:ascii="宋体" w:hAnsi="宋体" w:eastAsia="宋体" w:cs="宋体"/>
          <w:color w:val="auto"/>
          <w:szCs w:val="21"/>
          <w:highlight w:val="none"/>
          <w:lang w:val="zh-CN"/>
        </w:rPr>
      </w:pPr>
    </w:p>
    <w:p w14:paraId="751232BB">
      <w:pPr>
        <w:tabs>
          <w:tab w:val="left" w:pos="540"/>
        </w:tabs>
        <w:autoSpaceDE w:val="0"/>
        <w:autoSpaceDN w:val="0"/>
        <w:adjustRightInd w:val="0"/>
        <w:spacing w:line="360" w:lineRule="auto"/>
        <w:ind w:left="0" w:leftChars="0" w:firstLine="0"/>
        <w:jc w:val="left"/>
        <w:outlineLvl w:val="2"/>
        <w:rPr>
          <w:rFonts w:ascii="宋体" w:hAnsi="宋体" w:eastAsia="宋体" w:cs="宋体"/>
          <w:color w:val="auto"/>
          <w:sz w:val="24"/>
          <w:szCs w:val="24"/>
          <w:highlight w:val="none"/>
          <w:lang w:val="zh-CN"/>
        </w:rPr>
      </w:pPr>
      <w:bookmarkStart w:id="153" w:name="_Toc450662859"/>
      <w:bookmarkStart w:id="154" w:name="_Toc486167673"/>
      <w:bookmarkStart w:id="155" w:name="_Toc142508323"/>
      <w:bookmarkStart w:id="156" w:name="_Toc21378"/>
      <w:bookmarkStart w:id="157" w:name="_Toc24916_WPSOffice_Level3"/>
      <w:bookmarkStart w:id="158" w:name="_Toc7348"/>
      <w:bookmarkStart w:id="159" w:name="_Toc18"/>
      <w:bookmarkStart w:id="160" w:name="_Toc26462"/>
      <w:bookmarkStart w:id="161" w:name="_Toc14943"/>
      <w:bookmarkStart w:id="162" w:name="_Toc30406"/>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53"/>
      <w:bookmarkEnd w:id="154"/>
      <w:bookmarkEnd w:id="155"/>
      <w:bookmarkEnd w:id="156"/>
      <w:bookmarkEnd w:id="157"/>
      <w:bookmarkEnd w:id="158"/>
      <w:bookmarkEnd w:id="159"/>
      <w:bookmarkEnd w:id="160"/>
      <w:bookmarkEnd w:id="161"/>
      <w:bookmarkEnd w:id="162"/>
    </w:p>
    <w:p w14:paraId="04ECC092">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14:paraId="45810655">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14:paraId="371034B2">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4EEE62F5">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434A7E5C">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304EB16C">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14:paraId="456843FD">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w:t>
      </w:r>
    </w:p>
    <w:p w14:paraId="42AC089F">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14:paraId="657048CC">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14:paraId="6EF92F19">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开户许可证复印件（基本存款账户）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14:paraId="447460DD">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14:paraId="60807C5B">
      <w:pPr>
        <w:autoSpaceDE w:val="0"/>
        <w:autoSpaceDN w:val="0"/>
        <w:adjustRightInd w:val="0"/>
        <w:spacing w:line="360" w:lineRule="auto"/>
        <w:ind w:left="283" w:hanging="283" w:hangingChars="135"/>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val="zh-CN" w:eastAsia="zh-CN"/>
        </w:rPr>
        <w:t>）</w:t>
      </w:r>
      <w:r>
        <w:rPr>
          <w:rFonts w:hint="eastAsia" w:ascii="宋体" w:hAnsi="宋体" w:eastAsia="宋体" w:cs="Times New Roman"/>
          <w:color w:val="auto"/>
          <w:szCs w:val="21"/>
          <w:highlight w:val="none"/>
          <w:lang w:val="en-US" w:eastAsia="zh-CN"/>
        </w:rPr>
        <w:t>资格业绩【</w:t>
      </w:r>
      <w:r>
        <w:rPr>
          <w:rFonts w:hint="eastAsia" w:ascii="宋体" w:hAnsi="宋体" w:eastAsia="宋体" w:cs="Times New Roman"/>
          <w:color w:val="auto"/>
          <w:szCs w:val="21"/>
          <w:highlight w:val="none"/>
        </w:rPr>
        <w:t>投标人</w:t>
      </w:r>
      <w:r>
        <w:rPr>
          <w:rFonts w:hint="eastAsia" w:ascii="宋体" w:hAnsi="宋体" w:eastAsia="宋体" w:cs="Times New Roman"/>
          <w:color w:val="auto"/>
          <w:szCs w:val="21"/>
          <w:highlight w:val="none"/>
          <w:lang w:eastAsia="zh-CN"/>
        </w:rPr>
        <w:t>2022年1月1日</w:t>
      </w:r>
      <w:r>
        <w:rPr>
          <w:rFonts w:hint="eastAsia" w:ascii="宋体" w:hAnsi="宋体" w:eastAsia="宋体" w:cs="Times New Roman"/>
          <w:color w:val="auto"/>
          <w:szCs w:val="21"/>
          <w:highlight w:val="none"/>
        </w:rPr>
        <w:t>以来具有一份生态环境领域</w:t>
      </w:r>
      <w:r>
        <w:rPr>
          <w:rFonts w:hint="eastAsia" w:ascii="宋体" w:hAnsi="宋体" w:eastAsia="宋体" w:cs="Times New Roman"/>
          <w:color w:val="auto"/>
          <w:szCs w:val="21"/>
          <w:highlight w:val="none"/>
          <w:lang w:eastAsia="zh-CN"/>
        </w:rPr>
        <w:t>技术研究服务同类业绩</w:t>
      </w:r>
      <w:r>
        <w:rPr>
          <w:rFonts w:hint="eastAsia" w:ascii="宋体" w:hAnsi="宋体" w:eastAsia="宋体" w:cs="Times New Roman"/>
          <w:color w:val="auto"/>
          <w:szCs w:val="21"/>
          <w:highlight w:val="none"/>
        </w:rPr>
        <w:t>（合同签订日期为</w:t>
      </w:r>
      <w:r>
        <w:rPr>
          <w:rFonts w:hint="eastAsia" w:ascii="宋体" w:hAnsi="宋体" w:eastAsia="宋体" w:cs="Times New Roman"/>
          <w:color w:val="auto"/>
          <w:szCs w:val="21"/>
          <w:highlight w:val="none"/>
          <w:lang w:eastAsia="zh-CN"/>
        </w:rPr>
        <w:t>2022年1月1日</w:t>
      </w:r>
      <w:r>
        <w:rPr>
          <w:rFonts w:hint="eastAsia" w:ascii="宋体" w:hAnsi="宋体" w:eastAsia="宋体" w:cs="Times New Roman"/>
          <w:color w:val="auto"/>
          <w:szCs w:val="21"/>
          <w:highlight w:val="none"/>
        </w:rPr>
        <w:t>或以后）。</w:t>
      </w:r>
      <w:r>
        <w:rPr>
          <w:rFonts w:hint="eastAsia" w:ascii="宋体" w:hAnsi="宋体" w:eastAsia="宋体"/>
          <w:color w:val="auto"/>
          <w:szCs w:val="21"/>
          <w:highlight w:val="none"/>
        </w:rPr>
        <w:t>资格业绩证明材料提交要求详见招标文件第六篇投标文件格式</w:t>
      </w:r>
      <w:r>
        <w:rPr>
          <w:rFonts w:hint="eastAsia" w:ascii="宋体" w:hAnsi="宋体" w:eastAsia="宋体"/>
          <w:color w:val="auto"/>
          <w:szCs w:val="21"/>
          <w:highlight w:val="none"/>
          <w:u w:val="single"/>
          <w:lang w:val="en-US" w:eastAsia="zh-CN"/>
        </w:rPr>
        <w:t>5</w:t>
      </w:r>
      <w:r>
        <w:rPr>
          <w:rFonts w:hint="eastAsia" w:ascii="宋体" w:hAnsi="宋体" w:eastAsia="宋体"/>
          <w:color w:val="auto"/>
          <w:szCs w:val="21"/>
          <w:highlight w:val="none"/>
          <w:u w:val="single"/>
        </w:rPr>
        <w:t>.</w:t>
      </w:r>
      <w:r>
        <w:rPr>
          <w:rFonts w:hint="eastAsia" w:ascii="宋体" w:hAnsi="宋体" w:eastAsia="宋体"/>
          <w:color w:val="auto"/>
          <w:szCs w:val="21"/>
          <w:highlight w:val="none"/>
          <w:u w:val="single"/>
          <w:lang w:val="en-US" w:eastAsia="zh-CN"/>
        </w:rPr>
        <w:t>4</w:t>
      </w:r>
      <w:r>
        <w:rPr>
          <w:rFonts w:hint="eastAsia" w:ascii="宋体" w:hAnsi="宋体" w:eastAsia="宋体" w:cs="Times New Roman"/>
          <w:color w:val="auto"/>
          <w:szCs w:val="21"/>
          <w:highlight w:val="none"/>
          <w:lang w:val="en-US" w:eastAsia="zh-CN"/>
        </w:rPr>
        <w:t>】</w:t>
      </w:r>
    </w:p>
    <w:p w14:paraId="6B641D4E">
      <w:pPr>
        <w:autoSpaceDE w:val="0"/>
        <w:autoSpaceDN w:val="0"/>
        <w:adjustRightInd w:val="0"/>
        <w:spacing w:line="360" w:lineRule="auto"/>
        <w:ind w:left="913" w:hanging="913" w:hangingChars="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59FE70AF">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14:paraId="0235A1B3">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）合同条款响应程度（合同条款偏离表）；</w:t>
      </w:r>
    </w:p>
    <w:p w14:paraId="7CA12786">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zh-CN"/>
        </w:rPr>
        <w:t>）业绩表；</w:t>
      </w:r>
    </w:p>
    <w:p w14:paraId="4FC03DBF">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）科研实力</w:t>
      </w:r>
      <w:r>
        <w:rPr>
          <w:rFonts w:hint="eastAsia" w:ascii="宋体" w:hAnsi="宋体" w:eastAsia="宋体" w:cs="宋体"/>
          <w:color w:val="auto"/>
          <w:szCs w:val="21"/>
          <w:highlight w:val="none"/>
          <w:lang w:val="en-US" w:eastAsia="zh-CN"/>
        </w:rPr>
        <w:t>资料</w:t>
      </w:r>
      <w:r>
        <w:rPr>
          <w:rFonts w:hint="eastAsia" w:ascii="宋体" w:hAnsi="宋体" w:eastAsia="宋体" w:cs="宋体"/>
          <w:color w:val="auto"/>
          <w:szCs w:val="21"/>
          <w:highlight w:val="none"/>
          <w:lang w:val="zh-CN"/>
        </w:rPr>
        <w:t>；</w:t>
      </w:r>
    </w:p>
    <w:p w14:paraId="2062D129">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）投标保证金汇入情况说明；</w:t>
      </w:r>
    </w:p>
    <w:p w14:paraId="67C6CB6B">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14:paraId="4D6CA639">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096540F0">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1883D760">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（1）用户需求响应程度（即用户需求偏离表）；</w:t>
      </w:r>
    </w:p>
    <w:p w14:paraId="2AE1B6C6">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（2）项目总体研究方案；</w:t>
      </w:r>
    </w:p>
    <w:p w14:paraId="386BDE1C">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bookmarkStart w:id="163" w:name="OLE_LINK1"/>
      <w:r>
        <w:rPr>
          <w:rFonts w:hint="eastAsia" w:ascii="宋体" w:hAnsi="宋体" w:eastAsia="宋体" w:cs="宋体"/>
          <w:color w:val="auto"/>
          <w:kern w:val="0"/>
          <w:szCs w:val="21"/>
          <w:highlight w:val="none"/>
        </w:rPr>
        <w:t>项目重点、难点分析方案；</w:t>
      </w:r>
      <w:bookmarkEnd w:id="163"/>
    </w:p>
    <w:p w14:paraId="29A04EE2">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人员配置方案</w:t>
      </w:r>
      <w:r>
        <w:rPr>
          <w:rFonts w:hint="eastAsia" w:ascii="宋体" w:hAnsi="宋体" w:eastAsia="宋体" w:cs="宋体"/>
          <w:color w:val="auto"/>
          <w:kern w:val="0"/>
          <w:szCs w:val="21"/>
          <w:highlight w:val="none"/>
        </w:rPr>
        <w:t>；</w:t>
      </w:r>
    </w:p>
    <w:p w14:paraId="24F68F6C">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）投标人认为有必要提供的其它材料（不做强制要求）。</w:t>
      </w:r>
    </w:p>
    <w:p w14:paraId="0DEEAEAA">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14:paraId="105DBA89">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14:paraId="25EA6184">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14:paraId="3578B479">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4558DC8E">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1A90CBE5">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6DF5246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197A6858">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4B5FED3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4" w:name="_Toc17888"/>
      <w:bookmarkStart w:id="165" w:name="_Toc13214"/>
      <w:bookmarkStart w:id="166" w:name="_Toc11170"/>
      <w:bookmarkStart w:id="167" w:name="_Toc8675_WPSOffice_Level3"/>
      <w:bookmarkStart w:id="168" w:name="_Toc450662860"/>
      <w:bookmarkStart w:id="169" w:name="_Toc23562"/>
      <w:bookmarkStart w:id="170" w:name="_Toc486167674"/>
      <w:bookmarkStart w:id="171" w:name="_Toc31771"/>
      <w:bookmarkStart w:id="172" w:name="_Toc11972"/>
      <w:bookmarkStart w:id="173" w:name="_Toc142508324"/>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64"/>
      <w:bookmarkEnd w:id="165"/>
      <w:bookmarkEnd w:id="166"/>
      <w:bookmarkEnd w:id="167"/>
      <w:bookmarkEnd w:id="168"/>
      <w:bookmarkEnd w:id="169"/>
      <w:bookmarkEnd w:id="170"/>
      <w:bookmarkEnd w:id="171"/>
      <w:bookmarkEnd w:id="172"/>
      <w:bookmarkEnd w:id="173"/>
    </w:p>
    <w:p w14:paraId="24808010">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7360C5B9">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5DEB9B5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4" w:name="_Toc15427"/>
      <w:bookmarkStart w:id="175" w:name="_Toc450662861"/>
      <w:bookmarkStart w:id="176" w:name="_Toc21847"/>
      <w:bookmarkStart w:id="177" w:name="_Toc4385_WPSOffice_Level3"/>
      <w:bookmarkStart w:id="178" w:name="_Toc20186"/>
      <w:bookmarkStart w:id="179" w:name="_Toc142508325"/>
      <w:bookmarkStart w:id="180" w:name="_Toc24311"/>
      <w:bookmarkStart w:id="181" w:name="_Toc486167675"/>
      <w:bookmarkStart w:id="182" w:name="_Toc1391"/>
      <w:bookmarkStart w:id="183" w:name="_Toc13925"/>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74"/>
      <w:bookmarkEnd w:id="175"/>
      <w:bookmarkEnd w:id="176"/>
      <w:bookmarkEnd w:id="177"/>
      <w:bookmarkEnd w:id="178"/>
      <w:bookmarkEnd w:id="179"/>
      <w:bookmarkEnd w:id="180"/>
      <w:bookmarkEnd w:id="181"/>
      <w:bookmarkEnd w:id="182"/>
      <w:bookmarkEnd w:id="183"/>
    </w:p>
    <w:p w14:paraId="40BA012B">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11.1 </w:t>
      </w:r>
      <w:r>
        <w:rPr>
          <w:rFonts w:hint="eastAsia" w:ascii="宋体" w:hAnsi="宋体" w:eastAsia="宋体" w:cs="宋体"/>
          <w:b/>
          <w:color w:val="auto"/>
          <w:szCs w:val="21"/>
          <w:highlight w:val="none"/>
          <w:u w:val="single"/>
          <w:lang w:val="zh-CN"/>
        </w:rPr>
        <w:t>本项目</w:t>
      </w:r>
      <w:r>
        <w:rPr>
          <w:rFonts w:hint="eastAsia" w:ascii="宋体" w:hAnsi="宋体" w:eastAsia="宋体" w:cs="Times New Roman"/>
          <w:b/>
          <w:color w:val="auto"/>
          <w:szCs w:val="21"/>
          <w:highlight w:val="none"/>
          <w:u w:val="single"/>
          <w:lang w:val="zh-CN"/>
        </w:rPr>
        <w:t>只允许有一个报价价格，任何有选择的或</w:t>
      </w:r>
      <w:r>
        <w:rPr>
          <w:rFonts w:hint="eastAsia" w:ascii="宋体" w:hAnsi="宋体" w:eastAsia="宋体" w:cs="Times New Roman"/>
          <w:b/>
          <w:color w:val="auto"/>
          <w:kern w:val="0"/>
          <w:szCs w:val="21"/>
          <w:highlight w:val="none"/>
          <w:u w:val="single"/>
          <w:lang w:val="zh-CN"/>
        </w:rPr>
        <w:t>不是固定价的</w:t>
      </w:r>
      <w:r>
        <w:rPr>
          <w:rFonts w:hint="eastAsia" w:ascii="宋体" w:hAnsi="宋体" w:eastAsia="宋体" w:cs="Times New Roman"/>
          <w:b/>
          <w:color w:val="auto"/>
          <w:szCs w:val="21"/>
          <w:highlight w:val="none"/>
          <w:u w:val="single"/>
          <w:lang w:val="zh-CN"/>
        </w:rPr>
        <w:t>投标报价将不予接受，</w:t>
      </w:r>
      <w:r>
        <w:rPr>
          <w:rFonts w:hint="eastAsia" w:ascii="宋体" w:hAnsi="宋体" w:eastAsia="宋体" w:cs="Times New Roman"/>
          <w:b/>
          <w:color w:val="auto"/>
          <w:kern w:val="0"/>
          <w:szCs w:val="21"/>
          <w:highlight w:val="none"/>
          <w:u w:val="single"/>
          <w:lang w:val="zh-CN"/>
        </w:rPr>
        <w:t>作为非实质性响应投标而予以拒绝。</w:t>
      </w:r>
      <w:r>
        <w:rPr>
          <w:rFonts w:hint="eastAsia" w:ascii="宋体" w:hAnsi="宋体" w:eastAsia="宋体" w:cs="Times New Roman"/>
          <w:b/>
          <w:color w:val="auto"/>
          <w:kern w:val="0"/>
          <w:szCs w:val="21"/>
          <w:highlight w:val="none"/>
          <w:u w:val="single"/>
        </w:rPr>
        <w:t>投标人不得以低于企业自身成本的价格竞投</w:t>
      </w:r>
      <w:r>
        <w:rPr>
          <w:rFonts w:hint="eastAsia" w:ascii="宋体" w:hAnsi="宋体" w:eastAsia="宋体" w:cs="宋体"/>
          <w:b/>
          <w:color w:val="auto"/>
          <w:szCs w:val="21"/>
          <w:highlight w:val="none"/>
          <w:lang w:val="zh-CN"/>
        </w:rPr>
        <w:t>。</w:t>
      </w:r>
    </w:p>
    <w:p w14:paraId="01370501">
      <w:pPr>
        <w:tabs>
          <w:tab w:val="left" w:pos="567"/>
        </w:tabs>
        <w:autoSpaceDE w:val="0"/>
        <w:autoSpaceDN w:val="0"/>
        <w:adjustRightInd w:val="0"/>
        <w:spacing w:line="360" w:lineRule="auto"/>
        <w:ind w:left="420" w:leftChars="200" w:firstLine="420"/>
        <w:rPr>
          <w:rFonts w:hint="eastAsia" w:ascii="宋体" w:hAnsi="宋体" w:eastAsia="宋体" w:cs="宋体"/>
          <w:b/>
          <w:color w:val="auto"/>
          <w:szCs w:val="21"/>
          <w:highlight w:val="none"/>
          <w:u w:val="single"/>
          <w:lang w:val="zh-CN"/>
        </w:rPr>
      </w:pPr>
      <w:r>
        <w:rPr>
          <w:rFonts w:hint="eastAsia" w:ascii="宋体" w:hAnsi="宋体" w:eastAsia="宋体" w:cs="宋体"/>
          <w:b/>
          <w:color w:val="auto"/>
          <w:szCs w:val="21"/>
          <w:highlight w:val="none"/>
          <w:u w:val="singl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r>
        <w:rPr>
          <w:rFonts w:hint="eastAsia" w:ascii="宋体" w:hAnsi="宋体" w:eastAsia="宋体" w:cs="宋体"/>
          <w:b/>
          <w:color w:val="auto"/>
          <w:szCs w:val="21"/>
          <w:highlight w:val="none"/>
          <w:lang w:val="zh-CN"/>
        </w:rPr>
        <w:t>。</w:t>
      </w:r>
    </w:p>
    <w:p w14:paraId="0885AE4B">
      <w:pPr>
        <w:tabs>
          <w:tab w:val="left" w:pos="567"/>
        </w:tabs>
        <w:autoSpaceDE w:val="0"/>
        <w:autoSpaceDN w:val="0"/>
        <w:adjustRightInd w:val="0"/>
        <w:spacing w:line="360" w:lineRule="auto"/>
        <w:ind w:left="420" w:leftChars="200" w:firstLine="420"/>
        <w:rPr>
          <w:rFonts w:ascii="宋体" w:hAnsi="宋体" w:eastAsia="宋体" w:cs="宋体"/>
          <w:b/>
          <w:color w:val="auto"/>
          <w:szCs w:val="21"/>
          <w:highlight w:val="none"/>
          <w:lang w:val="zh-CN"/>
        </w:rPr>
      </w:pPr>
      <w:r>
        <w:rPr>
          <w:rFonts w:hint="eastAsia" w:ascii="宋体" w:hAnsi="宋体" w:eastAsia="宋体" w:cs="宋体"/>
          <w:b/>
          <w:color w:val="auto"/>
          <w:szCs w:val="21"/>
          <w:highlight w:val="none"/>
          <w:u w:val="single"/>
          <w:lang w:val="zh-CN"/>
        </w:rPr>
        <w:t>对是否低于企业成本价报价的事宜有争议的投标文件，评标委员会成员将以记名方式表决，</w:t>
      </w:r>
      <w:r>
        <w:rPr>
          <w:rFonts w:hint="eastAsia" w:ascii="宋体" w:hAnsi="宋体" w:eastAsia="宋体" w:cs="宋体"/>
          <w:b/>
          <w:color w:val="auto"/>
          <w:szCs w:val="21"/>
          <w:highlight w:val="none"/>
          <w:u w:val="single"/>
          <w:lang w:val="en-US" w:eastAsia="zh-CN"/>
        </w:rPr>
        <w:t>根据少数服从多数的原则，获多数表决通过</w:t>
      </w:r>
      <w:r>
        <w:rPr>
          <w:rFonts w:hint="eastAsia" w:ascii="宋体" w:hAnsi="宋体" w:eastAsia="宋体" w:cs="宋体"/>
          <w:b/>
          <w:color w:val="auto"/>
          <w:szCs w:val="21"/>
          <w:highlight w:val="none"/>
          <w:u w:val="single"/>
          <w:lang w:val="zh-CN"/>
        </w:rPr>
        <w:t>的投标人才有资格进入下一阶段的评审，否则将按无效投标处理</w:t>
      </w:r>
      <w:r>
        <w:rPr>
          <w:rFonts w:hint="eastAsia" w:ascii="宋体" w:hAnsi="宋体" w:eastAsia="宋体" w:cs="宋体"/>
          <w:b/>
          <w:color w:val="auto"/>
          <w:szCs w:val="21"/>
          <w:highlight w:val="none"/>
          <w:lang w:val="zh-CN"/>
        </w:rPr>
        <w:t>。</w:t>
      </w:r>
    </w:p>
    <w:p w14:paraId="452288E3">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lang w:val="en-US" w:eastAsia="zh-CN"/>
        </w:rPr>
        <w:tab/>
      </w:r>
      <w:r>
        <w:rPr>
          <w:rFonts w:hint="eastAsia" w:ascii="宋体" w:hAnsi="宋体" w:eastAsia="宋体" w:cs="宋体"/>
          <w:b/>
          <w:color w:val="auto"/>
          <w:szCs w:val="21"/>
          <w:highlight w:val="none"/>
          <w:lang w:val="en-US" w:eastAsia="zh-CN"/>
        </w:rPr>
        <w:t>本项目投标报价为不含税价，即为《中华人民共和国增值税暂行条例》（国务院令第691号修订版）规定的销售额</w:t>
      </w:r>
      <w:r>
        <w:rPr>
          <w:rFonts w:hint="eastAsia" w:ascii="宋体" w:hAnsi="宋体" w:eastAsia="宋体" w:cs="Times New Roman"/>
          <w:color w:val="auto"/>
          <w:szCs w:val="21"/>
          <w:highlight w:val="none"/>
          <w:lang w:val="zh-CN"/>
        </w:rPr>
        <w:t>。</w:t>
      </w:r>
      <w:r>
        <w:rPr>
          <w:rFonts w:hint="eastAsia" w:ascii="宋体" w:hAnsi="宋体" w:eastAsia="宋体" w:cs="宋体"/>
          <w:color w:val="auto"/>
          <w:szCs w:val="21"/>
          <w:highlight w:val="none"/>
          <w:lang w:val="zh-CN"/>
        </w:rPr>
        <w:t>本招标文件所称的不含税价和不含税合同价是指不含本采购项目投标人的销项税额，</w:t>
      </w:r>
      <w:r>
        <w:rPr>
          <w:rFonts w:hint="eastAsia" w:ascii="宋体" w:hAnsi="宋体" w:eastAsia="宋体" w:cs="Times New Roman"/>
          <w:color w:val="auto"/>
          <w:szCs w:val="21"/>
          <w:highlight w:val="none"/>
          <w:lang w:val="zh-CN"/>
        </w:rPr>
        <w:t>包含了投标人完成合同义务（含投标人代缴代扣、分包及委外服务、采购货物等所产生的价税）的其他全部费用。</w:t>
      </w:r>
      <w:r>
        <w:rPr>
          <w:rFonts w:hint="eastAsia" w:ascii="宋体" w:hAnsi="宋体" w:eastAsia="宋体" w:cs="宋体"/>
          <w:color w:val="auto"/>
          <w:kern w:val="0"/>
          <w:szCs w:val="21"/>
          <w:highlight w:val="none"/>
        </w:rPr>
        <w:t xml:space="preserve">本采购项目投标报价已含投标人履行本招标内容全部义务的一切费用，包括但不限于： </w:t>
      </w:r>
    </w:p>
    <w:p w14:paraId="6C22A8B5">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lang w:val="zh-CN"/>
        </w:rPr>
        <w:t>履行本项目合同所发生的企业调研、技术指导、成果资料编制、人员培训、工作会务、</w:t>
      </w:r>
      <w:r>
        <w:rPr>
          <w:rFonts w:hint="eastAsia" w:ascii="宋体" w:hAnsi="宋体" w:eastAsia="宋体" w:cs="宋体"/>
          <w:color w:val="auto"/>
          <w:szCs w:val="21"/>
          <w:highlight w:val="none"/>
          <w:lang w:val="en-US" w:eastAsia="zh-CN"/>
        </w:rPr>
        <w:t>组织专家评审</w:t>
      </w:r>
      <w:r>
        <w:rPr>
          <w:rFonts w:hint="eastAsia" w:ascii="宋体" w:hAnsi="宋体" w:eastAsia="宋体" w:cs="宋体"/>
          <w:color w:val="auto"/>
          <w:szCs w:val="21"/>
          <w:highlight w:val="none"/>
          <w:lang w:val="zh-CN"/>
        </w:rPr>
        <w:t>、成果资料申报、档案管理、配合服务、</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lang w:val="zh-CN"/>
        </w:rPr>
        <w:t>服务期间工人工资、办公费、管理费、住宿费、交通费、通讯费、保险等一切费用；</w:t>
      </w:r>
    </w:p>
    <w:p w14:paraId="24CCB23A">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（2）合理利润</w:t>
      </w:r>
      <w:r>
        <w:rPr>
          <w:rFonts w:hint="eastAsia" w:ascii="宋体" w:hAnsi="宋体" w:eastAsia="宋体" w:cs="宋体"/>
          <w:color w:val="auto"/>
          <w:kern w:val="0"/>
          <w:szCs w:val="21"/>
          <w:highlight w:val="none"/>
        </w:rPr>
        <w:t>、投标人销项税额以外的税费</w:t>
      </w:r>
      <w:r>
        <w:rPr>
          <w:rFonts w:hint="eastAsia" w:ascii="宋体" w:hAnsi="宋体" w:eastAsia="宋体" w:cs="宋体"/>
          <w:color w:val="auto"/>
          <w:szCs w:val="21"/>
          <w:highlight w:val="none"/>
          <w:lang w:val="zh-CN"/>
        </w:rPr>
        <w:t>等；</w:t>
      </w:r>
    </w:p>
    <w:p w14:paraId="5439F6A2">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（3）法律法规、商业公认、招标文件规定由投标人承担的其他直接及间接费用。</w:t>
      </w:r>
    </w:p>
    <w:p w14:paraId="11A10F11">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14:paraId="062833F4">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1ED950BD">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w:t>
      </w:r>
      <w:r>
        <w:rPr>
          <w:rFonts w:hint="eastAsia" w:ascii="宋体" w:hAnsi="宋体" w:eastAsia="宋体" w:cs="Times New Roman"/>
          <w:b/>
          <w:bCs/>
          <w:color w:val="auto"/>
          <w:szCs w:val="21"/>
          <w:highlight w:val="none"/>
          <w:lang w:val="en-US" w:eastAsia="zh-CN"/>
        </w:rPr>
        <w:t>相关</w:t>
      </w:r>
      <w:r>
        <w:rPr>
          <w:rFonts w:hint="eastAsia" w:ascii="宋体" w:hAnsi="宋体" w:eastAsia="宋体" w:cs="Times New Roman"/>
          <w:b/>
          <w:bCs/>
          <w:color w:val="auto"/>
          <w:szCs w:val="21"/>
          <w:highlight w:val="none"/>
          <w:lang w:val="zh-CN"/>
        </w:rPr>
        <w:t>服务所需的费用，投标人都应计入投标报价总价。</w:t>
      </w:r>
    </w:p>
    <w:p w14:paraId="3AD3615B">
      <w:pPr>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w:t>
      </w:r>
      <w:r>
        <w:rPr>
          <w:rFonts w:hint="eastAsia" w:ascii="宋体" w:hAnsi="宋体" w:eastAsia="宋体" w:cs="宋体"/>
          <w:b/>
          <w:color w:val="auto"/>
          <w:szCs w:val="21"/>
          <w:highlight w:val="none"/>
          <w:u w:val="single"/>
          <w:lang w:val="zh-CN"/>
        </w:rPr>
        <w:t>投标人的投标报价高于最高投标限价的，该投标人的投标文件将被视为无效投标。本项目的不含税最高投标限价为</w:t>
      </w:r>
      <w:r>
        <w:rPr>
          <w:rFonts w:hint="eastAsia" w:ascii="宋体" w:hAnsi="宋体" w:eastAsia="宋体" w:cs="宋体"/>
          <w:b/>
          <w:color w:val="auto"/>
          <w:szCs w:val="21"/>
          <w:highlight w:val="none"/>
          <w:u w:val="single"/>
          <w:lang w:val="en-US" w:eastAsia="zh-CN"/>
        </w:rPr>
        <w:t>896,226.42</w:t>
      </w:r>
      <w:r>
        <w:rPr>
          <w:rFonts w:hint="eastAsia" w:ascii="宋体" w:hAnsi="宋体" w:eastAsia="宋体" w:cs="宋体"/>
          <w:b/>
          <w:color w:val="auto"/>
          <w:szCs w:val="21"/>
          <w:highlight w:val="none"/>
          <w:u w:val="single"/>
          <w:lang w:val="zh-CN"/>
        </w:rPr>
        <w:t>元（大写：人民币</w:t>
      </w:r>
      <w:r>
        <w:rPr>
          <w:rFonts w:hint="eastAsia" w:ascii="宋体" w:hAnsi="宋体" w:eastAsia="宋体" w:cs="宋体"/>
          <w:b/>
          <w:color w:val="auto"/>
          <w:szCs w:val="21"/>
          <w:highlight w:val="none"/>
          <w:u w:val="single"/>
          <w:lang w:val="en-US" w:eastAsia="zh-CN"/>
        </w:rPr>
        <w:t>捌拾玖万陆仟贰佰贰拾陆元肆角贰分</w:t>
      </w:r>
      <w:r>
        <w:rPr>
          <w:rFonts w:hint="eastAsia" w:ascii="宋体" w:hAnsi="宋体" w:eastAsia="宋体" w:cs="宋体"/>
          <w:b/>
          <w:color w:val="auto"/>
          <w:szCs w:val="21"/>
          <w:highlight w:val="none"/>
          <w:u w:val="single"/>
          <w:lang w:val="zh-CN"/>
        </w:rPr>
        <w:t>）。</w:t>
      </w:r>
    </w:p>
    <w:p w14:paraId="4EB71FF3">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14:paraId="610765DB">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184" w:name="_Toc3469"/>
      <w:bookmarkStart w:id="185" w:name="_Toc8937"/>
      <w:bookmarkStart w:id="186" w:name="_Toc486167676"/>
      <w:bookmarkStart w:id="187" w:name="_Toc450662862"/>
      <w:bookmarkStart w:id="188" w:name="_Toc17853"/>
      <w:bookmarkStart w:id="189" w:name="_Toc142508326"/>
      <w:bookmarkStart w:id="190" w:name="_Toc30042_WPSOffice_Level3"/>
      <w:bookmarkStart w:id="191" w:name="_Toc29110"/>
      <w:bookmarkStart w:id="192" w:name="_Toc20312"/>
      <w:bookmarkStart w:id="193" w:name="_Toc18210"/>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84"/>
      <w:bookmarkEnd w:id="185"/>
      <w:bookmarkEnd w:id="186"/>
      <w:bookmarkEnd w:id="187"/>
      <w:bookmarkEnd w:id="188"/>
      <w:bookmarkEnd w:id="189"/>
      <w:bookmarkEnd w:id="190"/>
      <w:bookmarkEnd w:id="191"/>
      <w:bookmarkEnd w:id="192"/>
      <w:bookmarkEnd w:id="193"/>
    </w:p>
    <w:p w14:paraId="5988AB9F">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u w:val="single"/>
          <w:lang w:val="zh-CN"/>
        </w:rPr>
        <w:t>投标</w:t>
      </w:r>
      <w:r>
        <w:rPr>
          <w:rFonts w:hint="eastAsia" w:ascii="宋体" w:hAnsi="宋体" w:eastAsia="宋体" w:cs="Times New Roman"/>
          <w:b/>
          <w:color w:val="auto"/>
          <w:szCs w:val="21"/>
          <w:highlight w:val="none"/>
          <w:u w:val="single"/>
          <w:lang w:val="zh-CN"/>
        </w:rPr>
        <w:t>报价表上的价格须以人民币报价，以其</w:t>
      </w:r>
      <w:r>
        <w:rPr>
          <w:rFonts w:hint="eastAsia" w:ascii="宋体" w:hAnsi="宋体" w:eastAsia="宋体" w:cs="Times New Roman"/>
          <w:b/>
          <w:color w:val="auto"/>
          <w:szCs w:val="21"/>
          <w:highlight w:val="none"/>
          <w:u w:val="single"/>
          <w:lang w:val="en-US" w:eastAsia="zh-CN"/>
        </w:rPr>
        <w:t>他</w:t>
      </w:r>
      <w:r>
        <w:rPr>
          <w:rFonts w:hint="eastAsia" w:ascii="宋体" w:hAnsi="宋体" w:eastAsia="宋体" w:cs="Times New Roman"/>
          <w:b/>
          <w:color w:val="auto"/>
          <w:szCs w:val="21"/>
          <w:highlight w:val="none"/>
          <w:u w:val="single"/>
          <w:lang w:val="zh-CN"/>
        </w:rPr>
        <w:t>货币标价的投标将予以拒绝</w:t>
      </w:r>
      <w:r>
        <w:rPr>
          <w:rFonts w:hint="eastAsia" w:ascii="宋体" w:hAnsi="宋体" w:eastAsia="宋体" w:cs="宋体"/>
          <w:b/>
          <w:color w:val="auto"/>
          <w:szCs w:val="21"/>
          <w:highlight w:val="none"/>
          <w:lang w:val="zh-CN"/>
        </w:rPr>
        <w:t>。</w:t>
      </w:r>
    </w:p>
    <w:p w14:paraId="006B54BC">
      <w:pPr>
        <w:autoSpaceDE w:val="0"/>
        <w:autoSpaceDN w:val="0"/>
        <w:adjustRightInd w:val="0"/>
        <w:spacing w:line="360" w:lineRule="auto"/>
        <w:ind w:left="265" w:leftChars="119" w:hanging="15"/>
        <w:rPr>
          <w:rFonts w:ascii="宋体" w:hAnsi="宋体" w:eastAsia="宋体" w:cs="宋体"/>
          <w:color w:val="auto"/>
          <w:szCs w:val="21"/>
          <w:highlight w:val="none"/>
        </w:rPr>
      </w:pPr>
    </w:p>
    <w:p w14:paraId="03CED04E">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4" w:name="_Toc7980"/>
      <w:bookmarkStart w:id="195" w:name="_Toc15036"/>
      <w:bookmarkStart w:id="196" w:name="_Toc20031"/>
      <w:bookmarkStart w:id="197" w:name="_Toc486167677"/>
      <w:bookmarkStart w:id="198" w:name="_Toc9411_WPSOffice_Level3"/>
      <w:bookmarkStart w:id="199" w:name="_Toc1091"/>
      <w:bookmarkStart w:id="200" w:name="_Toc3961"/>
      <w:bookmarkStart w:id="201" w:name="_Toc450662863"/>
      <w:bookmarkStart w:id="202" w:name="_Toc142508327"/>
      <w:bookmarkStart w:id="203" w:name="_Toc5081"/>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94"/>
      <w:bookmarkEnd w:id="195"/>
      <w:bookmarkEnd w:id="196"/>
      <w:bookmarkEnd w:id="197"/>
      <w:bookmarkEnd w:id="198"/>
      <w:bookmarkEnd w:id="199"/>
      <w:bookmarkEnd w:id="200"/>
      <w:bookmarkEnd w:id="201"/>
      <w:bookmarkEnd w:id="202"/>
      <w:bookmarkEnd w:id="203"/>
    </w:p>
    <w:p w14:paraId="22E93A3F">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3E8F9FF2">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2DE0A5B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0B587F07">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4A9E4BB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492BDCEB">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根据招标文件载明的相关服务要求的实际情况，拟在中标后将中标项目的非主体、非关键性专业工作交由他人完成的，应当在投标文件中载明，并提供他人的资质、能力证明材料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6176BCB9">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251B0FD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04" w:name="_Toc16467"/>
      <w:bookmarkStart w:id="205" w:name="_Toc27771_WPSOffice_Level3"/>
      <w:bookmarkStart w:id="206" w:name="_Toc8615"/>
      <w:bookmarkStart w:id="207" w:name="_Toc142508328"/>
      <w:bookmarkStart w:id="208" w:name="_Toc29754"/>
      <w:bookmarkStart w:id="209" w:name="_Toc6282"/>
      <w:bookmarkStart w:id="210" w:name="_Toc450662864"/>
      <w:bookmarkStart w:id="211" w:name="_Toc31962"/>
      <w:bookmarkStart w:id="212" w:name="_Toc486167678"/>
      <w:bookmarkStart w:id="213" w:name="_Toc22634"/>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证明服务的合格性并符合招标文件规定的声明文件</w:t>
      </w:r>
      <w:bookmarkEnd w:id="204"/>
      <w:bookmarkEnd w:id="205"/>
      <w:bookmarkEnd w:id="206"/>
      <w:bookmarkEnd w:id="207"/>
      <w:bookmarkEnd w:id="208"/>
      <w:bookmarkEnd w:id="209"/>
      <w:bookmarkEnd w:id="210"/>
      <w:bookmarkEnd w:id="211"/>
      <w:bookmarkEnd w:id="212"/>
      <w:bookmarkEnd w:id="213"/>
    </w:p>
    <w:p w14:paraId="6297F584">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的合格性并符合招标文件规定的声明文件，作为投标文件的一部分。</w:t>
      </w:r>
    </w:p>
    <w:p w14:paraId="30C3366F">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lang w:eastAsia="zh-CN"/>
        </w:rPr>
        <w:t>相关</w:t>
      </w:r>
      <w:r>
        <w:rPr>
          <w:rFonts w:hint="eastAsia" w:ascii="宋体" w:hAnsi="宋体" w:eastAsia="宋体" w:cs="宋体"/>
          <w:color w:val="auto"/>
          <w:kern w:val="0"/>
          <w:szCs w:val="21"/>
          <w:highlight w:val="none"/>
        </w:rPr>
        <w:t>服务</w:t>
      </w:r>
      <w:r>
        <w:rPr>
          <w:rFonts w:hint="eastAsia" w:ascii="宋体" w:hAnsi="宋体" w:eastAsia="宋体" w:cs="宋体"/>
          <w:color w:val="auto"/>
          <w:szCs w:val="21"/>
          <w:highlight w:val="none"/>
          <w:lang w:val="zh-CN"/>
        </w:rPr>
        <w:t>与招标文件的要求相一致的文件可以是文字资料、图纸和数据资料。</w:t>
      </w:r>
    </w:p>
    <w:p w14:paraId="3E19FFF1">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u w:val="single"/>
          <w:lang w:val="zh-CN"/>
        </w:rPr>
        <w:t>为说明第14.2款的规定，投标人应注意本招标文件在《用户需求书》中对服务要求</w:t>
      </w:r>
      <w:r>
        <w:rPr>
          <w:rFonts w:hint="eastAsia" w:ascii="宋体" w:hAnsi="宋体" w:eastAsia="宋体" w:cs="宋体"/>
          <w:b/>
          <w:color w:val="auto"/>
          <w:szCs w:val="21"/>
          <w:highlight w:val="none"/>
          <w:u w:val="single"/>
          <w:lang w:val="en-US" w:eastAsia="zh-CN"/>
        </w:rPr>
        <w:t>的</w:t>
      </w:r>
      <w:r>
        <w:rPr>
          <w:rFonts w:hint="eastAsia" w:ascii="宋体" w:hAnsi="宋体" w:eastAsia="宋体" w:cs="宋体"/>
          <w:b/>
          <w:color w:val="auto"/>
          <w:szCs w:val="21"/>
          <w:highlight w:val="none"/>
          <w:u w:val="single"/>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r>
        <w:rPr>
          <w:rFonts w:hint="eastAsia" w:ascii="宋体" w:hAnsi="宋体" w:eastAsia="宋体" w:cs="宋体"/>
          <w:b/>
          <w:color w:val="auto"/>
          <w:szCs w:val="21"/>
          <w:highlight w:val="none"/>
          <w:lang w:val="zh-CN"/>
        </w:rPr>
        <w:t>。</w:t>
      </w:r>
    </w:p>
    <w:p w14:paraId="77215F10">
      <w:pPr>
        <w:autoSpaceDE w:val="0"/>
        <w:autoSpaceDN w:val="0"/>
        <w:adjustRightInd w:val="0"/>
        <w:spacing w:line="360" w:lineRule="auto"/>
        <w:rPr>
          <w:rFonts w:ascii="宋体" w:hAnsi="宋体" w:eastAsia="宋体" w:cs="Times New Roman"/>
          <w:color w:val="auto"/>
          <w:kern w:val="0"/>
          <w:sz w:val="24"/>
          <w:szCs w:val="24"/>
          <w:highlight w:val="none"/>
        </w:rPr>
      </w:pPr>
    </w:p>
    <w:p w14:paraId="5A2038B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4" w:name="_Toc142508329"/>
      <w:bookmarkStart w:id="215" w:name="_Toc486167679"/>
      <w:bookmarkStart w:id="216" w:name="_Toc5356_WPSOffice_Level3"/>
      <w:bookmarkStart w:id="217" w:name="_Toc8644"/>
      <w:bookmarkStart w:id="218" w:name="_Toc6174"/>
      <w:bookmarkStart w:id="219" w:name="_Toc5786"/>
      <w:bookmarkStart w:id="220" w:name="_Toc30555"/>
      <w:bookmarkStart w:id="221" w:name="_Toc16828"/>
      <w:bookmarkStart w:id="222" w:name="_Toc15055"/>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214"/>
      <w:bookmarkEnd w:id="215"/>
      <w:bookmarkEnd w:id="216"/>
      <w:bookmarkEnd w:id="217"/>
      <w:bookmarkEnd w:id="218"/>
      <w:bookmarkEnd w:id="219"/>
      <w:bookmarkEnd w:id="220"/>
      <w:bookmarkEnd w:id="221"/>
      <w:bookmarkEnd w:id="222"/>
    </w:p>
    <w:p w14:paraId="544FE5AD">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15,000.00</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val="en-US" w:eastAsia="zh-CN"/>
        </w:rPr>
        <w:t>壹万伍仟元整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14:paraId="124ADA71">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121AC627">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4EAD9B4C">
      <w:pPr>
        <w:spacing w:line="360" w:lineRule="auto"/>
        <w:ind w:firstLine="638" w:firstLineChars="30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p>
    <w:p w14:paraId="3963DC2A">
      <w:pPr>
        <w:autoSpaceDE w:val="0"/>
        <w:autoSpaceDN w:val="0"/>
        <w:adjustRightInd w:val="0"/>
        <w:spacing w:line="360" w:lineRule="auto"/>
        <w:ind w:left="225" w:leftChars="107" w:firstLine="489" w:firstLineChars="233"/>
        <w:jc w:val="left"/>
        <w:rPr>
          <w:rFonts w:hint="eastAsia" w:ascii="宋体" w:hAnsi="宋体" w:eastAsia="宋体" w:cs="Times New Roman"/>
          <w:color w:val="auto"/>
          <w:kern w:val="0"/>
          <w:szCs w:val="21"/>
          <w:highlight w:val="none"/>
          <w:lang w:val="zh-CN" w:eastAsia="zh-CN"/>
        </w:rPr>
      </w:pPr>
      <w:r>
        <w:rPr>
          <w:rFonts w:hint="eastAsia" w:ascii="宋体" w:hAnsi="宋体" w:eastAsia="宋体" w:cs="Times New Roman"/>
          <w:color w:val="auto"/>
          <w:kern w:val="0"/>
          <w:szCs w:val="21"/>
          <w:highlight w:val="none"/>
          <w:lang w:val="zh-CN"/>
        </w:rPr>
        <w:t>开户名称：东莞市众源环境投资有限公司</w:t>
      </w:r>
    </w:p>
    <w:p w14:paraId="5B6A0561">
      <w:pPr>
        <w:autoSpaceDE w:val="0"/>
        <w:autoSpaceDN w:val="0"/>
        <w:adjustRightInd w:val="0"/>
        <w:spacing w:line="360" w:lineRule="auto"/>
        <w:ind w:left="225" w:leftChars="107" w:firstLine="489" w:firstLineChars="233"/>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lang w:val="zh-CN"/>
        </w:rPr>
        <w:t>开户银行：招商银行股份有限公司东莞分行</w:t>
      </w:r>
    </w:p>
    <w:p w14:paraId="4D6D3189">
      <w:pPr>
        <w:autoSpaceDE w:val="0"/>
        <w:autoSpaceDN w:val="0"/>
        <w:adjustRightInd w:val="0"/>
        <w:spacing w:line="360" w:lineRule="auto"/>
        <w:ind w:left="225" w:leftChars="107" w:firstLine="489" w:firstLineChars="233"/>
        <w:jc w:val="left"/>
        <w:rPr>
          <w:rFonts w:ascii="宋体" w:hAnsi="宋体" w:eastAsia="宋体" w:cs="Times New Roman"/>
          <w:b/>
          <w:bCs/>
          <w:color w:val="auto"/>
          <w:kern w:val="0"/>
          <w:szCs w:val="21"/>
          <w:highlight w:val="none"/>
          <w:u w:val="single"/>
        </w:rPr>
      </w:pPr>
      <w:r>
        <w:rPr>
          <w:rFonts w:hint="eastAsia" w:ascii="宋体" w:hAnsi="宋体" w:eastAsia="宋体" w:cs="Times New Roman"/>
          <w:color w:val="auto"/>
          <w:kern w:val="0"/>
          <w:szCs w:val="21"/>
          <w:highlight w:val="none"/>
          <w:lang w:val="zh-CN"/>
        </w:rPr>
        <w:t>银行账号：769908269610828</w:t>
      </w:r>
    </w:p>
    <w:p w14:paraId="7FD10ED8">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203BD2F5">
      <w:pPr>
        <w:autoSpaceDE w:val="0"/>
        <w:autoSpaceDN w:val="0"/>
        <w:adjustRightInd w:val="0"/>
        <w:spacing w:line="360" w:lineRule="auto"/>
        <w:ind w:left="357" w:leftChars="-100" w:hanging="567" w:hangingChars="270"/>
        <w:jc w:val="left"/>
        <w:rPr>
          <w:rFonts w:hint="eastAsia" w:ascii="宋体" w:hAnsi="宋体" w:eastAsia="宋体" w:cs="宋体"/>
          <w:b/>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2D172D36">
      <w:pPr>
        <w:autoSpaceDE w:val="0"/>
        <w:autoSpaceDN w:val="0"/>
        <w:adjustRightInd w:val="0"/>
        <w:spacing w:line="360" w:lineRule="auto"/>
        <w:ind w:left="315" w:leftChars="150"/>
        <w:jc w:val="left"/>
        <w:rPr>
          <w:rFonts w:hint="eastAsia" w:ascii="宋体" w:hAnsi="宋体" w:eastAsia="宋体" w:cs="宋体"/>
          <w:b/>
          <w:bCs/>
          <w:color w:val="auto"/>
          <w:kern w:val="0"/>
          <w:szCs w:val="24"/>
          <w:highlight w:val="none"/>
        </w:rPr>
      </w:pPr>
      <w:r>
        <w:rPr>
          <w:rFonts w:hint="eastAsia" w:ascii="宋体" w:hAnsi="宋体" w:eastAsia="宋体" w:cs="宋体"/>
          <w:b/>
          <w:color w:val="auto"/>
          <w:kern w:val="0"/>
          <w:szCs w:val="24"/>
          <w:highlight w:val="none"/>
          <w:u w:val="single"/>
          <w:lang w:val="zh-CN"/>
        </w:rPr>
        <w:t>为更快捷将投标保证金关联到本项目，投标人应在转账时注明招标编号，否则</w:t>
      </w:r>
      <w:r>
        <w:rPr>
          <w:rFonts w:hint="eastAsia" w:ascii="宋体" w:hAnsi="宋体" w:eastAsia="宋体" w:cs="宋体"/>
          <w:b/>
          <w:color w:val="auto"/>
          <w:kern w:val="0"/>
          <w:szCs w:val="24"/>
          <w:highlight w:val="none"/>
          <w:u w:val="single"/>
        </w:rPr>
        <w:t>因此</w:t>
      </w:r>
      <w:r>
        <w:rPr>
          <w:rFonts w:hint="eastAsia" w:ascii="宋体" w:hAnsi="宋体" w:eastAsia="宋体" w:cs="宋体"/>
          <w:b/>
          <w:color w:val="auto"/>
          <w:kern w:val="0"/>
          <w:szCs w:val="24"/>
          <w:highlight w:val="none"/>
          <w:u w:val="single"/>
          <w:lang w:val="zh-CN"/>
        </w:rPr>
        <w:t>导致</w:t>
      </w:r>
      <w:r>
        <w:rPr>
          <w:rFonts w:hint="eastAsia" w:ascii="宋体" w:hAnsi="宋体" w:eastAsia="宋体" w:cs="宋体"/>
          <w:b/>
          <w:color w:val="auto"/>
          <w:kern w:val="0"/>
          <w:szCs w:val="24"/>
          <w:highlight w:val="none"/>
          <w:u w:val="single"/>
        </w:rPr>
        <w:t>的无法识别投标保证金对应项目等</w:t>
      </w:r>
      <w:r>
        <w:rPr>
          <w:rFonts w:hint="eastAsia" w:ascii="宋体" w:hAnsi="宋体" w:eastAsia="宋体" w:cs="宋体"/>
          <w:b/>
          <w:color w:val="auto"/>
          <w:kern w:val="0"/>
          <w:szCs w:val="24"/>
          <w:highlight w:val="none"/>
          <w:u w:val="single"/>
          <w:lang w:val="zh-CN"/>
        </w:rPr>
        <w:t>不利后果将由投标人承担</w:t>
      </w:r>
      <w:r>
        <w:rPr>
          <w:rFonts w:hint="eastAsia" w:ascii="宋体" w:hAnsi="宋体" w:eastAsia="宋体" w:cs="宋体"/>
          <w:b/>
          <w:color w:val="auto"/>
          <w:kern w:val="0"/>
          <w:szCs w:val="24"/>
          <w:highlight w:val="none"/>
          <w:lang w:val="zh-CN"/>
        </w:rPr>
        <w:t>。</w:t>
      </w:r>
    </w:p>
    <w:p w14:paraId="0AD83D14">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w:t>
      </w:r>
      <w:r>
        <w:rPr>
          <w:rFonts w:hint="eastAsia" w:ascii="宋体" w:hAnsi="宋体" w:eastAsia="宋体" w:cs="宋体"/>
          <w:color w:val="auto"/>
          <w:kern w:val="0"/>
          <w:szCs w:val="21"/>
          <w:highlight w:val="none"/>
          <w:lang w:eastAsia="zh-CN"/>
        </w:rPr>
        <w:t>将在本项目的书面合同签订后5日内</w:t>
      </w:r>
      <w:r>
        <w:rPr>
          <w:rFonts w:hint="eastAsia" w:ascii="宋体" w:hAnsi="宋体" w:eastAsia="宋体" w:cs="宋体"/>
          <w:color w:val="auto"/>
          <w:kern w:val="0"/>
          <w:szCs w:val="21"/>
          <w:highlight w:val="none"/>
        </w:rPr>
        <w:t>，按照其投标保证金支付凭证上注明的收款人名称和账号予以退还，除非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14:paraId="229E5E5D">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中标人的投标保证金，满足下列要求，并在合同签订后的5日内退还。</w:t>
      </w:r>
    </w:p>
    <w:p w14:paraId="0B271D7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14:paraId="29CD7744">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19CB87B4">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3C92A8DA">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5105231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493DB8F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27BD13C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3EC536E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14:paraId="565021BC">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63482644">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64F89E7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3" w:name="_Toc8291"/>
      <w:bookmarkStart w:id="224" w:name="_Toc450662865"/>
      <w:bookmarkStart w:id="225" w:name="_Toc142508330"/>
      <w:bookmarkStart w:id="226" w:name="_Toc486167680"/>
      <w:bookmarkStart w:id="227" w:name="_Toc22649_WPSOffice_Level3"/>
      <w:bookmarkStart w:id="228" w:name="_Toc1458"/>
      <w:bookmarkStart w:id="229" w:name="_Toc29607"/>
      <w:bookmarkStart w:id="230" w:name="_Toc23267"/>
      <w:bookmarkStart w:id="231" w:name="_Toc18484"/>
      <w:bookmarkStart w:id="232" w:name="_Toc11377"/>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223"/>
      <w:bookmarkEnd w:id="224"/>
      <w:bookmarkEnd w:id="225"/>
      <w:bookmarkEnd w:id="226"/>
      <w:bookmarkEnd w:id="227"/>
      <w:bookmarkEnd w:id="228"/>
      <w:bookmarkEnd w:id="229"/>
      <w:bookmarkEnd w:id="230"/>
      <w:bookmarkEnd w:id="231"/>
      <w:bookmarkEnd w:id="232"/>
    </w:p>
    <w:p w14:paraId="4747076D">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7BA3D58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33DB668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112BDBEE">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1E659CD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3" w:name="_Toc32272"/>
      <w:bookmarkStart w:id="234" w:name="_Toc932"/>
      <w:bookmarkStart w:id="235" w:name="_Toc486167681"/>
      <w:bookmarkStart w:id="236" w:name="_Toc23938"/>
      <w:bookmarkStart w:id="237" w:name="_Toc142508331"/>
      <w:bookmarkStart w:id="238" w:name="_Toc25593"/>
      <w:bookmarkStart w:id="239" w:name="_Toc20422"/>
      <w:bookmarkStart w:id="240" w:name="_Toc450662866"/>
      <w:bookmarkStart w:id="241" w:name="_Toc15544"/>
      <w:bookmarkStart w:id="242" w:name="_Toc25637_WPSOffice_Level3"/>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233"/>
      <w:bookmarkEnd w:id="234"/>
      <w:bookmarkEnd w:id="235"/>
      <w:bookmarkEnd w:id="236"/>
      <w:bookmarkEnd w:id="237"/>
      <w:bookmarkEnd w:id="238"/>
      <w:bookmarkEnd w:id="239"/>
      <w:bookmarkEnd w:id="240"/>
      <w:bookmarkEnd w:id="241"/>
      <w:bookmarkEnd w:id="242"/>
    </w:p>
    <w:p w14:paraId="379630F6">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14:paraId="433779FF">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法人授权委托证明书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14:paraId="7503847D">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14:paraId="0504041C">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14:paraId="3D4214B8">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14:paraId="160D5D2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14:paraId="3155C29F">
      <w:pPr>
        <w:autoSpaceDE w:val="0"/>
        <w:autoSpaceDN w:val="0"/>
        <w:adjustRightInd w:val="0"/>
        <w:jc w:val="left"/>
        <w:rPr>
          <w:rFonts w:ascii="宋体" w:hAnsi="宋体" w:eastAsia="宋体" w:cs="宋体"/>
          <w:color w:val="auto"/>
          <w:kern w:val="0"/>
          <w:sz w:val="24"/>
          <w:szCs w:val="24"/>
          <w:highlight w:val="none"/>
        </w:rPr>
      </w:pPr>
      <w:bookmarkStart w:id="243" w:name="_Toc450662867"/>
    </w:p>
    <w:p w14:paraId="73424C15">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244" w:name="_Toc486167682"/>
      <w:bookmarkStart w:id="245" w:name="_Toc140596891"/>
      <w:bookmarkStart w:id="246" w:name="_Toc17199"/>
      <w:bookmarkStart w:id="247" w:name="_Toc1077"/>
      <w:bookmarkStart w:id="248" w:name="_Toc16145"/>
      <w:bookmarkStart w:id="249" w:name="_Toc3863"/>
      <w:bookmarkStart w:id="250" w:name="_Toc142508332"/>
      <w:bookmarkStart w:id="251" w:name="_Toc22356_WPSOffice_Level2"/>
      <w:bookmarkStart w:id="252" w:name="_Toc19072"/>
      <w:bookmarkStart w:id="253" w:name="_Toc26605"/>
      <w:r>
        <w:rPr>
          <w:rFonts w:hint="eastAsia" w:ascii="宋体" w:hAnsi="宋体" w:eastAsia="宋体" w:cs="宋体"/>
          <w:b/>
          <w:bCs/>
          <w:color w:val="auto"/>
          <w:kern w:val="44"/>
          <w:szCs w:val="21"/>
          <w:highlight w:val="none"/>
          <w:lang w:val="zh-CN"/>
        </w:rPr>
        <w:t>四、投标文件的递交</w:t>
      </w:r>
      <w:bookmarkEnd w:id="243"/>
      <w:bookmarkEnd w:id="244"/>
      <w:bookmarkEnd w:id="245"/>
      <w:bookmarkEnd w:id="246"/>
      <w:bookmarkEnd w:id="247"/>
      <w:bookmarkEnd w:id="248"/>
      <w:bookmarkEnd w:id="249"/>
      <w:bookmarkEnd w:id="250"/>
      <w:bookmarkEnd w:id="251"/>
      <w:bookmarkEnd w:id="252"/>
      <w:bookmarkEnd w:id="253"/>
    </w:p>
    <w:p w14:paraId="1A0807C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4" w:name="_Toc486167683"/>
      <w:bookmarkStart w:id="255" w:name="_Toc31551"/>
      <w:bookmarkStart w:id="256" w:name="_Toc19130"/>
      <w:bookmarkStart w:id="257" w:name="_Toc450662868"/>
      <w:bookmarkStart w:id="258" w:name="_Toc15142"/>
      <w:bookmarkStart w:id="259" w:name="_Toc142508333"/>
      <w:bookmarkStart w:id="260" w:name="_Toc30051"/>
      <w:bookmarkStart w:id="261" w:name="_Toc29885"/>
      <w:bookmarkStart w:id="262" w:name="_Toc29038"/>
      <w:bookmarkStart w:id="263" w:name="_Toc12192_WPSOffice_Level3"/>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254"/>
      <w:bookmarkEnd w:id="255"/>
      <w:bookmarkEnd w:id="256"/>
      <w:bookmarkEnd w:id="257"/>
      <w:bookmarkEnd w:id="258"/>
      <w:bookmarkEnd w:id="259"/>
      <w:bookmarkEnd w:id="260"/>
      <w:bookmarkEnd w:id="261"/>
      <w:bookmarkEnd w:id="262"/>
      <w:bookmarkEnd w:id="263"/>
    </w:p>
    <w:p w14:paraId="4FE9F4B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14:paraId="446B10F3">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14:paraId="365E5052">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14:paraId="30109247">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0D35CDED">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14:paraId="7413E626">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14:paraId="0DA609F7">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u w:val="single"/>
          <w:lang w:val="zh-CN"/>
        </w:rPr>
        <w:t>如果</w:t>
      </w:r>
      <w:r>
        <w:rPr>
          <w:rFonts w:hint="eastAsia" w:ascii="宋体" w:hAnsi="宋体" w:eastAsia="宋体" w:cs="Times New Roman"/>
          <w:b/>
          <w:color w:val="auto"/>
          <w:szCs w:val="21"/>
          <w:highlight w:val="none"/>
          <w:u w:val="singl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14:paraId="04C589EB">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14:paraId="6867E374">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14:paraId="56B1D74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4" w:name="_Toc142508334"/>
      <w:bookmarkStart w:id="265" w:name="_Toc486167684"/>
      <w:bookmarkStart w:id="266" w:name="_Toc8909"/>
      <w:bookmarkStart w:id="267" w:name="_Toc12582"/>
      <w:bookmarkStart w:id="268" w:name="_Toc29665_WPSOffice_Level3"/>
      <w:bookmarkStart w:id="269" w:name="_Toc23369"/>
      <w:bookmarkStart w:id="270" w:name="_Toc4979"/>
      <w:bookmarkStart w:id="271" w:name="_Toc450662869"/>
      <w:bookmarkStart w:id="272" w:name="_Toc22983"/>
      <w:bookmarkStart w:id="273" w:name="_Toc2284"/>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264"/>
      <w:bookmarkEnd w:id="265"/>
      <w:bookmarkEnd w:id="266"/>
      <w:bookmarkEnd w:id="267"/>
      <w:bookmarkEnd w:id="268"/>
      <w:bookmarkEnd w:id="269"/>
      <w:bookmarkEnd w:id="270"/>
      <w:bookmarkEnd w:id="271"/>
      <w:bookmarkEnd w:id="272"/>
      <w:bookmarkEnd w:id="273"/>
    </w:p>
    <w:p w14:paraId="604A8DC9">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14:paraId="15F5F9E6">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14:paraId="3A18EECB">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75A0CC2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274" w:name="_Toc20835"/>
      <w:bookmarkStart w:id="275" w:name="_Toc142508335"/>
      <w:bookmarkStart w:id="276" w:name="_Toc486167685"/>
      <w:bookmarkStart w:id="277" w:name="_Toc13392"/>
      <w:bookmarkStart w:id="278" w:name="_Toc450662870"/>
      <w:bookmarkStart w:id="279" w:name="_Toc21327"/>
      <w:bookmarkStart w:id="280" w:name="_Toc9691"/>
      <w:bookmarkStart w:id="281" w:name="_Toc17097"/>
      <w:bookmarkStart w:id="282" w:name="_Toc22431_WPSOffice_Level3"/>
      <w:bookmarkStart w:id="283" w:name="_Toc30287"/>
      <w:r>
        <w:rPr>
          <w:rFonts w:hint="eastAsia" w:ascii="宋体" w:hAnsi="宋体" w:eastAsia="宋体" w:cs="宋体"/>
          <w:color w:val="auto"/>
          <w:szCs w:val="21"/>
          <w:highlight w:val="none"/>
          <w:lang w:val="zh-CN"/>
        </w:rPr>
        <w:t>20 迟交的投标文件</w:t>
      </w:r>
      <w:bookmarkEnd w:id="274"/>
      <w:bookmarkEnd w:id="275"/>
      <w:bookmarkEnd w:id="276"/>
      <w:bookmarkEnd w:id="277"/>
      <w:bookmarkEnd w:id="278"/>
      <w:bookmarkEnd w:id="279"/>
      <w:bookmarkEnd w:id="280"/>
      <w:bookmarkEnd w:id="281"/>
      <w:bookmarkEnd w:id="282"/>
      <w:bookmarkEnd w:id="283"/>
    </w:p>
    <w:p w14:paraId="0F7DDF73">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24393100">
      <w:pPr>
        <w:autoSpaceDE w:val="0"/>
        <w:autoSpaceDN w:val="0"/>
        <w:adjustRightInd w:val="0"/>
        <w:jc w:val="left"/>
        <w:rPr>
          <w:rFonts w:ascii="宋体" w:hAnsi="宋体" w:eastAsia="宋体" w:cs="宋体"/>
          <w:color w:val="auto"/>
          <w:kern w:val="0"/>
          <w:sz w:val="24"/>
          <w:szCs w:val="24"/>
          <w:highlight w:val="none"/>
        </w:rPr>
      </w:pPr>
    </w:p>
    <w:p w14:paraId="08BA020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4" w:name="_Toc3814"/>
      <w:bookmarkStart w:id="285" w:name="_Toc450662871"/>
      <w:bookmarkStart w:id="286" w:name="_Toc24876"/>
      <w:bookmarkStart w:id="287" w:name="_Toc17006"/>
      <w:bookmarkStart w:id="288" w:name="_Toc142508336"/>
      <w:bookmarkStart w:id="289" w:name="_Toc486167686"/>
      <w:bookmarkStart w:id="290" w:name="_Toc7335"/>
      <w:bookmarkStart w:id="291" w:name="_Toc31429"/>
      <w:bookmarkStart w:id="292" w:name="_Toc4883_WPSOffice_Level3"/>
      <w:bookmarkStart w:id="293" w:name="_Toc27851"/>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284"/>
      <w:bookmarkEnd w:id="285"/>
      <w:bookmarkEnd w:id="286"/>
      <w:bookmarkEnd w:id="287"/>
      <w:bookmarkEnd w:id="288"/>
      <w:bookmarkEnd w:id="289"/>
      <w:bookmarkEnd w:id="290"/>
      <w:bookmarkEnd w:id="291"/>
      <w:bookmarkEnd w:id="292"/>
      <w:bookmarkEnd w:id="293"/>
    </w:p>
    <w:p w14:paraId="3598013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2B258299">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14:paraId="76D3A81B">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14:paraId="1E7D941A">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14:paraId="6E25A75B">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0A137D36">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94" w:name="_Toc486167687"/>
      <w:bookmarkStart w:id="295" w:name="_Toc1049_WPSOffice_Level2"/>
      <w:bookmarkStart w:id="296" w:name="_Toc142508337"/>
      <w:bookmarkStart w:id="297" w:name="_Toc28824"/>
      <w:bookmarkStart w:id="298" w:name="_Toc450662872"/>
      <w:bookmarkStart w:id="299" w:name="_Toc28252"/>
      <w:bookmarkStart w:id="300" w:name="_Toc30428"/>
      <w:bookmarkStart w:id="301" w:name="_Toc6469"/>
      <w:bookmarkStart w:id="302" w:name="_Toc24659"/>
      <w:bookmarkStart w:id="303" w:name="_Toc20923"/>
      <w:bookmarkStart w:id="304" w:name="_Toc140596896"/>
      <w:r>
        <w:rPr>
          <w:rFonts w:hint="eastAsia" w:ascii="宋体" w:hAnsi="宋体" w:eastAsia="宋体" w:cs="宋体"/>
          <w:b/>
          <w:bCs/>
          <w:color w:val="auto"/>
          <w:kern w:val="44"/>
          <w:szCs w:val="21"/>
          <w:highlight w:val="none"/>
          <w:lang w:val="zh-CN"/>
        </w:rPr>
        <w:t>五、开标与评标</w:t>
      </w:r>
      <w:bookmarkEnd w:id="294"/>
      <w:bookmarkEnd w:id="295"/>
      <w:bookmarkEnd w:id="296"/>
      <w:bookmarkEnd w:id="297"/>
      <w:bookmarkEnd w:id="298"/>
      <w:bookmarkEnd w:id="299"/>
      <w:bookmarkEnd w:id="300"/>
      <w:bookmarkEnd w:id="301"/>
      <w:bookmarkEnd w:id="302"/>
      <w:bookmarkEnd w:id="303"/>
      <w:bookmarkEnd w:id="304"/>
    </w:p>
    <w:p w14:paraId="3BA80C0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05" w:name="_Toc8728"/>
      <w:bookmarkStart w:id="306" w:name="_Toc142508338"/>
      <w:bookmarkStart w:id="307" w:name="_Toc144_WPSOffice_Level3"/>
      <w:bookmarkStart w:id="308" w:name="_Toc16741"/>
      <w:bookmarkStart w:id="309" w:name="_Toc15708"/>
      <w:bookmarkStart w:id="310" w:name="_Toc486167688"/>
      <w:bookmarkStart w:id="311" w:name="_Toc32206"/>
      <w:bookmarkStart w:id="312" w:name="_Toc11256"/>
      <w:bookmarkStart w:id="313" w:name="_Toc17626"/>
      <w:bookmarkStart w:id="314" w:name="_Toc450662873"/>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305"/>
      <w:bookmarkEnd w:id="306"/>
      <w:bookmarkEnd w:id="307"/>
      <w:bookmarkEnd w:id="308"/>
      <w:bookmarkEnd w:id="309"/>
      <w:bookmarkEnd w:id="310"/>
      <w:bookmarkEnd w:id="311"/>
      <w:bookmarkEnd w:id="312"/>
      <w:bookmarkEnd w:id="313"/>
      <w:bookmarkEnd w:id="314"/>
    </w:p>
    <w:p w14:paraId="3F028869">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14:paraId="66FADA47">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13A98076">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14:paraId="4E53B8E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投标文件的投标报价大写金额和小写金额不一致的，以大写金额为准。对不同文字文本投标文件的解释发生异议的，以中文文本为准。</w:t>
      </w:r>
    </w:p>
    <w:p w14:paraId="62180169">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34FE6583">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6706A4B0">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77D031F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15" w:name="_Toc23951"/>
      <w:bookmarkStart w:id="316" w:name="_Toc142508339"/>
      <w:bookmarkStart w:id="317" w:name="_Toc450662874"/>
      <w:bookmarkStart w:id="318" w:name="_Toc28801"/>
      <w:bookmarkStart w:id="319" w:name="_Toc32534"/>
      <w:bookmarkStart w:id="320" w:name="_Toc23059"/>
      <w:bookmarkStart w:id="321" w:name="_Toc486167689"/>
      <w:bookmarkStart w:id="322" w:name="_Toc12165_WPSOffice_Level3"/>
      <w:bookmarkStart w:id="323" w:name="_Toc23491"/>
      <w:bookmarkStart w:id="324" w:name="_Toc5062"/>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315"/>
      <w:bookmarkEnd w:id="316"/>
      <w:bookmarkEnd w:id="317"/>
      <w:bookmarkEnd w:id="318"/>
      <w:bookmarkEnd w:id="319"/>
      <w:bookmarkEnd w:id="320"/>
      <w:bookmarkEnd w:id="321"/>
      <w:bookmarkEnd w:id="322"/>
      <w:bookmarkEnd w:id="323"/>
      <w:bookmarkEnd w:id="324"/>
    </w:p>
    <w:p w14:paraId="1F47D90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665AACB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34E6DE47">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60DDDC4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25" w:name="_Toc450662875"/>
      <w:bookmarkStart w:id="326" w:name="_Toc10360"/>
      <w:bookmarkStart w:id="327" w:name="_Toc15565_WPSOffice_Level3"/>
      <w:bookmarkStart w:id="328" w:name="_Toc486167690"/>
      <w:bookmarkStart w:id="329" w:name="_Toc18693"/>
      <w:bookmarkStart w:id="330" w:name="_Toc16920"/>
      <w:bookmarkStart w:id="331" w:name="_Toc21222"/>
      <w:bookmarkStart w:id="332" w:name="_Toc800"/>
      <w:bookmarkStart w:id="333" w:name="_Toc28422"/>
      <w:bookmarkStart w:id="334" w:name="_Toc142508340"/>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325"/>
      <w:bookmarkEnd w:id="326"/>
      <w:bookmarkEnd w:id="327"/>
      <w:bookmarkEnd w:id="328"/>
      <w:bookmarkEnd w:id="329"/>
      <w:bookmarkEnd w:id="330"/>
      <w:bookmarkEnd w:id="331"/>
      <w:bookmarkEnd w:id="332"/>
      <w:bookmarkEnd w:id="333"/>
      <w:bookmarkEnd w:id="334"/>
    </w:p>
    <w:p w14:paraId="3E7C674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0373B867">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358075DA">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63AAA727">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35" w:name="_Toc24073"/>
      <w:bookmarkStart w:id="336" w:name="_Toc12715"/>
      <w:bookmarkStart w:id="337" w:name="_Toc450662876"/>
      <w:bookmarkStart w:id="338" w:name="_Toc18668"/>
      <w:bookmarkStart w:id="339" w:name="_Toc14048"/>
      <w:bookmarkStart w:id="340" w:name="_Toc28910_WPSOffice_Level3"/>
      <w:bookmarkStart w:id="341" w:name="_Toc8908"/>
      <w:bookmarkStart w:id="342" w:name="_Toc28060"/>
      <w:bookmarkStart w:id="343" w:name="_Toc142508341"/>
      <w:bookmarkStart w:id="344" w:name="_Toc486167691"/>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335"/>
      <w:bookmarkEnd w:id="336"/>
      <w:bookmarkEnd w:id="337"/>
      <w:bookmarkEnd w:id="338"/>
      <w:bookmarkEnd w:id="339"/>
      <w:bookmarkEnd w:id="340"/>
      <w:bookmarkEnd w:id="341"/>
      <w:bookmarkEnd w:id="342"/>
      <w:bookmarkEnd w:id="343"/>
      <w:bookmarkEnd w:id="344"/>
    </w:p>
    <w:p w14:paraId="12EE3F26">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6916C084">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46DED2F0">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678F8B34">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45" w:name="_Toc486167692"/>
      <w:bookmarkStart w:id="346" w:name="_Toc142508342"/>
      <w:bookmarkStart w:id="347" w:name="_Toc4837"/>
      <w:bookmarkStart w:id="348" w:name="_Toc17462"/>
      <w:bookmarkStart w:id="349" w:name="_Toc5680"/>
      <w:bookmarkStart w:id="350" w:name="_Toc338_WPSOffice_Level3"/>
      <w:bookmarkStart w:id="351" w:name="_Toc450662877"/>
      <w:bookmarkStart w:id="352" w:name="_Toc30632"/>
      <w:bookmarkStart w:id="353" w:name="_Toc30225"/>
      <w:bookmarkStart w:id="354" w:name="_Toc19456"/>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345"/>
      <w:bookmarkEnd w:id="346"/>
      <w:bookmarkEnd w:id="347"/>
      <w:bookmarkEnd w:id="348"/>
      <w:bookmarkEnd w:id="349"/>
      <w:bookmarkEnd w:id="350"/>
      <w:bookmarkEnd w:id="351"/>
      <w:bookmarkEnd w:id="352"/>
      <w:bookmarkEnd w:id="353"/>
      <w:bookmarkEnd w:id="354"/>
    </w:p>
    <w:p w14:paraId="138B89D4">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7E8A5D1B">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355"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14:paraId="32280684">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p>
    <w:bookmarkEnd w:id="355"/>
    <w:p w14:paraId="69364F90">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56" w:name="_Toc521918096"/>
      <w:bookmarkStart w:id="357" w:name="_Toc522047355"/>
      <w:bookmarkStart w:id="358" w:name="_Toc4179"/>
      <w:bookmarkStart w:id="359" w:name="_Toc6970"/>
      <w:bookmarkStart w:id="360" w:name="_Toc22065"/>
      <w:bookmarkStart w:id="361" w:name="_Toc142508343"/>
      <w:bookmarkStart w:id="362" w:name="_Toc24509"/>
      <w:bookmarkStart w:id="363" w:name="_Toc10967"/>
      <w:bookmarkStart w:id="364" w:name="_Toc18368_WPSOffice_Level3"/>
      <w:bookmarkStart w:id="365" w:name="_Toc25512"/>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356"/>
      <w:bookmarkEnd w:id="357"/>
      <w:bookmarkEnd w:id="358"/>
      <w:bookmarkEnd w:id="359"/>
      <w:bookmarkEnd w:id="360"/>
      <w:bookmarkEnd w:id="361"/>
      <w:bookmarkEnd w:id="362"/>
      <w:bookmarkEnd w:id="363"/>
      <w:bookmarkEnd w:id="364"/>
      <w:bookmarkEnd w:id="365"/>
    </w:p>
    <w:p w14:paraId="1CEC39ED">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2F1C54C0">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491FA680">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1B65E211">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17B41A10">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1EF5C2BE">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273358FC">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366" w:name="_Toc522047356"/>
      <w:bookmarkStart w:id="367" w:name="_Toc521918097"/>
    </w:p>
    <w:p w14:paraId="5DFD4DE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68" w:name="_Toc27026"/>
      <w:bookmarkStart w:id="369" w:name="_Toc21460_WPSOffice_Level3"/>
      <w:bookmarkStart w:id="370" w:name="_Toc29350"/>
      <w:bookmarkStart w:id="371" w:name="_Toc11248"/>
      <w:bookmarkStart w:id="372" w:name="_Toc16829"/>
      <w:bookmarkStart w:id="373" w:name="_Toc30507"/>
      <w:bookmarkStart w:id="374" w:name="_Toc142508344"/>
      <w:bookmarkStart w:id="375" w:name="_Toc14804"/>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366"/>
      <w:bookmarkEnd w:id="367"/>
      <w:bookmarkEnd w:id="368"/>
      <w:bookmarkEnd w:id="369"/>
      <w:bookmarkEnd w:id="370"/>
      <w:bookmarkEnd w:id="371"/>
      <w:bookmarkEnd w:id="372"/>
      <w:bookmarkEnd w:id="373"/>
      <w:bookmarkEnd w:id="374"/>
      <w:bookmarkEnd w:id="375"/>
    </w:p>
    <w:p w14:paraId="03DD8BF6">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4F79CC0E">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14:paraId="3909F49C">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5CB56D49">
      <w:pPr>
        <w:autoSpaceDE w:val="0"/>
        <w:autoSpaceDN w:val="0"/>
        <w:adjustRightInd w:val="0"/>
        <w:spacing w:line="360" w:lineRule="auto"/>
        <w:ind w:left="441" w:leftChars="-60" w:right="0" w:rightChars="0"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u w:val="single"/>
          <w:lang w:val="zh-CN"/>
        </w:rPr>
        <w:t>若</w:t>
      </w:r>
      <w:r>
        <w:rPr>
          <w:rFonts w:hint="eastAsia" w:ascii="宋体" w:hAnsi="宋体" w:eastAsia="宋体" w:cs="宋体"/>
          <w:b/>
          <w:bCs/>
          <w:color w:val="auto"/>
          <w:szCs w:val="21"/>
          <w:highlight w:val="none"/>
          <w:u w:val="single"/>
        </w:rPr>
        <w:t>本次招标过程中有效投标人不足三个时，公开招标失败</w:t>
      </w:r>
      <w:r>
        <w:rPr>
          <w:rFonts w:hint="eastAsia" w:ascii="宋体" w:hAnsi="宋体" w:eastAsia="宋体" w:cs="宋体"/>
          <w:b/>
          <w:bCs/>
          <w:color w:val="auto"/>
          <w:szCs w:val="21"/>
          <w:highlight w:val="none"/>
        </w:rPr>
        <w:t>。</w:t>
      </w:r>
    </w:p>
    <w:p w14:paraId="6166AABC">
      <w:pPr>
        <w:tabs>
          <w:tab w:val="left" w:pos="52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76" w:name="_Toc11615"/>
      <w:bookmarkStart w:id="377" w:name="_Toc5196"/>
      <w:bookmarkStart w:id="378" w:name="_Toc29588"/>
      <w:bookmarkStart w:id="379" w:name="_Toc4819"/>
      <w:bookmarkStart w:id="380" w:name="_Toc465358969"/>
      <w:bookmarkStart w:id="381" w:name="_Toc32498_WPSOffice_Level3"/>
      <w:bookmarkStart w:id="382" w:name="_Toc466882017"/>
      <w:bookmarkStart w:id="383" w:name="_Toc486167694"/>
      <w:bookmarkStart w:id="384" w:name="_Toc20139"/>
      <w:bookmarkStart w:id="385" w:name="_Toc142508345"/>
      <w:bookmarkStart w:id="386" w:name="_Toc4146"/>
    </w:p>
    <w:p w14:paraId="4694007F">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376"/>
      <w:bookmarkEnd w:id="377"/>
      <w:bookmarkEnd w:id="378"/>
      <w:bookmarkEnd w:id="379"/>
      <w:bookmarkEnd w:id="380"/>
      <w:bookmarkEnd w:id="381"/>
      <w:bookmarkEnd w:id="382"/>
      <w:bookmarkEnd w:id="383"/>
      <w:bookmarkEnd w:id="384"/>
      <w:bookmarkEnd w:id="385"/>
      <w:bookmarkEnd w:id="386"/>
    </w:p>
    <w:p w14:paraId="11BEEC43">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招标代理机构在招标公告发布媒介公示中标候选人，公示期不得少于3日（最后一日是节假日或公休日的，顺延到节假日或公休日后第一个工作日）。投标人或者其他利害关系人对评标结果有异议的，应当在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56E3CE01">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05CAB587">
      <w:pPr>
        <w:autoSpaceDE w:val="0"/>
        <w:autoSpaceDN w:val="0"/>
        <w:adjustRightInd w:val="0"/>
        <w:snapToGrid/>
        <w:spacing w:line="360" w:lineRule="auto"/>
        <w:ind w:left="284" w:leftChars="0" w:hanging="568" w:firstLineChars="0"/>
        <w:jc w:val="left"/>
        <w:rPr>
          <w:rFonts w:hint="eastAsia" w:ascii="宋体" w:hAnsi="宋体" w:eastAsia="宋体" w:cs="Times New Roman"/>
          <w:b/>
          <w:color w:val="auto"/>
          <w:szCs w:val="21"/>
          <w:highlight w:val="none"/>
          <w:u w:val="singl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u w:val="single"/>
          <w:lang w:val="zh-CN"/>
        </w:rPr>
        <w:t>结果公示后，招标人有权要求中标候选人在结果公示之日起3日（最后一日是节假日或公休日的，顺延到节假日或公休日后第一个工作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u w:val="single"/>
          <w:lang w:val="zh-CN"/>
        </w:rPr>
        <w:t>移交司法机关处理</w:t>
      </w:r>
      <w:r>
        <w:rPr>
          <w:rFonts w:hint="eastAsia" w:ascii="宋体" w:hAnsi="宋体" w:eastAsia="宋体" w:cs="Times New Roman"/>
          <w:b/>
          <w:color w:val="auto"/>
          <w:szCs w:val="21"/>
          <w:highlight w:val="none"/>
          <w:lang w:val="zh-CN"/>
        </w:rPr>
        <w:t>。</w:t>
      </w:r>
    </w:p>
    <w:p w14:paraId="127E5A96">
      <w:pPr>
        <w:autoSpaceDE w:val="0"/>
        <w:autoSpaceDN w:val="0"/>
        <w:adjustRightInd w:val="0"/>
        <w:snapToGrid/>
        <w:spacing w:line="360" w:lineRule="auto"/>
        <w:ind w:left="330" w:leftChars="157" w:firstLine="481" w:firstLineChars="228"/>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u w:val="singl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u w:val="single"/>
        </w:rPr>
        <w:t>第一中标候选人未能在招标人（或其委托的招标代理机构</w:t>
      </w:r>
      <w:r>
        <w:rPr>
          <w:rFonts w:ascii="宋体" w:hAnsi="宋体" w:eastAsia="宋体" w:cs="Times New Roman"/>
          <w:b/>
          <w:color w:val="auto"/>
          <w:kern w:val="0"/>
          <w:szCs w:val="21"/>
          <w:highlight w:val="none"/>
          <w:u w:val="single"/>
        </w:rPr>
        <w:t>) 书面要求的时间(一般不少于三个工作日) 内提供完整的材料原件进行核查的</w:t>
      </w:r>
      <w:r>
        <w:rPr>
          <w:rFonts w:hint="eastAsia" w:ascii="宋体" w:hAnsi="宋体" w:eastAsia="宋体" w:cs="Times New Roman"/>
          <w:b/>
          <w:color w:val="auto"/>
          <w:szCs w:val="21"/>
          <w:highlight w:val="none"/>
          <w:u w:val="single"/>
          <w:lang w:val="zh-CN"/>
        </w:rPr>
        <w:t>，视为其无法提供真实的资料，招标人有权取消其中标候选人资格</w:t>
      </w:r>
      <w:r>
        <w:rPr>
          <w:rFonts w:hint="eastAsia" w:ascii="宋体" w:hAnsi="宋体" w:eastAsia="宋体" w:cs="Times New Roman"/>
          <w:b/>
          <w:color w:val="auto"/>
          <w:szCs w:val="21"/>
          <w:highlight w:val="none"/>
          <w:lang w:val="zh-CN"/>
        </w:rPr>
        <w:t>。</w:t>
      </w:r>
    </w:p>
    <w:p w14:paraId="7198E54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11A0AE9A">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00781000">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41CEA33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66839F49">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396BBBA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36E588B5">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00913D2F">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340D44E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6F061F95">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1A43FC18">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2E408C78">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387" w:name="_Toc465358970"/>
      <w:bookmarkStart w:id="388" w:name="_Toc4626"/>
      <w:bookmarkStart w:id="389" w:name="_Toc26354"/>
      <w:bookmarkStart w:id="390" w:name="_Toc466882018"/>
      <w:bookmarkStart w:id="391" w:name="_Toc22863"/>
      <w:bookmarkStart w:id="392" w:name="_Toc1848_WPSOffice_Level3"/>
      <w:bookmarkStart w:id="393" w:name="_Toc142508346"/>
      <w:bookmarkStart w:id="394" w:name="_Toc486167695"/>
      <w:bookmarkStart w:id="395" w:name="_Toc3154"/>
      <w:bookmarkStart w:id="396" w:name="_Toc2077"/>
      <w:bookmarkStart w:id="397" w:name="_Toc23386"/>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387"/>
      <w:bookmarkEnd w:id="388"/>
      <w:bookmarkEnd w:id="389"/>
      <w:bookmarkEnd w:id="390"/>
      <w:bookmarkEnd w:id="391"/>
      <w:bookmarkEnd w:id="392"/>
      <w:bookmarkEnd w:id="393"/>
      <w:bookmarkEnd w:id="394"/>
      <w:bookmarkEnd w:id="395"/>
      <w:bookmarkEnd w:id="396"/>
      <w:bookmarkEnd w:id="397"/>
    </w:p>
    <w:p w14:paraId="530FA471">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30.1 </w:t>
      </w:r>
      <w:r>
        <w:rPr>
          <w:rFonts w:hint="eastAsia" w:ascii="宋体" w:hAnsi="宋体" w:eastAsia="宋体" w:cs="宋体"/>
          <w:b/>
          <w:color w:val="auto"/>
          <w:szCs w:val="21"/>
          <w:highlight w:val="none"/>
          <w:u w:val="single"/>
        </w:rPr>
        <w:t>在</w:t>
      </w:r>
      <w:r>
        <w:rPr>
          <w:rFonts w:hint="eastAsia" w:ascii="宋体" w:hAnsi="宋体" w:eastAsia="宋体" w:cs="Times New Roman"/>
          <w:b/>
          <w:color w:val="auto"/>
          <w:kern w:val="0"/>
          <w:szCs w:val="21"/>
          <w:highlight w:val="none"/>
          <w:u w:val="singl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u w:val="singl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u w:val="singl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32C9CAAE">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30.2 </w:t>
      </w:r>
      <w:r>
        <w:rPr>
          <w:rFonts w:hint="eastAsia" w:ascii="宋体" w:hAnsi="宋体" w:eastAsia="宋体" w:cs="宋体"/>
          <w:b/>
          <w:color w:val="auto"/>
          <w:szCs w:val="21"/>
          <w:highlight w:val="none"/>
          <w:u w:val="single"/>
        </w:rPr>
        <w:t>投标人</w:t>
      </w:r>
      <w:r>
        <w:rPr>
          <w:rFonts w:hint="eastAsia" w:ascii="宋体" w:hAnsi="宋体" w:eastAsia="宋体" w:cs="Times New Roman"/>
          <w:b/>
          <w:color w:val="auto"/>
          <w:kern w:val="0"/>
          <w:szCs w:val="21"/>
          <w:highlight w:val="none"/>
          <w:u w:val="single"/>
        </w:rPr>
        <w:t>在招标人（或其委托的招标代理机构）、或评标委员会通知其提供</w:t>
      </w:r>
      <w:r>
        <w:rPr>
          <w:rFonts w:hint="eastAsia" w:ascii="宋体" w:hAnsi="宋体" w:eastAsia="宋体" w:cs="Times New Roman"/>
          <w:b/>
          <w:color w:val="auto"/>
          <w:szCs w:val="21"/>
          <w:highlight w:val="none"/>
          <w:u w:val="singl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u w:val="singl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0B007139">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30.3 </w:t>
      </w:r>
      <w:r>
        <w:rPr>
          <w:rFonts w:hint="eastAsia" w:ascii="宋体" w:hAnsi="宋体" w:eastAsia="宋体" w:cs="宋体"/>
          <w:b/>
          <w:color w:val="auto"/>
          <w:szCs w:val="21"/>
          <w:highlight w:val="none"/>
          <w:u w:val="single"/>
        </w:rPr>
        <w:t>若投标人在投标或履约过程中存在提供虚假材料、</w:t>
      </w:r>
      <w:r>
        <w:rPr>
          <w:rFonts w:ascii="宋体" w:hAnsi="宋体" w:eastAsia="宋体" w:cs="宋体"/>
          <w:b/>
          <w:color w:val="auto"/>
          <w:szCs w:val="21"/>
          <w:highlight w:val="none"/>
          <w:u w:val="single"/>
        </w:rPr>
        <w:t>虚假响应</w:t>
      </w:r>
      <w:r>
        <w:rPr>
          <w:rFonts w:hint="eastAsia" w:ascii="宋体" w:hAnsi="宋体" w:eastAsia="宋体" w:cs="宋体"/>
          <w:b/>
          <w:color w:val="auto"/>
          <w:szCs w:val="21"/>
          <w:highlight w:val="none"/>
          <w:u w:val="single"/>
        </w:rPr>
        <w:t>招标</w:t>
      </w:r>
      <w:r>
        <w:rPr>
          <w:rFonts w:ascii="宋体" w:hAnsi="宋体" w:eastAsia="宋体" w:cs="宋体"/>
          <w:b/>
          <w:color w:val="auto"/>
          <w:szCs w:val="21"/>
          <w:highlight w:val="none"/>
          <w:u w:val="single"/>
        </w:rPr>
        <w:t>文件</w:t>
      </w:r>
      <w:r>
        <w:rPr>
          <w:rFonts w:hint="eastAsia" w:ascii="宋体" w:hAnsi="宋体" w:eastAsia="宋体" w:cs="宋体"/>
          <w:b/>
          <w:color w:val="auto"/>
          <w:szCs w:val="21"/>
          <w:highlight w:val="none"/>
          <w:u w:val="single"/>
        </w:rPr>
        <w:t>要求等弄虚作假行为，或未能根据本须知2</w:t>
      </w:r>
      <w:r>
        <w:rPr>
          <w:rFonts w:ascii="宋体" w:hAnsi="宋体" w:eastAsia="宋体" w:cs="宋体"/>
          <w:b/>
          <w:color w:val="auto"/>
          <w:szCs w:val="21"/>
          <w:highlight w:val="none"/>
          <w:u w:val="single"/>
        </w:rPr>
        <w:t>9.2</w:t>
      </w:r>
      <w:r>
        <w:rPr>
          <w:rFonts w:hint="eastAsia" w:ascii="宋体" w:hAnsi="宋体" w:eastAsia="宋体" w:cs="宋体"/>
          <w:b/>
          <w:color w:val="auto"/>
          <w:szCs w:val="21"/>
          <w:highlight w:val="none"/>
          <w:u w:val="single"/>
        </w:rPr>
        <w:t>款约定按时提供原件进行核查的，</w:t>
      </w:r>
      <w:r>
        <w:rPr>
          <w:rFonts w:ascii="宋体" w:hAnsi="宋体" w:eastAsia="宋体" w:cs="宋体"/>
          <w:b/>
          <w:color w:val="auto"/>
          <w:szCs w:val="21"/>
          <w:highlight w:val="none"/>
          <w:u w:val="single"/>
        </w:rPr>
        <w:t>或不按照投标文件承诺履约</w:t>
      </w:r>
      <w:r>
        <w:rPr>
          <w:rFonts w:hint="eastAsia" w:ascii="宋体" w:hAnsi="宋体" w:eastAsia="宋体" w:cs="宋体"/>
          <w:b/>
          <w:color w:val="auto"/>
          <w:szCs w:val="21"/>
          <w:highlight w:val="none"/>
          <w:u w:val="single"/>
        </w:rPr>
        <w:t>或撤回投标或放弃中标资格或</w:t>
      </w:r>
      <w:r>
        <w:rPr>
          <w:rFonts w:ascii="宋体" w:hAnsi="宋体" w:eastAsia="宋体" w:cs="宋体"/>
          <w:b/>
          <w:color w:val="auto"/>
          <w:szCs w:val="21"/>
          <w:highlight w:val="none"/>
          <w:u w:val="single"/>
        </w:rPr>
        <w:t>不按要求与招标人签订合同等影响中标结果的行为</w:t>
      </w:r>
      <w:r>
        <w:rPr>
          <w:rFonts w:hint="eastAsia" w:ascii="宋体" w:hAnsi="宋体" w:eastAsia="宋体" w:cs="宋体"/>
          <w:b/>
          <w:color w:val="auto"/>
          <w:szCs w:val="21"/>
          <w:highlight w:val="none"/>
          <w:u w:val="single"/>
        </w:rPr>
        <w:t>，因此导致投标人无法参与</w:t>
      </w:r>
      <w:r>
        <w:rPr>
          <w:rFonts w:hint="eastAsia" w:ascii="宋体" w:hAnsi="宋体" w:eastAsia="宋体" w:cs="宋体"/>
          <w:b/>
          <w:color w:val="auto"/>
          <w:szCs w:val="21"/>
          <w:highlight w:val="none"/>
          <w:u w:val="single"/>
          <w:lang w:eastAsia="zh-CN"/>
        </w:rPr>
        <w:t>东莞市众源环境投资有限公司</w:t>
      </w:r>
      <w:r>
        <w:rPr>
          <w:rFonts w:hint="eastAsia" w:ascii="宋体" w:hAnsi="宋体" w:eastAsia="宋体" w:cs="宋体"/>
          <w:b/>
          <w:color w:val="auto"/>
          <w:szCs w:val="21"/>
          <w:highlight w:val="none"/>
          <w:u w:val="single"/>
        </w:rPr>
        <w:t>相关招标采购等活动的，由投标人自行承担全部后果</w:t>
      </w:r>
      <w:r>
        <w:rPr>
          <w:rFonts w:hint="eastAsia" w:ascii="宋体" w:hAnsi="宋体" w:eastAsia="宋体" w:cs="宋体"/>
          <w:b/>
          <w:color w:val="auto"/>
          <w:szCs w:val="21"/>
          <w:highlight w:val="none"/>
        </w:rPr>
        <w:t>。</w:t>
      </w:r>
    </w:p>
    <w:p w14:paraId="4840E90A">
      <w:pPr>
        <w:autoSpaceDE w:val="0"/>
        <w:autoSpaceDN w:val="0"/>
        <w:adjustRightInd w:val="0"/>
        <w:snapToGrid w:val="0"/>
        <w:spacing w:line="360" w:lineRule="auto"/>
        <w:jc w:val="left"/>
        <w:rPr>
          <w:rFonts w:ascii="宋体" w:hAnsi="宋体" w:eastAsia="宋体" w:cs="宋体"/>
          <w:color w:val="auto"/>
          <w:szCs w:val="21"/>
          <w:highlight w:val="none"/>
        </w:rPr>
      </w:pPr>
      <w:bookmarkStart w:id="398" w:name="_Toc466882019"/>
      <w:bookmarkStart w:id="399" w:name="_Toc465358971"/>
    </w:p>
    <w:p w14:paraId="11645BFC">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400" w:name="_Toc10867_WPSOffice_Level3"/>
      <w:bookmarkStart w:id="401" w:name="_Toc142508347"/>
      <w:bookmarkStart w:id="402" w:name="_Toc486167696"/>
      <w:bookmarkStart w:id="403" w:name="_Toc15815"/>
      <w:bookmarkStart w:id="404" w:name="_Toc23672"/>
      <w:bookmarkStart w:id="405" w:name="_Toc8654"/>
      <w:bookmarkStart w:id="406" w:name="_Toc27389"/>
      <w:bookmarkStart w:id="407" w:name="_Toc31375"/>
      <w:bookmarkStart w:id="408" w:name="_Toc24614"/>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398"/>
      <w:bookmarkEnd w:id="399"/>
      <w:bookmarkEnd w:id="400"/>
      <w:bookmarkEnd w:id="401"/>
      <w:bookmarkEnd w:id="402"/>
      <w:bookmarkEnd w:id="403"/>
      <w:bookmarkEnd w:id="404"/>
      <w:bookmarkEnd w:id="405"/>
      <w:bookmarkEnd w:id="406"/>
      <w:bookmarkEnd w:id="407"/>
      <w:bookmarkEnd w:id="408"/>
    </w:p>
    <w:p w14:paraId="45D86800">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680B84F1">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409" w:name="_Toc450662880"/>
    </w:p>
    <w:p w14:paraId="123AB8CB">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410" w:name="_Toc4290"/>
      <w:bookmarkStart w:id="411" w:name="_Toc16848_WPSOffice_Level2"/>
      <w:bookmarkStart w:id="412" w:name="_Toc486167697"/>
      <w:bookmarkStart w:id="413" w:name="_Toc27936"/>
      <w:bookmarkStart w:id="414" w:name="_Toc17109"/>
      <w:bookmarkStart w:id="415" w:name="_Toc11941"/>
      <w:bookmarkStart w:id="416" w:name="_Toc140596907"/>
      <w:bookmarkStart w:id="417" w:name="_Toc142508348"/>
      <w:bookmarkStart w:id="418" w:name="_Toc4352"/>
      <w:bookmarkStart w:id="419" w:name="_Toc16789"/>
      <w:r>
        <w:rPr>
          <w:rFonts w:hint="eastAsia" w:ascii="宋体" w:hAnsi="宋体" w:eastAsia="宋体" w:cs="宋体"/>
          <w:b/>
          <w:bCs/>
          <w:color w:val="auto"/>
          <w:kern w:val="44"/>
          <w:szCs w:val="21"/>
          <w:highlight w:val="none"/>
          <w:lang w:val="zh-CN"/>
        </w:rPr>
        <w:t>六、授予合同</w:t>
      </w:r>
      <w:bookmarkEnd w:id="409"/>
      <w:bookmarkEnd w:id="410"/>
      <w:bookmarkEnd w:id="411"/>
      <w:bookmarkEnd w:id="412"/>
      <w:bookmarkEnd w:id="413"/>
      <w:bookmarkEnd w:id="414"/>
      <w:bookmarkEnd w:id="415"/>
      <w:bookmarkEnd w:id="416"/>
      <w:bookmarkEnd w:id="417"/>
      <w:bookmarkEnd w:id="418"/>
      <w:bookmarkEnd w:id="419"/>
    </w:p>
    <w:p w14:paraId="0F1A897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20" w:name="_Toc9067"/>
      <w:bookmarkStart w:id="421" w:name="_Toc16356"/>
      <w:bookmarkStart w:id="422" w:name="_Toc29383"/>
      <w:bookmarkStart w:id="423" w:name="_Toc6401_WPSOffice_Level3"/>
      <w:bookmarkStart w:id="424" w:name="_Toc450662881"/>
      <w:bookmarkStart w:id="425" w:name="_Toc142508349"/>
      <w:bookmarkStart w:id="426" w:name="_Toc16732"/>
      <w:bookmarkStart w:id="427" w:name="_Toc31713"/>
      <w:bookmarkStart w:id="428" w:name="_Toc22739"/>
      <w:bookmarkStart w:id="429" w:name="_Toc486167698"/>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420"/>
      <w:bookmarkEnd w:id="421"/>
      <w:bookmarkEnd w:id="422"/>
      <w:bookmarkEnd w:id="423"/>
      <w:bookmarkEnd w:id="424"/>
      <w:bookmarkEnd w:id="425"/>
      <w:bookmarkEnd w:id="426"/>
      <w:bookmarkEnd w:id="427"/>
      <w:bookmarkEnd w:id="428"/>
      <w:bookmarkEnd w:id="429"/>
    </w:p>
    <w:p w14:paraId="3E40F81A">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578E793B">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32.2 </w:t>
      </w:r>
      <w:r>
        <w:rPr>
          <w:rFonts w:hint="eastAsia" w:ascii="宋体" w:hAnsi="宋体" w:eastAsia="宋体" w:cs="宋体"/>
          <w:b/>
          <w:bCs/>
          <w:color w:val="auto"/>
          <w:szCs w:val="21"/>
          <w:highlight w:val="none"/>
          <w:u w:val="single"/>
          <w:lang w:val="zh-CN"/>
        </w:rPr>
        <w:t>招标人依法</w:t>
      </w:r>
      <w:r>
        <w:rPr>
          <w:rFonts w:hint="eastAsia" w:ascii="宋体" w:hAnsi="宋体" w:eastAsia="宋体" w:cs="宋体"/>
          <w:b/>
          <w:bCs/>
          <w:color w:val="auto"/>
          <w:kern w:val="0"/>
          <w:szCs w:val="21"/>
          <w:highlight w:val="none"/>
          <w:u w:val="single"/>
        </w:rPr>
        <w:t>按照评标报告中推荐的中标候选人顺序</w:t>
      </w:r>
      <w:r>
        <w:rPr>
          <w:rFonts w:hint="eastAsia" w:ascii="宋体" w:hAnsi="宋体" w:eastAsia="宋体" w:cs="宋体"/>
          <w:b/>
          <w:bCs/>
          <w:color w:val="auto"/>
          <w:szCs w:val="21"/>
          <w:highlight w:val="none"/>
          <w:u w:val="single"/>
          <w:lang w:val="zh-CN"/>
        </w:rPr>
        <w:t>确定中标人</w:t>
      </w:r>
      <w:r>
        <w:rPr>
          <w:rFonts w:hint="eastAsia" w:ascii="宋体" w:hAnsi="宋体" w:eastAsia="宋体" w:cs="宋体"/>
          <w:color w:val="auto"/>
          <w:szCs w:val="21"/>
          <w:highlight w:val="none"/>
          <w:lang w:val="zh-CN"/>
        </w:rPr>
        <w:t>。</w:t>
      </w:r>
    </w:p>
    <w:p w14:paraId="142583BF">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58391EE7">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30" w:name="_Toc450662885"/>
    </w:p>
    <w:p w14:paraId="6049B35C">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31" w:name="_Toc27387"/>
      <w:bookmarkStart w:id="432" w:name="_Toc142508350"/>
      <w:bookmarkStart w:id="433" w:name="_Toc8196"/>
      <w:bookmarkStart w:id="434" w:name="_Toc13756"/>
      <w:bookmarkStart w:id="435" w:name="_Toc6726_WPSOffice_Level3"/>
      <w:bookmarkStart w:id="436" w:name="_Toc12727"/>
      <w:bookmarkStart w:id="437" w:name="_Toc486167699"/>
      <w:bookmarkStart w:id="438" w:name="_Toc18984"/>
      <w:bookmarkStart w:id="439" w:name="_Toc14377"/>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430"/>
      <w:bookmarkEnd w:id="431"/>
      <w:bookmarkEnd w:id="432"/>
      <w:bookmarkEnd w:id="433"/>
      <w:bookmarkEnd w:id="434"/>
      <w:bookmarkEnd w:id="435"/>
      <w:bookmarkEnd w:id="436"/>
      <w:bookmarkEnd w:id="437"/>
      <w:bookmarkEnd w:id="438"/>
      <w:bookmarkEnd w:id="439"/>
    </w:p>
    <w:p w14:paraId="061E4EE3">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40"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59769014">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0B878A6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4D626A8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41" w:name="_Toc486167700"/>
      <w:bookmarkStart w:id="442" w:name="_Toc1331"/>
      <w:bookmarkStart w:id="443" w:name="_Toc15394"/>
      <w:bookmarkStart w:id="444" w:name="_Toc28020"/>
      <w:bookmarkStart w:id="445" w:name="_Toc19127"/>
      <w:bookmarkStart w:id="446" w:name="_Toc9694_WPSOffice_Level3"/>
      <w:bookmarkStart w:id="447" w:name="_Toc298"/>
      <w:bookmarkStart w:id="448" w:name="_Toc29627"/>
      <w:bookmarkStart w:id="449" w:name="_Toc142508351"/>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440"/>
      <w:bookmarkEnd w:id="441"/>
      <w:bookmarkEnd w:id="442"/>
      <w:bookmarkEnd w:id="443"/>
      <w:bookmarkEnd w:id="444"/>
      <w:bookmarkEnd w:id="445"/>
      <w:bookmarkEnd w:id="446"/>
      <w:bookmarkEnd w:id="447"/>
      <w:bookmarkEnd w:id="448"/>
      <w:bookmarkEnd w:id="449"/>
    </w:p>
    <w:p w14:paraId="3E7860D7">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7439CFE3">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34.2 在签署合同前，招标人可对中标人投标报价明细及附表内的算术性错误进行修正，修正原则为：</w:t>
      </w:r>
    </w:p>
    <w:p w14:paraId="19D1B034">
      <w:pPr>
        <w:autoSpaceDE/>
        <w:autoSpaceDN/>
        <w:adjustRightInd w:val="0"/>
        <w:snapToGrid w:val="0"/>
        <w:spacing w:line="360" w:lineRule="auto"/>
        <w:ind w:left="315" w:leftChars="150" w:firstLine="0" w:firstLineChars="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当以数字表示的报价系数与以文字表示的报价系数不一致时，以文字表示的报价系数为准。按前述修正原则排序依次进行修正至唯一值后的报价表经双方确认后，作为合同文件的组成部分。</w:t>
      </w:r>
    </w:p>
    <w:p w14:paraId="5447A289">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1EE48D68">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50" w:name="_Toc26522"/>
      <w:bookmarkStart w:id="451" w:name="_Toc450662887"/>
      <w:bookmarkStart w:id="452" w:name="_Toc13292"/>
      <w:bookmarkStart w:id="453" w:name="_Toc486167701"/>
      <w:bookmarkStart w:id="454" w:name="_Toc27788"/>
      <w:bookmarkStart w:id="455" w:name="_Toc3830"/>
      <w:bookmarkStart w:id="456" w:name="_Toc10513_WPSOffice_Level3"/>
      <w:bookmarkStart w:id="457" w:name="_Toc8181"/>
      <w:bookmarkStart w:id="458" w:name="_Toc5304"/>
      <w:bookmarkStart w:id="459" w:name="_Toc142508352"/>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450"/>
      <w:bookmarkEnd w:id="451"/>
      <w:bookmarkEnd w:id="452"/>
      <w:bookmarkEnd w:id="453"/>
      <w:bookmarkEnd w:id="454"/>
      <w:bookmarkEnd w:id="455"/>
      <w:bookmarkEnd w:id="456"/>
      <w:bookmarkEnd w:id="457"/>
      <w:bookmarkEnd w:id="458"/>
      <w:bookmarkEnd w:id="459"/>
    </w:p>
    <w:p w14:paraId="6826427E">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460" w:name="_Toc465358977"/>
      <w:bookmarkStart w:id="461" w:name="_Toc466882025"/>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w:t>
      </w:r>
      <w:r>
        <w:rPr>
          <w:rFonts w:hint="eastAsia" w:ascii="宋体" w:hAnsi="宋体" w:eastAsia="宋体" w:cs="Times New Roman"/>
          <w:b/>
          <w:bCs/>
          <w:color w:val="auto"/>
          <w:szCs w:val="21"/>
          <w:highlight w:val="none"/>
          <w:u w:val="single"/>
        </w:rPr>
        <w:t>合同价税合计</w:t>
      </w:r>
      <w:r>
        <w:rPr>
          <w:rFonts w:hint="eastAsia" w:ascii="宋体" w:hAnsi="宋体" w:eastAsia="宋体" w:cs="Times New Roman"/>
          <w:b/>
          <w:bCs/>
          <w:color w:val="auto"/>
          <w:szCs w:val="21"/>
          <w:highlight w:val="none"/>
          <w:u w:val="single"/>
          <w:lang w:val="zh-CN"/>
        </w:rPr>
        <w:t>的</w:t>
      </w:r>
      <w:r>
        <w:rPr>
          <w:rFonts w:hint="default" w:ascii="宋体" w:hAnsi="宋体" w:eastAsia="宋体" w:cs="Times New Roman"/>
          <w:b/>
          <w:bCs/>
          <w:color w:val="auto"/>
          <w:szCs w:val="21"/>
          <w:highlight w:val="none"/>
          <w:u w:val="single"/>
          <w:lang w:val="en-US"/>
        </w:rPr>
        <w:t>5%</w:t>
      </w:r>
      <w:r>
        <w:rPr>
          <w:rFonts w:hint="eastAsia" w:ascii="宋体" w:hAnsi="宋体" w:eastAsia="宋体" w:cs="Times New Roman"/>
          <w:b/>
          <w:bCs/>
          <w:color w:val="auto"/>
          <w:szCs w:val="21"/>
          <w:highlight w:val="none"/>
          <w:u w:val="single"/>
          <w:lang w:val="zh-CN"/>
        </w:rPr>
        <w:t>，采用不可撤销银行履约保函形式的金额为</w:t>
      </w:r>
      <w:r>
        <w:rPr>
          <w:rFonts w:hint="eastAsia" w:ascii="宋体" w:hAnsi="宋体" w:eastAsia="宋体" w:cs="宋体"/>
          <w:b/>
          <w:bCs/>
          <w:color w:val="auto"/>
          <w:szCs w:val="21"/>
          <w:highlight w:val="none"/>
          <w:u w:val="single"/>
          <w:lang w:val="zh-CN"/>
        </w:rPr>
        <w:t>合同价税合计</w:t>
      </w:r>
      <w:r>
        <w:rPr>
          <w:rFonts w:hint="eastAsia" w:ascii="宋体" w:hAnsi="宋体" w:eastAsia="宋体" w:cs="Times New Roman"/>
          <w:b/>
          <w:bCs/>
          <w:color w:val="auto"/>
          <w:szCs w:val="21"/>
          <w:highlight w:val="none"/>
          <w:u w:val="single"/>
          <w:lang w:val="zh-CN"/>
        </w:rPr>
        <w:t>的</w:t>
      </w:r>
      <w:r>
        <w:rPr>
          <w:rFonts w:hint="default" w:ascii="宋体" w:hAnsi="宋体" w:eastAsia="宋体" w:cs="Times New Roman"/>
          <w:b/>
          <w:bCs/>
          <w:color w:val="auto"/>
          <w:szCs w:val="21"/>
          <w:highlight w:val="none"/>
          <w:u w:val="single"/>
          <w:lang w:val="en-US"/>
        </w:rPr>
        <w:t>8%</w:t>
      </w:r>
      <w:r>
        <w:rPr>
          <w:rFonts w:hint="eastAsia" w:ascii="宋体" w:hAnsi="宋体" w:eastAsia="宋体" w:cs="Times New Roman"/>
          <w:b/>
          <w:bCs/>
          <w:color w:val="auto"/>
          <w:szCs w:val="21"/>
          <w:highlight w:val="none"/>
          <w:u w:val="single"/>
          <w:lang w:val="zh-CN"/>
        </w:rPr>
        <w:t>，采用</w:t>
      </w:r>
      <w:r>
        <w:rPr>
          <w:rFonts w:hint="eastAsia" w:ascii="宋体" w:hAnsi="宋体" w:eastAsia="宋体" w:cs="Times New Roman"/>
          <w:b/>
          <w:bCs/>
          <w:color w:val="auto"/>
          <w:szCs w:val="21"/>
          <w:highlight w:val="none"/>
          <w:u w:val="single"/>
          <w:lang w:val="en-US" w:eastAsia="zh-CN"/>
        </w:rPr>
        <w:t>履约保证保险</w:t>
      </w:r>
      <w:r>
        <w:rPr>
          <w:rFonts w:hint="eastAsia" w:ascii="宋体" w:hAnsi="宋体" w:eastAsia="宋体" w:cs="Times New Roman"/>
          <w:b/>
          <w:bCs/>
          <w:color w:val="auto"/>
          <w:szCs w:val="21"/>
          <w:highlight w:val="none"/>
          <w:u w:val="single"/>
          <w:lang w:val="zh-CN"/>
        </w:rPr>
        <w:t>形式的金额为</w:t>
      </w:r>
      <w:r>
        <w:rPr>
          <w:rFonts w:hint="eastAsia" w:ascii="宋体" w:hAnsi="宋体" w:eastAsia="宋体" w:cs="宋体"/>
          <w:b/>
          <w:bCs/>
          <w:color w:val="auto"/>
          <w:szCs w:val="21"/>
          <w:highlight w:val="none"/>
          <w:u w:val="single"/>
          <w:lang w:val="zh-CN"/>
        </w:rPr>
        <w:t>合同价税合计</w:t>
      </w:r>
      <w:r>
        <w:rPr>
          <w:rFonts w:hint="eastAsia" w:ascii="宋体" w:hAnsi="宋体" w:eastAsia="宋体" w:cs="Times New Roman"/>
          <w:b/>
          <w:bCs/>
          <w:color w:val="auto"/>
          <w:szCs w:val="21"/>
          <w:highlight w:val="none"/>
          <w:u w:val="single"/>
          <w:lang w:val="zh-CN"/>
        </w:rPr>
        <w:t>的</w:t>
      </w:r>
      <w:r>
        <w:rPr>
          <w:rFonts w:hint="default" w:ascii="宋体" w:hAnsi="宋体" w:eastAsia="宋体" w:cs="Times New Roman"/>
          <w:b/>
          <w:bCs/>
          <w:color w:val="auto"/>
          <w:szCs w:val="21"/>
          <w:highlight w:val="none"/>
          <w:u w:val="single"/>
          <w:lang w:val="en-US"/>
        </w:rPr>
        <w:t>8%</w:t>
      </w:r>
      <w:r>
        <w:rPr>
          <w:rFonts w:hint="eastAsia" w:ascii="宋体" w:hAnsi="宋体" w:eastAsia="宋体" w:cs="Times New Roman"/>
          <w:b/>
          <w:bCs/>
          <w:color w:val="auto"/>
          <w:szCs w:val="21"/>
          <w:highlight w:val="none"/>
          <w:u w:val="single"/>
          <w:lang w:val="zh-CN"/>
        </w:rPr>
        <w:t>，采用担保公司履约担保书形式的金额为</w:t>
      </w:r>
      <w:r>
        <w:rPr>
          <w:rFonts w:hint="eastAsia" w:ascii="宋体" w:hAnsi="宋体" w:eastAsia="宋体" w:cs="宋体"/>
          <w:b/>
          <w:bCs/>
          <w:color w:val="auto"/>
          <w:szCs w:val="21"/>
          <w:highlight w:val="none"/>
          <w:u w:val="single"/>
          <w:lang w:val="zh-CN"/>
        </w:rPr>
        <w:t>合同价税合计</w:t>
      </w:r>
      <w:r>
        <w:rPr>
          <w:rFonts w:hint="eastAsia" w:ascii="宋体" w:hAnsi="宋体" w:eastAsia="宋体" w:cs="Times New Roman"/>
          <w:b/>
          <w:bCs/>
          <w:color w:val="auto"/>
          <w:szCs w:val="21"/>
          <w:highlight w:val="none"/>
          <w:u w:val="single"/>
          <w:lang w:val="zh-CN"/>
        </w:rPr>
        <w:t>的</w:t>
      </w:r>
      <w:r>
        <w:rPr>
          <w:rFonts w:hint="default" w:ascii="宋体" w:hAnsi="宋体" w:eastAsia="宋体" w:cs="Times New Roman"/>
          <w:b/>
          <w:bCs/>
          <w:color w:val="auto"/>
          <w:szCs w:val="21"/>
          <w:highlight w:val="none"/>
          <w:u w:val="single"/>
          <w:lang w:val="en-US"/>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给招标人造成的损失超过履约担保数额的，中标人还应当对超过部分予以赔偿，招标人并依法追究中标人的相应责任。</w:t>
      </w:r>
    </w:p>
    <w:p w14:paraId="5DEBC380">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auto"/>
          <w:kern w:val="0"/>
          <w:szCs w:val="21"/>
          <w:highlight w:val="none"/>
        </w:rPr>
        <w:t>：</w:t>
      </w:r>
    </w:p>
    <w:p w14:paraId="5EF8CE4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中标人将合同项下中标人的权利义务全部转让给第三方，或未经招标人书面同意将部分权利义务转让给第三方的，招标人有权没收其履约担保。</w:t>
      </w:r>
    </w:p>
    <w:p w14:paraId="45AA945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怠于履行合同义务，经招标人通知或要求承担违约金后仍拒不改正的，招标人可依法没收或适当扣除其履约担保。</w:t>
      </w:r>
    </w:p>
    <w:p w14:paraId="1BAD810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招标人有权使用履约担保予以支付或作出相应处理，由此产生的一切法律后果由中标人承担。</w:t>
      </w:r>
    </w:p>
    <w:p w14:paraId="34D1E78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57DE229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29435FE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34D02841">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14:paraId="54C8C31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2CDCC67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履约担保书）形式提供履约担保的，投标前应当自行向其拟申请开具保函的银行（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w:t>
      </w:r>
      <w:r>
        <w:rPr>
          <w:rFonts w:ascii="宋体" w:hAnsi="宋体" w:eastAsia="宋体" w:cs="Times New Roman"/>
          <w:color w:val="auto"/>
          <w:kern w:val="0"/>
          <w:szCs w:val="21"/>
          <w:highlight w:val="none"/>
        </w:rPr>
        <w:t>，须事先经招标人的书面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19B0105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w:t>
      </w:r>
      <w:r>
        <w:rPr>
          <w:rFonts w:hint="eastAsia" w:ascii="宋体" w:hAnsi="宋体" w:eastAsia="宋体" w:cs="Times New Roman"/>
          <w:color w:val="auto"/>
          <w:kern w:val="0"/>
          <w:szCs w:val="21"/>
          <w:highlight w:val="none"/>
          <w:lang w:val="en-US" w:eastAsia="zh-CN"/>
        </w:rPr>
        <w:t>东莞</w:t>
      </w:r>
      <w:r>
        <w:rPr>
          <w:rFonts w:hint="eastAsia" w:ascii="宋体" w:hAnsi="宋体" w:eastAsia="宋体" w:cs="Times New Roman"/>
          <w:color w:val="auto"/>
          <w:kern w:val="0"/>
          <w:szCs w:val="21"/>
          <w:highlight w:val="none"/>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auto"/>
          <w:kern w:val="0"/>
          <w:szCs w:val="21"/>
          <w:highlight w:val="none"/>
        </w:rPr>
        <w:t>。</w:t>
      </w:r>
    </w:p>
    <w:p w14:paraId="27FFCE5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担保公司履约担保书</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未按招标人要求重新提供的，招标人有权要求中标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07F8421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招标人有权按需补足的金额要求中标人承担违约金，并要求限期补足。如中标人仍不补足的，招标人有权单方解除合同，违约金可直接从未付合同款或履约担保中扣除。</w:t>
      </w:r>
    </w:p>
    <w:p w14:paraId="69B24E4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（6）不可撤销银行履约保函（或履约保证保险或担保公司履约担保书）应在本项目合同期限届满并完成合同的全部服务义务后二十八（28）日内保持有效。</w:t>
      </w:r>
    </w:p>
    <w:p w14:paraId="368D8B7B">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14:paraId="6DBBB099">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08E6FE79">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p>
    <w:p w14:paraId="363E32A6">
      <w:pPr>
        <w:autoSpaceDE w:val="0"/>
        <w:autoSpaceDN w:val="0"/>
        <w:adjustRightInd w:val="0"/>
        <w:snapToGrid w:val="0"/>
        <w:spacing w:line="360" w:lineRule="auto"/>
        <w:ind w:firstLine="632" w:firstLineChars="300"/>
        <w:jc w:val="left"/>
        <w:rPr>
          <w:rFonts w:hint="eastAsia" w:ascii="宋体" w:hAnsi="宋体" w:eastAsia="宋体" w:cs="Times New Roman"/>
          <w:b/>
          <w:color w:val="auto"/>
          <w:kern w:val="0"/>
          <w:szCs w:val="21"/>
          <w:highlight w:val="none"/>
          <w:lang w:eastAsia="zh-CN"/>
        </w:rPr>
      </w:pPr>
      <w:r>
        <w:rPr>
          <w:rFonts w:hint="eastAsia" w:ascii="宋体" w:hAnsi="宋体" w:eastAsia="宋体" w:cs="Times New Roman"/>
          <w:b/>
          <w:color w:val="auto"/>
          <w:kern w:val="0"/>
          <w:szCs w:val="21"/>
          <w:highlight w:val="none"/>
        </w:rPr>
        <w:t>开户名称：</w:t>
      </w:r>
      <w:r>
        <w:rPr>
          <w:rFonts w:hint="eastAsia" w:ascii="宋体" w:hAnsi="宋体" w:eastAsia="宋体" w:cs="Times New Roman"/>
          <w:b/>
          <w:color w:val="auto"/>
          <w:kern w:val="0"/>
          <w:szCs w:val="21"/>
          <w:highlight w:val="none"/>
          <w:lang w:eastAsia="zh-CN"/>
        </w:rPr>
        <w:t>东莞市众源环境投资有限公司</w:t>
      </w:r>
    </w:p>
    <w:p w14:paraId="1AB7BEC5">
      <w:pPr>
        <w:autoSpaceDE w:val="0"/>
        <w:autoSpaceDN w:val="0"/>
        <w:adjustRightInd w:val="0"/>
        <w:snapToGrid w:val="0"/>
        <w:spacing w:line="360" w:lineRule="auto"/>
        <w:ind w:firstLine="632" w:firstLineChars="300"/>
        <w:jc w:val="left"/>
        <w:rPr>
          <w:rFonts w:hint="eastAsia" w:ascii="宋体" w:hAnsi="宋体" w:eastAsia="宋体" w:cs="Times New Roman"/>
          <w:b/>
          <w:color w:val="auto"/>
          <w:kern w:val="0"/>
          <w:szCs w:val="21"/>
          <w:highlight w:val="none"/>
          <w:lang w:eastAsia="zh-CN"/>
        </w:rPr>
      </w:pPr>
      <w:r>
        <w:rPr>
          <w:rFonts w:hint="eastAsia" w:ascii="宋体" w:hAnsi="宋体" w:eastAsia="宋体" w:cs="Times New Roman"/>
          <w:b/>
          <w:color w:val="auto"/>
          <w:kern w:val="0"/>
          <w:szCs w:val="21"/>
          <w:highlight w:val="none"/>
        </w:rPr>
        <w:t>银行账号：</w:t>
      </w:r>
      <w:r>
        <w:rPr>
          <w:rFonts w:hint="eastAsia" w:ascii="宋体" w:hAnsi="宋体" w:eastAsia="宋体" w:cs="Times New Roman"/>
          <w:b/>
          <w:color w:val="auto"/>
          <w:kern w:val="0"/>
          <w:szCs w:val="21"/>
          <w:highlight w:val="none"/>
          <w:lang w:eastAsia="zh-CN"/>
        </w:rPr>
        <w:t>769908269610828</w:t>
      </w:r>
    </w:p>
    <w:p w14:paraId="53A607F1">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开户银行：招商银行股份有限公司东莞分行</w:t>
      </w:r>
    </w:p>
    <w:p w14:paraId="14CB3B1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中标人以履约保证金（银行转账形式）提供履约担保的在依法完成本项目的所有合同义务，且</w:t>
      </w:r>
      <w:r>
        <w:rPr>
          <w:rFonts w:hint="eastAsia" w:ascii="宋体" w:hAnsi="宋体" w:eastAsia="宋体" w:cs="Times New Roman"/>
          <w:color w:val="auto"/>
          <w:kern w:val="0"/>
          <w:szCs w:val="21"/>
          <w:highlight w:val="none"/>
          <w:lang w:val="en-US" w:eastAsia="zh-CN"/>
        </w:rPr>
        <w:t>结算完毕之</w:t>
      </w:r>
      <w:r>
        <w:rPr>
          <w:rFonts w:ascii="宋体" w:hAnsi="宋体" w:eastAsia="宋体" w:cs="宋体"/>
          <w:color w:val="auto"/>
          <w:kern w:val="0"/>
          <w:szCs w:val="21"/>
          <w:highlight w:val="none"/>
        </w:rPr>
        <w:t>后</w:t>
      </w:r>
      <w:r>
        <w:rPr>
          <w:rFonts w:hint="eastAsia" w:ascii="宋体" w:hAnsi="宋体" w:eastAsia="宋体" w:cs="宋体"/>
          <w:color w:val="auto"/>
          <w:kern w:val="0"/>
          <w:szCs w:val="21"/>
          <w:highlight w:val="none"/>
        </w:rPr>
        <w:t>，经招标人确认，中标人可向招标人提交退回履约担保的申请。招标人审核无异议后，办理履约担保退还手续，退回时一律以银行转账的形式无息退回到中标人的帐户。</w:t>
      </w:r>
    </w:p>
    <w:p w14:paraId="1BECBC1F">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3099ED26">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62" w:name="_Toc10548"/>
      <w:bookmarkStart w:id="463" w:name="_Toc486167702"/>
      <w:bookmarkStart w:id="464" w:name="_Toc18606"/>
      <w:bookmarkStart w:id="465" w:name="_Toc32637"/>
      <w:bookmarkStart w:id="466" w:name="_Toc17615"/>
      <w:bookmarkStart w:id="467" w:name="_Toc9976"/>
      <w:bookmarkStart w:id="468" w:name="_Toc27162"/>
      <w:bookmarkStart w:id="469" w:name="_Toc142508353"/>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460"/>
      <w:bookmarkEnd w:id="461"/>
      <w:bookmarkEnd w:id="462"/>
      <w:bookmarkEnd w:id="463"/>
      <w:bookmarkEnd w:id="464"/>
      <w:bookmarkEnd w:id="465"/>
      <w:bookmarkEnd w:id="466"/>
      <w:bookmarkEnd w:id="467"/>
      <w:bookmarkEnd w:id="468"/>
      <w:bookmarkEnd w:id="469"/>
    </w:p>
    <w:p w14:paraId="3926DCB3">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在合同约定的范围内，招标人有权根据项目实际情况及有关法律法规、政策的规定对采购范围进行变更调整，变更采购范围后，投标人应遵照执行。</w:t>
      </w:r>
    </w:p>
    <w:p w14:paraId="35C0F09F">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70" w:name="_Toc450662888"/>
    </w:p>
    <w:p w14:paraId="7ABCAF79">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71" w:name="_Toc142508354"/>
      <w:bookmarkStart w:id="472" w:name="_Toc486167703"/>
      <w:bookmarkStart w:id="473" w:name="_Toc23218"/>
      <w:bookmarkStart w:id="474" w:name="_Toc2401"/>
      <w:bookmarkStart w:id="475" w:name="_Toc6437"/>
      <w:bookmarkStart w:id="476" w:name="_Toc28921_WPSOffice_Level3"/>
      <w:bookmarkStart w:id="477" w:name="_Toc32448"/>
      <w:bookmarkStart w:id="478" w:name="_Toc24719"/>
      <w:bookmarkStart w:id="479" w:name="_Toc26429"/>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470"/>
      <w:bookmarkEnd w:id="471"/>
      <w:bookmarkEnd w:id="472"/>
      <w:bookmarkEnd w:id="473"/>
      <w:bookmarkEnd w:id="474"/>
      <w:bookmarkEnd w:id="475"/>
      <w:bookmarkEnd w:id="476"/>
      <w:bookmarkEnd w:id="477"/>
      <w:bookmarkEnd w:id="478"/>
      <w:bookmarkEnd w:id="479"/>
    </w:p>
    <w:p w14:paraId="2DA68DEB">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本项目中标服务费由招标人向招标代理机构支付。</w:t>
      </w:r>
    </w:p>
    <w:p w14:paraId="1659FF72">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80" w:name="_Toc450662889"/>
    </w:p>
    <w:p w14:paraId="212F4DF9">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81" w:name="_Toc19764"/>
      <w:bookmarkStart w:id="482" w:name="_Toc6796"/>
      <w:bookmarkStart w:id="483" w:name="_Toc142508355"/>
      <w:bookmarkStart w:id="484" w:name="_Toc7262"/>
      <w:bookmarkStart w:id="485" w:name="_Toc21742"/>
      <w:bookmarkStart w:id="486" w:name="_Toc486167704"/>
      <w:bookmarkStart w:id="487" w:name="_Toc21757"/>
      <w:bookmarkStart w:id="488" w:name="_Toc21985"/>
      <w:bookmarkStart w:id="489" w:name="_Toc6764_WPSOffice_Level3"/>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480"/>
      <w:bookmarkEnd w:id="481"/>
      <w:bookmarkEnd w:id="482"/>
      <w:bookmarkEnd w:id="483"/>
      <w:bookmarkEnd w:id="484"/>
      <w:bookmarkEnd w:id="485"/>
      <w:bookmarkEnd w:id="486"/>
      <w:bookmarkEnd w:id="487"/>
      <w:bookmarkEnd w:id="488"/>
      <w:bookmarkEnd w:id="489"/>
    </w:p>
    <w:p w14:paraId="254025E6">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bookmarkStart w:id="490" w:name="_Toc486167705"/>
      <w:bookmarkStart w:id="491" w:name="_Toc31106_WPSOffice_Level3"/>
      <w:r>
        <w:rPr>
          <w:rFonts w:hint="eastAsia" w:ascii="宋体" w:hAnsi="宋体" w:eastAsia="宋体" w:cs="Times New Roman"/>
          <w:color w:val="auto"/>
          <w:szCs w:val="21"/>
          <w:highlight w:val="none"/>
          <w:lang w:val="zh-CN"/>
        </w:rPr>
        <w:t>该项目获得中标的中标人在执行合同过程中，向招标人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rPr>
        <w:t>子</w:t>
      </w:r>
      <w:r>
        <w:rPr>
          <w:rFonts w:hint="eastAsia" w:ascii="宋体" w:hAnsi="宋体" w:eastAsia="宋体" w:cs="宋体"/>
          <w:color w:val="auto"/>
          <w:szCs w:val="21"/>
          <w:highlight w:val="none"/>
          <w:lang w:val="zh-CN"/>
        </w:rPr>
        <w:t>公司）</w:t>
      </w:r>
      <w:r>
        <w:rPr>
          <w:rFonts w:hint="eastAsia" w:ascii="宋体" w:hAnsi="宋体" w:eastAsia="宋体" w:cs="Times New Roman"/>
          <w:color w:val="auto"/>
          <w:szCs w:val="21"/>
          <w:highlight w:val="none"/>
          <w:lang w:val="zh-CN"/>
        </w:rPr>
        <w:t>出具的发票必须是由中标人开具，不得以其他单位或个人名义出具，本项目中标人向招标人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rPr>
        <w:t>子</w:t>
      </w:r>
      <w:r>
        <w:rPr>
          <w:rFonts w:hint="eastAsia" w:ascii="宋体" w:hAnsi="宋体" w:eastAsia="宋体" w:cs="宋体"/>
          <w:color w:val="auto"/>
          <w:szCs w:val="21"/>
          <w:highlight w:val="none"/>
          <w:lang w:val="zh-CN"/>
        </w:rPr>
        <w:t>公司）</w:t>
      </w:r>
      <w:r>
        <w:rPr>
          <w:rFonts w:hint="eastAsia" w:ascii="宋体" w:hAnsi="宋体" w:eastAsia="宋体" w:cs="Times New Roman"/>
          <w:color w:val="auto"/>
          <w:szCs w:val="21"/>
          <w:highlight w:val="none"/>
          <w:lang w:val="zh-CN"/>
        </w:rPr>
        <w:t>出具的发票类型为增值税专用发票。</w:t>
      </w:r>
    </w:p>
    <w:p w14:paraId="023FFC84">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534880F5">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492" w:name="_Toc24547"/>
      <w:bookmarkStart w:id="493" w:name="_Toc142508356"/>
      <w:bookmarkStart w:id="494" w:name="_Toc26318"/>
      <w:bookmarkStart w:id="495" w:name="_Toc16679"/>
      <w:bookmarkStart w:id="496" w:name="_Toc27075"/>
      <w:bookmarkStart w:id="497" w:name="_Toc1487"/>
      <w:bookmarkStart w:id="498" w:name="_Toc8619"/>
      <w:r>
        <w:rPr>
          <w:rFonts w:ascii="宋体" w:hAnsi="宋体" w:eastAsia="宋体" w:cs="宋体"/>
          <w:b/>
          <w:color w:val="auto"/>
          <w:szCs w:val="21"/>
          <w:highlight w:val="none"/>
        </w:rPr>
        <w:t>39 招标相关补充约定</w:t>
      </w:r>
      <w:bookmarkEnd w:id="492"/>
      <w:bookmarkEnd w:id="493"/>
      <w:bookmarkEnd w:id="494"/>
      <w:bookmarkEnd w:id="495"/>
      <w:bookmarkEnd w:id="496"/>
      <w:bookmarkEnd w:id="497"/>
      <w:bookmarkEnd w:id="498"/>
    </w:p>
    <w:p w14:paraId="4D1C16D7">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u w:val="single"/>
        </w:rPr>
        <w:t>本项目投标人须知第2条所述行政处罚信息，以开标</w:t>
      </w:r>
      <w:r>
        <w:rPr>
          <w:rFonts w:hint="eastAsia" w:ascii="宋体" w:hAnsi="宋体" w:eastAsia="宋体" w:cs="Times New Roman"/>
          <w:b/>
          <w:color w:val="auto"/>
          <w:szCs w:val="21"/>
          <w:highlight w:val="none"/>
          <w:u w:val="single"/>
          <w:lang w:val="en-US" w:eastAsia="zh-CN"/>
        </w:rPr>
        <w:t>当天</w:t>
      </w:r>
      <w:r>
        <w:rPr>
          <w:rFonts w:ascii="宋体" w:hAnsi="宋体" w:eastAsia="宋体" w:cs="Times New Roman"/>
          <w:b/>
          <w:color w:val="auto"/>
          <w:szCs w:val="21"/>
          <w:highlight w:val="none"/>
          <w:u w:val="single"/>
        </w:rPr>
        <w:t>在“信用中国”网站（www.creditchina.gov.cn）查询结果为准</w:t>
      </w:r>
      <w:r>
        <w:rPr>
          <w:rFonts w:hint="eastAsia" w:ascii="宋体" w:hAnsi="宋体" w:eastAsia="宋体" w:cs="Times New Roman"/>
          <w:b/>
          <w:color w:val="auto"/>
          <w:szCs w:val="21"/>
          <w:highlight w:val="none"/>
          <w:u w:val="single"/>
        </w:rPr>
        <w:t>，或以司法、仲裁机构等出具的生效文件予以认定,时间以认定文件的落款时间为准</w:t>
      </w:r>
      <w:r>
        <w:rPr>
          <w:rFonts w:ascii="宋体" w:hAnsi="宋体" w:eastAsia="宋体" w:cs="Times New Roman"/>
          <w:b/>
          <w:color w:val="auto"/>
          <w:szCs w:val="21"/>
          <w:highlight w:val="none"/>
          <w:u w:val="single"/>
        </w:rPr>
        <w:t>。开标结束后，有关投标单位的行政处罚信息，以</w:t>
      </w:r>
      <w:r>
        <w:rPr>
          <w:rFonts w:hint="eastAsia" w:ascii="宋体" w:hAnsi="宋体" w:eastAsia="宋体" w:cs="Times New Roman"/>
          <w:b/>
          <w:color w:val="auto"/>
          <w:szCs w:val="21"/>
          <w:highlight w:val="none"/>
          <w:u w:val="single"/>
          <w:lang w:val="en-US" w:eastAsia="zh-CN"/>
        </w:rPr>
        <w:t>开标当天查询</w:t>
      </w:r>
      <w:r>
        <w:rPr>
          <w:rFonts w:ascii="宋体" w:hAnsi="宋体" w:eastAsia="宋体" w:cs="Times New Roman"/>
          <w:b/>
          <w:color w:val="auto"/>
          <w:szCs w:val="21"/>
          <w:highlight w:val="none"/>
          <w:u w:val="single"/>
        </w:rPr>
        <w:t>结果为准；结果公示期间，如投标人对有关投标单位的行政处罚信息存在异议，但不涉及第一中标候选人的，视为对中标结果没有造成实质影响</w:t>
      </w:r>
      <w:r>
        <w:rPr>
          <w:rFonts w:ascii="宋体" w:hAnsi="宋体" w:eastAsia="宋体" w:cs="Times New Roman"/>
          <w:b/>
          <w:color w:val="auto"/>
          <w:szCs w:val="21"/>
          <w:highlight w:val="none"/>
        </w:rPr>
        <w:t>。</w:t>
      </w:r>
    </w:p>
    <w:p w14:paraId="24D444BC">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2FAFD2C4">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499" w:name="_Toc29758"/>
      <w:bookmarkStart w:id="500" w:name="_Toc26594"/>
      <w:bookmarkStart w:id="501" w:name="_Toc1295"/>
      <w:bookmarkStart w:id="502" w:name="_Toc18001"/>
      <w:bookmarkStart w:id="503" w:name="_Toc142508357"/>
      <w:bookmarkStart w:id="504" w:name="_Toc32753"/>
      <w:bookmarkStart w:id="505" w:name="_Toc5205"/>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490"/>
      <w:bookmarkEnd w:id="491"/>
      <w:bookmarkEnd w:id="499"/>
      <w:bookmarkEnd w:id="500"/>
      <w:bookmarkEnd w:id="501"/>
      <w:bookmarkEnd w:id="502"/>
      <w:bookmarkEnd w:id="503"/>
      <w:bookmarkEnd w:id="504"/>
      <w:bookmarkEnd w:id="505"/>
    </w:p>
    <w:p w14:paraId="1C2FEC5B">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506" w:name="_Toc14879"/>
      <w:bookmarkStart w:id="507" w:name="_Toc21149"/>
      <w:bookmarkStart w:id="508" w:name="_Toc4386"/>
      <w:bookmarkStart w:id="509" w:name="_Toc21446"/>
      <w:bookmarkStart w:id="510" w:name="_Toc450662891"/>
      <w:bookmarkStart w:id="511" w:name="_Toc12612"/>
      <w:bookmarkStart w:id="512" w:name="_Toc27939_WPSOffice_Level1"/>
      <w:bookmarkStart w:id="513" w:name="_Toc142508358"/>
      <w:bookmarkStart w:id="514" w:name="_Toc24068"/>
      <w:bookmarkStart w:id="515" w:name="_Toc486167706"/>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506"/>
      <w:bookmarkEnd w:id="507"/>
      <w:bookmarkEnd w:id="508"/>
      <w:bookmarkEnd w:id="509"/>
      <w:bookmarkEnd w:id="510"/>
      <w:bookmarkEnd w:id="511"/>
      <w:bookmarkEnd w:id="512"/>
      <w:bookmarkEnd w:id="513"/>
      <w:bookmarkEnd w:id="514"/>
      <w:bookmarkEnd w:id="515"/>
    </w:p>
    <w:p w14:paraId="2FAB3324">
      <w:pPr>
        <w:keepNext w:val="0"/>
        <w:keepLines w:val="0"/>
        <w:pageBreakBefore w:val="0"/>
        <w:kinsoku/>
        <w:wordWrap/>
        <w:overflowPunct/>
        <w:topLinePunct w:val="0"/>
        <w:autoSpaceDE/>
        <w:autoSpaceDN/>
        <w:bidi w:val="0"/>
        <w:snapToGrid/>
        <w:spacing w:line="400" w:lineRule="exact"/>
        <w:ind w:firstLine="422" w:firstLineChars="200"/>
        <w:contextualSpacing/>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项目概况</w:t>
      </w:r>
    </w:p>
    <w:p w14:paraId="31DCF668">
      <w:pPr>
        <w:pStyle w:val="38"/>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sz w:val="21"/>
          <w:szCs w:val="21"/>
          <w:highlight w:val="none"/>
          <w:lang w:val="en-US" w:eastAsia="zh-CN"/>
        </w:rPr>
      </w:pPr>
      <w:r>
        <w:rPr>
          <w:rFonts w:hint="default"/>
          <w:color w:val="auto"/>
          <w:sz w:val="21"/>
          <w:szCs w:val="21"/>
          <w:highlight w:val="none"/>
          <w:lang w:val="en-US" w:eastAsia="zh-CN"/>
        </w:rPr>
        <w:t>东莞市众源环境投资有限公司为贯彻集团科技创新驱动发展的战略目标，强化提升东莞市水务集团实业发展有限公司污泥全过程管理能力，为公司经营和发展提档</w:t>
      </w:r>
      <w:r>
        <w:rPr>
          <w:rFonts w:hint="eastAsia"/>
          <w:color w:val="auto"/>
          <w:sz w:val="21"/>
          <w:szCs w:val="21"/>
          <w:highlight w:val="none"/>
          <w:lang w:val="en-US" w:eastAsia="zh-CN"/>
        </w:rPr>
        <w:t>升级</w:t>
      </w:r>
      <w:r>
        <w:rPr>
          <w:rFonts w:hint="default"/>
          <w:color w:val="auto"/>
          <w:sz w:val="21"/>
          <w:szCs w:val="21"/>
          <w:highlight w:val="none"/>
          <w:lang w:val="en-US" w:eastAsia="zh-CN"/>
        </w:rPr>
        <w:t>提供具体路径，打造东莞市市政污泥全过程管理体系，落实东莞市构建“无废城市”的规划，东莞市众源环境投资有限公司计划采购一家技术服务单位，提供“特大城市市政污泥全过程管理体系”成效评估及提质增效路径研究</w:t>
      </w:r>
      <w:r>
        <w:rPr>
          <w:rFonts w:hint="eastAsia"/>
          <w:color w:val="auto"/>
          <w:sz w:val="21"/>
          <w:szCs w:val="21"/>
          <w:highlight w:val="none"/>
          <w:lang w:val="en-US" w:eastAsia="zh-CN"/>
        </w:rPr>
        <w:t>技术服务</w:t>
      </w:r>
      <w:r>
        <w:rPr>
          <w:rFonts w:hint="default"/>
          <w:color w:val="auto"/>
          <w:sz w:val="21"/>
          <w:szCs w:val="21"/>
          <w:highlight w:val="none"/>
          <w:lang w:val="en-US" w:eastAsia="zh-CN"/>
        </w:rPr>
        <w:t>。</w:t>
      </w:r>
    </w:p>
    <w:p w14:paraId="171EAA0A">
      <w:pPr>
        <w:keepNext w:val="0"/>
        <w:keepLines w:val="0"/>
        <w:pageBreakBefore w:val="0"/>
        <w:kinsoku/>
        <w:wordWrap/>
        <w:overflowPunct/>
        <w:topLinePunct w:val="0"/>
        <w:autoSpaceDE/>
        <w:autoSpaceDN/>
        <w:bidi w:val="0"/>
        <w:snapToGrid/>
        <w:spacing w:line="400" w:lineRule="exact"/>
        <w:ind w:firstLine="422" w:firstLineChars="200"/>
        <w:contextualSpacing/>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项目背景</w:t>
      </w:r>
    </w:p>
    <w:p w14:paraId="278DF50C">
      <w:pPr>
        <w:keepNext w:val="0"/>
        <w:keepLines w:val="0"/>
        <w:pageBreakBefore w:val="0"/>
        <w:kinsoku/>
        <w:wordWrap/>
        <w:overflowPunct/>
        <w:topLinePunct w:val="0"/>
        <w:autoSpaceDE/>
        <w:autoSpaceDN/>
        <w:bidi w:val="0"/>
        <w:snapToGrid/>
        <w:spacing w:line="400" w:lineRule="exact"/>
        <w:ind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据统计，2023年东莞市</w:t>
      </w:r>
      <w:r>
        <w:rPr>
          <w:rFonts w:hint="eastAsia" w:ascii="宋体" w:hAnsi="宋体" w:eastAsia="宋体" w:cs="宋体"/>
          <w:color w:val="auto"/>
          <w:sz w:val="21"/>
          <w:szCs w:val="21"/>
          <w:highlight w:val="none"/>
          <w:lang w:val="en-US" w:eastAsia="zh-CN"/>
        </w:rPr>
        <w:t>共具有</w:t>
      </w:r>
      <w:r>
        <w:rPr>
          <w:rFonts w:hint="eastAsia" w:ascii="宋体" w:hAnsi="宋体" w:eastAsia="宋体" w:cs="宋体"/>
          <w:color w:val="auto"/>
          <w:sz w:val="21"/>
          <w:szCs w:val="21"/>
          <w:highlight w:val="none"/>
        </w:rPr>
        <w:t>56座集中式污水处理厂产生污泥约83万吨（含水率80%），处理处置方式主要为污泥在厂内脱水减量至半干后外运处置，处置途径包括制作燃料棒、制砖和电厂掺烧等。根据有关文件预测，2025年东莞市污泥产生量（含水率80%）预计将达2952t/d，远期（2030年）产生量将达4425 t/d（含水率80%）。当前，东莞市市政污泥的管理与处理处置依托东莞市水务集团实业发展有限公司（下称“实业公司”）开展。当前东莞全市市政污泥处理处置存在一定地方特色，因涉及污水厂多，分布广，污水厂的产泥规模相对较小，管理的难度较高。除污水厂外，还有工业废水的排入，以及面临河水和地下水等进入管网等问题，各厂的泥质具有不同特点，复杂各异，具备</w:t>
      </w:r>
      <w:r>
        <w:rPr>
          <w:rFonts w:hint="eastAsia" w:ascii="宋体" w:hAnsi="宋体" w:eastAsia="宋体" w:cs="宋体"/>
          <w:color w:val="auto"/>
          <w:sz w:val="21"/>
          <w:szCs w:val="21"/>
          <w:highlight w:val="none"/>
          <w:lang w:val="en-US" w:eastAsia="zh-CN"/>
        </w:rPr>
        <w:t>新型</w:t>
      </w:r>
      <w:r>
        <w:rPr>
          <w:rFonts w:hint="eastAsia" w:ascii="宋体" w:hAnsi="宋体" w:eastAsia="宋体" w:cs="宋体"/>
          <w:color w:val="auto"/>
          <w:sz w:val="21"/>
          <w:szCs w:val="21"/>
          <w:highlight w:val="none"/>
        </w:rPr>
        <w:t>特大城市的特色。此外，</w:t>
      </w:r>
      <w:r>
        <w:rPr>
          <w:rFonts w:hint="eastAsia" w:ascii="宋体" w:hAnsi="宋体" w:eastAsia="宋体" w:cs="宋体"/>
          <w:color w:val="auto"/>
          <w:sz w:val="21"/>
          <w:szCs w:val="21"/>
          <w:highlight w:val="none"/>
          <w:lang w:val="en-US" w:eastAsia="zh-CN"/>
        </w:rPr>
        <w:t>东莞市在</w:t>
      </w:r>
      <w:r>
        <w:rPr>
          <w:rFonts w:hint="eastAsia" w:ascii="宋体" w:hAnsi="宋体" w:eastAsia="宋体" w:cs="宋体"/>
          <w:color w:val="auto"/>
          <w:sz w:val="21"/>
          <w:szCs w:val="21"/>
          <w:highlight w:val="none"/>
        </w:rPr>
        <w:t>建污泥集中处置中心，计划未来收集全市污泥统一焚烧处置，当前主要通过委托</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单位进行污泥处理处置，服务期限不长，存在特殊情况下提升应急管理</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需求。</w:t>
      </w:r>
    </w:p>
    <w:p w14:paraId="61BBCC96">
      <w:pPr>
        <w:keepNext w:val="0"/>
        <w:keepLines w:val="0"/>
        <w:pageBreakBefore w:val="0"/>
        <w:kinsoku/>
        <w:wordWrap/>
        <w:overflowPunct/>
        <w:topLinePunct w:val="0"/>
        <w:autoSpaceDE/>
        <w:autoSpaceDN/>
        <w:bidi w:val="0"/>
        <w:snapToGrid/>
        <w:spacing w:line="400" w:lineRule="exact"/>
        <w:ind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实业公司对全市市政污泥进行了统一管理，</w:t>
      </w:r>
      <w:r>
        <w:rPr>
          <w:rFonts w:hint="eastAsia" w:ascii="宋体" w:hAnsi="宋体" w:eastAsia="宋体" w:cs="宋体"/>
          <w:color w:val="auto"/>
          <w:sz w:val="21"/>
          <w:szCs w:val="21"/>
          <w:highlight w:val="none"/>
          <w:lang w:val="en-US" w:eastAsia="zh-CN"/>
        </w:rPr>
        <w:t>经多年累积</w:t>
      </w:r>
      <w:r>
        <w:rPr>
          <w:rFonts w:hint="eastAsia" w:ascii="宋体" w:hAnsi="宋体" w:eastAsia="宋体" w:cs="宋体"/>
          <w:color w:val="auto"/>
          <w:sz w:val="21"/>
          <w:szCs w:val="21"/>
          <w:highlight w:val="none"/>
        </w:rPr>
        <w:t>形成了系列管理经验，</w:t>
      </w:r>
      <w:r>
        <w:rPr>
          <w:rFonts w:hint="eastAsia" w:ascii="宋体" w:hAnsi="宋体" w:eastAsia="宋体" w:cs="宋体"/>
          <w:color w:val="auto"/>
          <w:sz w:val="21"/>
          <w:szCs w:val="21"/>
          <w:highlight w:val="none"/>
          <w:lang w:val="en-US" w:eastAsia="zh-CN"/>
        </w:rPr>
        <w:t>形成了一套适合东莞当地特色的市政污泥处理处置的体系，且有了显著成效。为进一步系统性梳理和评估管理与</w:t>
      </w:r>
      <w:r>
        <w:rPr>
          <w:rFonts w:hint="eastAsia" w:ascii="宋体" w:hAnsi="宋体" w:eastAsia="宋体" w:cs="宋体"/>
          <w:color w:val="auto"/>
          <w:sz w:val="21"/>
          <w:szCs w:val="21"/>
          <w:highlight w:val="none"/>
        </w:rPr>
        <w:t>技术体系，</w:t>
      </w:r>
      <w:r>
        <w:rPr>
          <w:rFonts w:hint="eastAsia" w:ascii="宋体" w:hAnsi="宋体" w:eastAsia="宋体" w:cs="宋体"/>
          <w:color w:val="auto"/>
          <w:sz w:val="21"/>
          <w:szCs w:val="21"/>
          <w:highlight w:val="none"/>
          <w:lang w:val="en-US" w:eastAsia="zh-CN"/>
        </w:rPr>
        <w:t>总结</w:t>
      </w:r>
      <w:r>
        <w:rPr>
          <w:rFonts w:hint="eastAsia" w:ascii="宋体" w:hAnsi="宋体" w:eastAsia="宋体" w:cs="宋体"/>
          <w:color w:val="auto"/>
          <w:sz w:val="21"/>
          <w:szCs w:val="21"/>
          <w:highlight w:val="none"/>
        </w:rPr>
        <w:t>污泥管理中存在的问题与短板，明确提质增效路径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计划开展本研究。</w:t>
      </w:r>
      <w:r>
        <w:rPr>
          <w:rFonts w:hint="eastAsia" w:ascii="宋体" w:hAnsi="宋体" w:eastAsia="宋体" w:cs="宋体"/>
          <w:color w:val="auto"/>
          <w:sz w:val="21"/>
          <w:szCs w:val="21"/>
          <w:highlight w:val="none"/>
        </w:rPr>
        <w:t>同时，根据上级行政管理部门的需求，当前东莞市</w:t>
      </w:r>
      <w:r>
        <w:rPr>
          <w:rFonts w:hint="eastAsia" w:ascii="宋体" w:hAnsi="宋体" w:eastAsia="宋体" w:cs="宋体"/>
          <w:color w:val="auto"/>
          <w:sz w:val="21"/>
          <w:szCs w:val="21"/>
          <w:highlight w:val="none"/>
          <w:lang w:val="en-US" w:eastAsia="zh-CN"/>
        </w:rPr>
        <w:t>有关部门</w:t>
      </w:r>
      <w:r>
        <w:rPr>
          <w:rFonts w:hint="eastAsia" w:ascii="宋体" w:hAnsi="宋体" w:eastAsia="宋体" w:cs="宋体"/>
          <w:color w:val="auto"/>
          <w:sz w:val="21"/>
          <w:szCs w:val="21"/>
          <w:highlight w:val="none"/>
        </w:rPr>
        <w:t>尚未出台污泥管理的专项政策制度文件，在实际污泥管理过程中政策指导性和实操性不强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因此</w:t>
      </w:r>
      <w:r>
        <w:rPr>
          <w:rFonts w:hint="eastAsia" w:ascii="宋体" w:hAnsi="宋体" w:eastAsia="宋体" w:cs="宋体"/>
          <w:color w:val="auto"/>
          <w:sz w:val="21"/>
          <w:szCs w:val="21"/>
          <w:highlight w:val="none"/>
          <w:lang w:val="en-US" w:eastAsia="zh-CN"/>
        </w:rPr>
        <w:t>通过开展</w:t>
      </w:r>
      <w:r>
        <w:rPr>
          <w:rFonts w:hint="eastAsia" w:ascii="宋体" w:hAnsi="宋体" w:eastAsia="宋体" w:cs="宋体"/>
          <w:color w:val="auto"/>
          <w:sz w:val="21"/>
          <w:szCs w:val="21"/>
          <w:highlight w:val="none"/>
        </w:rPr>
        <w:t>东莞市现有污泥全过程管理体系进</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效评估及提质增效路径研究，优化运营成本，提升管理效能，完善制度管理体系，储备先进适用技术，总结凝练形成一套适用于东莞市的现代化市政污泥全过程管理体系，为特大城市市政污泥治理领域生态环境高质量发展提供示范样板。</w:t>
      </w:r>
    </w:p>
    <w:p w14:paraId="7FFC02E9">
      <w:pPr>
        <w:keepNext w:val="0"/>
        <w:keepLines w:val="0"/>
        <w:pageBreakBefore w:val="0"/>
        <w:kinsoku/>
        <w:wordWrap/>
        <w:overflowPunct/>
        <w:topLinePunct w:val="0"/>
        <w:autoSpaceDE/>
        <w:autoSpaceDN/>
        <w:bidi w:val="0"/>
        <w:snapToGrid/>
        <w:spacing w:line="400" w:lineRule="exact"/>
        <w:ind w:firstLine="422" w:firstLineChars="200"/>
        <w:contextualSpacing/>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、项目研究目标</w:t>
      </w:r>
    </w:p>
    <w:p w14:paraId="3AEFA9A5">
      <w:pPr>
        <w:keepNext w:val="0"/>
        <w:keepLines w:val="0"/>
        <w:pageBreakBefore w:val="0"/>
        <w:kinsoku/>
        <w:wordWrap/>
        <w:overflowPunct/>
        <w:topLinePunct w:val="0"/>
        <w:autoSpaceDE/>
        <w:autoSpaceDN/>
        <w:bidi w:val="0"/>
        <w:snapToGrid/>
        <w:spacing w:line="400" w:lineRule="exact"/>
        <w:ind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结合国家、广东省的政策要求与东莞市污泥管理的实际需求，向有关行政管理部门提出管理政策建议，补充完善污泥管理政策体系，解决外部政策体系不明晰以及管理过程中存在的实操性缺陷问题；</w:t>
      </w:r>
    </w:p>
    <w:p w14:paraId="64A878B8">
      <w:pPr>
        <w:keepNext w:val="0"/>
        <w:keepLines w:val="0"/>
        <w:pageBreakBefore w:val="0"/>
        <w:kinsoku/>
        <w:wordWrap/>
        <w:overflowPunct/>
        <w:topLinePunct w:val="0"/>
        <w:autoSpaceDE/>
        <w:autoSpaceDN/>
        <w:bidi w:val="0"/>
        <w:snapToGrid/>
        <w:spacing w:line="400" w:lineRule="exact"/>
        <w:ind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w:t>
      </w:r>
      <w:r>
        <w:rPr>
          <w:rFonts w:hint="eastAsia" w:ascii="宋体" w:hAnsi="宋体" w:eastAsia="宋体" w:cs="宋体"/>
          <w:color w:val="auto"/>
          <w:szCs w:val="21"/>
          <w:highlight w:val="none"/>
        </w:rPr>
        <w:t>东莞市水务集团实业发展有限公司（包含东莞市水务集团实业发展有限公司权属子公司及控股公司，下同）</w:t>
      </w:r>
      <w:r>
        <w:rPr>
          <w:rFonts w:hint="eastAsia" w:ascii="宋体" w:hAnsi="宋体" w:eastAsia="宋体" w:cs="宋体"/>
          <w:color w:val="auto"/>
          <w:sz w:val="21"/>
          <w:szCs w:val="21"/>
          <w:highlight w:val="none"/>
        </w:rPr>
        <w:t>现有污泥管理制度体系开展分析，进一步凝练总结经验做法，去芜存菁，完善内部完制度体系，制定出合理高效、具有普适性的管理策略，进一步提升管理效能；</w:t>
      </w:r>
    </w:p>
    <w:p w14:paraId="010707AB">
      <w:pPr>
        <w:keepNext w:val="0"/>
        <w:keepLines w:val="0"/>
        <w:pageBreakBefore w:val="0"/>
        <w:kinsoku/>
        <w:wordWrap/>
        <w:overflowPunct/>
        <w:topLinePunct w:val="0"/>
        <w:autoSpaceDE/>
        <w:autoSpaceDN/>
        <w:bidi w:val="0"/>
        <w:snapToGrid/>
        <w:spacing w:line="400" w:lineRule="exact"/>
        <w:ind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通过开展深入的调研、采样检测和数据分析，识别和解决实业公司在源头减量、运输效率、处理技术选择等环节的潜在管理问题；</w:t>
      </w:r>
    </w:p>
    <w:p w14:paraId="41151B21">
      <w:pPr>
        <w:keepNext w:val="0"/>
        <w:keepLines w:val="0"/>
        <w:pageBreakBefore w:val="0"/>
        <w:kinsoku/>
        <w:wordWrap/>
        <w:overflowPunct/>
        <w:topLinePunct w:val="0"/>
        <w:autoSpaceDE/>
        <w:autoSpaceDN/>
        <w:bidi w:val="0"/>
        <w:snapToGrid/>
        <w:spacing w:line="400" w:lineRule="exact"/>
        <w:ind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对污泥全流程处理项目开展实地调研，广泛考察污泥处理处置新技术，围绕污泥无害化、资源化、减量化，提出技术发展方向，构建技术管理体系。</w:t>
      </w:r>
    </w:p>
    <w:p w14:paraId="6DB226F1">
      <w:pPr>
        <w:keepNext w:val="0"/>
        <w:keepLines w:val="0"/>
        <w:pageBreakBefore w:val="0"/>
        <w:kinsoku/>
        <w:wordWrap/>
        <w:overflowPunct/>
        <w:topLinePunct w:val="0"/>
        <w:autoSpaceDE/>
        <w:autoSpaceDN/>
        <w:bidi w:val="0"/>
        <w:snapToGrid/>
        <w:spacing w:line="400" w:lineRule="exact"/>
        <w:ind w:firstLine="422" w:firstLineChars="200"/>
        <w:contextualSpacing/>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、项目拟解决的问题</w:t>
      </w:r>
    </w:p>
    <w:p w14:paraId="01907FE1">
      <w:pPr>
        <w:pStyle w:val="38"/>
        <w:keepNext w:val="0"/>
        <w:keepLines w:val="0"/>
        <w:pageBreakBefore w:val="0"/>
        <w:kinsoku/>
        <w:wordWrap/>
        <w:overflowPunct/>
        <w:topLinePunct w:val="0"/>
        <w:autoSpaceDE/>
        <w:autoSpaceDN/>
        <w:bidi w:val="0"/>
        <w:snapToGrid/>
        <w:spacing w:line="400" w:lineRule="exact"/>
        <w:ind w:left="0" w:leftChars="0" w:firstLine="64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bookmarkStart w:id="516" w:name="OLE_LINK7"/>
      <w:r>
        <w:rPr>
          <w:rFonts w:hint="eastAsia" w:ascii="宋体" w:hAnsi="宋体" w:eastAsia="宋体" w:cs="宋体"/>
          <w:color w:val="auto"/>
          <w:sz w:val="21"/>
          <w:szCs w:val="21"/>
          <w:highlight w:val="none"/>
        </w:rPr>
        <w:t>外部政策制度体系不明晰</w:t>
      </w:r>
      <w:bookmarkEnd w:id="516"/>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补强</w:t>
      </w:r>
      <w:r>
        <w:rPr>
          <w:rFonts w:hint="eastAsia" w:ascii="宋体" w:hAnsi="宋体" w:eastAsia="宋体" w:cs="宋体"/>
          <w:color w:val="auto"/>
          <w:sz w:val="21"/>
          <w:szCs w:val="21"/>
          <w:highlight w:val="none"/>
        </w:rPr>
        <w:t>管理过程</w:t>
      </w:r>
      <w:r>
        <w:rPr>
          <w:rFonts w:hint="eastAsia" w:ascii="宋体" w:hAnsi="宋体" w:cs="宋体"/>
          <w:color w:val="auto"/>
          <w:sz w:val="21"/>
          <w:szCs w:val="21"/>
          <w:highlight w:val="none"/>
          <w:lang w:eastAsia="zh-CN"/>
        </w:rPr>
        <w:t>的</w:t>
      </w:r>
      <w:r>
        <w:rPr>
          <w:rFonts w:hint="eastAsia" w:ascii="宋体" w:hAnsi="宋体" w:cs="宋体"/>
          <w:color w:val="auto"/>
          <w:sz w:val="21"/>
          <w:szCs w:val="21"/>
          <w:highlight w:val="none"/>
          <w:lang w:val="en-US" w:eastAsia="zh-CN"/>
        </w:rPr>
        <w:t>政策指引</w:t>
      </w:r>
      <w:r>
        <w:rPr>
          <w:rFonts w:hint="eastAsia" w:ascii="宋体" w:hAnsi="宋体" w:eastAsia="宋体" w:cs="宋体"/>
          <w:color w:val="auto"/>
          <w:sz w:val="21"/>
          <w:szCs w:val="21"/>
          <w:highlight w:val="none"/>
        </w:rPr>
        <w:t>。2021年以来，国家大力关注市政污泥处理处置工作，力图改变“重水轻泥”的现象，提出了系列目标，为污泥处理处置技术发展方向提供了指引，但除了《广东省住房和城乡建设厅 广东省生态环境厅城镇生活污水处理厂污泥处理处置管理办法》（粤建城〔2022〕196号）和《东莞市生活污水处理厂污泥处理处置管理规定》（东环〔2021〕207号）2个普适性文件外，广东省、东莞市近年尚未出台污泥管理的其他专项政策制度文件，</w:t>
      </w:r>
      <w:r>
        <w:rPr>
          <w:rFonts w:hint="eastAsia" w:ascii="宋体" w:hAnsi="宋体" w:cs="宋体"/>
          <w:color w:val="auto"/>
          <w:sz w:val="21"/>
          <w:szCs w:val="21"/>
          <w:highlight w:val="none"/>
          <w:lang w:val="en-US" w:eastAsia="zh-CN"/>
        </w:rPr>
        <w:t>经上</w:t>
      </w:r>
      <w:r>
        <w:rPr>
          <w:rFonts w:hint="eastAsia" w:ascii="宋体" w:hAnsi="宋体" w:eastAsia="宋体" w:cs="宋体"/>
          <w:color w:val="auto"/>
          <w:sz w:val="21"/>
          <w:szCs w:val="21"/>
          <w:highlight w:val="none"/>
        </w:rPr>
        <w:t>级行政管理部门</w:t>
      </w:r>
      <w:r>
        <w:rPr>
          <w:rFonts w:hint="eastAsia" w:ascii="宋体" w:hAnsi="宋体" w:cs="宋体"/>
          <w:color w:val="auto"/>
          <w:sz w:val="21"/>
          <w:szCs w:val="21"/>
          <w:highlight w:val="none"/>
          <w:lang w:val="en-US" w:eastAsia="zh-CN"/>
        </w:rPr>
        <w:t>反映，</w:t>
      </w:r>
      <w:r>
        <w:rPr>
          <w:rFonts w:hint="eastAsia" w:ascii="宋体" w:hAnsi="宋体" w:eastAsia="宋体" w:cs="宋体"/>
          <w:color w:val="auto"/>
          <w:sz w:val="21"/>
          <w:szCs w:val="21"/>
          <w:highlight w:val="none"/>
        </w:rPr>
        <w:t>管理过程中存在实操性不强的问题。因此，本研究旨在解决外部政策制度体系不明晰，管理过程中存在的实操性缺陷问题，需要全面收集、完善和明确相关外部政策制度要求，对主管部门相关已有的政策文件解读和管理操作上，研究实际的执行情况和实施难度，并完善政策的明确性和执行力，以确保污泥处理处置工作的顺利执行和有效监管。</w:t>
      </w:r>
    </w:p>
    <w:p w14:paraId="76DD1541">
      <w:pPr>
        <w:pStyle w:val="38"/>
        <w:keepNext w:val="0"/>
        <w:keepLines w:val="0"/>
        <w:pageBreakBefore w:val="0"/>
        <w:kinsoku/>
        <w:wordWrap/>
        <w:overflowPunct/>
        <w:topLinePunct w:val="0"/>
        <w:autoSpaceDE/>
        <w:autoSpaceDN/>
        <w:bidi w:val="0"/>
        <w:snapToGrid/>
        <w:spacing w:line="400" w:lineRule="exact"/>
        <w:ind w:left="0" w:leftChars="0" w:firstLine="64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bookmarkStart w:id="517" w:name="OLE_LINK9"/>
      <w:r>
        <w:rPr>
          <w:rFonts w:hint="eastAsia" w:ascii="宋体" w:hAnsi="宋体" w:cs="宋体"/>
          <w:color w:val="auto"/>
          <w:sz w:val="21"/>
          <w:szCs w:val="21"/>
          <w:highlight w:val="none"/>
          <w:lang w:val="en-US" w:eastAsia="zh-CN"/>
        </w:rPr>
        <w:t>完善</w:t>
      </w:r>
      <w:r>
        <w:rPr>
          <w:rFonts w:hint="eastAsia" w:ascii="宋体" w:hAnsi="宋体" w:eastAsia="宋体" w:cs="宋体"/>
          <w:color w:val="auto"/>
          <w:sz w:val="21"/>
          <w:szCs w:val="21"/>
          <w:highlight w:val="none"/>
        </w:rPr>
        <w:t>企业内部制度体系</w:t>
      </w:r>
      <w:bookmarkEnd w:id="517"/>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强化</w:t>
      </w:r>
      <w:bookmarkStart w:id="518" w:name="OLE_LINK10"/>
      <w:r>
        <w:rPr>
          <w:rFonts w:hint="eastAsia" w:ascii="宋体" w:hAnsi="宋体" w:eastAsia="宋体" w:cs="宋体"/>
          <w:color w:val="auto"/>
          <w:sz w:val="21"/>
          <w:szCs w:val="21"/>
          <w:highlight w:val="none"/>
        </w:rPr>
        <w:t>全过程闭环管理</w:t>
      </w:r>
      <w:bookmarkEnd w:id="518"/>
      <w:r>
        <w:rPr>
          <w:rFonts w:hint="eastAsia" w:ascii="宋体" w:hAnsi="宋体" w:eastAsia="宋体" w:cs="宋体"/>
          <w:color w:val="auto"/>
          <w:sz w:val="21"/>
          <w:szCs w:val="21"/>
          <w:highlight w:val="none"/>
        </w:rPr>
        <w:t>。为实现开展全市市政污泥的统一管理，公司前期已经制定了系列制度，针对不同污水厂、不同泥质污泥</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为进一步</w:t>
      </w:r>
      <w:r>
        <w:rPr>
          <w:rFonts w:hint="eastAsia" w:ascii="宋体" w:hAnsi="宋体" w:eastAsia="宋体" w:cs="宋体"/>
          <w:color w:val="auto"/>
          <w:sz w:val="21"/>
          <w:szCs w:val="21"/>
          <w:highlight w:val="none"/>
        </w:rPr>
        <w:t>高效管理</w:t>
      </w:r>
      <w:r>
        <w:rPr>
          <w:rFonts w:hint="eastAsia" w:ascii="宋体" w:hAnsi="宋体" w:cs="宋体"/>
          <w:color w:val="auto"/>
          <w:sz w:val="21"/>
          <w:szCs w:val="21"/>
          <w:highlight w:val="none"/>
          <w:lang w:eastAsia="zh-CN"/>
        </w:rPr>
        <w:t>的</w:t>
      </w:r>
      <w:r>
        <w:rPr>
          <w:rFonts w:hint="eastAsia" w:ascii="宋体" w:hAnsi="宋体" w:cs="宋体"/>
          <w:color w:val="auto"/>
          <w:sz w:val="21"/>
          <w:szCs w:val="21"/>
          <w:highlight w:val="none"/>
          <w:lang w:val="en-US" w:eastAsia="zh-CN"/>
        </w:rPr>
        <w:t>提升空间，实现</w:t>
      </w:r>
      <w:r>
        <w:rPr>
          <w:rFonts w:hint="eastAsia" w:ascii="宋体" w:hAnsi="宋体" w:eastAsia="宋体" w:cs="宋体"/>
          <w:color w:val="auto"/>
          <w:sz w:val="21"/>
          <w:szCs w:val="21"/>
          <w:highlight w:val="none"/>
        </w:rPr>
        <w:t>统一性与差异化并存</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需要对现有的管理制度进行全面的梳理，查漏补缺，完善实业</w:t>
      </w:r>
      <w:r>
        <w:rPr>
          <w:rFonts w:hint="eastAsia" w:ascii="宋体" w:hAnsi="宋体" w:cs="宋体"/>
          <w:color w:val="auto"/>
          <w:sz w:val="21"/>
          <w:szCs w:val="21"/>
          <w:highlight w:val="none"/>
          <w:lang w:val="en-US" w:eastAsia="zh-CN"/>
        </w:rPr>
        <w:t>公司内部</w:t>
      </w:r>
      <w:r>
        <w:rPr>
          <w:rFonts w:hint="eastAsia" w:ascii="宋体" w:hAnsi="宋体" w:eastAsia="宋体" w:cs="宋体"/>
          <w:color w:val="auto"/>
          <w:sz w:val="21"/>
          <w:szCs w:val="21"/>
          <w:highlight w:val="none"/>
        </w:rPr>
        <w:t>制度体系，以能够因地制宜的制定出合理高效、具有普适性的管理策略，提升污泥处理处置的整体效率。</w:t>
      </w:r>
    </w:p>
    <w:p w14:paraId="5C675D27">
      <w:pPr>
        <w:pStyle w:val="38"/>
        <w:keepNext w:val="0"/>
        <w:keepLines w:val="0"/>
        <w:pageBreakBefore w:val="0"/>
        <w:kinsoku/>
        <w:wordWrap/>
        <w:overflowPunct/>
        <w:topLinePunct w:val="0"/>
        <w:autoSpaceDE/>
        <w:autoSpaceDN/>
        <w:bidi w:val="0"/>
        <w:snapToGrid/>
        <w:spacing w:line="400" w:lineRule="exact"/>
        <w:ind w:left="0" w:leftChars="0" w:firstLine="64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管理手段待优化，实现成本最优。公司针对全市污水处理厂产生的泥质不同的污泥，通过运输车辆调度、处理处置终端选择实现了污泥无害化处置，</w:t>
      </w:r>
      <w:r>
        <w:rPr>
          <w:rFonts w:hint="eastAsia" w:ascii="宋体" w:hAnsi="宋体" w:cs="宋体"/>
          <w:color w:val="auto"/>
          <w:sz w:val="21"/>
          <w:szCs w:val="21"/>
          <w:highlight w:val="none"/>
          <w:lang w:val="en-US" w:eastAsia="zh-CN"/>
        </w:rPr>
        <w:t>为进一步优化</w:t>
      </w:r>
      <w:r>
        <w:rPr>
          <w:rFonts w:hint="eastAsia" w:ascii="宋体" w:hAnsi="宋体" w:eastAsia="宋体" w:cs="宋体"/>
          <w:color w:val="auto"/>
          <w:sz w:val="21"/>
          <w:szCs w:val="21"/>
          <w:highlight w:val="none"/>
        </w:rPr>
        <w:t>泥质与处理处置方式的匹配性、运输路线等方面</w:t>
      </w:r>
      <w:r>
        <w:rPr>
          <w:rFonts w:hint="eastAsia" w:ascii="宋体" w:hAnsi="宋体" w:cs="宋体"/>
          <w:color w:val="auto"/>
          <w:sz w:val="21"/>
          <w:szCs w:val="21"/>
          <w:highlight w:val="none"/>
          <w:lang w:eastAsia="zh-CN"/>
        </w:rPr>
        <w:t>的</w:t>
      </w:r>
      <w:r>
        <w:rPr>
          <w:rFonts w:hint="eastAsia" w:ascii="宋体" w:hAnsi="宋体" w:cs="宋体"/>
          <w:color w:val="auto"/>
          <w:sz w:val="21"/>
          <w:szCs w:val="21"/>
          <w:highlight w:val="none"/>
          <w:lang w:val="en-US" w:eastAsia="zh-CN"/>
        </w:rPr>
        <w:t>管理手段</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rPr>
        <w:t>通过开展深入的调研和数据分析，识别和解决源头减量、运输效率、处理技术选择等环节的潜在管理问题。通过信息化手段，可以更精确地预测污泥产生量、优化运输路线、选择最合适的处理处置方法，并实时监控整个处理处置过程，从而实现成本的最优化，提升整体管理效率。</w:t>
      </w:r>
    </w:p>
    <w:p w14:paraId="3A48AFDB">
      <w:pPr>
        <w:pStyle w:val="38"/>
        <w:keepNext w:val="0"/>
        <w:keepLines w:val="0"/>
        <w:pageBreakBefore w:val="0"/>
        <w:kinsoku/>
        <w:wordWrap/>
        <w:overflowPunct/>
        <w:topLinePunct w:val="0"/>
        <w:autoSpaceDE/>
        <w:autoSpaceDN/>
        <w:bidi w:val="0"/>
        <w:snapToGrid/>
        <w:spacing w:after="0" w:line="400" w:lineRule="exact"/>
        <w:ind w:left="0" w:leftChars="0" w:firstLine="64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进一步丰富</w:t>
      </w:r>
      <w:bookmarkStart w:id="519" w:name="OLE_LINK11"/>
      <w:r>
        <w:rPr>
          <w:rFonts w:hint="eastAsia" w:ascii="宋体" w:hAnsi="宋体" w:eastAsia="宋体" w:cs="宋体"/>
          <w:color w:val="auto"/>
          <w:sz w:val="21"/>
          <w:szCs w:val="21"/>
          <w:highlight w:val="none"/>
        </w:rPr>
        <w:t>污泥处理技术的储备</w:t>
      </w:r>
      <w:bookmarkEnd w:id="519"/>
      <w:r>
        <w:rPr>
          <w:rFonts w:hint="eastAsia" w:ascii="宋体" w:hAnsi="宋体" w:eastAsia="宋体" w:cs="宋体"/>
          <w:color w:val="auto"/>
          <w:sz w:val="21"/>
          <w:szCs w:val="21"/>
          <w:highlight w:val="none"/>
        </w:rPr>
        <w:t>。公司目前所采用的污泥处理处置技术已经覆盖了源头减量化、无害化处理以及资源化利用等环节</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但随着新时代对环境保护和资源循环利用的更高要求，</w:t>
      </w:r>
      <w:r>
        <w:rPr>
          <w:rFonts w:hint="eastAsia" w:ascii="宋体" w:hAnsi="宋体" w:cs="宋体"/>
          <w:color w:val="auto"/>
          <w:sz w:val="21"/>
          <w:szCs w:val="21"/>
          <w:highlight w:val="none"/>
          <w:lang w:val="en-US" w:eastAsia="zh-CN"/>
        </w:rPr>
        <w:t>有更多的新技术和新工艺产生，</w:t>
      </w:r>
      <w:r>
        <w:rPr>
          <w:rFonts w:hint="eastAsia" w:ascii="宋体" w:hAnsi="宋体" w:eastAsia="宋体" w:cs="宋体"/>
          <w:color w:val="auto"/>
          <w:sz w:val="21"/>
          <w:szCs w:val="21"/>
          <w:highlight w:val="none"/>
        </w:rPr>
        <w:t>部分现行技术</w:t>
      </w:r>
      <w:r>
        <w:rPr>
          <w:rFonts w:hint="eastAsia" w:ascii="宋体" w:hAnsi="宋体" w:cs="宋体"/>
          <w:color w:val="auto"/>
          <w:sz w:val="21"/>
          <w:szCs w:val="21"/>
          <w:highlight w:val="none"/>
          <w:lang w:val="en-US" w:eastAsia="zh-CN"/>
        </w:rPr>
        <w:t>存在精进和提升的可能性</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最大化地利用污泥的资源属性，如能源回收潜力</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资源化产品应用</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rPr>
        <w:t>。因此，存在对现有技术进行优化改进的需求，同时也需要扩充技术库，引入新的、更先进的污泥处理和资源回收技术。这包括但不限于提高能源回收效率的厌氧消化技术、将污泥转化为高附加值产品的化学和生物转化技术，以及增强污泥稳定性和安全性的先进热化学处理方法。因此，本研究</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rPr>
        <w:t>通过创新和完善技术管理体系，可以更有效地实现污泥的减量化、无害化和资源化，进而促进可持续发展和环境保护。</w:t>
      </w:r>
    </w:p>
    <w:p w14:paraId="0507B20B">
      <w:pPr>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textAlignment w:val="auto"/>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五、服务期限</w:t>
      </w:r>
    </w:p>
    <w:p w14:paraId="0C0438A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服务期限：</w:t>
      </w:r>
      <w:r>
        <w:rPr>
          <w:rFonts w:hint="eastAsia" w:ascii="宋体" w:hAnsi="宋体" w:eastAsia="宋体" w:cs="宋体"/>
          <w:color w:val="auto"/>
          <w:sz w:val="21"/>
          <w:szCs w:val="21"/>
          <w:highlight w:val="none"/>
          <w:u w:val="none"/>
          <w:lang w:val="en-US" w:eastAsia="zh-CN"/>
        </w:rPr>
        <w:t>自合同签订之日起至服务单位项目成果获得</w:t>
      </w:r>
      <w:r>
        <w:rPr>
          <w:rFonts w:hint="eastAsia" w:ascii="宋体" w:hAnsi="宋体" w:eastAsia="宋体" w:cs="宋体"/>
          <w:color w:val="auto"/>
          <w:szCs w:val="21"/>
          <w:highlight w:val="none"/>
          <w:u w:val="none"/>
        </w:rPr>
        <w:t>市</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厅</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rPr>
        <w:t>级或以上级别的环保类科学技术一等奖（或以上）级别奖项</w:t>
      </w:r>
      <w:r>
        <w:rPr>
          <w:rFonts w:hint="eastAsia" w:ascii="宋体" w:hAnsi="宋体" w:eastAsia="宋体" w:cs="宋体"/>
          <w:color w:val="auto"/>
          <w:szCs w:val="21"/>
          <w:highlight w:val="none"/>
          <w:u w:val="none"/>
          <w:lang w:val="en-US" w:eastAsia="zh-CN"/>
        </w:rPr>
        <w:t>之日止</w:t>
      </w:r>
      <w:r>
        <w:rPr>
          <w:rFonts w:hint="eastAsia" w:ascii="宋体" w:hAnsi="宋体" w:eastAsia="宋体" w:cs="宋体"/>
          <w:color w:val="auto"/>
          <w:sz w:val="21"/>
          <w:szCs w:val="21"/>
          <w:highlight w:val="none"/>
        </w:rPr>
        <w:t>（以获奖公告通知日为准）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最长不超过2027年12月31日。</w:t>
      </w:r>
    </w:p>
    <w:p w14:paraId="5DBED790">
      <w:pPr>
        <w:keepNext w:val="0"/>
        <w:keepLines w:val="0"/>
        <w:pageBreakBefore w:val="0"/>
        <w:kinsoku/>
        <w:wordWrap/>
        <w:overflowPunct/>
        <w:topLinePunct w:val="0"/>
        <w:autoSpaceDE/>
        <w:autoSpaceDN/>
        <w:bidi w:val="0"/>
        <w:snapToGrid/>
        <w:spacing w:line="400" w:lineRule="exact"/>
        <w:ind w:firstLine="422" w:firstLineChars="200"/>
        <w:contextualSpacing/>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、项目成果</w:t>
      </w:r>
      <w:r>
        <w:rPr>
          <w:rFonts w:hint="eastAsia" w:ascii="宋体" w:hAnsi="宋体" w:eastAsia="宋体" w:cs="宋体"/>
          <w:b/>
          <w:bCs/>
          <w:color w:val="auto"/>
          <w:sz w:val="21"/>
          <w:szCs w:val="21"/>
          <w:highlight w:val="none"/>
          <w:lang w:val="en-US" w:eastAsia="zh-CN"/>
        </w:rPr>
        <w:t>要求</w:t>
      </w:r>
    </w:p>
    <w:p w14:paraId="67E7BCB5">
      <w:pPr>
        <w:keepNext w:val="0"/>
        <w:keepLines w:val="0"/>
        <w:pageBreakBefore w:val="0"/>
        <w:kinsoku/>
        <w:wordWrap/>
        <w:overflowPunct/>
        <w:topLinePunct w:val="0"/>
        <w:autoSpaceDE/>
        <w:autoSpaceDN/>
        <w:bidi w:val="0"/>
        <w:snapToGrid/>
        <w:spacing w:line="400" w:lineRule="exact"/>
        <w:ind w:firstLine="420" w:firstLineChars="200"/>
        <w:contextualSpacing/>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1.初步成果</w:t>
      </w:r>
    </w:p>
    <w:p w14:paraId="70C13DE4">
      <w:pPr>
        <w:keepNext w:val="0"/>
        <w:keepLines w:val="0"/>
        <w:pageBreakBefore w:val="0"/>
        <w:kinsoku/>
        <w:wordWrap/>
        <w:overflowPunct/>
        <w:topLinePunct w:val="0"/>
        <w:autoSpaceDE/>
        <w:autoSpaceDN/>
        <w:bidi w:val="0"/>
        <w:snapToGrid/>
        <w:spacing w:line="400" w:lineRule="exact"/>
        <w:ind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编制形成《东莞市市政污泥全过程管理体系成效评估及提质增效研究报告》1份；</w:t>
      </w:r>
    </w:p>
    <w:p w14:paraId="61B50C7D">
      <w:pPr>
        <w:keepNext w:val="0"/>
        <w:keepLines w:val="0"/>
        <w:pageBreakBefore w:val="0"/>
        <w:kinsoku/>
        <w:wordWrap/>
        <w:overflowPunct/>
        <w:topLinePunct w:val="0"/>
        <w:autoSpaceDE/>
        <w:autoSpaceDN/>
        <w:bidi w:val="0"/>
        <w:snapToGrid/>
        <w:spacing w:line="400" w:lineRule="exact"/>
        <w:ind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编制形成东莞市市政污泥全过程管理政策建议1份；</w:t>
      </w:r>
    </w:p>
    <w:p w14:paraId="74250461">
      <w:pPr>
        <w:keepNext w:val="0"/>
        <w:keepLines w:val="0"/>
        <w:pageBreakBefore w:val="0"/>
        <w:kinsoku/>
        <w:wordWrap/>
        <w:overflowPunct/>
        <w:topLinePunct w:val="0"/>
        <w:autoSpaceDE/>
        <w:autoSpaceDN/>
        <w:bidi w:val="0"/>
        <w:snapToGrid/>
        <w:spacing w:line="400" w:lineRule="exact"/>
        <w:ind w:firstLine="420" w:firstLineChars="200"/>
        <w:contextualSpacing/>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highlight w:val="none"/>
          <w:lang w:val="en-US" w:eastAsia="zh-CN"/>
        </w:rPr>
        <w:t>成功被</w:t>
      </w:r>
      <w:r>
        <w:rPr>
          <w:rFonts w:hint="eastAsia" w:ascii="宋体" w:hAnsi="宋体" w:eastAsia="宋体" w:cs="宋体"/>
          <w:color w:val="auto"/>
          <w:szCs w:val="21"/>
          <w:highlight w:val="none"/>
        </w:rPr>
        <w:t>中文核心期刊</w:t>
      </w:r>
      <w:r>
        <w:rPr>
          <w:rFonts w:hint="eastAsia" w:ascii="宋体" w:hAnsi="宋体" w:eastAsia="宋体" w:cs="宋体"/>
          <w:color w:val="auto"/>
          <w:sz w:val="21"/>
          <w:szCs w:val="21"/>
          <w:highlight w:val="none"/>
          <w:lang w:val="en-US" w:eastAsia="zh-CN"/>
        </w:rPr>
        <w:t>收录的</w:t>
      </w:r>
      <w:r>
        <w:rPr>
          <w:rFonts w:hint="eastAsia" w:ascii="宋体" w:hAnsi="宋体" w:eastAsia="宋体" w:cs="宋体"/>
          <w:color w:val="auto"/>
          <w:szCs w:val="21"/>
          <w:highlight w:val="none"/>
        </w:rPr>
        <w:t>论文不少于2篇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且署名权归属招标人</w:t>
      </w:r>
      <w:r>
        <w:rPr>
          <w:rFonts w:hint="eastAsia" w:ascii="宋体" w:hAnsi="宋体" w:eastAsia="宋体" w:cs="宋体"/>
          <w:color w:val="auto"/>
          <w:sz w:val="21"/>
          <w:szCs w:val="21"/>
          <w:highlight w:val="none"/>
          <w:lang w:eastAsia="zh-CN"/>
        </w:rPr>
        <w:t>。</w:t>
      </w:r>
    </w:p>
    <w:p w14:paraId="29C5C7D8">
      <w:pPr>
        <w:keepNext w:val="0"/>
        <w:keepLines w:val="0"/>
        <w:pageBreakBefore w:val="0"/>
        <w:kinsoku/>
        <w:wordWrap/>
        <w:overflowPunct/>
        <w:topLinePunct w:val="0"/>
        <w:autoSpaceDE/>
        <w:autoSpaceDN/>
        <w:bidi w:val="0"/>
        <w:snapToGrid/>
        <w:spacing w:line="400" w:lineRule="exact"/>
        <w:ind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 最终成果</w:t>
      </w:r>
    </w:p>
    <w:p w14:paraId="03BA3533">
      <w:pPr>
        <w:keepNext w:val="0"/>
        <w:keepLines w:val="0"/>
        <w:pageBreakBefore w:val="0"/>
        <w:kinsoku/>
        <w:wordWrap/>
        <w:overflowPunct/>
        <w:topLinePunct w:val="0"/>
        <w:autoSpaceDE/>
        <w:autoSpaceDN/>
        <w:bidi w:val="0"/>
        <w:snapToGrid/>
        <w:spacing w:line="400" w:lineRule="exact"/>
        <w:ind w:firstLine="420" w:firstLineChars="200"/>
        <w:contextualSpacing/>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开展“特大城市市政污泥全过程管理体系”技术鉴定1项，评价结果整体达到国内领先水平</w:t>
      </w:r>
      <w:r>
        <w:rPr>
          <w:rFonts w:hint="eastAsia" w:ascii="宋体" w:hAnsi="宋体" w:eastAsia="宋体" w:cs="宋体"/>
          <w:color w:val="auto"/>
          <w:sz w:val="21"/>
          <w:szCs w:val="21"/>
          <w:highlight w:val="none"/>
          <w:lang w:eastAsia="zh-CN"/>
        </w:rPr>
        <w:t>。</w:t>
      </w:r>
    </w:p>
    <w:p w14:paraId="0E1B47FD">
      <w:pPr>
        <w:keepNext w:val="0"/>
        <w:keepLines w:val="0"/>
        <w:pageBreakBefore w:val="0"/>
        <w:kinsoku/>
        <w:wordWrap/>
        <w:overflowPunct/>
        <w:topLinePunct w:val="0"/>
        <w:autoSpaceDE/>
        <w:autoSpaceDN/>
        <w:bidi w:val="0"/>
        <w:snapToGrid/>
        <w:spacing w:line="400" w:lineRule="exact"/>
        <w:ind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color w:val="auto"/>
          <w:highlight w:val="none"/>
          <w:lang w:val="en-US" w:eastAsia="zh-CN"/>
        </w:rPr>
        <w:t>3. 成果文件要求</w:t>
      </w:r>
    </w:p>
    <w:p w14:paraId="70D89A82">
      <w:pPr>
        <w:pStyle w:val="47"/>
        <w:spacing w:line="400" w:lineRule="exact"/>
        <w:ind w:firstLine="420" w:firstLineChars="200"/>
        <w:jc w:val="left"/>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rPr>
        <w:t>提交</w:t>
      </w:r>
      <w:r>
        <w:rPr>
          <w:rFonts w:hint="eastAsia" w:ascii="宋体" w:hAnsi="宋体" w:eastAsia="宋体" w:cs="宋体"/>
          <w:b w:val="0"/>
          <w:bCs/>
          <w:color w:val="auto"/>
          <w:highlight w:val="none"/>
          <w:lang w:eastAsia="zh-CN"/>
        </w:rPr>
        <w:t>的</w:t>
      </w:r>
      <w:r>
        <w:rPr>
          <w:rFonts w:hint="eastAsia" w:ascii="宋体" w:hAnsi="宋体" w:eastAsia="宋体" w:cs="宋体"/>
          <w:b w:val="0"/>
          <w:bCs/>
          <w:color w:val="auto"/>
          <w:highlight w:val="none"/>
        </w:rPr>
        <w:t>成果资料</w:t>
      </w:r>
      <w:r>
        <w:rPr>
          <w:rFonts w:hint="eastAsia" w:ascii="宋体" w:hAnsi="宋体" w:eastAsia="宋体" w:cs="宋体"/>
          <w:b w:val="0"/>
          <w:bCs/>
          <w:color w:val="auto"/>
          <w:highlight w:val="none"/>
          <w:lang w:val="en-US" w:eastAsia="zh-CN"/>
        </w:rPr>
        <w:t>包括3套</w:t>
      </w:r>
      <w:r>
        <w:rPr>
          <w:rFonts w:hint="eastAsia" w:ascii="宋体" w:hAnsi="宋体" w:eastAsia="宋体" w:cs="宋体"/>
          <w:b w:val="0"/>
          <w:bCs/>
          <w:color w:val="auto"/>
          <w:highlight w:val="none"/>
        </w:rPr>
        <w:t>纸质资料和</w:t>
      </w:r>
      <w:r>
        <w:rPr>
          <w:rFonts w:hint="eastAsia" w:ascii="宋体" w:hAnsi="宋体" w:eastAsia="宋体" w:cs="宋体"/>
          <w:b w:val="0"/>
          <w:bCs/>
          <w:color w:val="auto"/>
          <w:highlight w:val="none"/>
          <w:lang w:val="en-US" w:eastAsia="zh-CN"/>
        </w:rPr>
        <w:t>1</w:t>
      </w:r>
      <w:r>
        <w:rPr>
          <w:rFonts w:hint="eastAsia" w:ascii="宋体" w:hAnsi="宋体" w:eastAsia="宋体" w:cs="宋体"/>
          <w:b w:val="0"/>
          <w:bCs/>
          <w:color w:val="auto"/>
          <w:highlight w:val="none"/>
        </w:rPr>
        <w:t>套电子文件（每套应包含可编辑</w:t>
      </w:r>
      <w:r>
        <w:rPr>
          <w:rFonts w:hint="eastAsia" w:ascii="宋体" w:hAnsi="宋体" w:eastAsia="宋体" w:cs="宋体"/>
          <w:b w:val="0"/>
          <w:bCs/>
          <w:color w:val="auto"/>
          <w:highlight w:val="none"/>
          <w:lang w:eastAsia="zh-CN"/>
        </w:rPr>
        <w:t>的</w:t>
      </w:r>
      <w:r>
        <w:rPr>
          <w:rFonts w:hint="eastAsia" w:ascii="宋体" w:hAnsi="宋体" w:eastAsia="宋体" w:cs="宋体"/>
          <w:b w:val="0"/>
          <w:bCs/>
          <w:color w:val="auto"/>
          <w:highlight w:val="none"/>
        </w:rPr>
        <w:t>Word格式</w:t>
      </w:r>
      <w:r>
        <w:rPr>
          <w:rFonts w:hint="eastAsia" w:ascii="宋体" w:hAnsi="宋体" w:eastAsia="宋体" w:cs="宋体"/>
          <w:b w:val="0"/>
          <w:bCs/>
          <w:color w:val="auto"/>
          <w:highlight w:val="none"/>
          <w:lang w:val="en-US" w:eastAsia="zh-CN"/>
        </w:rPr>
        <w:t>和</w:t>
      </w:r>
      <w:r>
        <w:rPr>
          <w:rFonts w:hint="eastAsia" w:ascii="宋体" w:hAnsi="宋体" w:eastAsia="宋体" w:cs="宋体"/>
          <w:b w:val="0"/>
          <w:bCs/>
          <w:color w:val="auto"/>
          <w:highlight w:val="none"/>
        </w:rPr>
        <w:t>不可编辑的电子PDF格式）</w:t>
      </w:r>
      <w:r>
        <w:rPr>
          <w:rFonts w:hint="eastAsia" w:ascii="宋体" w:hAnsi="宋体" w:eastAsia="宋体" w:cs="宋体"/>
          <w:b w:val="0"/>
          <w:bCs/>
          <w:color w:val="auto"/>
          <w:highlight w:val="none"/>
          <w:lang w:eastAsia="zh-CN"/>
        </w:rPr>
        <w:t>，</w:t>
      </w:r>
      <w:r>
        <w:rPr>
          <w:rFonts w:hint="eastAsia" w:ascii="宋体" w:hAnsi="宋体" w:eastAsia="宋体" w:cs="宋体"/>
          <w:b w:val="0"/>
          <w:bCs/>
          <w:color w:val="auto"/>
          <w:highlight w:val="none"/>
          <w:lang w:val="en-US" w:eastAsia="zh-CN"/>
        </w:rPr>
        <w:t>招标人</w:t>
      </w:r>
      <w:r>
        <w:rPr>
          <w:rFonts w:hint="eastAsia" w:ascii="宋体" w:hAnsi="宋体" w:eastAsia="宋体" w:cs="宋体"/>
          <w:b w:val="0"/>
          <w:bCs/>
          <w:color w:val="auto"/>
          <w:highlight w:val="none"/>
        </w:rPr>
        <w:t>如需增补，</w:t>
      </w:r>
      <w:r>
        <w:rPr>
          <w:rFonts w:hint="eastAsia" w:ascii="宋体" w:hAnsi="宋体" w:eastAsia="宋体" w:cs="宋体"/>
          <w:b w:val="0"/>
          <w:bCs/>
          <w:color w:val="auto"/>
          <w:highlight w:val="none"/>
          <w:lang w:val="en-US" w:eastAsia="zh-CN"/>
        </w:rPr>
        <w:t>中标人</w:t>
      </w:r>
      <w:r>
        <w:rPr>
          <w:rFonts w:hint="eastAsia" w:ascii="宋体" w:hAnsi="宋体" w:eastAsia="宋体" w:cs="宋体"/>
          <w:b w:val="0"/>
          <w:bCs/>
          <w:color w:val="auto"/>
          <w:highlight w:val="none"/>
        </w:rPr>
        <w:t>应及时提供。</w:t>
      </w:r>
    </w:p>
    <w:p w14:paraId="5E30CD21">
      <w:pPr>
        <w:pStyle w:val="47"/>
        <w:spacing w:line="400" w:lineRule="exact"/>
        <w:ind w:firstLine="420" w:firstLineChars="200"/>
        <w:jc w:val="left"/>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4. 成果验收</w:t>
      </w:r>
    </w:p>
    <w:p w14:paraId="6D813E44">
      <w:pPr>
        <w:pStyle w:val="47"/>
        <w:spacing w:line="400" w:lineRule="exact"/>
        <w:ind w:firstLine="420" w:firstLineChars="200"/>
        <w:jc w:val="left"/>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（1）项目成果符合相关技术标准或规定要求，并通过技术鉴定专家评审验收，验收</w:t>
      </w:r>
      <w:r>
        <w:rPr>
          <w:rFonts w:hint="eastAsia" w:ascii="宋体" w:hAnsi="宋体" w:eastAsia="宋体" w:cs="宋体"/>
          <w:b w:val="0"/>
          <w:bCs/>
          <w:color w:val="auto"/>
          <w:highlight w:val="none"/>
        </w:rPr>
        <w:t>评价结果整体达到国内领先水平</w:t>
      </w:r>
      <w:r>
        <w:rPr>
          <w:rFonts w:hint="eastAsia" w:ascii="宋体" w:hAnsi="宋体" w:eastAsia="宋体" w:cs="宋体"/>
          <w:b w:val="0"/>
          <w:bCs/>
          <w:color w:val="auto"/>
          <w:highlight w:val="none"/>
          <w:lang w:val="en-US" w:eastAsia="zh-CN"/>
        </w:rPr>
        <w:t>。</w:t>
      </w:r>
    </w:p>
    <w:p w14:paraId="3DD2C42F">
      <w:pPr>
        <w:pStyle w:val="47"/>
        <w:spacing w:line="400" w:lineRule="exact"/>
        <w:ind w:firstLine="420" w:firstLineChars="200"/>
        <w:jc w:val="left"/>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（2）</w:t>
      </w:r>
      <w:r>
        <w:rPr>
          <w:rFonts w:hint="eastAsia" w:ascii="宋体" w:hAnsi="宋体" w:eastAsia="宋体" w:cs="宋体"/>
          <w:b w:val="0"/>
          <w:bCs/>
          <w:color w:val="auto"/>
          <w:highlight w:val="none"/>
        </w:rPr>
        <w:t>成功发表中文核心期刊论文不少于2篇</w:t>
      </w:r>
      <w:r>
        <w:rPr>
          <w:rFonts w:hint="eastAsia" w:ascii="宋体" w:hAnsi="宋体" w:eastAsia="宋体" w:cs="宋体"/>
          <w:b w:val="0"/>
          <w:bCs/>
          <w:color w:val="auto"/>
          <w:highlight w:val="none"/>
          <w:lang w:eastAsia="zh-CN"/>
        </w:rPr>
        <w:t>，</w:t>
      </w:r>
      <w:r>
        <w:rPr>
          <w:rFonts w:hint="eastAsia" w:ascii="宋体" w:hAnsi="宋体" w:eastAsia="宋体" w:cs="宋体"/>
          <w:b w:val="0"/>
          <w:bCs/>
          <w:color w:val="auto"/>
          <w:highlight w:val="none"/>
        </w:rPr>
        <w:t>且署名权归属</w:t>
      </w:r>
      <w:r>
        <w:rPr>
          <w:rFonts w:hint="eastAsia" w:ascii="宋体" w:hAnsi="宋体" w:eastAsia="宋体" w:cs="宋体"/>
          <w:b w:val="0"/>
          <w:bCs/>
          <w:color w:val="auto"/>
          <w:highlight w:val="none"/>
          <w:lang w:val="en-US" w:eastAsia="zh-CN"/>
        </w:rPr>
        <w:t>招标人</w:t>
      </w:r>
      <w:r>
        <w:rPr>
          <w:rFonts w:hint="eastAsia" w:ascii="宋体" w:hAnsi="宋体" w:eastAsia="宋体" w:cs="宋体"/>
          <w:b w:val="0"/>
          <w:bCs/>
          <w:color w:val="auto"/>
          <w:highlight w:val="none"/>
        </w:rPr>
        <w:t>。</w:t>
      </w:r>
    </w:p>
    <w:p w14:paraId="14069FCC">
      <w:pPr>
        <w:pStyle w:val="47"/>
        <w:spacing w:line="400" w:lineRule="exact"/>
        <w:ind w:firstLine="420" w:firstLineChars="200"/>
        <w:jc w:val="left"/>
        <w:rPr>
          <w:rFonts w:hint="default"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（3）项目成果申报并获得市（厅）级或以上级别的环保类</w:t>
      </w:r>
      <w:r>
        <w:rPr>
          <w:rFonts w:hint="eastAsia" w:ascii="宋体" w:hAnsi="宋体" w:eastAsia="宋体" w:cs="宋体"/>
          <w:b w:val="0"/>
          <w:bCs/>
          <w:color w:val="auto"/>
          <w:highlight w:val="none"/>
        </w:rPr>
        <w:t>科学技术</w:t>
      </w:r>
      <w:r>
        <w:rPr>
          <w:rFonts w:hint="eastAsia" w:ascii="宋体" w:hAnsi="宋体" w:eastAsia="宋体" w:cs="宋体"/>
          <w:b w:val="0"/>
          <w:bCs/>
          <w:color w:val="auto"/>
          <w:highlight w:val="none"/>
          <w:lang w:val="en-US" w:eastAsia="zh-CN"/>
        </w:rPr>
        <w:t>一等奖（或以上）级别奖项。</w:t>
      </w:r>
    </w:p>
    <w:p w14:paraId="0FC181D6">
      <w:pPr>
        <w:keepNext w:val="0"/>
        <w:keepLines w:val="0"/>
        <w:pageBreakBefore w:val="0"/>
        <w:kinsoku/>
        <w:wordWrap/>
        <w:overflowPunct/>
        <w:topLinePunct w:val="0"/>
        <w:autoSpaceDE/>
        <w:autoSpaceDN/>
        <w:bidi w:val="0"/>
        <w:snapToGrid/>
        <w:spacing w:line="400" w:lineRule="exact"/>
        <w:ind w:firstLine="422" w:firstLineChars="200"/>
        <w:contextualSpacing/>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、项目进度要求</w:t>
      </w:r>
    </w:p>
    <w:tbl>
      <w:tblPr>
        <w:tblStyle w:val="4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451"/>
        <w:gridCol w:w="6881"/>
      </w:tblGrid>
      <w:tr w14:paraId="5C7F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14:paraId="3DC831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vertAlign w:val="baseline"/>
                <w:lang w:val="en-US" w:eastAsia="zh-CN"/>
              </w:rPr>
              <w:t>序号</w:t>
            </w:r>
          </w:p>
        </w:tc>
        <w:tc>
          <w:tcPr>
            <w:tcW w:w="1221" w:type="pct"/>
            <w:vAlign w:val="center"/>
          </w:tcPr>
          <w:p w14:paraId="65F909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u w:val="none"/>
                <w:vertAlign w:val="baseline"/>
                <w:lang w:val="en-US" w:eastAsia="zh-CN" w:bidi="ar-SA"/>
              </w:rPr>
            </w:pPr>
            <w:r>
              <w:rPr>
                <w:rFonts w:hint="eastAsia" w:ascii="宋体" w:hAnsi="宋体" w:eastAsia="宋体" w:cs="宋体"/>
                <w:color w:val="auto"/>
                <w:kern w:val="2"/>
                <w:sz w:val="21"/>
                <w:szCs w:val="21"/>
                <w:highlight w:val="none"/>
                <w:u w:val="none"/>
                <w:vertAlign w:val="baseline"/>
                <w:lang w:val="en-US" w:eastAsia="zh-CN" w:bidi="ar-SA"/>
              </w:rPr>
              <w:t>时间节点</w:t>
            </w:r>
          </w:p>
        </w:tc>
        <w:tc>
          <w:tcPr>
            <w:tcW w:w="3428" w:type="pct"/>
            <w:vAlign w:val="center"/>
          </w:tcPr>
          <w:p w14:paraId="7A97A7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u w:val="none"/>
                <w:vertAlign w:val="baseline"/>
                <w:lang w:val="en-US" w:eastAsia="zh-CN" w:bidi="ar-SA"/>
              </w:rPr>
            </w:pPr>
            <w:r>
              <w:rPr>
                <w:rFonts w:hint="eastAsia" w:ascii="宋体" w:hAnsi="宋体" w:eastAsia="宋体" w:cs="宋体"/>
                <w:color w:val="auto"/>
                <w:sz w:val="21"/>
                <w:szCs w:val="21"/>
                <w:highlight w:val="none"/>
                <w:u w:val="none"/>
                <w:vertAlign w:val="baseline"/>
                <w:lang w:val="en-US" w:eastAsia="zh-CN"/>
              </w:rPr>
              <w:t>工作内容</w:t>
            </w:r>
          </w:p>
        </w:tc>
      </w:tr>
      <w:tr w14:paraId="790E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Merge w:val="restart"/>
            <w:vAlign w:val="center"/>
          </w:tcPr>
          <w:p w14:paraId="2A8FD6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vertAlign w:val="baseline"/>
                <w:lang w:val="en-US" w:eastAsia="zh-CN"/>
              </w:rPr>
              <w:t>1</w:t>
            </w:r>
          </w:p>
        </w:tc>
        <w:tc>
          <w:tcPr>
            <w:tcW w:w="1221" w:type="pct"/>
            <w:vMerge w:val="restart"/>
            <w:vAlign w:val="center"/>
          </w:tcPr>
          <w:p w14:paraId="7946C9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u w:val="none"/>
                <w:vertAlign w:val="baseline"/>
                <w:lang w:val="en-US" w:eastAsia="zh-CN" w:bidi="ar-SA"/>
              </w:rPr>
            </w:pPr>
            <w:r>
              <w:rPr>
                <w:rFonts w:hint="eastAsia" w:ascii="宋体" w:hAnsi="宋体" w:eastAsia="宋体" w:cs="宋体"/>
                <w:color w:val="auto"/>
                <w:szCs w:val="21"/>
                <w:highlight w:val="none"/>
                <w:u w:val="none"/>
                <w:lang w:val="zh-CN"/>
              </w:rPr>
              <w:t>合同签订之日起一年内</w:t>
            </w:r>
          </w:p>
        </w:tc>
        <w:tc>
          <w:tcPr>
            <w:tcW w:w="3428" w:type="pct"/>
            <w:vAlign w:val="center"/>
          </w:tcPr>
          <w:p w14:paraId="0DBF72E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u w:val="none"/>
                <w:vertAlign w:val="baseline"/>
                <w:lang w:val="en-US" w:eastAsia="zh-CN" w:bidi="ar-SA"/>
              </w:rPr>
            </w:pPr>
            <w:r>
              <w:rPr>
                <w:rFonts w:hint="eastAsia" w:ascii="宋体" w:hAnsi="宋体" w:eastAsia="宋体" w:cs="宋体"/>
                <w:color w:val="auto"/>
                <w:sz w:val="21"/>
                <w:szCs w:val="21"/>
                <w:highlight w:val="none"/>
                <w:u w:val="none"/>
                <w:lang w:val="en-US" w:eastAsia="zh-CN"/>
              </w:rPr>
              <w:t>中标人</w:t>
            </w:r>
            <w:r>
              <w:rPr>
                <w:rFonts w:hint="eastAsia" w:ascii="宋体" w:hAnsi="宋体" w:eastAsia="宋体" w:cs="宋体"/>
                <w:color w:val="auto"/>
                <w:sz w:val="21"/>
                <w:szCs w:val="21"/>
                <w:highlight w:val="none"/>
                <w:u w:val="none"/>
                <w:lang w:val="zh-CN"/>
              </w:rPr>
              <w:t>完成</w:t>
            </w:r>
            <w:r>
              <w:rPr>
                <w:rFonts w:hint="eastAsia" w:ascii="宋体" w:hAnsi="宋体" w:eastAsia="宋体" w:cs="宋体"/>
                <w:color w:val="auto"/>
                <w:szCs w:val="21"/>
                <w:highlight w:val="none"/>
                <w:u w:val="none"/>
                <w:lang w:val="zh-CN"/>
              </w:rPr>
              <w:t>《东莞市市政污泥全过程管理体系成效评估及提质增效研究报告》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东莞市市政污泥全过程管理政策建议</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并通过招标人验收。</w:t>
            </w:r>
          </w:p>
        </w:tc>
      </w:tr>
      <w:tr w14:paraId="0A77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Merge w:val="continue"/>
            <w:vAlign w:val="center"/>
          </w:tcPr>
          <w:p w14:paraId="6221EE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u w:val="none"/>
                <w:vertAlign w:val="baseline"/>
                <w:lang w:val="en-US" w:eastAsia="zh-CN"/>
              </w:rPr>
            </w:pPr>
          </w:p>
        </w:tc>
        <w:tc>
          <w:tcPr>
            <w:tcW w:w="1221" w:type="pct"/>
            <w:vMerge w:val="continue"/>
            <w:vAlign w:val="center"/>
          </w:tcPr>
          <w:p w14:paraId="3900B2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u w:val="none"/>
                <w:vertAlign w:val="baseline"/>
                <w:lang w:val="en-US" w:eastAsia="zh-CN"/>
              </w:rPr>
            </w:pPr>
          </w:p>
        </w:tc>
        <w:tc>
          <w:tcPr>
            <w:tcW w:w="3428" w:type="pct"/>
            <w:vAlign w:val="center"/>
          </w:tcPr>
          <w:p w14:paraId="3CB130D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u w:val="none"/>
                <w:vertAlign w:val="baseline"/>
                <w:lang w:val="en-US" w:eastAsia="zh-CN" w:bidi="ar-SA"/>
              </w:rPr>
            </w:pPr>
            <w:r>
              <w:rPr>
                <w:rFonts w:hint="eastAsia" w:ascii="宋体" w:hAnsi="宋体" w:eastAsia="宋体" w:cs="宋体"/>
                <w:color w:val="auto"/>
                <w:sz w:val="21"/>
                <w:szCs w:val="21"/>
                <w:highlight w:val="none"/>
                <w:lang w:val="en-US" w:eastAsia="zh-CN"/>
              </w:rPr>
              <w:t>中标人至少完成2篇与本合同服务内容相关的中文核心期刊论文初稿</w:t>
            </w:r>
            <w:r>
              <w:rPr>
                <w:rFonts w:hint="eastAsia" w:ascii="宋体" w:hAnsi="宋体" w:eastAsia="宋体" w:cs="宋体"/>
                <w:color w:val="auto"/>
                <w:sz w:val="21"/>
                <w:szCs w:val="21"/>
                <w:highlight w:val="none"/>
              </w:rPr>
              <w:t>撰写</w:t>
            </w:r>
            <w:r>
              <w:rPr>
                <w:rFonts w:hint="eastAsia" w:ascii="宋体" w:hAnsi="宋体" w:eastAsia="宋体" w:cs="宋体"/>
                <w:color w:val="auto"/>
                <w:sz w:val="21"/>
                <w:szCs w:val="21"/>
                <w:highlight w:val="none"/>
                <w:lang w:val="en-US" w:eastAsia="zh-CN"/>
              </w:rPr>
              <w:t>，并经招标人复核确认</w:t>
            </w:r>
            <w:r>
              <w:rPr>
                <w:rFonts w:hint="eastAsia" w:ascii="宋体" w:hAnsi="宋体" w:eastAsia="宋体" w:cs="宋体"/>
                <w:color w:val="auto"/>
                <w:szCs w:val="21"/>
                <w:highlight w:val="none"/>
                <w:lang w:val="en-US" w:eastAsia="zh-CN"/>
              </w:rPr>
              <w:t>后成功被期刊收录，署名权归属</w:t>
            </w:r>
            <w:r>
              <w:rPr>
                <w:rFonts w:hint="eastAsia" w:ascii="宋体" w:hAnsi="宋体" w:eastAsia="宋体" w:cs="宋体"/>
                <w:color w:val="auto"/>
                <w:sz w:val="21"/>
                <w:szCs w:val="21"/>
                <w:highlight w:val="none"/>
                <w:lang w:val="en-US" w:eastAsia="zh-CN"/>
              </w:rPr>
              <w:t>招标人。</w:t>
            </w:r>
          </w:p>
        </w:tc>
      </w:tr>
      <w:tr w14:paraId="334C0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Merge w:val="continue"/>
            <w:vAlign w:val="center"/>
          </w:tcPr>
          <w:p w14:paraId="0B4CDF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u w:val="none"/>
                <w:vertAlign w:val="baseline"/>
                <w:lang w:val="en-US" w:eastAsia="zh-CN"/>
              </w:rPr>
            </w:pPr>
          </w:p>
        </w:tc>
        <w:tc>
          <w:tcPr>
            <w:tcW w:w="1221" w:type="pct"/>
            <w:vMerge w:val="continue"/>
            <w:vAlign w:val="center"/>
          </w:tcPr>
          <w:p w14:paraId="6CFD5C08">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vertAlign w:val="baseline"/>
                <w:lang w:val="en-US" w:eastAsia="zh-CN"/>
              </w:rPr>
            </w:pPr>
          </w:p>
        </w:tc>
        <w:tc>
          <w:tcPr>
            <w:tcW w:w="3428" w:type="pct"/>
            <w:vAlign w:val="center"/>
          </w:tcPr>
          <w:p w14:paraId="21685635">
            <w:pPr>
              <w:keepNext w:val="0"/>
              <w:keepLines w:val="0"/>
              <w:pageBreakBefore w:val="0"/>
              <w:shd w:val="clear" w:color="auto" w:fill="auto"/>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u w:val="none"/>
                <w:vertAlign w:val="baseline"/>
                <w:lang w:val="en-US" w:eastAsia="zh-CN" w:bidi="ar-SA"/>
              </w:rPr>
            </w:pPr>
            <w:r>
              <w:rPr>
                <w:rFonts w:hint="eastAsia" w:ascii="宋体" w:hAnsi="宋体" w:eastAsia="宋体" w:cs="宋体"/>
                <w:color w:val="auto"/>
                <w:sz w:val="21"/>
                <w:szCs w:val="21"/>
                <w:highlight w:val="none"/>
                <w:u w:val="none"/>
                <w:lang w:val="en-US" w:eastAsia="zh-CN"/>
              </w:rPr>
              <w:t>中标人</w:t>
            </w:r>
            <w:r>
              <w:rPr>
                <w:rFonts w:hint="eastAsia" w:ascii="宋体" w:hAnsi="宋体" w:eastAsia="宋体" w:cs="宋体"/>
                <w:color w:val="auto"/>
                <w:sz w:val="21"/>
                <w:szCs w:val="21"/>
                <w:highlight w:val="none"/>
                <w:u w:val="none"/>
                <w:lang w:val="zh-CN"/>
              </w:rPr>
              <w:t>完成</w:t>
            </w:r>
            <w:r>
              <w:rPr>
                <w:rFonts w:hint="eastAsia" w:ascii="宋体" w:hAnsi="宋体" w:eastAsia="宋体" w:cs="宋体"/>
                <w:color w:val="auto"/>
                <w:sz w:val="21"/>
                <w:szCs w:val="21"/>
                <w:highlight w:val="none"/>
              </w:rPr>
              <w:t>“特大城市市政污泥全过程管理体系”技术鉴定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并通过招标人验收。</w:t>
            </w:r>
          </w:p>
        </w:tc>
      </w:tr>
      <w:tr w14:paraId="6297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14:paraId="391D32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vertAlign w:val="baseline"/>
                <w:lang w:val="en-US" w:eastAsia="zh-CN"/>
              </w:rPr>
              <w:t>2</w:t>
            </w:r>
          </w:p>
        </w:tc>
        <w:tc>
          <w:tcPr>
            <w:tcW w:w="1221" w:type="pct"/>
            <w:vAlign w:val="center"/>
          </w:tcPr>
          <w:p w14:paraId="6E1825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u w:val="none"/>
                <w:vertAlign w:val="baseline"/>
                <w:lang w:val="en-US" w:eastAsia="zh-CN" w:bidi="ar-SA"/>
              </w:rPr>
            </w:pPr>
            <w:r>
              <w:rPr>
                <w:rFonts w:hint="eastAsia" w:ascii="宋体" w:hAnsi="宋体" w:eastAsia="宋体" w:cs="宋体"/>
                <w:color w:val="auto"/>
                <w:sz w:val="21"/>
                <w:szCs w:val="21"/>
                <w:highlight w:val="none"/>
                <w:u w:val="none"/>
                <w:lang w:val="zh-CN"/>
              </w:rPr>
              <w:t>2026年</w:t>
            </w:r>
            <w:r>
              <w:rPr>
                <w:rFonts w:hint="eastAsia" w:ascii="宋体" w:hAnsi="宋体" w:eastAsia="宋体" w:cs="宋体"/>
                <w:color w:val="auto"/>
                <w:sz w:val="21"/>
                <w:szCs w:val="21"/>
                <w:highlight w:val="none"/>
                <w:u w:val="none"/>
                <w:lang w:val="en-US" w:eastAsia="zh-CN"/>
              </w:rPr>
              <w:t>9</w:t>
            </w:r>
            <w:r>
              <w:rPr>
                <w:rFonts w:hint="eastAsia" w:ascii="宋体" w:hAnsi="宋体" w:eastAsia="宋体" w:cs="宋体"/>
                <w:color w:val="auto"/>
                <w:sz w:val="21"/>
                <w:szCs w:val="21"/>
                <w:highlight w:val="none"/>
                <w:u w:val="none"/>
                <w:lang w:val="zh-CN"/>
              </w:rPr>
              <w:t>月</w:t>
            </w:r>
            <w:r>
              <w:rPr>
                <w:rFonts w:hint="eastAsia" w:ascii="宋体" w:hAnsi="宋体" w:eastAsia="宋体" w:cs="宋体"/>
                <w:color w:val="auto"/>
                <w:sz w:val="21"/>
                <w:szCs w:val="21"/>
                <w:highlight w:val="none"/>
                <w:u w:val="none"/>
                <w:lang w:val="en-US" w:eastAsia="zh-CN"/>
              </w:rPr>
              <w:t>30日前</w:t>
            </w:r>
          </w:p>
        </w:tc>
        <w:tc>
          <w:tcPr>
            <w:tcW w:w="3428" w:type="pct"/>
            <w:vAlign w:val="center"/>
          </w:tcPr>
          <w:p w14:paraId="1D6DC635">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u w:val="none"/>
                <w:vertAlign w:val="baseline"/>
                <w:lang w:val="en-US" w:eastAsia="zh-CN" w:bidi="ar-SA"/>
              </w:rPr>
            </w:pPr>
            <w:r>
              <w:rPr>
                <w:rFonts w:hint="eastAsia" w:ascii="宋体" w:hAnsi="宋体" w:eastAsia="宋体" w:cs="宋体"/>
                <w:color w:val="auto"/>
                <w:sz w:val="21"/>
                <w:szCs w:val="21"/>
                <w:highlight w:val="none"/>
                <w:u w:val="none"/>
                <w:lang w:val="en-US" w:eastAsia="zh-CN"/>
              </w:rPr>
              <w:t>中标人完成</w:t>
            </w:r>
            <w:r>
              <w:rPr>
                <w:rFonts w:hint="eastAsia" w:ascii="宋体" w:hAnsi="宋体" w:eastAsia="宋体" w:cs="宋体"/>
                <w:color w:val="auto"/>
                <w:sz w:val="21"/>
                <w:szCs w:val="21"/>
                <w:highlight w:val="none"/>
              </w:rPr>
              <w:t>凝练“特大城市市政污泥全过程管理体系”技术成果</w:t>
            </w:r>
            <w:r>
              <w:rPr>
                <w:rFonts w:hint="eastAsia" w:ascii="宋体" w:hAnsi="宋体" w:eastAsia="宋体" w:cs="宋体"/>
                <w:color w:val="auto"/>
                <w:sz w:val="21"/>
                <w:szCs w:val="21"/>
                <w:highlight w:val="none"/>
                <w:lang w:eastAsia="zh-CN"/>
              </w:rPr>
              <w:t>。</w:t>
            </w:r>
          </w:p>
        </w:tc>
      </w:tr>
      <w:tr w14:paraId="2223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14:paraId="6A95AF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vertAlign w:val="baseline"/>
                <w:lang w:val="en-US" w:eastAsia="zh-CN"/>
              </w:rPr>
              <w:t>3</w:t>
            </w:r>
          </w:p>
        </w:tc>
        <w:tc>
          <w:tcPr>
            <w:tcW w:w="1221" w:type="pct"/>
            <w:vAlign w:val="center"/>
          </w:tcPr>
          <w:p w14:paraId="0B7356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u w:val="none"/>
                <w:vertAlign w:val="baseline"/>
                <w:lang w:val="en-US" w:eastAsia="zh-CN" w:bidi="ar-SA"/>
              </w:rPr>
            </w:pPr>
            <w:r>
              <w:rPr>
                <w:rFonts w:hint="eastAsia" w:ascii="宋体" w:hAnsi="宋体" w:eastAsia="宋体" w:cs="宋体"/>
                <w:color w:val="auto"/>
                <w:sz w:val="21"/>
                <w:szCs w:val="21"/>
                <w:highlight w:val="none"/>
                <w:u w:val="none"/>
                <w:lang w:val="en-US" w:eastAsia="zh-CN"/>
              </w:rPr>
              <w:t>项目成果申报</w:t>
            </w:r>
            <w:r>
              <w:rPr>
                <w:rFonts w:hint="eastAsia" w:ascii="宋体" w:hAnsi="宋体" w:eastAsia="宋体" w:cs="宋体"/>
                <w:color w:val="auto"/>
                <w:szCs w:val="21"/>
                <w:highlight w:val="none"/>
                <w:u w:val="none"/>
                <w:lang w:eastAsia="zh-CN"/>
              </w:rPr>
              <w:t>市（厅）级或以上</w:t>
            </w:r>
            <w:r>
              <w:rPr>
                <w:rFonts w:hint="eastAsia" w:ascii="宋体" w:hAnsi="宋体" w:eastAsia="宋体" w:cs="宋体"/>
                <w:color w:val="auto"/>
                <w:szCs w:val="21"/>
                <w:highlight w:val="none"/>
                <w:u w:val="none"/>
              </w:rPr>
              <w:t>级别的环保类科学技术奖</w:t>
            </w:r>
            <w:r>
              <w:rPr>
                <w:rFonts w:hint="eastAsia" w:ascii="宋体" w:hAnsi="宋体" w:eastAsia="宋体" w:cs="宋体"/>
                <w:color w:val="auto"/>
                <w:szCs w:val="21"/>
                <w:highlight w:val="none"/>
                <w:u w:val="none"/>
                <w:lang w:val="en-US" w:eastAsia="zh-CN"/>
              </w:rPr>
              <w:t>期间</w:t>
            </w:r>
          </w:p>
        </w:tc>
        <w:tc>
          <w:tcPr>
            <w:tcW w:w="3428" w:type="pct"/>
            <w:vAlign w:val="center"/>
          </w:tcPr>
          <w:p w14:paraId="66F10A80">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u w:val="none"/>
                <w:vertAlign w:val="baseline"/>
                <w:lang w:val="en-US" w:eastAsia="zh-CN" w:bidi="ar-SA"/>
              </w:rPr>
            </w:pPr>
            <w:r>
              <w:rPr>
                <w:rFonts w:hint="eastAsia" w:ascii="宋体" w:hAnsi="宋体" w:eastAsia="宋体" w:cs="宋体"/>
                <w:color w:val="auto"/>
                <w:szCs w:val="21"/>
                <w:highlight w:val="none"/>
                <w:lang w:val="en-US" w:eastAsia="zh-CN"/>
              </w:rPr>
              <w:t>中标人在申报期间提供全过程的技术服务支撑。</w:t>
            </w:r>
          </w:p>
        </w:tc>
      </w:tr>
    </w:tbl>
    <w:p w14:paraId="0AB1575E">
      <w:pPr>
        <w:keepNext w:val="0"/>
        <w:keepLines w:val="0"/>
        <w:pageBreakBefore w:val="0"/>
        <w:kinsoku/>
        <w:wordWrap/>
        <w:overflowPunct/>
        <w:topLinePunct w:val="0"/>
        <w:autoSpaceDE/>
        <w:autoSpaceDN/>
        <w:bidi w:val="0"/>
        <w:snapToGrid/>
        <w:spacing w:line="400" w:lineRule="exact"/>
        <w:ind w:firstLine="422"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、成果和验收标准</w:t>
      </w:r>
    </w:p>
    <w:p w14:paraId="7D1FF693">
      <w:pPr>
        <w:keepNext w:val="0"/>
        <w:keepLines w:val="0"/>
        <w:pageBreakBefore w:val="0"/>
        <w:widowControl/>
        <w:tabs>
          <w:tab w:val="left" w:pos="735"/>
        </w:tabs>
        <w:kinsoku/>
        <w:wordWrap/>
        <w:overflowPunct/>
        <w:topLinePunct w:val="0"/>
        <w:autoSpaceDE/>
        <w:autoSpaceDN/>
        <w:bidi w:val="0"/>
        <w:adjustRightInd w:val="0"/>
        <w:snapToGrid/>
        <w:spacing w:line="400" w:lineRule="exact"/>
        <w:ind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项目成果通过专家技术评审验收，同时符合相关技术</w:t>
      </w:r>
      <w:r>
        <w:rPr>
          <w:rFonts w:hint="eastAsia" w:ascii="宋体" w:hAnsi="宋体" w:eastAsia="宋体" w:cs="宋体"/>
          <w:color w:val="auto"/>
          <w:sz w:val="21"/>
          <w:szCs w:val="21"/>
          <w:highlight w:val="none"/>
          <w:lang w:val="en-US" w:eastAsia="zh-CN"/>
        </w:rPr>
        <w:t>标准或</w:t>
      </w:r>
      <w:r>
        <w:rPr>
          <w:rFonts w:hint="eastAsia" w:ascii="宋体" w:hAnsi="宋体" w:eastAsia="宋体" w:cs="宋体"/>
          <w:color w:val="auto"/>
          <w:sz w:val="21"/>
          <w:szCs w:val="21"/>
          <w:highlight w:val="none"/>
        </w:rPr>
        <w:t>规定的要求；</w:t>
      </w:r>
    </w:p>
    <w:p w14:paraId="52590A28">
      <w:pPr>
        <w:keepNext w:val="0"/>
        <w:keepLines w:val="0"/>
        <w:pageBreakBefore w:val="0"/>
        <w:widowControl/>
        <w:tabs>
          <w:tab w:val="left" w:pos="735"/>
        </w:tabs>
        <w:kinsoku/>
        <w:wordWrap/>
        <w:overflowPunct/>
        <w:topLinePunct w:val="0"/>
        <w:autoSpaceDE/>
        <w:autoSpaceDN/>
        <w:bidi w:val="0"/>
        <w:adjustRightInd w:val="0"/>
        <w:snapToGrid/>
        <w:spacing w:line="400" w:lineRule="exact"/>
        <w:ind w:firstLine="420" w:firstLineChars="200"/>
        <w:contextualSpacing/>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项目成果需向</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提供纸质文件3套及1套电子文件</w:t>
      </w:r>
      <w:r>
        <w:rPr>
          <w:rFonts w:hint="eastAsia" w:ascii="宋体" w:hAnsi="宋体" w:eastAsia="宋体" w:cs="宋体"/>
          <w:color w:val="auto"/>
          <w:sz w:val="21"/>
          <w:szCs w:val="21"/>
          <w:highlight w:val="none"/>
          <w:lang w:eastAsia="zh-CN"/>
        </w:rPr>
        <w:t>；</w:t>
      </w:r>
    </w:p>
    <w:p w14:paraId="4E7D8D9F">
      <w:pPr>
        <w:pStyle w:val="38"/>
        <w:keepNext w:val="0"/>
        <w:keepLines w:val="0"/>
        <w:pageBreakBefore w:val="0"/>
        <w:kinsoku/>
        <w:wordWrap/>
        <w:overflowPunct/>
        <w:topLinePunct w:val="0"/>
        <w:autoSpaceDE/>
        <w:autoSpaceDN/>
        <w:bidi w:val="0"/>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（三）凝练项目的有关成果，申报获得</w:t>
      </w:r>
      <w:r>
        <w:rPr>
          <w:rFonts w:hint="eastAsia" w:ascii="宋体" w:hAnsi="宋体" w:cs="宋体"/>
          <w:color w:val="auto"/>
          <w:sz w:val="21"/>
          <w:szCs w:val="21"/>
          <w:highlight w:val="none"/>
          <w:lang w:val="en-US" w:eastAsia="zh-CN"/>
        </w:rPr>
        <w:t>市（厅）级或以上</w:t>
      </w:r>
      <w:r>
        <w:rPr>
          <w:rFonts w:hint="eastAsia" w:ascii="宋体" w:hAnsi="宋体" w:eastAsia="宋体" w:cs="宋体"/>
          <w:color w:val="auto"/>
          <w:sz w:val="21"/>
          <w:szCs w:val="21"/>
          <w:highlight w:val="none"/>
        </w:rPr>
        <w:t>级别的环保类科学技术一等奖（或以上）级别奖项</w:t>
      </w:r>
      <w:r>
        <w:rPr>
          <w:rFonts w:hint="eastAsia" w:ascii="宋体" w:hAnsi="宋体" w:eastAsia="宋体" w:cs="宋体"/>
          <w:color w:val="auto"/>
          <w:sz w:val="21"/>
          <w:szCs w:val="21"/>
          <w:highlight w:val="none"/>
          <w:lang w:val="en-US" w:eastAsia="zh-CN"/>
        </w:rPr>
        <w:t>。</w:t>
      </w:r>
    </w:p>
    <w:p w14:paraId="64DEBB34">
      <w:pPr>
        <w:pStyle w:val="38"/>
        <w:keepNext w:val="0"/>
        <w:keepLines w:val="0"/>
        <w:pageBreakBefore w:val="0"/>
        <w:kinsoku/>
        <w:wordWrap/>
        <w:overflowPunct/>
        <w:topLinePunct w:val="0"/>
        <w:autoSpaceDE/>
        <w:autoSpaceDN/>
        <w:bidi w:val="0"/>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（四）项目成果知识产权归东莞市水务集团实业发展有限公司及东莞市众源环境投资有限公司所有。</w:t>
      </w:r>
    </w:p>
    <w:p w14:paraId="5456E917">
      <w:pPr>
        <w:pStyle w:val="31"/>
        <w:keepNext w:val="0"/>
        <w:keepLines w:val="0"/>
        <w:pageBreakBefore w:val="0"/>
        <w:kinsoku/>
        <w:wordWrap/>
        <w:overflowPunct/>
        <w:topLinePunct w:val="0"/>
        <w:autoSpaceDE/>
        <w:autoSpaceDN/>
        <w:bidi w:val="0"/>
        <w:adjustRightInd w:val="0"/>
        <w:snapToGrid/>
        <w:spacing w:line="400" w:lineRule="exact"/>
        <w:ind w:firstLine="420" w:firstLineChars="200"/>
        <w:contextualSpacing/>
        <w:textAlignment w:val="auto"/>
        <w:outlineLvl w:val="9"/>
        <w:rPr>
          <w:rFonts w:hint="eastAsia" w:ascii="宋体" w:hAnsi="宋体" w:eastAsia="宋体" w:cs="宋体"/>
          <w:color w:val="auto"/>
          <w:sz w:val="21"/>
          <w:szCs w:val="21"/>
          <w:highlight w:val="none"/>
          <w:lang w:eastAsia="zh-CN"/>
        </w:rPr>
      </w:pPr>
    </w:p>
    <w:p w14:paraId="58FC0214">
      <w:pPr>
        <w:pStyle w:val="16"/>
        <w:rPr>
          <w:rFonts w:hint="eastAsia"/>
          <w:color w:val="auto"/>
          <w:highlight w:val="none"/>
          <w:lang w:eastAsia="zh-CN"/>
        </w:rPr>
        <w:sectPr>
          <w:footerReference r:id="rId4" w:type="default"/>
          <w:pgSz w:w="11906" w:h="16838"/>
          <w:pgMar w:top="1191" w:right="1043" w:bottom="1191" w:left="1043" w:header="851" w:footer="992" w:gutter="0"/>
          <w:pgNumType w:fmt="decimal"/>
          <w:cols w:space="0" w:num="1"/>
          <w:rtlGutter w:val="0"/>
          <w:docGrid w:type="lines" w:linePitch="312" w:charSpace="0"/>
        </w:sectPr>
      </w:pPr>
    </w:p>
    <w:p w14:paraId="7B6E6955">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520" w:name="_Toc142508359"/>
      <w:bookmarkStart w:id="521" w:name="_Toc450662892"/>
      <w:bookmarkStart w:id="522" w:name="_Toc20401"/>
      <w:bookmarkStart w:id="523" w:name="_Toc486167707"/>
      <w:bookmarkStart w:id="524" w:name="_Toc11281_WPSOffice_Level1"/>
      <w:bookmarkStart w:id="525" w:name="_Toc26787"/>
      <w:bookmarkStart w:id="526" w:name="_Toc8495"/>
      <w:bookmarkStart w:id="527" w:name="_Toc29365"/>
      <w:bookmarkStart w:id="528" w:name="_Toc16287"/>
      <w:bookmarkStart w:id="529" w:name="_Toc25251"/>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520"/>
      <w:bookmarkEnd w:id="521"/>
      <w:bookmarkEnd w:id="522"/>
      <w:bookmarkEnd w:id="523"/>
      <w:bookmarkEnd w:id="524"/>
      <w:bookmarkEnd w:id="525"/>
      <w:bookmarkEnd w:id="526"/>
      <w:bookmarkEnd w:id="527"/>
      <w:bookmarkEnd w:id="528"/>
      <w:bookmarkEnd w:id="529"/>
    </w:p>
    <w:p w14:paraId="3FD9696B">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2D50882D">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286AE9A7">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0578CBCB">
      <w:pPr>
        <w:autoSpaceDE w:val="0"/>
        <w:autoSpaceDN w:val="0"/>
        <w:adjustRightInd w:val="0"/>
        <w:spacing w:line="360" w:lineRule="auto"/>
        <w:jc w:val="center"/>
        <w:rPr>
          <w:rFonts w:ascii="宋体" w:hAnsi="宋体" w:eastAsia="宋体" w:cs="Times New Roman"/>
          <w:b/>
          <w:color w:val="auto"/>
          <w:kern w:val="0"/>
          <w:sz w:val="52"/>
          <w:szCs w:val="96"/>
          <w:highlight w:val="none"/>
        </w:rPr>
      </w:pPr>
      <w:r>
        <w:rPr>
          <w:rFonts w:hint="eastAsia" w:ascii="宋体" w:hAnsi="宋体" w:eastAsia="宋体" w:cs="Times New Roman"/>
          <w:b/>
          <w:color w:val="auto"/>
          <w:kern w:val="0"/>
          <w:sz w:val="52"/>
          <w:szCs w:val="96"/>
          <w:highlight w:val="none"/>
        </w:rPr>
        <w:t>东莞市众源环境投资有限公司“特大城市市政污泥全过程管理体系”成效评估及提质</w:t>
      </w:r>
      <w:bookmarkStart w:id="530" w:name="OLE_LINK6"/>
      <w:r>
        <w:rPr>
          <w:rFonts w:hint="eastAsia" w:ascii="宋体" w:hAnsi="宋体" w:eastAsia="宋体" w:cs="Times New Roman"/>
          <w:b/>
          <w:color w:val="auto"/>
          <w:kern w:val="0"/>
          <w:sz w:val="52"/>
          <w:szCs w:val="96"/>
          <w:highlight w:val="none"/>
        </w:rPr>
        <w:t>增效</w:t>
      </w:r>
      <w:bookmarkEnd w:id="530"/>
      <w:r>
        <w:rPr>
          <w:rFonts w:hint="eastAsia" w:ascii="宋体" w:hAnsi="宋体" w:eastAsia="宋体" w:cs="Times New Roman"/>
          <w:b/>
          <w:color w:val="auto"/>
          <w:kern w:val="0"/>
          <w:sz w:val="52"/>
          <w:szCs w:val="96"/>
          <w:highlight w:val="none"/>
        </w:rPr>
        <w:t>路径研究技术服务采购项目</w:t>
      </w:r>
    </w:p>
    <w:p w14:paraId="2855B0E4">
      <w:pPr>
        <w:autoSpaceDE w:val="0"/>
        <w:autoSpaceDN w:val="0"/>
        <w:adjustRightInd w:val="0"/>
        <w:spacing w:line="360" w:lineRule="auto"/>
        <w:jc w:val="center"/>
        <w:rPr>
          <w:rFonts w:ascii="宋体" w:hAnsi="宋体" w:eastAsia="宋体" w:cs="Times New Roman"/>
          <w:b/>
          <w:color w:val="auto"/>
          <w:kern w:val="0"/>
          <w:sz w:val="52"/>
          <w:szCs w:val="96"/>
          <w:highlight w:val="none"/>
        </w:rPr>
      </w:pPr>
    </w:p>
    <w:p w14:paraId="2ED01B56">
      <w:pPr>
        <w:autoSpaceDE w:val="0"/>
        <w:autoSpaceDN w:val="0"/>
        <w:adjustRightInd w:val="0"/>
        <w:spacing w:line="360" w:lineRule="auto"/>
        <w:jc w:val="center"/>
        <w:rPr>
          <w:rFonts w:ascii="宋体" w:hAnsi="宋体" w:eastAsia="宋体" w:cs="Times New Roman"/>
          <w:b/>
          <w:color w:val="auto"/>
          <w:kern w:val="0"/>
          <w:sz w:val="52"/>
          <w:szCs w:val="96"/>
          <w:highlight w:val="none"/>
        </w:rPr>
      </w:pPr>
      <w:r>
        <w:rPr>
          <w:rFonts w:hint="eastAsia" w:ascii="宋体" w:hAnsi="宋体" w:eastAsia="宋体" w:cs="Times New Roman"/>
          <w:b/>
          <w:color w:val="auto"/>
          <w:kern w:val="0"/>
          <w:sz w:val="52"/>
          <w:szCs w:val="96"/>
          <w:highlight w:val="none"/>
        </w:rPr>
        <w:t>合同书</w:t>
      </w:r>
    </w:p>
    <w:p w14:paraId="2C81EE5C">
      <w:pPr>
        <w:autoSpaceDE w:val="0"/>
        <w:autoSpaceDN w:val="0"/>
        <w:adjustRightInd w:val="0"/>
        <w:spacing w:line="360" w:lineRule="auto"/>
        <w:jc w:val="center"/>
        <w:rPr>
          <w:rFonts w:ascii="宋体" w:hAnsi="宋体" w:eastAsia="宋体" w:cs="Times New Roman"/>
          <w:bCs/>
          <w:color w:val="auto"/>
          <w:kern w:val="0"/>
          <w:sz w:val="52"/>
          <w:szCs w:val="52"/>
          <w:highlight w:val="none"/>
        </w:rPr>
      </w:pPr>
    </w:p>
    <w:p w14:paraId="6FB2DF3B">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75B2E972">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70A2A23A">
      <w:pPr>
        <w:autoSpaceDE w:val="0"/>
        <w:autoSpaceDN w:val="0"/>
        <w:adjustRightInd w:val="0"/>
        <w:spacing w:line="360" w:lineRule="auto"/>
        <w:jc w:val="left"/>
        <w:rPr>
          <w:rFonts w:ascii="宋体" w:hAnsi="宋体" w:eastAsia="宋体" w:cs="宋体"/>
          <w:b/>
          <w:bCs/>
          <w:color w:val="auto"/>
          <w:kern w:val="0"/>
          <w:sz w:val="24"/>
          <w:szCs w:val="21"/>
          <w:highlight w:val="none"/>
        </w:rPr>
      </w:pPr>
    </w:p>
    <w:p w14:paraId="0552991A">
      <w:pPr>
        <w:spacing w:line="360" w:lineRule="auto"/>
        <w:ind w:firstLine="2739" w:firstLineChars="856"/>
        <w:jc w:val="left"/>
        <w:rPr>
          <w:rFonts w:ascii="宋体" w:hAnsi="宋体" w:eastAsia="宋体" w:cs="宋体"/>
          <w:color w:val="auto"/>
          <w:sz w:val="48"/>
          <w:szCs w:val="48"/>
          <w:highlight w:val="none"/>
        </w:rPr>
      </w:pPr>
      <w:r>
        <w:rPr>
          <w:rFonts w:hint="eastAsia" w:ascii="宋体" w:hAnsi="宋体" w:eastAsia="宋体" w:cs="宋体"/>
          <w:color w:val="auto"/>
          <w:sz w:val="32"/>
          <w:szCs w:val="32"/>
          <w:highlight w:val="none"/>
          <w:lang w:eastAsia="zh-Hans"/>
        </w:rPr>
        <w:t>合同编号：</w:t>
      </w:r>
      <w:r>
        <w:rPr>
          <w:rFonts w:hint="eastAsia" w:ascii="宋体" w:hAnsi="宋体" w:eastAsia="宋体" w:cs="宋体"/>
          <w:color w:val="auto"/>
          <w:sz w:val="32"/>
          <w:szCs w:val="32"/>
          <w:highlight w:val="none"/>
          <w:u w:val="single"/>
        </w:rPr>
        <w:t xml:space="preserve">                      </w:t>
      </w:r>
    </w:p>
    <w:p w14:paraId="375777EE">
      <w:pPr>
        <w:spacing w:line="360" w:lineRule="auto"/>
        <w:ind w:firstLine="2739" w:firstLineChars="856"/>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Hans"/>
        </w:rPr>
        <w:t>甲</w:t>
      </w: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lang w:eastAsia="zh-Hans"/>
        </w:rPr>
        <w:t>方</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u w:val="single"/>
        </w:rPr>
        <w:t xml:space="preserve">                      </w:t>
      </w:r>
    </w:p>
    <w:p w14:paraId="07997EE9">
      <w:pPr>
        <w:spacing w:line="360" w:lineRule="auto"/>
        <w:ind w:firstLine="2739" w:firstLineChars="856"/>
        <w:jc w:val="left"/>
        <w:rPr>
          <w:rFonts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lang w:eastAsia="zh-Hans"/>
        </w:rPr>
        <w:t>乙</w:t>
      </w: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lang w:eastAsia="zh-Hans"/>
        </w:rPr>
        <w:t>方</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u w:val="single"/>
        </w:rPr>
        <w:t xml:space="preserve">                      </w:t>
      </w:r>
    </w:p>
    <w:p w14:paraId="7B044F15">
      <w:pPr>
        <w:pStyle w:val="3"/>
        <w:ind w:firstLine="320"/>
        <w:rPr>
          <w:rFonts w:ascii="宋体" w:hAnsi="宋体" w:eastAsia="宋体" w:cs="宋体"/>
          <w:color w:val="auto"/>
          <w:sz w:val="32"/>
          <w:szCs w:val="32"/>
          <w:highlight w:val="none"/>
          <w:u w:val="single"/>
        </w:rPr>
      </w:pPr>
    </w:p>
    <w:p w14:paraId="4A68B196">
      <w:pPr>
        <w:autoSpaceDE w:val="0"/>
        <w:autoSpaceDN w:val="0"/>
        <w:adjustRightInd w:val="0"/>
        <w:spacing w:line="360" w:lineRule="auto"/>
        <w:ind w:firstLine="2750" w:firstLineChars="856"/>
        <w:jc w:val="left"/>
        <w:rPr>
          <w:rFonts w:ascii="宋体" w:hAnsi="宋体" w:eastAsia="宋体" w:cs="宋体"/>
          <w:b/>
          <w:bCs/>
          <w:color w:val="auto"/>
          <w:kern w:val="0"/>
          <w:sz w:val="32"/>
          <w:szCs w:val="32"/>
          <w:highlight w:val="none"/>
          <w:u w:val="single"/>
        </w:rPr>
      </w:pPr>
      <w:r>
        <w:rPr>
          <w:rFonts w:hint="eastAsia" w:ascii="宋体" w:hAnsi="宋体" w:eastAsia="宋体" w:cs="宋体"/>
          <w:b/>
          <w:bCs/>
          <w:color w:val="auto"/>
          <w:kern w:val="0"/>
          <w:sz w:val="32"/>
          <w:szCs w:val="32"/>
          <w:highlight w:val="none"/>
        </w:rPr>
        <w:t>签订日期</w:t>
      </w:r>
      <w:r>
        <w:rPr>
          <w:rFonts w:hint="eastAsia" w:ascii="宋体" w:hAnsi="宋体" w:eastAsia="宋体" w:cs="宋体"/>
          <w:b/>
          <w:bCs/>
          <w:color w:val="auto"/>
          <w:kern w:val="0"/>
          <w:sz w:val="28"/>
          <w:szCs w:val="28"/>
          <w:highlight w:val="none"/>
        </w:rPr>
        <w:t>：   年   月   日</w:t>
      </w:r>
    </w:p>
    <w:p w14:paraId="6CC5D496">
      <w:pPr>
        <w:pStyle w:val="3"/>
        <w:ind w:firstLine="320"/>
        <w:rPr>
          <w:rFonts w:ascii="宋体" w:hAnsi="宋体" w:eastAsia="宋体" w:cs="宋体"/>
          <w:color w:val="auto"/>
          <w:sz w:val="32"/>
          <w:szCs w:val="32"/>
          <w:highlight w:val="none"/>
          <w:u w:val="single"/>
        </w:rPr>
      </w:pPr>
    </w:p>
    <w:p w14:paraId="234D15ED">
      <w:pPr>
        <w:autoSpaceDE w:val="0"/>
        <w:autoSpaceDN w:val="0"/>
        <w:adjustRightInd w:val="0"/>
        <w:jc w:val="left"/>
        <w:rPr>
          <w:rFonts w:ascii="宋体" w:hAnsi="宋体" w:eastAsia="宋体" w:cs="宋体"/>
          <w:b/>
          <w:bCs/>
          <w:color w:val="auto"/>
          <w:kern w:val="0"/>
          <w:sz w:val="28"/>
          <w:szCs w:val="28"/>
          <w:highlight w:val="none"/>
        </w:rPr>
      </w:pPr>
    </w:p>
    <w:p w14:paraId="4D8C6358">
      <w:pPr>
        <w:rPr>
          <w:rFonts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0E2D7C2A">
      <w:pPr>
        <w:pageBreakBefore/>
        <w:adjustRightInd w:val="0"/>
        <w:snapToGrid w:val="0"/>
        <w:spacing w:line="360" w:lineRule="auto"/>
        <w:ind w:firstLine="420" w:firstLineChars="200"/>
        <w:rPr>
          <w:rFonts w:ascii="宋体" w:hAnsi="宋体" w:eastAsia="宋体" w:cs="宋体"/>
          <w:color w:val="auto"/>
          <w:szCs w:val="21"/>
          <w:highlight w:val="none"/>
        </w:rPr>
      </w:pPr>
      <w:bookmarkStart w:id="531" w:name="_Toc13867"/>
      <w:bookmarkStart w:id="532" w:name="_Toc23502"/>
      <w:bookmarkStart w:id="533" w:name="_Toc25564"/>
      <w:bookmarkStart w:id="534" w:name="_Toc142508360"/>
      <w:bookmarkStart w:id="535" w:name="_Toc24427_WPSOffice_Level1"/>
      <w:bookmarkStart w:id="536" w:name="_Toc30025"/>
      <w:bookmarkStart w:id="537" w:name="_Toc447044479"/>
      <w:bookmarkStart w:id="538" w:name="_Toc10978"/>
      <w:bookmarkStart w:id="539" w:name="_Toc512353083"/>
      <w:bookmarkStart w:id="540" w:name="_Toc447045090"/>
      <w:bookmarkStart w:id="541" w:name="_Toc447044603"/>
      <w:bookmarkStart w:id="542" w:name="_Toc18090"/>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u w:val="single"/>
        </w:rPr>
        <w:t xml:space="preserve">                                    </w:t>
      </w:r>
    </w:p>
    <w:p w14:paraId="3665C1CD">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rPr>
        <w:t xml:space="preserve">                                    </w:t>
      </w:r>
    </w:p>
    <w:p w14:paraId="29319EE3">
      <w:pPr>
        <w:spacing w:line="360" w:lineRule="auto"/>
        <w:ind w:firstLine="420"/>
        <w:rPr>
          <w:rFonts w:ascii="宋体" w:hAnsi="宋体" w:eastAsia="宋体" w:cs="宋体"/>
          <w:color w:val="auto"/>
          <w:szCs w:val="21"/>
          <w:highlight w:val="none"/>
        </w:rPr>
      </w:pPr>
    </w:p>
    <w:p w14:paraId="47299D7B">
      <w:pPr>
        <w:adjustRightInd w:val="0"/>
        <w:snapToGrid w:val="0"/>
        <w:spacing w:line="360" w:lineRule="auto"/>
        <w:ind w:firstLine="371" w:firstLineChars="177"/>
        <w:rPr>
          <w:rFonts w:ascii="宋体" w:hAnsi="宋体" w:eastAsia="宋体" w:cs="宋体"/>
          <w:color w:val="auto"/>
          <w:szCs w:val="21"/>
          <w:highlight w:val="none"/>
        </w:rPr>
      </w:pPr>
      <w:r>
        <w:rPr>
          <w:rFonts w:hint="eastAsia" w:ascii="宋体" w:hAnsi="宋体" w:eastAsia="宋体" w:cs="宋体"/>
          <w:color w:val="auto"/>
          <w:szCs w:val="21"/>
          <w:highlight w:val="none"/>
        </w:rPr>
        <w:t>根据《中华人民共和国民法典》及</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日公示的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项目中标结果（招标编号：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）和招标文件的要求，经双方协商一致，签订本合同。</w:t>
      </w:r>
    </w:p>
    <w:p w14:paraId="0DB24482">
      <w:pPr>
        <w:spacing w:line="360" w:lineRule="auto"/>
        <w:jc w:val="left"/>
        <w:rPr>
          <w:rFonts w:ascii="宋体" w:hAnsi="宋体" w:eastAsia="宋体" w:cs="宋体"/>
          <w:b/>
          <w:color w:val="auto"/>
          <w:szCs w:val="21"/>
          <w:highlight w:val="none"/>
        </w:rPr>
      </w:pPr>
    </w:p>
    <w:p w14:paraId="181746F8">
      <w:pPr>
        <w:spacing w:line="360" w:lineRule="auto"/>
        <w:ind w:firstLine="422" w:firstLineChars="200"/>
        <w:jc w:val="left"/>
        <w:rPr>
          <w:rFonts w:ascii="宋体" w:hAnsi="宋体" w:eastAsia="宋体" w:cs="宋体"/>
          <w:color w:val="auto"/>
          <w:szCs w:val="21"/>
          <w:highlight w:val="none"/>
        </w:rPr>
      </w:pPr>
      <w:r>
        <w:rPr>
          <w:rFonts w:hint="eastAsia" w:ascii="宋体" w:hAnsi="宋体" w:eastAsia="宋体" w:cs="宋体"/>
          <w:b/>
          <w:color w:val="auto"/>
          <w:szCs w:val="21"/>
          <w:highlight w:val="none"/>
        </w:rPr>
        <w:t>第一条 合同内容及服务期限</w:t>
      </w:r>
    </w:p>
    <w:p w14:paraId="454CEF7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 服务内容：乙方向甲方提供</w:t>
      </w:r>
      <w:r>
        <w:rPr>
          <w:rFonts w:hint="eastAsia" w:ascii="宋体" w:hAnsi="宋体" w:eastAsia="宋体" w:cs="宋体"/>
          <w:color w:val="auto"/>
          <w:szCs w:val="21"/>
          <w:highlight w:val="none"/>
        </w:rPr>
        <w:t>“特大城市市政污泥全过程管理体系”成效评估及提质增效路径研究技术服务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服务内容</w:t>
      </w:r>
      <w:r>
        <w:rPr>
          <w:rFonts w:hint="eastAsia" w:ascii="宋体" w:hAnsi="宋体" w:eastAsia="宋体" w:cs="宋体"/>
          <w:color w:val="auto"/>
          <w:szCs w:val="21"/>
          <w:highlight w:val="none"/>
          <w:u w:val="none"/>
          <w:lang w:val="en-US" w:eastAsia="zh-CN"/>
        </w:rPr>
        <w:t>包括但不限于</w:t>
      </w:r>
      <w:r>
        <w:rPr>
          <w:rFonts w:hint="eastAsia" w:ascii="宋体" w:hAnsi="宋体" w:eastAsia="宋体" w:cs="宋体"/>
          <w:color w:val="auto"/>
          <w:szCs w:val="21"/>
          <w:highlight w:val="none"/>
          <w:u w:val="none"/>
        </w:rPr>
        <w:t>编制东莞市市政污泥全过程管理的体系成效评估、提质增效研究报告、政策建议，撰写论文，开展相关技术鉴定，申报及获得环保类科学技术奖并在申报期间提供全过程的技术服务支撑等</w:t>
      </w:r>
      <w:r>
        <w:rPr>
          <w:rFonts w:hint="eastAsia" w:ascii="宋体" w:hAnsi="宋体" w:eastAsia="宋体" w:cs="宋体"/>
          <w:color w:val="auto"/>
          <w:szCs w:val="21"/>
          <w:highlight w:val="none"/>
          <w:u w:val="none"/>
          <w:lang w:val="en-US" w:eastAsia="zh-CN"/>
        </w:rPr>
        <w:t>。</w:t>
      </w:r>
    </w:p>
    <w:p w14:paraId="23E92305">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研究目标：</w:t>
      </w:r>
    </w:p>
    <w:p w14:paraId="05A25C4D">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（1）结合国家、广东省的政策要求与东莞市污泥管理的实际需求，向有关行政管理部门提出管理政策建议，补充完善污泥管理政策体系，解决外部政策体系不明晰以及管理过程中存在的实操性缺陷问题；</w:t>
      </w:r>
    </w:p>
    <w:p w14:paraId="30B2A7AB">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对东莞市水务集团实业发展有限公司（包含东莞市水务集团实业发展有限公司权属子公司及控股公司，下同）现有污泥管理制度体系开展分析，进一步凝练总结经验做法，去芜存菁，完善内部完制度体系，制定出合理高效、具有普适性的管理策略，进一步提升管理效能；</w:t>
      </w:r>
    </w:p>
    <w:p w14:paraId="4B09B7D5">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（3）通过开展深入的调研、采样检测和数据分析，识别和解决东莞市水务集团实业发展有限公司在源头减量、运输效率、处理技术选择等环节的潜在管理问题；</w:t>
      </w:r>
    </w:p>
    <w:p w14:paraId="60A241E3">
      <w:pPr>
        <w:spacing w:line="360" w:lineRule="auto"/>
        <w:ind w:firstLine="420" w:firstLineChars="200"/>
        <w:jc w:val="left"/>
        <w:rPr>
          <w:rFonts w:ascii="宋体" w:hAnsi="宋体" w:eastAsia="宋体" w:cs="宋体"/>
          <w:b/>
          <w:color w:val="auto"/>
          <w:szCs w:val="21"/>
          <w:highlight w:val="none"/>
        </w:rPr>
      </w:pPr>
      <w:r>
        <w:rPr>
          <w:rFonts w:hint="eastAsia" w:ascii="宋体" w:hAnsi="宋体" w:eastAsia="宋体" w:cs="宋体"/>
          <w:color w:val="auto"/>
          <w:szCs w:val="21"/>
          <w:highlight w:val="none"/>
        </w:rPr>
        <w:t>（4）对污泥全流程处理项目开展实地调研，广泛考察污泥处理处置新技术，围绕污泥无害化、资源化、减量化，提出技术发展方向，构建技术管理体系。</w:t>
      </w:r>
    </w:p>
    <w:p w14:paraId="00F2C4E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 拟解决的问题</w:t>
      </w:r>
    </w:p>
    <w:p w14:paraId="34B9630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（1）外部政策制度体系不明晰，管理过程存在实操性缺陷；</w:t>
      </w:r>
    </w:p>
    <w:p w14:paraId="10439B1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（2）企业内部制度体系不完善，与全过程闭环管理要求仍存在差距；</w:t>
      </w:r>
    </w:p>
    <w:p w14:paraId="5255011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（3）管理手段待优化，未能实现成本最优；</w:t>
      </w:r>
    </w:p>
    <w:p w14:paraId="74154EA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（4）进一步丰富污泥处理技术的储备。</w:t>
      </w:r>
    </w:p>
    <w:p w14:paraId="1DB4EFE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 服务期限：自合同签订之日起至乙方项目成果获得市（厅）级或以上级别的环保类科学技术一等奖（或以上）级别奖项之日止（以获奖公告通知日为准），最长不超过2027年12月31日。</w:t>
      </w:r>
    </w:p>
    <w:p w14:paraId="70600973">
      <w:pPr>
        <w:numPr>
          <w:ilvl w:val="255"/>
          <w:numId w:val="0"/>
        </w:numPr>
        <w:spacing w:line="360" w:lineRule="auto"/>
        <w:ind w:firstLine="422" w:firstLineChars="200"/>
        <w:rPr>
          <w:rFonts w:ascii="宋体" w:hAnsi="宋体" w:eastAsia="宋体" w:cs="宋体"/>
          <w:b/>
          <w:bCs/>
          <w:color w:val="auto"/>
          <w:szCs w:val="21"/>
          <w:highlight w:val="none"/>
        </w:rPr>
      </w:pPr>
    </w:p>
    <w:p w14:paraId="4448062C">
      <w:pPr>
        <w:numPr>
          <w:ilvl w:val="255"/>
          <w:numId w:val="0"/>
        </w:num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第二条 合同价款及支付方式</w:t>
      </w:r>
    </w:p>
    <w:p w14:paraId="3901AF02">
      <w:pPr>
        <w:numPr>
          <w:ilvl w:val="255"/>
          <w:numId w:val="0"/>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2.1 </w:t>
      </w:r>
      <w:r>
        <w:rPr>
          <w:rFonts w:ascii="宋体" w:hAnsi="宋体" w:eastAsia="宋体" w:cs="宋体"/>
          <w:color w:val="auto"/>
          <w:szCs w:val="21"/>
          <w:highlight w:val="none"/>
        </w:rPr>
        <w:t>本合同价（即销售额，不含乙方销项税额）为</w:t>
      </w:r>
      <w:r>
        <w:rPr>
          <w:rFonts w:ascii="宋体" w:hAnsi="宋体" w:eastAsia="宋体" w:cs="宋体"/>
          <w:color w:val="auto"/>
          <w:szCs w:val="21"/>
          <w:highlight w:val="none"/>
          <w:u w:val="single"/>
        </w:rPr>
        <w:t xml:space="preserve">        </w:t>
      </w:r>
      <w:r>
        <w:rPr>
          <w:rFonts w:ascii="宋体" w:hAnsi="宋体" w:eastAsia="宋体" w:cs="宋体"/>
          <w:color w:val="auto"/>
          <w:szCs w:val="21"/>
          <w:highlight w:val="none"/>
        </w:rPr>
        <w:t>元（大写人民币</w:t>
      </w:r>
      <w:r>
        <w:rPr>
          <w:rFonts w:ascii="宋体" w:hAnsi="宋体" w:eastAsia="宋体" w:cs="宋体"/>
          <w:color w:val="auto"/>
          <w:szCs w:val="21"/>
          <w:highlight w:val="none"/>
          <w:u w:val="single"/>
        </w:rPr>
        <w:t xml:space="preserve">        </w:t>
      </w:r>
      <w:r>
        <w:rPr>
          <w:rFonts w:ascii="宋体" w:hAnsi="宋体" w:eastAsia="宋体" w:cs="宋体"/>
          <w:color w:val="auto"/>
          <w:szCs w:val="21"/>
          <w:highlight w:val="none"/>
        </w:rPr>
        <w:t>），在本合同履行过程中，合同价不随法律法规政策、物价、人工、服务期调整而进行调整，未经甲方书面确认，乙方无权增加任何费用。</w:t>
      </w:r>
    </w:p>
    <w:p w14:paraId="57F47E3E">
      <w:pPr>
        <w:numPr>
          <w:ilvl w:val="255"/>
          <w:numId w:val="0"/>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2.2 </w:t>
      </w:r>
      <w:r>
        <w:rPr>
          <w:rFonts w:ascii="宋体" w:hAnsi="宋体" w:eastAsia="宋体" w:cs="宋体"/>
          <w:color w:val="auto"/>
          <w:szCs w:val="21"/>
          <w:highlight w:val="none"/>
        </w:rPr>
        <w:t>依法计得并根据本合同约定确定的销项税额由甲方承担。根据《中华人民共和国增值税暂行条例》（国务院令第691号修订版）及当前税务部门的相关规定，本合同项目的增值税税率暂定为</w:t>
      </w:r>
      <w:r>
        <w:rPr>
          <w:rFonts w:ascii="宋体" w:hAnsi="宋体" w:eastAsia="宋体" w:cs="宋体"/>
          <w:color w:val="auto"/>
          <w:szCs w:val="21"/>
          <w:highlight w:val="none"/>
          <w:u w:val="single"/>
        </w:rPr>
        <w:t xml:space="preserve">   </w:t>
      </w:r>
      <w:r>
        <w:rPr>
          <w:rFonts w:ascii="宋体" w:hAnsi="宋体" w:eastAsia="宋体" w:cs="宋体"/>
          <w:color w:val="auto"/>
          <w:szCs w:val="21"/>
          <w:highlight w:val="none"/>
        </w:rPr>
        <w:t>% ，乙方的增值税销项税额按实结算。但因乙方未按合同约定提供服务、未根据合同约定提供合法、完整的请款资料等原因导致销项税额增加的，相应损失由乙方承担。</w:t>
      </w:r>
    </w:p>
    <w:p w14:paraId="4840CC2F">
      <w:pPr>
        <w:numPr>
          <w:ilvl w:val="255"/>
          <w:numId w:val="0"/>
        </w:num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因乙方未按法定税率计算税额或未根据本合同约定出具对应税额的增值税专用发票等乙方原因导致甲方多支付税额的，乙方必须退还甲方，给甲方造成损失的，乙方须向甲方赔偿相应损失。</w:t>
      </w:r>
    </w:p>
    <w:p w14:paraId="0565201B">
      <w:pPr>
        <w:numPr>
          <w:ilvl w:val="255"/>
          <w:numId w:val="0"/>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2.3 </w:t>
      </w:r>
      <w:r>
        <w:rPr>
          <w:rFonts w:ascii="宋体" w:hAnsi="宋体" w:eastAsia="宋体" w:cs="宋体"/>
          <w:color w:val="auto"/>
          <w:szCs w:val="21"/>
          <w:highlight w:val="none"/>
        </w:rPr>
        <w:t>合同价税合计为</w:t>
      </w:r>
      <w:r>
        <w:rPr>
          <w:rFonts w:ascii="宋体" w:hAnsi="宋体" w:eastAsia="宋体" w:cs="宋体"/>
          <w:color w:val="auto"/>
          <w:szCs w:val="21"/>
          <w:highlight w:val="none"/>
          <w:u w:val="single"/>
        </w:rPr>
        <w:t xml:space="preserve">        </w:t>
      </w:r>
      <w:r>
        <w:rPr>
          <w:rFonts w:ascii="宋体" w:hAnsi="宋体" w:eastAsia="宋体" w:cs="宋体"/>
          <w:color w:val="auto"/>
          <w:szCs w:val="21"/>
          <w:highlight w:val="none"/>
        </w:rPr>
        <w:t>元（大写人民币</w:t>
      </w:r>
      <w:r>
        <w:rPr>
          <w:rFonts w:ascii="宋体" w:hAnsi="宋体" w:eastAsia="宋体" w:cs="宋体"/>
          <w:color w:val="auto"/>
          <w:szCs w:val="21"/>
          <w:highlight w:val="none"/>
          <w:u w:val="single"/>
        </w:rPr>
        <w:t xml:space="preserve">        </w:t>
      </w:r>
      <w:r>
        <w:rPr>
          <w:rFonts w:ascii="宋体" w:hAnsi="宋体" w:eastAsia="宋体" w:cs="宋体"/>
          <w:color w:val="auto"/>
          <w:szCs w:val="21"/>
          <w:highlight w:val="none"/>
        </w:rPr>
        <w:t>），合同履行期间根据本条第2</w:t>
      </w:r>
      <w:r>
        <w:rPr>
          <w:rFonts w:hint="eastAsia" w:ascii="宋体" w:hAnsi="宋体" w:eastAsia="宋体" w:cs="宋体"/>
          <w:color w:val="auto"/>
          <w:szCs w:val="21"/>
          <w:highlight w:val="none"/>
        </w:rPr>
        <w:t>.2款</w:t>
      </w:r>
      <w:r>
        <w:rPr>
          <w:rFonts w:ascii="宋体" w:hAnsi="宋体" w:eastAsia="宋体" w:cs="宋体"/>
          <w:color w:val="auto"/>
          <w:szCs w:val="21"/>
          <w:highlight w:val="none"/>
        </w:rPr>
        <w:t>规定调整销项税额的，结算合同价税合计对应调整。</w:t>
      </w:r>
      <w:r>
        <w:rPr>
          <w:rFonts w:ascii="宋体" w:hAnsi="宋体" w:eastAsia="宋体" w:cs="宋体"/>
          <w:color w:val="auto"/>
          <w:szCs w:val="21"/>
          <w:highlight w:val="none"/>
        </w:rPr>
        <w:tab/>
      </w:r>
    </w:p>
    <w:p w14:paraId="0F0D07CD">
      <w:pPr>
        <w:numPr>
          <w:ilvl w:val="255"/>
          <w:numId w:val="0"/>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2.4 </w:t>
      </w:r>
      <w:r>
        <w:rPr>
          <w:rFonts w:ascii="宋体" w:hAnsi="宋体" w:eastAsia="宋体" w:cs="宋体"/>
          <w:color w:val="auto"/>
          <w:szCs w:val="21"/>
          <w:highlight w:val="none"/>
        </w:rPr>
        <w:t>合同价为乙方完成本合同项下义务的全部费用，包括但不限于：</w:t>
      </w:r>
    </w:p>
    <w:p w14:paraId="02C51849">
      <w:pPr>
        <w:numPr>
          <w:ilvl w:val="255"/>
          <w:numId w:val="0"/>
        </w:num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乙方</w:t>
      </w:r>
      <w:r>
        <w:rPr>
          <w:rFonts w:ascii="宋体" w:hAnsi="宋体" w:eastAsia="宋体" w:cs="宋体"/>
          <w:color w:val="auto"/>
          <w:szCs w:val="21"/>
          <w:highlight w:val="none"/>
        </w:rPr>
        <w:t>履行本项目合同所发生的企业调研、技术指导、成果资料编制、人员培训、工作会务、组织专家评审、成果资料申报、档案管理、配合服务、</w:t>
      </w:r>
      <w:r>
        <w:rPr>
          <w:rFonts w:hint="eastAsia" w:ascii="宋体" w:hAnsi="宋体" w:eastAsia="宋体" w:cs="宋体"/>
          <w:color w:val="auto"/>
          <w:szCs w:val="21"/>
          <w:highlight w:val="none"/>
        </w:rPr>
        <w:t>乙方</w:t>
      </w:r>
      <w:r>
        <w:rPr>
          <w:rFonts w:ascii="宋体" w:hAnsi="宋体" w:eastAsia="宋体" w:cs="宋体"/>
          <w:color w:val="auto"/>
          <w:szCs w:val="21"/>
          <w:highlight w:val="none"/>
        </w:rPr>
        <w:t>服务期间工人工资、办公费、管理费、住宿费、交通费、通讯费、保险等一切费用；</w:t>
      </w:r>
    </w:p>
    <w:p w14:paraId="2A2B2ACF">
      <w:pPr>
        <w:numPr>
          <w:ilvl w:val="255"/>
          <w:numId w:val="0"/>
        </w:num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lang w:val="zh-CN"/>
        </w:rPr>
        <w:t>合理利润</w:t>
      </w:r>
      <w:r>
        <w:rPr>
          <w:rFonts w:hint="eastAsia" w:ascii="宋体" w:hAnsi="宋体" w:eastAsia="宋体" w:cs="宋体"/>
          <w:color w:val="auto"/>
          <w:kern w:val="0"/>
          <w:szCs w:val="21"/>
          <w:highlight w:val="none"/>
        </w:rPr>
        <w:t>、乙方销项税额以外的税费</w:t>
      </w:r>
      <w:r>
        <w:rPr>
          <w:rFonts w:hint="eastAsia" w:ascii="宋体" w:hAnsi="宋体" w:eastAsia="宋体" w:cs="宋体"/>
          <w:color w:val="auto"/>
          <w:szCs w:val="21"/>
          <w:highlight w:val="none"/>
          <w:lang w:val="zh-CN"/>
        </w:rPr>
        <w:t>等</w:t>
      </w:r>
      <w:r>
        <w:rPr>
          <w:rFonts w:ascii="宋体" w:hAnsi="宋体" w:eastAsia="宋体" w:cs="宋体"/>
          <w:color w:val="auto"/>
          <w:szCs w:val="21"/>
          <w:highlight w:val="none"/>
        </w:rPr>
        <w:t>；</w:t>
      </w:r>
    </w:p>
    <w:p w14:paraId="2150378E">
      <w:pPr>
        <w:numPr>
          <w:ilvl w:val="255"/>
          <w:numId w:val="0"/>
        </w:num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lang w:val="zh-CN"/>
        </w:rPr>
        <w:t>法律法规、商业公认、招标文件规定由</w:t>
      </w: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val="zh-CN"/>
        </w:rPr>
        <w:t>承担的其他直接及间接费用</w:t>
      </w:r>
      <w:r>
        <w:rPr>
          <w:rFonts w:ascii="宋体" w:hAnsi="宋体" w:eastAsia="宋体" w:cs="宋体"/>
          <w:color w:val="auto"/>
          <w:szCs w:val="21"/>
          <w:highlight w:val="none"/>
        </w:rPr>
        <w:t>。</w:t>
      </w:r>
    </w:p>
    <w:p w14:paraId="79B29347">
      <w:pPr>
        <w:numPr>
          <w:ilvl w:val="255"/>
          <w:numId w:val="0"/>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2.5 </w:t>
      </w:r>
      <w:r>
        <w:rPr>
          <w:rFonts w:ascii="宋体" w:hAnsi="宋体" w:eastAsia="宋体" w:cs="宋体"/>
          <w:color w:val="auto"/>
          <w:szCs w:val="21"/>
          <w:highlight w:val="none"/>
        </w:rPr>
        <w:t>合同的履约过程中，乙方根据本合同约定需向甲方支付违约金、赔偿金、或其他应付费用等款项的，乙方必须向甲方支付完相关款项后，甲方才根据本合同约定向乙方支付合同价和税额。若因乙方未能支付前述费用，影响项目实施的，甲方有权直接从未付合同款项中直接扣除，且乙方必须按照扣除前述费用前的合同价（销售额）开具增值税专用发票，保证增值税税额符合法律规定。</w:t>
      </w:r>
    </w:p>
    <w:p w14:paraId="5B56E0E2">
      <w:pPr>
        <w:numPr>
          <w:ilvl w:val="255"/>
          <w:numId w:val="0"/>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2.6 </w:t>
      </w:r>
      <w:r>
        <w:rPr>
          <w:rFonts w:ascii="宋体" w:hAnsi="宋体" w:eastAsia="宋体" w:cs="宋体"/>
          <w:color w:val="auto"/>
          <w:szCs w:val="21"/>
          <w:highlight w:val="none"/>
        </w:rPr>
        <w:t>乙方</w:t>
      </w:r>
      <w:r>
        <w:rPr>
          <w:rFonts w:hint="eastAsia" w:ascii="宋体" w:hAnsi="宋体" w:eastAsia="宋体" w:cs="宋体"/>
          <w:color w:val="auto"/>
          <w:szCs w:val="21"/>
          <w:highlight w:val="none"/>
        </w:rPr>
        <w:t>向甲方</w:t>
      </w:r>
      <w:r>
        <w:rPr>
          <w:rFonts w:ascii="宋体" w:hAnsi="宋体" w:eastAsia="宋体" w:cs="宋体"/>
          <w:color w:val="auto"/>
          <w:szCs w:val="21"/>
          <w:highlight w:val="none"/>
        </w:rPr>
        <w:t>提交《</w:t>
      </w:r>
      <w:r>
        <w:rPr>
          <w:rFonts w:hint="eastAsia" w:ascii="宋体" w:hAnsi="宋体" w:eastAsia="宋体" w:cs="宋体"/>
          <w:color w:val="auto"/>
          <w:szCs w:val="21"/>
          <w:highlight w:val="none"/>
        </w:rPr>
        <w:t>课题深化研究方案</w:t>
      </w:r>
      <w:r>
        <w:rPr>
          <w:rFonts w:ascii="宋体" w:hAnsi="宋体" w:eastAsia="宋体" w:cs="宋体"/>
          <w:color w:val="auto"/>
          <w:szCs w:val="21"/>
          <w:highlight w:val="none"/>
        </w:rPr>
        <w:t>》且经甲方确认后，甲方向乙方支付至合同价的20%及对应的税额</w:t>
      </w:r>
      <w:r>
        <w:rPr>
          <w:rFonts w:hint="eastAsia" w:ascii="宋体" w:hAnsi="宋体" w:eastAsia="宋体" w:cs="宋体"/>
          <w:color w:val="auto"/>
          <w:szCs w:val="21"/>
          <w:highlight w:val="none"/>
        </w:rPr>
        <w:t>。</w:t>
      </w:r>
    </w:p>
    <w:p w14:paraId="0AB62884">
      <w:pPr>
        <w:numPr>
          <w:ilvl w:val="255"/>
          <w:numId w:val="0"/>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2.7 乙方向甲方提交初步成果资料，初步成果资料经甲方复核确认后，</w:t>
      </w:r>
      <w:r>
        <w:rPr>
          <w:rFonts w:ascii="宋体" w:hAnsi="宋体" w:eastAsia="宋体" w:cs="宋体"/>
          <w:color w:val="auto"/>
          <w:szCs w:val="21"/>
          <w:highlight w:val="none"/>
        </w:rPr>
        <w:t>甲方向乙方支付至合同价的</w:t>
      </w:r>
      <w:r>
        <w:rPr>
          <w:rFonts w:hint="eastAsia" w:ascii="宋体" w:hAnsi="宋体" w:eastAsia="宋体" w:cs="宋体"/>
          <w:color w:val="auto"/>
          <w:szCs w:val="21"/>
          <w:highlight w:val="none"/>
        </w:rPr>
        <w:t>5</w:t>
      </w:r>
      <w:r>
        <w:rPr>
          <w:rFonts w:ascii="宋体" w:hAnsi="宋体" w:eastAsia="宋体" w:cs="宋体"/>
          <w:color w:val="auto"/>
          <w:szCs w:val="21"/>
          <w:highlight w:val="none"/>
        </w:rPr>
        <w:t>0%及对应的税额</w:t>
      </w:r>
      <w:r>
        <w:rPr>
          <w:rFonts w:hint="eastAsia" w:ascii="宋体" w:hAnsi="宋体" w:eastAsia="宋体" w:cs="宋体"/>
          <w:color w:val="auto"/>
          <w:szCs w:val="21"/>
          <w:highlight w:val="none"/>
        </w:rPr>
        <w:t>。</w:t>
      </w:r>
    </w:p>
    <w:p w14:paraId="301C2B2A">
      <w:pPr>
        <w:numPr>
          <w:ilvl w:val="255"/>
          <w:numId w:val="0"/>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2.8 乙方向甲方提交最终成果资料，最终成果资料通过技术鉴定专家评审验收通过后，</w:t>
      </w:r>
      <w:r>
        <w:rPr>
          <w:rFonts w:ascii="宋体" w:hAnsi="宋体" w:eastAsia="宋体" w:cs="宋体"/>
          <w:color w:val="auto"/>
          <w:szCs w:val="21"/>
          <w:highlight w:val="none"/>
        </w:rPr>
        <w:t>甲方向乙方支付至合同价的</w:t>
      </w:r>
      <w:r>
        <w:rPr>
          <w:rFonts w:hint="eastAsia" w:ascii="宋体" w:hAnsi="宋体" w:eastAsia="宋体" w:cs="宋体"/>
          <w:color w:val="auto"/>
          <w:szCs w:val="21"/>
          <w:highlight w:val="none"/>
        </w:rPr>
        <w:t>8</w:t>
      </w:r>
      <w:r>
        <w:rPr>
          <w:rFonts w:ascii="宋体" w:hAnsi="宋体" w:eastAsia="宋体" w:cs="宋体"/>
          <w:color w:val="auto"/>
          <w:szCs w:val="21"/>
          <w:highlight w:val="none"/>
        </w:rPr>
        <w:t>0%及对应的税额</w:t>
      </w:r>
      <w:r>
        <w:rPr>
          <w:rFonts w:hint="eastAsia" w:ascii="宋体" w:hAnsi="宋体" w:eastAsia="宋体" w:cs="宋体"/>
          <w:color w:val="auto"/>
          <w:szCs w:val="21"/>
          <w:highlight w:val="none"/>
        </w:rPr>
        <w:t>。</w:t>
      </w:r>
    </w:p>
    <w:p w14:paraId="29E30FEA">
      <w:pPr>
        <w:keepNext w:val="0"/>
        <w:keepLines w:val="0"/>
        <w:pageBreakBefore w:val="0"/>
        <w:numPr>
          <w:ilvl w:val="-1"/>
          <w:numId w:val="0"/>
        </w:numPr>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 乙方项目成果申报并获得市（厅）级或以上级别的环保类科学技术一等奖（或以上）级别奖项（以获奖公告通知日为准），</w:t>
      </w:r>
      <w:r>
        <w:rPr>
          <w:rFonts w:hint="eastAsia" w:ascii="宋体" w:hAnsi="宋体" w:eastAsia="宋体" w:cs="宋体"/>
          <w:color w:val="auto"/>
          <w:szCs w:val="21"/>
          <w:highlight w:val="none"/>
          <w:lang w:val="en-US" w:eastAsia="zh-CN"/>
        </w:rPr>
        <w:t>且成功发表不少于2篇中文核心期刊论文后，</w:t>
      </w:r>
      <w:r>
        <w:rPr>
          <w:rFonts w:ascii="宋体" w:hAnsi="宋体" w:eastAsia="宋体" w:cs="宋体"/>
          <w:color w:val="auto"/>
          <w:szCs w:val="21"/>
          <w:highlight w:val="none"/>
        </w:rPr>
        <w:t>甲方向乙方支付至合同价的</w:t>
      </w:r>
      <w:r>
        <w:rPr>
          <w:rFonts w:hint="eastAsia" w:ascii="宋体" w:hAnsi="宋体" w:eastAsia="宋体" w:cs="宋体"/>
          <w:color w:val="auto"/>
          <w:szCs w:val="21"/>
          <w:highlight w:val="none"/>
        </w:rPr>
        <w:t>100</w:t>
      </w:r>
      <w:r>
        <w:rPr>
          <w:rFonts w:ascii="宋体" w:hAnsi="宋体" w:eastAsia="宋体" w:cs="宋体"/>
          <w:color w:val="auto"/>
          <w:szCs w:val="21"/>
          <w:highlight w:val="none"/>
        </w:rPr>
        <w:t>%及对应的税额</w:t>
      </w:r>
      <w:r>
        <w:rPr>
          <w:rFonts w:hint="eastAsia" w:ascii="宋体" w:hAnsi="宋体" w:eastAsia="宋体" w:cs="宋体"/>
          <w:color w:val="auto"/>
          <w:szCs w:val="21"/>
          <w:highlight w:val="none"/>
        </w:rPr>
        <w:t>。</w:t>
      </w:r>
    </w:p>
    <w:p w14:paraId="6ED1C6BC">
      <w:pPr>
        <w:numPr>
          <w:ilvl w:val="-1"/>
          <w:numId w:val="0"/>
        </w:numPr>
        <w:shd w:val="clear" w:color="auto" w:fill="auto"/>
        <w:spacing w:line="360" w:lineRule="auto"/>
        <w:ind w:firstLine="420" w:firstLineChars="200"/>
        <w:rPr>
          <w:rFonts w:ascii="宋体" w:hAnsi="宋体" w:eastAsia="宋体" w:cs="宋体"/>
          <w:color w:val="auto"/>
          <w:szCs w:val="21"/>
          <w:highlight w:val="none"/>
        </w:rPr>
      </w:pPr>
      <w:r>
        <w:rPr>
          <w:rFonts w:hint="eastAsia" w:ascii="宋体" w:hAnsi="宋体" w:eastAsia="宋体" w:cs="宋体"/>
          <w:b w:val="0"/>
          <w:bCs w:val="0"/>
          <w:color w:val="auto"/>
          <w:szCs w:val="21"/>
          <w:highlight w:val="none"/>
          <w:lang w:val="en-US" w:eastAsia="zh-CN"/>
        </w:rPr>
        <w:t>2.10 合同终止时，乙方最终成果资料通过技术鉴定专家评审验收</w:t>
      </w:r>
      <w:r>
        <w:rPr>
          <w:rFonts w:hint="eastAsia" w:ascii="宋体" w:hAnsi="宋体" w:eastAsia="宋体" w:cs="宋体"/>
          <w:b w:val="0"/>
          <w:bCs w:val="0"/>
          <w:color w:val="auto"/>
          <w:szCs w:val="21"/>
          <w:highlight w:val="none"/>
          <w:lang w:eastAsia="zh-CN"/>
        </w:rPr>
        <w:t>，但</w:t>
      </w:r>
      <w:r>
        <w:rPr>
          <w:rFonts w:hint="eastAsia" w:ascii="宋体" w:hAnsi="宋体" w:eastAsia="宋体" w:cs="宋体"/>
          <w:color w:val="auto"/>
          <w:szCs w:val="21"/>
          <w:highlight w:val="none"/>
          <w:lang w:val="en-US" w:eastAsia="zh-CN"/>
        </w:rPr>
        <w:t>未获得</w:t>
      </w:r>
      <w:r>
        <w:rPr>
          <w:rFonts w:hint="eastAsia" w:ascii="宋体" w:hAnsi="宋体" w:eastAsia="宋体" w:cs="宋体"/>
          <w:color w:val="auto"/>
          <w:szCs w:val="21"/>
          <w:highlight w:val="none"/>
          <w:lang w:eastAsia="zh-CN"/>
        </w:rPr>
        <w:t>市（厅）级或以上</w:t>
      </w:r>
      <w:r>
        <w:rPr>
          <w:rFonts w:hint="eastAsia" w:ascii="宋体" w:hAnsi="宋体" w:eastAsia="宋体" w:cs="宋体"/>
          <w:color w:val="auto"/>
          <w:szCs w:val="21"/>
          <w:highlight w:val="none"/>
        </w:rPr>
        <w:t>级别的环保类科学技术一等奖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或以上</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级别奖项</w:t>
      </w:r>
      <w:r>
        <w:rPr>
          <w:rFonts w:hint="eastAsia" w:ascii="宋体" w:hAnsi="宋体" w:eastAsia="宋体" w:cs="宋体"/>
          <w:color w:val="auto"/>
          <w:szCs w:val="21"/>
          <w:highlight w:val="none"/>
          <w:lang w:val="en-US" w:eastAsia="zh-CN"/>
        </w:rPr>
        <w:t>或未成功发表不少于2篇中文核心期刊论文</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lang w:val="en-US" w:eastAsia="zh-CN"/>
        </w:rPr>
        <w:t>甲方仅需向乙方支付</w:t>
      </w:r>
      <w:r>
        <w:rPr>
          <w:rFonts w:hint="default" w:ascii="宋体" w:hAnsi="宋体" w:eastAsia="宋体" w:cs="宋体"/>
          <w:b w:val="0"/>
          <w:bCs w:val="0"/>
          <w:color w:val="auto"/>
          <w:szCs w:val="21"/>
          <w:highlight w:val="none"/>
        </w:rPr>
        <w:t xml:space="preserve">合同价的 </w:t>
      </w:r>
      <w:r>
        <w:rPr>
          <w:rFonts w:hint="eastAsia" w:ascii="宋体" w:hAnsi="宋体" w:eastAsia="宋体" w:cs="宋体"/>
          <w:b w:val="0"/>
          <w:bCs w:val="0"/>
          <w:color w:val="auto"/>
          <w:szCs w:val="21"/>
          <w:highlight w:val="none"/>
          <w:lang w:val="en-US" w:eastAsia="zh-CN"/>
        </w:rPr>
        <w:t>8</w:t>
      </w:r>
      <w:r>
        <w:rPr>
          <w:rFonts w:hint="default" w:ascii="宋体" w:hAnsi="宋体" w:eastAsia="宋体" w:cs="宋体"/>
          <w:b w:val="0"/>
          <w:bCs w:val="0"/>
          <w:color w:val="auto"/>
          <w:szCs w:val="21"/>
          <w:highlight w:val="none"/>
        </w:rPr>
        <w:t>0 %及对应的税额</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剩余合同价的20 %</w:t>
      </w:r>
      <w:r>
        <w:rPr>
          <w:rFonts w:hint="default" w:ascii="宋体" w:hAnsi="宋体" w:eastAsia="宋体" w:cs="宋体"/>
          <w:b w:val="0"/>
          <w:bCs w:val="0"/>
          <w:color w:val="auto"/>
          <w:szCs w:val="21"/>
          <w:highlight w:val="none"/>
        </w:rPr>
        <w:t>及对应的税额</w:t>
      </w:r>
      <w:r>
        <w:rPr>
          <w:rFonts w:hint="eastAsia" w:ascii="宋体" w:hAnsi="宋体" w:eastAsia="宋体" w:cs="宋体"/>
          <w:b w:val="0"/>
          <w:bCs w:val="0"/>
          <w:color w:val="auto"/>
          <w:szCs w:val="21"/>
          <w:highlight w:val="none"/>
          <w:lang w:val="en-US" w:eastAsia="zh-CN"/>
        </w:rPr>
        <w:t>甲方无需支付，</w:t>
      </w:r>
      <w:r>
        <w:rPr>
          <w:rFonts w:hint="eastAsia" w:ascii="宋体" w:hAnsi="宋体" w:eastAsia="宋体" w:cs="宋体"/>
          <w:b w:val="0"/>
          <w:bCs w:val="0"/>
          <w:color w:val="auto"/>
          <w:szCs w:val="21"/>
          <w:highlight w:val="none"/>
          <w:lang w:eastAsia="zh-CN"/>
        </w:rPr>
        <w:t>乙方不得以任何理由要求甲方提供任何形式的补偿或赔偿。</w:t>
      </w:r>
    </w:p>
    <w:p w14:paraId="324E0462">
      <w:pPr>
        <w:numPr>
          <w:ilvl w:val="255"/>
          <w:numId w:val="0"/>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 xml:space="preserve"> 合同价款</w:t>
      </w:r>
      <w:r>
        <w:rPr>
          <w:rFonts w:ascii="宋体" w:hAnsi="宋体" w:eastAsia="宋体" w:cs="宋体"/>
          <w:color w:val="auto"/>
          <w:szCs w:val="21"/>
          <w:highlight w:val="none"/>
        </w:rPr>
        <w:t>将由甲方直接以银行转账方式向乙方指定银行账户支付。乙方请款均须提供等额合法、有效的增值税专用发票和请款报告，经甲方审核确认无误后15个工作日内，以银行转账方式支付给乙方。若乙方逾期提交请款报告及发票，或请款报告及发票不符合税务机关、甲方要求的，甲方有权顺延付款，且无需承担逾期付款的违约责任，乙方不得以此为由拒绝履行合同。由于乙方提供的发票不符合税法规定，给甲方造成的损失由乙方承担赔偿责任，乙方不得以此延迟而拒绝履行合同义务。</w:t>
      </w:r>
    </w:p>
    <w:p w14:paraId="220C69E2">
      <w:pPr>
        <w:numPr>
          <w:ilvl w:val="255"/>
          <w:numId w:val="0"/>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w:t>
      </w:r>
      <w:r>
        <w:rPr>
          <w:rFonts w:ascii="宋体" w:hAnsi="宋体" w:eastAsia="宋体" w:cs="宋体"/>
          <w:color w:val="auto"/>
          <w:szCs w:val="21"/>
          <w:highlight w:val="none"/>
        </w:rPr>
        <w:t>乙方收款账户信息</w:t>
      </w:r>
    </w:p>
    <w:p w14:paraId="0261B7F0">
      <w:pPr>
        <w:numPr>
          <w:ilvl w:val="255"/>
          <w:numId w:val="0"/>
        </w:num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户名：</w:t>
      </w:r>
    </w:p>
    <w:p w14:paraId="513ED622">
      <w:pPr>
        <w:numPr>
          <w:ilvl w:val="255"/>
          <w:numId w:val="0"/>
        </w:num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开户行：</w:t>
      </w:r>
    </w:p>
    <w:p w14:paraId="28777628">
      <w:pPr>
        <w:numPr>
          <w:ilvl w:val="255"/>
          <w:numId w:val="0"/>
        </w:num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账号：</w:t>
      </w:r>
    </w:p>
    <w:p w14:paraId="68EEDA24">
      <w:pPr>
        <w:pStyle w:val="47"/>
        <w:ind w:firstLine="422" w:firstLineChars="200"/>
        <w:jc w:val="left"/>
        <w:rPr>
          <w:rFonts w:ascii="宋体" w:hAnsi="宋体" w:eastAsia="宋体" w:cs="宋体"/>
          <w:color w:val="auto"/>
          <w:highlight w:val="none"/>
        </w:rPr>
      </w:pPr>
      <w:r>
        <w:rPr>
          <w:rFonts w:hint="eastAsia" w:ascii="宋体" w:hAnsi="宋体" w:eastAsia="宋体" w:cs="宋体"/>
          <w:color w:val="auto"/>
          <w:highlight w:val="none"/>
        </w:rPr>
        <w:t xml:space="preserve">   </w:t>
      </w:r>
    </w:p>
    <w:p w14:paraId="4110B565">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第三条 成果要求</w:t>
      </w:r>
    </w:p>
    <w:p w14:paraId="06FC27BC">
      <w:pPr>
        <w:spacing w:line="400" w:lineRule="exact"/>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3.1 初步成果</w:t>
      </w:r>
    </w:p>
    <w:p w14:paraId="31B51AC9">
      <w:pPr>
        <w:spacing w:line="400" w:lineRule="exact"/>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（1）乙方编制形成《东莞市市政污泥全过程管理体系成效评估及提质增效研究报告》1份；</w:t>
      </w:r>
    </w:p>
    <w:p w14:paraId="2C2BE852">
      <w:pPr>
        <w:tabs>
          <w:tab w:val="left" w:pos="4200"/>
        </w:tabs>
        <w:spacing w:line="400" w:lineRule="exact"/>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（2）乙方编制形成《东莞市市政污泥全过程管理政策建议》1份；</w:t>
      </w:r>
    </w:p>
    <w:p w14:paraId="449AB9F5">
      <w:pPr>
        <w:spacing w:line="400" w:lineRule="exact"/>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成功被</w:t>
      </w:r>
      <w:r>
        <w:rPr>
          <w:rFonts w:hint="eastAsia" w:ascii="宋体" w:hAnsi="宋体" w:eastAsia="宋体" w:cs="宋体"/>
          <w:color w:val="auto"/>
          <w:szCs w:val="21"/>
          <w:highlight w:val="none"/>
        </w:rPr>
        <w:t>中文核心期刊收录的论文不少于2篇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且署名权归属甲方</w:t>
      </w:r>
      <w:r>
        <w:rPr>
          <w:rFonts w:hint="eastAsia" w:ascii="宋体" w:hAnsi="宋体" w:eastAsia="宋体" w:cs="宋体"/>
          <w:color w:val="auto"/>
          <w:szCs w:val="21"/>
          <w:highlight w:val="none"/>
        </w:rPr>
        <w:t>。</w:t>
      </w:r>
    </w:p>
    <w:p w14:paraId="5161DC84">
      <w:pPr>
        <w:spacing w:line="400" w:lineRule="exact"/>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3.2 最终成果</w:t>
      </w:r>
    </w:p>
    <w:p w14:paraId="56A5068E">
      <w:pPr>
        <w:spacing w:line="400" w:lineRule="exact"/>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（1）乙方完成“特大城市市政污泥全过程管理体系”技术鉴定1项，评价结果整体达到国内领先水平。</w:t>
      </w:r>
    </w:p>
    <w:p w14:paraId="493F9762">
      <w:pPr>
        <w:pStyle w:val="47"/>
        <w:spacing w:line="400" w:lineRule="exact"/>
        <w:ind w:firstLine="420" w:firstLineChars="200"/>
        <w:jc w:val="left"/>
        <w:rPr>
          <w:rFonts w:ascii="宋体" w:hAnsi="宋体" w:eastAsia="宋体" w:cs="宋体"/>
          <w:b w:val="0"/>
          <w:bCs/>
          <w:color w:val="auto"/>
          <w:highlight w:val="none"/>
        </w:rPr>
      </w:pPr>
      <w:r>
        <w:rPr>
          <w:rFonts w:hint="eastAsia" w:ascii="宋体" w:hAnsi="宋体" w:eastAsia="宋体" w:cs="宋体"/>
          <w:b w:val="0"/>
          <w:bCs/>
          <w:color w:val="auto"/>
          <w:highlight w:val="none"/>
        </w:rPr>
        <w:t>3.3 成果文件要求</w:t>
      </w:r>
    </w:p>
    <w:p w14:paraId="473A98D8">
      <w:pPr>
        <w:pStyle w:val="47"/>
        <w:spacing w:line="400" w:lineRule="exact"/>
        <w:ind w:firstLine="420" w:firstLineChars="200"/>
        <w:jc w:val="left"/>
        <w:rPr>
          <w:rFonts w:ascii="宋体" w:hAnsi="宋体" w:eastAsia="宋体" w:cs="宋体"/>
          <w:b w:val="0"/>
          <w:bCs/>
          <w:color w:val="auto"/>
          <w:highlight w:val="none"/>
        </w:rPr>
      </w:pPr>
      <w:r>
        <w:rPr>
          <w:rFonts w:hint="eastAsia" w:ascii="宋体" w:hAnsi="宋体" w:eastAsia="宋体" w:cs="宋体"/>
          <w:b w:val="0"/>
          <w:bCs/>
          <w:color w:val="auto"/>
          <w:highlight w:val="none"/>
        </w:rPr>
        <w:t>乙方向甲方提交的成果资料包括3套纸质资料和1套电子文件（每套应包含可编辑的Word格式和不可编辑的电子PDF格式），甲方如需增补，乙方应及时提供。</w:t>
      </w:r>
    </w:p>
    <w:p w14:paraId="48E230B4">
      <w:pPr>
        <w:pStyle w:val="47"/>
        <w:spacing w:line="400" w:lineRule="exact"/>
        <w:ind w:firstLine="420" w:firstLineChars="200"/>
        <w:jc w:val="left"/>
        <w:rPr>
          <w:rFonts w:ascii="宋体" w:hAnsi="宋体" w:eastAsia="宋体" w:cs="宋体"/>
          <w:b w:val="0"/>
          <w:bCs/>
          <w:color w:val="auto"/>
          <w:highlight w:val="none"/>
        </w:rPr>
      </w:pPr>
      <w:r>
        <w:rPr>
          <w:rFonts w:hint="eastAsia" w:ascii="宋体" w:hAnsi="宋体" w:eastAsia="宋体" w:cs="宋体"/>
          <w:b w:val="0"/>
          <w:bCs/>
          <w:color w:val="auto"/>
          <w:highlight w:val="none"/>
        </w:rPr>
        <w:t>3.4 成果验收</w:t>
      </w:r>
    </w:p>
    <w:p w14:paraId="55D59141">
      <w:pPr>
        <w:pStyle w:val="47"/>
        <w:spacing w:line="400" w:lineRule="exact"/>
        <w:ind w:firstLine="420" w:firstLineChars="200"/>
        <w:jc w:val="left"/>
        <w:rPr>
          <w:rFonts w:ascii="宋体" w:hAnsi="宋体" w:eastAsia="宋体" w:cs="宋体"/>
          <w:b w:val="0"/>
          <w:bCs/>
          <w:color w:val="auto"/>
          <w:highlight w:val="none"/>
        </w:rPr>
      </w:pPr>
      <w:r>
        <w:rPr>
          <w:rFonts w:hint="eastAsia" w:ascii="宋体" w:hAnsi="宋体" w:eastAsia="宋体" w:cs="宋体"/>
          <w:b w:val="0"/>
          <w:bCs/>
          <w:color w:val="auto"/>
          <w:highlight w:val="none"/>
        </w:rPr>
        <w:t>（1）乙方项目成果符合相关技术标准或规定要求，并通过技术鉴定专家评审验收，验收评价结果整体达到国内领先水平。</w:t>
      </w:r>
    </w:p>
    <w:p w14:paraId="7D04EFEB">
      <w:pPr>
        <w:pStyle w:val="47"/>
        <w:spacing w:line="400" w:lineRule="exact"/>
        <w:ind w:firstLine="420" w:firstLineChars="200"/>
        <w:jc w:val="left"/>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rPr>
        <w:t>（2）</w:t>
      </w:r>
      <w:r>
        <w:rPr>
          <w:rFonts w:hint="eastAsia" w:ascii="宋体" w:hAnsi="宋体" w:eastAsia="宋体" w:cs="宋体"/>
          <w:b w:val="0"/>
          <w:bCs/>
          <w:color w:val="auto"/>
          <w:highlight w:val="none"/>
          <w:lang w:val="en-US" w:eastAsia="zh-CN"/>
        </w:rPr>
        <w:t>成功发表中文核心期刊论文不少于2篇</w:t>
      </w:r>
      <w:r>
        <w:rPr>
          <w:rFonts w:hint="eastAsia" w:ascii="宋体" w:hAnsi="宋体" w:eastAsia="宋体" w:cs="宋体"/>
          <w:b w:val="0"/>
          <w:bCs/>
          <w:color w:val="auto"/>
          <w:highlight w:val="none"/>
        </w:rPr>
        <w:t>，且署名权归属甲方</w:t>
      </w:r>
      <w:r>
        <w:rPr>
          <w:rFonts w:hint="eastAsia" w:ascii="宋体" w:hAnsi="宋体" w:eastAsia="宋体" w:cs="宋体"/>
          <w:b w:val="0"/>
          <w:bCs/>
          <w:color w:val="auto"/>
          <w:highlight w:val="none"/>
          <w:lang w:val="en-US" w:eastAsia="zh-CN"/>
        </w:rPr>
        <w:t>。</w:t>
      </w:r>
    </w:p>
    <w:p w14:paraId="351A4E81">
      <w:pPr>
        <w:pStyle w:val="47"/>
        <w:spacing w:line="400" w:lineRule="exact"/>
        <w:ind w:firstLine="420" w:firstLineChars="200"/>
        <w:jc w:val="left"/>
        <w:rPr>
          <w:rFonts w:ascii="宋体" w:hAnsi="宋体" w:eastAsia="宋体" w:cs="宋体"/>
          <w:b w:val="0"/>
          <w:bCs/>
          <w:color w:val="auto"/>
          <w:highlight w:val="none"/>
        </w:rPr>
      </w:pPr>
      <w:r>
        <w:rPr>
          <w:rFonts w:hint="eastAsia" w:ascii="宋体" w:hAnsi="宋体" w:eastAsia="宋体" w:cs="宋体"/>
          <w:b w:val="0"/>
          <w:bCs/>
          <w:color w:val="auto"/>
          <w:highlight w:val="none"/>
          <w:lang w:val="en-US" w:eastAsia="zh-CN"/>
        </w:rPr>
        <w:t>（3）</w:t>
      </w:r>
      <w:r>
        <w:rPr>
          <w:rFonts w:hint="eastAsia" w:ascii="宋体" w:hAnsi="宋体" w:eastAsia="宋体" w:cs="宋体"/>
          <w:b w:val="0"/>
          <w:bCs/>
          <w:color w:val="auto"/>
          <w:highlight w:val="none"/>
        </w:rPr>
        <w:t>乙方项目成果申报并获得市（厅）级或以上级别的环保类科学技术一等奖（或以上）级别奖项。</w:t>
      </w:r>
    </w:p>
    <w:p w14:paraId="6043F279">
      <w:pPr>
        <w:spacing w:line="360" w:lineRule="auto"/>
        <w:ind w:firstLine="422" w:firstLineChars="200"/>
        <w:rPr>
          <w:rFonts w:ascii="宋体" w:hAnsi="宋体" w:eastAsia="宋体" w:cs="宋体"/>
          <w:b/>
          <w:bCs/>
          <w:color w:val="auto"/>
          <w:szCs w:val="21"/>
          <w:highlight w:val="none"/>
        </w:rPr>
      </w:pPr>
    </w:p>
    <w:p w14:paraId="4AED0282">
      <w:pPr>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 xml:space="preserve">第四条 </w:t>
      </w:r>
      <w:r>
        <w:rPr>
          <w:rFonts w:hint="eastAsia" w:ascii="宋体" w:hAnsi="宋体" w:eastAsia="宋体" w:cs="宋体"/>
          <w:b/>
          <w:bCs/>
          <w:color w:val="auto"/>
          <w:szCs w:val="21"/>
          <w:highlight w:val="none"/>
        </w:rPr>
        <w:t>项目进度要求</w:t>
      </w:r>
    </w:p>
    <w:tbl>
      <w:tblPr>
        <w:tblStyle w:val="40"/>
        <w:tblW w:w="9877"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412"/>
        <w:gridCol w:w="6773"/>
      </w:tblGrid>
      <w:tr w14:paraId="1F8D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2" w:type="dxa"/>
            <w:vAlign w:val="center"/>
          </w:tcPr>
          <w:p w14:paraId="3959E947">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412" w:type="dxa"/>
            <w:vAlign w:val="center"/>
          </w:tcPr>
          <w:p w14:paraId="18AD3F6F">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时间节点</w:t>
            </w:r>
          </w:p>
        </w:tc>
        <w:tc>
          <w:tcPr>
            <w:tcW w:w="6773" w:type="dxa"/>
            <w:vAlign w:val="center"/>
          </w:tcPr>
          <w:p w14:paraId="00F9AC67">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工作内容</w:t>
            </w:r>
          </w:p>
        </w:tc>
      </w:tr>
      <w:tr w14:paraId="005A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Merge w:val="restart"/>
            <w:vAlign w:val="center"/>
          </w:tcPr>
          <w:p w14:paraId="76D5E058">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412" w:type="dxa"/>
            <w:vMerge w:val="restart"/>
            <w:vAlign w:val="center"/>
          </w:tcPr>
          <w:p w14:paraId="409384C4">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zh-CN"/>
              </w:rPr>
              <w:t>合同签订之日起一年内</w:t>
            </w:r>
          </w:p>
        </w:tc>
        <w:tc>
          <w:tcPr>
            <w:tcW w:w="6773" w:type="dxa"/>
            <w:vAlign w:val="center"/>
          </w:tcPr>
          <w:p w14:paraId="6642A00D">
            <w:pPr>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val="zh-CN"/>
              </w:rPr>
              <w:t>完成《东莞市市政污泥全过程管理体系成效评估及提质增效研究报告》</w:t>
            </w:r>
            <w:r>
              <w:rPr>
                <w:rFonts w:hint="eastAsia" w:ascii="宋体" w:hAnsi="宋体" w:eastAsia="宋体" w:cs="宋体"/>
                <w:color w:val="auto"/>
                <w:szCs w:val="21"/>
                <w:highlight w:val="none"/>
              </w:rPr>
              <w:t>《东莞市市政污泥全过程管理政策建议》的编制，并通过甲方验收。</w:t>
            </w:r>
          </w:p>
        </w:tc>
      </w:tr>
      <w:tr w14:paraId="3281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Merge w:val="continue"/>
            <w:vAlign w:val="center"/>
          </w:tcPr>
          <w:p w14:paraId="4FD97881">
            <w:pPr>
              <w:spacing w:line="400" w:lineRule="exact"/>
              <w:jc w:val="center"/>
              <w:rPr>
                <w:rFonts w:ascii="宋体" w:hAnsi="宋体" w:eastAsia="宋体" w:cs="宋体"/>
                <w:color w:val="auto"/>
                <w:szCs w:val="21"/>
                <w:highlight w:val="none"/>
              </w:rPr>
            </w:pPr>
          </w:p>
        </w:tc>
        <w:tc>
          <w:tcPr>
            <w:tcW w:w="2412" w:type="dxa"/>
            <w:vMerge w:val="continue"/>
            <w:vAlign w:val="center"/>
          </w:tcPr>
          <w:p w14:paraId="3285A054">
            <w:pPr>
              <w:spacing w:line="400" w:lineRule="exact"/>
              <w:jc w:val="center"/>
              <w:rPr>
                <w:rFonts w:ascii="宋体" w:hAnsi="宋体" w:eastAsia="宋体" w:cs="宋体"/>
                <w:color w:val="auto"/>
                <w:szCs w:val="21"/>
                <w:highlight w:val="none"/>
              </w:rPr>
            </w:pPr>
          </w:p>
        </w:tc>
        <w:tc>
          <w:tcPr>
            <w:tcW w:w="6773" w:type="dxa"/>
            <w:vAlign w:val="center"/>
          </w:tcPr>
          <w:p w14:paraId="15460FC2">
            <w:pPr>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乙方至少完成2篇与本合同服务内容相关的中文核心期刊论文撰写，并经甲方复核确认</w:t>
            </w:r>
            <w:r>
              <w:rPr>
                <w:rFonts w:hint="eastAsia" w:ascii="宋体" w:hAnsi="宋体" w:eastAsia="宋体" w:cs="宋体"/>
                <w:color w:val="auto"/>
                <w:szCs w:val="21"/>
                <w:highlight w:val="none"/>
                <w:lang w:val="en-US" w:eastAsia="zh-CN"/>
              </w:rPr>
              <w:t>后成功被期刊收录，署名权归属甲方</w:t>
            </w:r>
            <w:r>
              <w:rPr>
                <w:rFonts w:hint="eastAsia" w:ascii="宋体" w:hAnsi="宋体" w:eastAsia="宋体" w:cs="宋体"/>
                <w:color w:val="auto"/>
                <w:szCs w:val="21"/>
                <w:highlight w:val="none"/>
              </w:rPr>
              <w:t>。</w:t>
            </w:r>
          </w:p>
        </w:tc>
      </w:tr>
      <w:tr w14:paraId="59FF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Merge w:val="continue"/>
            <w:vAlign w:val="center"/>
          </w:tcPr>
          <w:p w14:paraId="65E10C60">
            <w:pPr>
              <w:spacing w:line="400" w:lineRule="exact"/>
              <w:jc w:val="center"/>
              <w:rPr>
                <w:rFonts w:ascii="宋体" w:hAnsi="宋体" w:eastAsia="宋体" w:cs="宋体"/>
                <w:color w:val="auto"/>
                <w:szCs w:val="21"/>
                <w:highlight w:val="none"/>
              </w:rPr>
            </w:pPr>
          </w:p>
        </w:tc>
        <w:tc>
          <w:tcPr>
            <w:tcW w:w="2412" w:type="dxa"/>
            <w:vMerge w:val="continue"/>
            <w:vAlign w:val="center"/>
          </w:tcPr>
          <w:p w14:paraId="75A0BE4B">
            <w:pPr>
              <w:spacing w:line="400" w:lineRule="exact"/>
              <w:ind w:firstLine="420" w:firstLineChars="200"/>
              <w:rPr>
                <w:rFonts w:ascii="宋体" w:hAnsi="宋体" w:eastAsia="宋体" w:cs="宋体"/>
                <w:color w:val="auto"/>
                <w:szCs w:val="21"/>
                <w:highlight w:val="none"/>
              </w:rPr>
            </w:pPr>
          </w:p>
        </w:tc>
        <w:tc>
          <w:tcPr>
            <w:tcW w:w="6773" w:type="dxa"/>
            <w:vAlign w:val="center"/>
          </w:tcPr>
          <w:p w14:paraId="773B9FC2">
            <w:pPr>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val="zh-CN"/>
              </w:rPr>
              <w:t>完成</w:t>
            </w:r>
            <w:r>
              <w:rPr>
                <w:rFonts w:hint="eastAsia" w:ascii="宋体" w:hAnsi="宋体" w:eastAsia="宋体" w:cs="宋体"/>
                <w:color w:val="auto"/>
                <w:szCs w:val="21"/>
                <w:highlight w:val="none"/>
              </w:rPr>
              <w:t>“特大城市市政污泥全过程管理体系”技术鉴定，并通过甲方验收。</w:t>
            </w:r>
          </w:p>
        </w:tc>
      </w:tr>
      <w:tr w14:paraId="67C3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14:paraId="7DE2B838">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412" w:type="dxa"/>
            <w:vAlign w:val="center"/>
          </w:tcPr>
          <w:p w14:paraId="6DDEDA33">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zh-CN"/>
              </w:rPr>
              <w:t>2026年</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rPr>
              <w:t>30日前</w:t>
            </w:r>
          </w:p>
        </w:tc>
        <w:tc>
          <w:tcPr>
            <w:tcW w:w="6773" w:type="dxa"/>
            <w:vAlign w:val="center"/>
          </w:tcPr>
          <w:p w14:paraId="295EA6CC">
            <w:pPr>
              <w:widowControl/>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乙方完成凝练“特大城市市政污泥全过程管理体系”技术成果。</w:t>
            </w:r>
          </w:p>
        </w:tc>
      </w:tr>
      <w:tr w14:paraId="4FDC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14:paraId="08A36CAC">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412" w:type="dxa"/>
            <w:vAlign w:val="center"/>
          </w:tcPr>
          <w:p w14:paraId="7C6A74A0">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项目成果申报市（厅）级或以上级别的环保类科学技术奖期间</w:t>
            </w:r>
          </w:p>
        </w:tc>
        <w:tc>
          <w:tcPr>
            <w:tcW w:w="6773" w:type="dxa"/>
            <w:vAlign w:val="center"/>
          </w:tcPr>
          <w:p w14:paraId="7E1262B6">
            <w:pPr>
              <w:widowControl/>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乙方在申报期间提供全过程的技术服务支撑。</w:t>
            </w:r>
          </w:p>
        </w:tc>
      </w:tr>
    </w:tbl>
    <w:p w14:paraId="2EED7F6F">
      <w:pPr>
        <w:spacing w:line="360" w:lineRule="auto"/>
        <w:ind w:firstLine="422" w:firstLineChars="200"/>
        <w:outlineLvl w:val="2"/>
        <w:rPr>
          <w:rFonts w:ascii="宋体" w:hAnsi="宋体" w:eastAsia="宋体" w:cs="宋体"/>
          <w:b/>
          <w:bCs/>
          <w:color w:val="auto"/>
          <w:szCs w:val="21"/>
          <w:highlight w:val="none"/>
        </w:rPr>
      </w:pPr>
    </w:p>
    <w:p w14:paraId="6A5CA151">
      <w:pPr>
        <w:spacing w:line="360" w:lineRule="auto"/>
        <w:ind w:firstLine="422" w:firstLineChars="200"/>
        <w:outlineLvl w:val="2"/>
        <w:rPr>
          <w:rFonts w:ascii="宋体" w:hAnsi="宋体" w:eastAsia="宋体" w:cs="宋体"/>
          <w:b/>
          <w:color w:val="auto"/>
          <w:szCs w:val="21"/>
          <w:highlight w:val="none"/>
        </w:rPr>
      </w:pPr>
      <w:r>
        <w:rPr>
          <w:rFonts w:hint="eastAsia" w:ascii="宋体" w:hAnsi="宋体" w:eastAsia="宋体" w:cs="宋体"/>
          <w:b/>
          <w:bCs/>
          <w:color w:val="auto"/>
          <w:szCs w:val="21"/>
          <w:highlight w:val="none"/>
        </w:rPr>
        <w:t xml:space="preserve">第五条 </w:t>
      </w:r>
      <w:r>
        <w:rPr>
          <w:rFonts w:hint="eastAsia" w:ascii="宋体" w:hAnsi="宋体" w:eastAsia="宋体" w:cs="宋体"/>
          <w:b/>
          <w:color w:val="auto"/>
          <w:szCs w:val="21"/>
          <w:highlight w:val="none"/>
        </w:rPr>
        <w:t>双方权利义务</w:t>
      </w:r>
    </w:p>
    <w:p w14:paraId="4F9851ED">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5.1 甲方权利和义务</w:t>
      </w:r>
    </w:p>
    <w:p w14:paraId="70B8B30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5.1.1 甲方在合同签订后及时向乙方提供与本项目有关的必要资料，保证所提供的文件、资料及所作陈述与说明完整、准确、真实和有效。</w:t>
      </w:r>
    </w:p>
    <w:p w14:paraId="681FF15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5.1.2 为使乙方顺利开展工作，甲方除提供相应的调研及开展项目所必需的场地和物品支持外，对服务过程中需要甲方人员参与的，甲方也给予相应支持。</w:t>
      </w:r>
    </w:p>
    <w:p w14:paraId="27F6F62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5.1.3 在乙方开展技术服务过程中，甲方安全生产条件或其他影响项目开展的条件发生变化时，甲方应及时通知乙方，并提供变化后的有关资料和图片。</w:t>
      </w:r>
    </w:p>
    <w:p w14:paraId="767BD86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5.1.4 甲方有权随时对乙方服务人员、设备投入、工作进展、工作成果等服务工作进行监督、检查。如发现不符合本合同约定或甲方要求的，甲方有权要求乙方限期整改，乙方应在甲方要求的期限内完成整改。乙方拒不整改或在限期内未能完成整改或整改后仍不符合本合同约定或甲方要求的，甲方有权单方解除本合同、不予支付任何费用并另行委托第三方提供服务，因此造成甲方损失的（包括但不限于重新采购、委托第三方的差价、律师费、差旅费等费用），由乙方承担全部赔偿责任。</w:t>
      </w:r>
    </w:p>
    <w:p w14:paraId="5334BFC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5.1.5 如乙方对合同履行提出合理化建议的，甲方应结合该建议的内容及影响及时审核判断。</w:t>
      </w:r>
    </w:p>
    <w:p w14:paraId="7A9F08C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5.1.6 在合同履行期间，根据实际需要，甲方有权对服务内容、实施进度计划以及项目成果等提出合理的调整要求，乙方应当遵守执行。</w:t>
      </w:r>
    </w:p>
    <w:p w14:paraId="6FD0C81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bCs/>
          <w:color w:val="auto"/>
          <w:szCs w:val="21"/>
          <w:highlight w:val="none"/>
        </w:rPr>
        <w:t>5.2 乙方权利和义务</w:t>
      </w:r>
    </w:p>
    <w:p w14:paraId="71862C7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5.2.1 在本合同服务期间，乙方应当保证具备提供本合同项下服务的能力。乙方的服务人员应保持相对稳定，以保证服务工作正常进行。若甲方认定乙方服务人员不符合合同需求的，甲方有权要求乙方更换，乙方在收到更换通知后应当在【3】个工作日内完成人员更换，更换的人员应具备完成项目的资格、能力及经验。</w:t>
      </w:r>
    </w:p>
    <w:p w14:paraId="51891DB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5.2.2 根据甲方的要求提供指导服务和咨询服务，参与甲方或有关部门组织的会议，认真完成本合同约定的服务内容，与甲方形成良好的互动沟通，形成的文件、报告等应确保真实、合法，不得弄虚作假。</w:t>
      </w:r>
    </w:p>
    <w:p w14:paraId="1141260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5.2.3 如乙方的成果文件出现遗漏或错误的，乙方应在甲方要求的期限内，对成果文件出现的遗漏或错误无条件负责修改或补充，使其符合甲方要求，并承担因此发生的全部费用，如因此导致甲方损失的，乙方应承担赔偿责任。</w:t>
      </w:r>
    </w:p>
    <w:p w14:paraId="54B1F1E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5.2.4 乙方对甲方提供的信息和资料以及为履行本合同而产生的服务成果具有保密义务。本合同期限届满后，乙方应按照甲方的要求返还或销毁获得的甲方的信息。未经甲方书面同意，不得向任何第三方透露或自行使用甲方任何数据文字等信息，否则应承担违约责任并足额赔偿给甲方造成的损失。</w:t>
      </w:r>
    </w:p>
    <w:p w14:paraId="7F5FF56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5.2.5 乙方保证其提供的资料不会侵犯任何第三方的知识产权，否则由乙方承担相应的法律责任以及给甲方造成损失的赔偿责任。</w:t>
      </w:r>
    </w:p>
    <w:p w14:paraId="687C2FB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5.2.6 乙方保证按照合同约定内容和</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式以及甲方提出的工作进度，按时完成甲方委托的技术服务工作。</w:t>
      </w:r>
    </w:p>
    <w:p w14:paraId="47A08D0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5.2.7 乙方进入甲方场地提供服务时，严格遵守国家有关安全生产管理规定和甲方管理要求，并采取必要的安全防护措施，消除安全事故隐患；加强对服务人员的安全教育培训，对其安全负责，并承担费用。由于乙方未采取有效安全措施造成事故或任意一方人身和财产损失的，其责任和由此发生的一切费用均由乙方承担。</w:t>
      </w:r>
    </w:p>
    <w:p w14:paraId="1DFC170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5.2.8 未经甲方书面同意，乙方不得将本合同或合同项下服务内容全部或部分转由第三方执行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乙方将合同项下乙方的权利义务全部转让给第三方，或未经甲方书面同意将部分权利义务转让给第三方的，甲方有权没收其履约担保。</w:t>
      </w:r>
    </w:p>
    <w:p w14:paraId="5AEF252A">
      <w:pPr>
        <w:spacing w:line="360" w:lineRule="auto"/>
        <w:ind w:firstLine="422" w:firstLineChars="200"/>
        <w:jc w:val="left"/>
        <w:rPr>
          <w:rFonts w:ascii="宋体" w:hAnsi="宋体" w:eastAsia="宋体" w:cs="宋体"/>
          <w:b/>
          <w:color w:val="auto"/>
          <w:szCs w:val="21"/>
          <w:highlight w:val="none"/>
        </w:rPr>
      </w:pPr>
    </w:p>
    <w:p w14:paraId="4DC6DE7C">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第六条 履约担保</w:t>
      </w:r>
    </w:p>
    <w:p w14:paraId="7BAE926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6.1 乙方应当根据招标文件的规定在签订本合同前向甲方提供履约担保，履约担保形式及金额由乙方从以下方式中任选一种：</w:t>
      </w:r>
    </w:p>
    <w:p w14:paraId="736F82A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履约保证金（银行转账形式）金额为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元整</w:t>
      </w:r>
      <w:r>
        <w:rPr>
          <w:rFonts w:hint="eastAsia" w:ascii="宋体" w:hAnsi="宋体" w:eastAsia="宋体" w:cs="宋体"/>
          <w:bCs/>
          <w:color w:val="auto"/>
          <w:szCs w:val="21"/>
          <w:highlight w:val="none"/>
          <w:lang w:eastAsia="zh-CN"/>
        </w:rPr>
        <w:t>；</w:t>
      </w:r>
    </w:p>
    <w:p w14:paraId="39589FEA">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不可撤销银行履约保函金额为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元整</w:t>
      </w:r>
      <w:r>
        <w:rPr>
          <w:rFonts w:hint="eastAsia" w:ascii="宋体" w:hAnsi="宋体" w:eastAsia="宋体" w:cs="宋体"/>
          <w:bCs/>
          <w:color w:val="auto"/>
          <w:szCs w:val="21"/>
          <w:highlight w:val="none"/>
          <w:lang w:eastAsia="zh-CN"/>
        </w:rPr>
        <w:t>；</w:t>
      </w:r>
    </w:p>
    <w:p w14:paraId="28E60B03">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履约保证保险金额为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元整</w:t>
      </w:r>
      <w:r>
        <w:rPr>
          <w:rFonts w:hint="eastAsia" w:ascii="宋体" w:hAnsi="宋体" w:eastAsia="宋体" w:cs="宋体"/>
          <w:bCs/>
          <w:color w:val="auto"/>
          <w:szCs w:val="21"/>
          <w:highlight w:val="none"/>
          <w:lang w:eastAsia="zh-CN"/>
        </w:rPr>
        <w:t>；</w:t>
      </w:r>
    </w:p>
    <w:p w14:paraId="72E7BED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担保公司履约担保书金额为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元整</w:t>
      </w:r>
      <w:r>
        <w:rPr>
          <w:rFonts w:hint="eastAsia" w:ascii="宋体" w:hAnsi="宋体" w:eastAsia="宋体" w:cs="宋体"/>
          <w:bCs/>
          <w:color w:val="auto"/>
          <w:szCs w:val="21"/>
          <w:highlight w:val="none"/>
          <w:lang w:eastAsia="zh-CN"/>
        </w:rPr>
        <w:t>；</w:t>
      </w:r>
    </w:p>
    <w:p w14:paraId="29D82583">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保险公司履约保证保险凭证</w:t>
      </w:r>
      <w:r>
        <w:rPr>
          <w:rFonts w:hint="eastAsia" w:ascii="宋体" w:hAnsi="宋体" w:eastAsia="宋体" w:cs="宋体"/>
          <w:bCs/>
          <w:color w:val="auto"/>
          <w:szCs w:val="21"/>
          <w:highlight w:val="none"/>
        </w:rPr>
        <w:t>金额为人民币</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元整</w:t>
      </w:r>
      <w:r>
        <w:rPr>
          <w:rFonts w:hint="eastAsia" w:ascii="宋体" w:hAnsi="宋体" w:eastAsia="宋体" w:cs="宋体"/>
          <w:bCs/>
          <w:color w:val="auto"/>
          <w:szCs w:val="21"/>
          <w:highlight w:val="none"/>
          <w:lang w:eastAsia="zh-CN"/>
        </w:rPr>
        <w:t>。</w:t>
      </w:r>
    </w:p>
    <w:p w14:paraId="2904D13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6.2 履约担保用于补偿甲方因乙方不能完全履行其合同义务而蒙受的损失或其他合同约定的事项，如发生下列任一情况时，甲方除有权依合同追究违约责任外，同时有权提取履约担保并进行相应处理：</w:t>
      </w:r>
    </w:p>
    <w:p w14:paraId="1CFF4B7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（1）乙方将合同项下乙方的权利义务全部转让给第三方，或未经甲方书面同意将部分权利义务转让给第三方的，甲方有权没收其履约担保。</w:t>
      </w:r>
    </w:p>
    <w:p w14:paraId="34436FB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（2）在合同履行期间，乙方怠于履行合同义务，经甲方通知或要求承担违约金后仍拒不改正的，甲方可依法没收或适当扣除其履约担保。</w:t>
      </w:r>
    </w:p>
    <w:p w14:paraId="1DA1EF6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在合同履行期间，因乙方服务质量问题造成损害、侵权损失（包括但不限于甲方经济损失、第三人人身财产损失等）或与其所雇用员工发生劳资纠纷、上访、闹事或其他影响甲方生产经营等情况而其未及时妥善处理的，甲方有权使用履约担保予以支付或作出相应处理，由此产生的一切法律后果由乙方承担。</w:t>
      </w:r>
    </w:p>
    <w:p w14:paraId="40D025D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（4）在合同履行期间，乙方违约产生的违约金、赔偿、罚款或其他应付费用等款项，甲方有权直接从未付款项中直接扣除或启用履约担保予以支付。</w:t>
      </w:r>
    </w:p>
    <w:p w14:paraId="5C83A9A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（5）合同期内，乙方不能及时完成合同某项义务的，甲方有权提取履约担保用于处理该项工作。</w:t>
      </w:r>
    </w:p>
    <w:p w14:paraId="3C799B5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（6）其他根据本合同约定或法律规定，甲方可启用履约担保的情形。</w:t>
      </w:r>
    </w:p>
    <w:p w14:paraId="22E0A8C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6.3 乙方以履约保证金（银行转账形式）提供履约担保的，在合同期限届满并且乙方完成本合同全部服务义务，甲方向乙方支付全部合同价款二十八（28）日后，经甲方确认，乙方可向甲方提交退回履约担保的申请。甲方审核无异议后，办理履约担保退还手续，履约保证金余额无息退还到乙方。</w:t>
      </w:r>
    </w:p>
    <w:p w14:paraId="26677CC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6.4 如乙方提供不可撤销银行履约保函或履约保证保险或担保公司履约担保书作为履约担保的，不可撤销银行履约保函（或履约保证保险，或担保公司履约担保书）应从合同签订之日起（或签订合同前）至合同期限届满并完成合同下全部服务义务，且在甲方向乙方支付全部款项后二十八（28）日内保持有效。如不可撤销银行履约保函（或履约保证保险，或担保公司履约担保书）到期时乙方尚未完成合同全部服务义务或甲方未支付全部款项，乙方必须在不可撤销银行履约保函（或履约保证保险，或担保公司履约担保书）到期15</w:t>
      </w:r>
      <w:r>
        <w:rPr>
          <w:rFonts w:hint="eastAsia" w:ascii="宋体" w:hAnsi="宋体" w:eastAsia="宋体" w:cs="宋体"/>
          <w:color w:val="auto"/>
          <w:szCs w:val="21"/>
          <w:highlight w:val="none"/>
          <w:lang w:val="en-US" w:eastAsia="zh-CN"/>
        </w:rPr>
        <w:t>个工作</w:t>
      </w:r>
      <w:r>
        <w:rPr>
          <w:rFonts w:hint="eastAsia" w:ascii="宋体" w:hAnsi="宋体" w:eastAsia="宋体" w:cs="宋体"/>
          <w:color w:val="auto"/>
          <w:szCs w:val="21"/>
          <w:highlight w:val="none"/>
        </w:rPr>
        <w:t>日前无条件办理办妥符合甲方要求的延期手续或重新提供不可撤销银行履约保函（或履约保证保险，或担保公司履约担保书），否则视为乙方违约，甲方有权在不可撤销银行履约保函（或履约保证保险，或担保公司履约担保书）到期前向出具履约担保的机构提取履约担保金。在不可撤销银行履约保函（或履约保证保险，或担保公司履约担保书）到期后乙方未按甲方要求重新提供的，甲方有权要求乙方以履约担保金额为限承担违约金，违约金可直接从未付合同款中扣除。</w:t>
      </w:r>
    </w:p>
    <w:p w14:paraId="404E9A9E">
      <w:pPr>
        <w:spacing w:line="360" w:lineRule="auto"/>
        <w:ind w:firstLine="420" w:firstLineChars="200"/>
        <w:jc w:val="left"/>
        <w:rPr>
          <w:rFonts w:ascii="宋体" w:hAnsi="宋体" w:eastAsia="宋体" w:cs="宋体"/>
          <w:b/>
          <w:color w:val="auto"/>
          <w:szCs w:val="21"/>
          <w:highlight w:val="none"/>
        </w:rPr>
      </w:pPr>
      <w:r>
        <w:rPr>
          <w:rFonts w:hint="eastAsia" w:ascii="宋体" w:hAnsi="宋体" w:eastAsia="宋体" w:cs="宋体"/>
          <w:color w:val="auto"/>
          <w:szCs w:val="21"/>
          <w:highlight w:val="none"/>
        </w:rPr>
        <w:t>6.5 在合同履行过程中，不论何种原因导致履约担保金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14:paraId="0433398D">
      <w:pPr>
        <w:spacing w:line="360" w:lineRule="auto"/>
        <w:ind w:firstLine="422" w:firstLineChars="200"/>
        <w:jc w:val="left"/>
        <w:rPr>
          <w:rFonts w:ascii="宋体" w:hAnsi="宋体" w:eastAsia="宋体" w:cs="宋体"/>
          <w:b/>
          <w:color w:val="auto"/>
          <w:szCs w:val="21"/>
          <w:highlight w:val="none"/>
        </w:rPr>
      </w:pPr>
    </w:p>
    <w:p w14:paraId="11AE8FFB">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第七条 违约责任</w:t>
      </w:r>
    </w:p>
    <w:p w14:paraId="320E0A0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7.1 在本合同履行过程中，乙方不得消极怠工或拒不履行合同义务，经甲方发出一次警告函后仍未改善的，甲方有权要求乙方支付违约金，当次违约金金额按1000元×警告次数的方式计算。警告函发出累计3次及以上的，甲方有权要求乙方对每次违约行为（包含已发生的违约行为）均按前述违约金的双倍支付违约金，乙方应补足因违约金计算标准的变化导致已发生违约行为所增加的违约金，同时，甲方有权单方解除合同，并有权要求乙方承担履约担保等额的违约金。</w:t>
      </w:r>
    </w:p>
    <w:p w14:paraId="6CD3F66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7.2 乙方应按投标时承诺的主要岗位人员投入本项目，在合同履约过程中不可无故更换主要岗位人员，如确实需要更换，乙方应提前3天向甲方提出书面申请（申请应明确更换的理由，继任人员的资格、职称、</w:t>
      </w:r>
      <w:r>
        <w:rPr>
          <w:rFonts w:hint="eastAsia" w:ascii="宋体" w:hAnsi="宋体" w:eastAsia="宋体" w:cs="宋体"/>
          <w:color w:val="auto"/>
          <w:szCs w:val="21"/>
          <w:highlight w:val="none"/>
          <w:lang w:val="en-US" w:eastAsia="zh-CN"/>
        </w:rPr>
        <w:t>经历</w:t>
      </w:r>
      <w:r>
        <w:rPr>
          <w:rFonts w:hint="eastAsia" w:ascii="宋体" w:hAnsi="宋体" w:eastAsia="宋体" w:cs="宋体"/>
          <w:color w:val="auto"/>
          <w:szCs w:val="21"/>
          <w:highlight w:val="none"/>
        </w:rPr>
        <w:t>经验及简历等资料），经甲方书面同意后方可更换，否则视为乙方违约。</w:t>
      </w:r>
    </w:p>
    <w:p w14:paraId="6E12969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7.3 乙方擅自更换项目负责人的，须向甲方支付违约金。违约金计算方式为：第一次擅自更换应支付违约金人民币10,000元，第二次擅自更换应支付违约金人民币20,000元，第三次擅自更换应支付违约金人民币40,000元，超过三次，甲方有权单方解除合同，并有权要求乙方承担与履约担保等额的违约金。</w:t>
      </w:r>
    </w:p>
    <w:p w14:paraId="130CC8A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7.4 乙方更换其他服务人员（非项目负责人）的，应提前3日书面通知甲方，并经甲方书面同意后方可更换。乙方擅自更换其他服务人员（非项目负责人）的，须向甲方支付违约金。违约金计算方式为：第一次擅自更换应支付违约金人民币5,000元，第二次擅自更换应支付违约金人民币10,000元，第三次擅自更换应支付违约金人民币20,000元，超过三次，甲方有权单方解除合同，并有权要求乙方承担与履约担保等额的违约金。</w:t>
      </w:r>
    </w:p>
    <w:p w14:paraId="0187FE9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7.5 乙方需根据本合同第四条约定的项目进度要求完成相关事项，每延误一天，甲方有权要求乙方支付500元违约金，乙方逾期交付成果文件超过30天的，乙方除支付前述逾期违约金外，还应向甲方支付15000元的违约金，同时，甲方有权单方解除合同，乙方已收取的服务费用应</w:t>
      </w:r>
      <w:r>
        <w:rPr>
          <w:rFonts w:hint="eastAsia" w:ascii="宋体" w:hAnsi="宋体" w:eastAsia="宋体" w:cs="宋体"/>
          <w:color w:val="auto"/>
          <w:szCs w:val="21"/>
          <w:highlight w:val="none"/>
          <w:lang w:val="en-US" w:eastAsia="zh-CN"/>
        </w:rPr>
        <w:t>以转账方式</w:t>
      </w:r>
      <w:r>
        <w:rPr>
          <w:rFonts w:hint="eastAsia" w:ascii="宋体" w:hAnsi="宋体" w:eastAsia="宋体" w:cs="宋体"/>
          <w:color w:val="auto"/>
          <w:szCs w:val="21"/>
          <w:highlight w:val="none"/>
        </w:rPr>
        <w:t>足额返还给甲方。</w:t>
      </w:r>
    </w:p>
    <w:p w14:paraId="13D38D6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7.6 在本合同履行期间，乙方成果文件出现的遗漏或错误的，应无条件负责在2日内修改或补充，乙方每延误一天，甲方有权要求乙方支付500元违约金。如乙方修改5次后仍不符合甲方要求的，甲方有权要求乙方对每次违约行为（包含已发生的违约行为）均按前述违约金的双倍支付违约金，乙方应补足因违约金计算标准的变化导致已发生违约行为所增加的违约金。</w:t>
      </w:r>
    </w:p>
    <w:p w14:paraId="6F2284F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7.7 如因乙方原因造成甲方在合同服务期限内未获得市（厅）级或以上级别的环保类科学技术一等奖（或以上）级别奖项或未成功发表不少于2篇中文核心期刊论文的，甲方有权单方解除本合同并不予支付合同剩余款项</w:t>
      </w:r>
      <w:r>
        <w:rPr>
          <w:rFonts w:hint="eastAsia" w:ascii="宋体" w:hAnsi="宋体" w:eastAsia="宋体" w:cs="宋体"/>
          <w:color w:val="auto"/>
          <w:szCs w:val="21"/>
          <w:highlight w:val="none"/>
          <w:lang w:eastAsia="zh-CN"/>
        </w:rPr>
        <w:t>，</w:t>
      </w:r>
      <w:r>
        <w:rPr>
          <w:rFonts w:hint="eastAsia" w:ascii="宋体" w:hAnsi="宋体" w:eastAsia="宋体" w:cs="宋体"/>
          <w:b w:val="0"/>
          <w:bCs w:val="0"/>
          <w:color w:val="auto"/>
          <w:szCs w:val="21"/>
          <w:highlight w:val="none"/>
          <w:lang w:eastAsia="zh-CN"/>
        </w:rPr>
        <w:t>乙方不得以任何理由要求甲方提供任何形式的补偿或赔偿</w:t>
      </w:r>
      <w:r>
        <w:rPr>
          <w:rFonts w:hint="eastAsia" w:ascii="宋体" w:hAnsi="宋体" w:eastAsia="宋体" w:cs="宋体"/>
          <w:color w:val="auto"/>
          <w:szCs w:val="21"/>
          <w:highlight w:val="none"/>
        </w:rPr>
        <w:t>。</w:t>
      </w:r>
    </w:p>
    <w:p w14:paraId="64FE979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7.8 乙方工作人员在履行合同过程中，存在疏忽、失职、过错等给甲方造成损失或侵害的，包括但不限于甲方本身的财产损失、由此导致的甲方对第三方承担的法律责任，乙方应对此承担全部赔偿责任（包括但不限于律师费、诉讼费、公证费、调查取证费、甲方向第三方支付的赔偿等）。</w:t>
      </w:r>
    </w:p>
    <w:p w14:paraId="64B2E8D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7.9 因乙方违反本合同约定产生的违约金、赔偿金等，甲方有权直接从应付未付合同价款中扣除或启用履约担保予以支付，应付未付合同价款或履约担保不足以抵扣的，甲方有权向乙方继续追偿。</w:t>
      </w:r>
    </w:p>
    <w:p w14:paraId="7EEA8BE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乙方保证对其在讨论、签订、履行本合同过程中所获悉的属于甲方的且无法从公开渠道获得的文件资料及项目信息予以严格保密并应采取相应的保密措施，保证其自身及工作人员不私下使用或向任何第三方泄露，否则，视为乙方违约，甲方有权要求乙方承担履约担保等额的违约金，且乙方须承担由此给甲方造成的一切损失。乙方及其工作人员的保密义务不因本合同的终止而终止，直至相关保密信息被合法公开时止。</w:t>
      </w:r>
    </w:p>
    <w:p w14:paraId="7803819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 xml:space="preserve"> 无论本合同因何原因提前解除的，乙方均应无条件向甲方移交所有工作成果（包括半成品）并配合与甲方委托的第三方进行工作交接，确保甲方的环保类科学技术奖申报工作不受影响，否则乙方应承担因此给甲方造成的全部损失（包括但不限于律师费、诉讼费、公证费、调查取证费、甲方向第三方支付的赔偿等）。</w:t>
      </w:r>
    </w:p>
    <w:p w14:paraId="0A601A80">
      <w:pPr>
        <w:spacing w:line="360" w:lineRule="auto"/>
        <w:ind w:firstLine="422" w:firstLineChars="200"/>
        <w:rPr>
          <w:rFonts w:ascii="宋体" w:hAnsi="宋体" w:eastAsia="宋体" w:cs="宋体"/>
          <w:b/>
          <w:color w:val="auto"/>
          <w:szCs w:val="21"/>
          <w:highlight w:val="none"/>
        </w:rPr>
      </w:pPr>
    </w:p>
    <w:p w14:paraId="6AE25D47">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第八条 知识产权的归属及保密</w:t>
      </w:r>
    </w:p>
    <w:p w14:paraId="24BB392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8.1 甲方对本合同产生的所有工作成果（包括初步成果、最终成果及半成品）享有完全、独立、排他的所有权和知识产权，乙方应保证提供的工作成果不得侵犯任何第三方的专利、商标、版权以及其它权利，一旦甲方因此遭受到任何第三方的索赔、诉讼或任何权利请求，乙方须与第三方交涉并承担由此发生的一切责任、费用和经济赔偿，导致甲方不能使用研究成果的，乙方应退还全部费用，并承担违约责任及赔偿因此给甲方造成的全部损失（包括但不限于律师费、诉讼费、执行费、保全费、公证费、鉴定费）。</w:t>
      </w:r>
    </w:p>
    <w:p w14:paraId="22D363C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8.2 乙方应该严格遵守国家、地方关于知识产权保护的有关规定，保证不将甲方提供的相关信息、资料和本项目方案、报告及技术研究等成果未经甲方书面授权情况下，将上述成果及其相关资料以复印、转存、拷贝、摄影等方式公开或向外泄露给乙方以及相关承担单位以外的任何单位与个人，乙方应该严格限定甲方提供的相关参考资料等研究成果的阅读范围。合同解除/终止后，乙方依然要对上述资料承担保密义务，直至相关信息被依法公开为止。乙方违反本款约定的，按照本合同约定向甲方承担违约责任。</w:t>
      </w:r>
    </w:p>
    <w:p w14:paraId="21F5584E">
      <w:pPr>
        <w:spacing w:line="360" w:lineRule="auto"/>
        <w:ind w:firstLine="422" w:firstLineChars="200"/>
        <w:jc w:val="left"/>
        <w:rPr>
          <w:rFonts w:ascii="宋体" w:hAnsi="宋体" w:eastAsia="宋体" w:cs="宋体"/>
          <w:b/>
          <w:color w:val="auto"/>
          <w:szCs w:val="21"/>
          <w:highlight w:val="none"/>
        </w:rPr>
      </w:pPr>
    </w:p>
    <w:p w14:paraId="7E287745">
      <w:pPr>
        <w:spacing w:line="360" w:lineRule="auto"/>
        <w:ind w:firstLine="422" w:firstLineChars="200"/>
        <w:jc w:val="left"/>
        <w:rPr>
          <w:rFonts w:ascii="宋体" w:hAnsi="宋体" w:eastAsia="宋体" w:cs="宋体"/>
          <w:color w:val="auto"/>
          <w:szCs w:val="21"/>
          <w:highlight w:val="none"/>
        </w:rPr>
      </w:pPr>
      <w:r>
        <w:rPr>
          <w:rFonts w:hint="eastAsia" w:ascii="宋体" w:hAnsi="宋体" w:eastAsia="宋体" w:cs="宋体"/>
          <w:b/>
          <w:color w:val="auto"/>
          <w:szCs w:val="21"/>
          <w:highlight w:val="none"/>
        </w:rPr>
        <w:t>第九条 不可抗力</w:t>
      </w:r>
    </w:p>
    <w:p w14:paraId="011900E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任何一方因不可抗力引起的履行延迟或履行不能的，不需承担违约责任。不可抗力指战争、动乱、洪水、地震或其他灾害，以及其他不可预见、不可防止并不能避免或克服的事件。受不可抗力影响的一方应尽快通知另一方，并在不可抗力事件发生后7日内，提供有效的书面证明。如果不可抗力事件发生后，乙方不能按甲方要求的最迟期限提供服务的，则甲方有权解除本合同并不承担任何责任。</w:t>
      </w:r>
    </w:p>
    <w:p w14:paraId="5650AF50">
      <w:pPr>
        <w:spacing w:line="360" w:lineRule="auto"/>
        <w:ind w:firstLine="422" w:firstLineChars="200"/>
        <w:jc w:val="left"/>
        <w:rPr>
          <w:rFonts w:ascii="宋体" w:hAnsi="宋体" w:eastAsia="宋体" w:cs="宋体"/>
          <w:b/>
          <w:color w:val="auto"/>
          <w:szCs w:val="21"/>
          <w:highlight w:val="none"/>
        </w:rPr>
      </w:pPr>
    </w:p>
    <w:p w14:paraId="079AC301">
      <w:pPr>
        <w:spacing w:line="360" w:lineRule="auto"/>
        <w:ind w:firstLine="422" w:firstLineChars="200"/>
        <w:jc w:val="left"/>
        <w:rPr>
          <w:rFonts w:ascii="宋体" w:hAnsi="宋体" w:eastAsia="宋体" w:cs="宋体"/>
          <w:color w:val="auto"/>
          <w:szCs w:val="21"/>
          <w:highlight w:val="none"/>
        </w:rPr>
      </w:pPr>
      <w:r>
        <w:rPr>
          <w:rFonts w:hint="eastAsia" w:ascii="宋体" w:hAnsi="宋体" w:eastAsia="宋体" w:cs="宋体"/>
          <w:b/>
          <w:color w:val="auto"/>
          <w:szCs w:val="21"/>
          <w:highlight w:val="none"/>
        </w:rPr>
        <w:t>第十条 争议解决</w:t>
      </w:r>
    </w:p>
    <w:p w14:paraId="04968F3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双方在履行合同时发生争议，首先本着友好态度协商解决，若经协商仍不能解决，甲乙双方可要求主管部门调解，调解不成的，双方一致同意提交甲方住所地有管辖权的人民法院诉讼解决。</w:t>
      </w:r>
    </w:p>
    <w:p w14:paraId="6AE95A86">
      <w:pPr>
        <w:spacing w:line="360" w:lineRule="auto"/>
        <w:ind w:firstLine="422" w:firstLineChars="200"/>
        <w:jc w:val="left"/>
        <w:rPr>
          <w:rFonts w:ascii="宋体" w:hAnsi="宋体" w:eastAsia="宋体" w:cs="宋体"/>
          <w:b/>
          <w:color w:val="auto"/>
          <w:szCs w:val="21"/>
          <w:highlight w:val="none"/>
        </w:rPr>
      </w:pPr>
    </w:p>
    <w:p w14:paraId="0E427745">
      <w:pPr>
        <w:spacing w:line="360" w:lineRule="auto"/>
        <w:ind w:firstLine="422" w:firstLineChars="200"/>
        <w:outlineLvl w:val="2"/>
        <w:rPr>
          <w:rFonts w:ascii="宋体" w:hAnsi="宋体" w:eastAsia="宋体" w:cs="宋体"/>
          <w:b/>
          <w:bCs/>
          <w:color w:val="auto"/>
          <w:szCs w:val="21"/>
          <w:highlight w:val="none"/>
        </w:rPr>
      </w:pPr>
      <w:r>
        <w:rPr>
          <w:rFonts w:hint="eastAsia" w:ascii="宋体" w:hAnsi="宋体" w:eastAsia="宋体" w:cs="宋体"/>
          <w:b/>
          <w:color w:val="auto"/>
          <w:szCs w:val="21"/>
          <w:highlight w:val="none"/>
        </w:rPr>
        <w:t>第十一</w:t>
      </w:r>
      <w:r>
        <w:rPr>
          <w:rFonts w:hint="eastAsia" w:ascii="宋体" w:hAnsi="宋体" w:eastAsia="宋体" w:cs="宋体"/>
          <w:b/>
          <w:bCs/>
          <w:color w:val="auto"/>
          <w:szCs w:val="21"/>
          <w:highlight w:val="none"/>
        </w:rPr>
        <w:t>条 附   则</w:t>
      </w:r>
    </w:p>
    <w:p w14:paraId="5DD8C82E">
      <w:pPr>
        <w:spacing w:line="360" w:lineRule="auto"/>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11.1本合同之所有附件均为合同的有效组成部分，与合同同具法律效力，合同与附件之间的内容应认为是互为补充和解释的，但如有模棱两可或互相矛盾之处，以合同约定为准，若合同签订后，双方另有签订文件的，则以时间在后的文件为准。</w:t>
      </w:r>
    </w:p>
    <w:p w14:paraId="4AB96B54">
      <w:pPr>
        <w:spacing w:line="360" w:lineRule="auto"/>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11.2双方可对本合同的条款进行补充，以书面形式签订补充协议，补充协议为本合同有效组成部分。</w:t>
      </w:r>
    </w:p>
    <w:p w14:paraId="5134A762">
      <w:pPr>
        <w:spacing w:line="360" w:lineRule="auto"/>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11.3本合同执行期间，如遇不可抗力，致使合同无法履行时，双方应按有关法律规定及时协商处理。</w:t>
      </w:r>
    </w:p>
    <w:p w14:paraId="1A240CD2">
      <w:pPr>
        <w:spacing w:line="360" w:lineRule="auto"/>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11.4本合同一式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份，甲方执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份，乙方执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份，招标代理机构执</w:t>
      </w:r>
      <w:r>
        <w:rPr>
          <w:rFonts w:hint="eastAsia" w:ascii="宋体" w:hAnsi="宋体" w:eastAsia="宋体" w:cs="宋体"/>
          <w:color w:val="auto"/>
          <w:szCs w:val="21"/>
          <w:highlight w:val="none"/>
          <w:u w:val="single"/>
        </w:rPr>
        <w:t xml:space="preserve"> 壹 </w:t>
      </w:r>
      <w:r>
        <w:rPr>
          <w:rFonts w:hint="eastAsia" w:ascii="宋体" w:hAnsi="宋体" w:eastAsia="宋体" w:cs="宋体"/>
          <w:color w:val="auto"/>
          <w:szCs w:val="21"/>
          <w:highlight w:val="none"/>
        </w:rPr>
        <w:t>份，具有同等法律效力，本合同自双方法定代表人或授权代表签字并加盖公章之日起生效至合同项下全部义务履行完毕时终止。</w:t>
      </w:r>
    </w:p>
    <w:p w14:paraId="02A6D2FA">
      <w:pPr>
        <w:pStyle w:val="48"/>
        <w:spacing w:line="360" w:lineRule="auto"/>
        <w:ind w:firstLine="422" w:firstLineChars="201"/>
        <w:rPr>
          <w:rFonts w:ascii="宋体" w:hAnsi="宋体" w:eastAsia="宋体" w:cs="宋体"/>
          <w:b/>
          <w:color w:val="auto"/>
          <w:szCs w:val="21"/>
          <w:highlight w:val="none"/>
        </w:rPr>
      </w:pPr>
      <w:r>
        <w:rPr>
          <w:rFonts w:hint="eastAsia" w:ascii="宋体" w:hAnsi="宋体" w:eastAsia="宋体" w:cs="宋体"/>
          <w:color w:val="auto"/>
          <w:szCs w:val="21"/>
          <w:highlight w:val="none"/>
          <w:lang w:val="en-US"/>
        </w:rPr>
        <w:t>12.5</w:t>
      </w:r>
      <w:r>
        <w:rPr>
          <w:rFonts w:hint="eastAsia" w:ascii="宋体" w:hAnsi="宋体" w:eastAsia="宋体" w:cs="宋体"/>
          <w:color w:val="auto"/>
          <w:szCs w:val="21"/>
          <w:highlight w:val="none"/>
        </w:rPr>
        <w:t>合同附件：</w:t>
      </w:r>
      <w:r>
        <w:rPr>
          <w:rFonts w:hint="eastAsia" w:ascii="宋体" w:hAnsi="宋体" w:eastAsia="宋体" w:cs="宋体"/>
          <w:color w:val="auto"/>
          <w:szCs w:val="21"/>
          <w:highlight w:val="none"/>
          <w:lang w:val="en-US"/>
        </w:rPr>
        <w:t>1、</w:t>
      </w:r>
      <w:r>
        <w:rPr>
          <w:rFonts w:hint="eastAsia" w:ascii="宋体" w:hAnsi="宋体" w:eastAsia="宋体" w:cs="宋体"/>
          <w:color w:val="auto"/>
          <w:szCs w:val="21"/>
          <w:highlight w:val="none"/>
        </w:rPr>
        <w:t>廉洁协议书；</w:t>
      </w: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rPr>
        <w:t>中标通知书；</w:t>
      </w:r>
      <w:r>
        <w:rPr>
          <w:rFonts w:hint="eastAsia" w:ascii="宋体" w:hAnsi="宋体" w:eastAsia="宋体" w:cs="宋体"/>
          <w:color w:val="auto"/>
          <w:szCs w:val="21"/>
          <w:highlight w:val="none"/>
          <w:lang w:val="en-US"/>
        </w:rPr>
        <w:t>3、</w:t>
      </w:r>
      <w:r>
        <w:rPr>
          <w:rFonts w:hint="eastAsia" w:ascii="宋体" w:hAnsi="宋体" w:eastAsia="宋体" w:cs="宋体"/>
          <w:color w:val="auto"/>
          <w:szCs w:val="21"/>
          <w:highlight w:val="none"/>
        </w:rPr>
        <w:t>用户需求书。</w:t>
      </w:r>
    </w:p>
    <w:p w14:paraId="5C14E4DB">
      <w:pPr>
        <w:pageBreakBefore/>
        <w:widowControl/>
        <w:spacing w:line="360" w:lineRule="auto"/>
        <w:ind w:left="-619" w:leftChars="-295" w:right="-482" w:firstLine="991" w:firstLineChars="470"/>
        <w:rPr>
          <w:rFonts w:ascii="宋体" w:hAnsi="宋体" w:eastAsia="宋体" w:cs="宋体"/>
          <w:color w:val="auto"/>
          <w:szCs w:val="21"/>
          <w:highlight w:val="none"/>
        </w:rPr>
      </w:pPr>
      <w:r>
        <w:rPr>
          <w:rFonts w:hint="eastAsia" w:ascii="宋体" w:hAnsi="宋体" w:eastAsia="宋体" w:cs="宋体"/>
          <w:b/>
          <w:color w:val="auto"/>
          <w:szCs w:val="21"/>
          <w:highlight w:val="none"/>
        </w:rPr>
        <w:t>（以下无正文内容为签字盖章页）</w:t>
      </w:r>
    </w:p>
    <w:tbl>
      <w:tblPr>
        <w:tblStyle w:val="39"/>
        <w:tblW w:w="0" w:type="auto"/>
        <w:tblInd w:w="0" w:type="dxa"/>
        <w:tblLayout w:type="autofit"/>
        <w:tblCellMar>
          <w:top w:w="0" w:type="dxa"/>
          <w:left w:w="108" w:type="dxa"/>
          <w:bottom w:w="0" w:type="dxa"/>
          <w:right w:w="108" w:type="dxa"/>
        </w:tblCellMar>
      </w:tblPr>
      <w:tblGrid>
        <w:gridCol w:w="4261"/>
        <w:gridCol w:w="4261"/>
      </w:tblGrid>
      <w:tr w14:paraId="0471DE23">
        <w:tblPrEx>
          <w:tblCellMar>
            <w:top w:w="0" w:type="dxa"/>
            <w:left w:w="108" w:type="dxa"/>
            <w:bottom w:w="0" w:type="dxa"/>
            <w:right w:w="108" w:type="dxa"/>
          </w:tblCellMar>
        </w:tblPrEx>
        <w:trPr>
          <w:trHeight w:val="1027" w:hRule="atLeast"/>
        </w:trPr>
        <w:tc>
          <w:tcPr>
            <w:tcW w:w="4261" w:type="dxa"/>
          </w:tcPr>
          <w:p w14:paraId="5D750DD1">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甲方（盖章）：</w:t>
            </w:r>
          </w:p>
          <w:p w14:paraId="272E346A">
            <w:pPr>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4261" w:type="dxa"/>
          </w:tcPr>
          <w:p w14:paraId="201EDA13">
            <w:pPr>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乙方（盖章）：  </w:t>
            </w:r>
          </w:p>
        </w:tc>
      </w:tr>
      <w:tr w14:paraId="555D6DDC">
        <w:tblPrEx>
          <w:tblCellMar>
            <w:top w:w="0" w:type="dxa"/>
            <w:left w:w="108" w:type="dxa"/>
            <w:bottom w:w="0" w:type="dxa"/>
            <w:right w:w="108" w:type="dxa"/>
          </w:tblCellMar>
        </w:tblPrEx>
        <w:tc>
          <w:tcPr>
            <w:tcW w:w="4261" w:type="dxa"/>
          </w:tcPr>
          <w:p w14:paraId="49006EC5">
            <w:pPr>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Hans"/>
              </w:rPr>
              <w:t>或</w:t>
            </w:r>
            <w:r>
              <w:rPr>
                <w:rFonts w:hint="eastAsia" w:ascii="宋体" w:hAnsi="宋体" w:eastAsia="宋体" w:cs="宋体"/>
                <w:color w:val="auto"/>
                <w:szCs w:val="21"/>
                <w:highlight w:val="none"/>
              </w:rPr>
              <w:t xml:space="preserve">授权代表：           </w:t>
            </w:r>
          </w:p>
          <w:p w14:paraId="6D083321">
            <w:pPr>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（签字）</w:t>
            </w:r>
          </w:p>
        </w:tc>
        <w:tc>
          <w:tcPr>
            <w:tcW w:w="4261" w:type="dxa"/>
          </w:tcPr>
          <w:p w14:paraId="6FD1AFD8">
            <w:pPr>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Hans"/>
              </w:rPr>
              <w:t>或</w:t>
            </w:r>
            <w:r>
              <w:rPr>
                <w:rFonts w:hint="eastAsia" w:ascii="宋体" w:hAnsi="宋体" w:eastAsia="宋体" w:cs="宋体"/>
                <w:color w:val="auto"/>
                <w:szCs w:val="21"/>
                <w:highlight w:val="none"/>
              </w:rPr>
              <w:t xml:space="preserve">授权代表：           </w:t>
            </w:r>
          </w:p>
          <w:p w14:paraId="54EF40D5">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（签字）</w:t>
            </w:r>
          </w:p>
        </w:tc>
      </w:tr>
      <w:tr w14:paraId="6B7757F2">
        <w:tblPrEx>
          <w:tblCellMar>
            <w:top w:w="0" w:type="dxa"/>
            <w:left w:w="108" w:type="dxa"/>
            <w:bottom w:w="0" w:type="dxa"/>
            <w:right w:w="108" w:type="dxa"/>
          </w:tblCellMar>
        </w:tblPrEx>
        <w:trPr>
          <w:trHeight w:val="567" w:hRule="atLeast"/>
        </w:trPr>
        <w:tc>
          <w:tcPr>
            <w:tcW w:w="4261" w:type="dxa"/>
          </w:tcPr>
          <w:p w14:paraId="71F5BD70">
            <w:pPr>
              <w:pStyle w:val="47"/>
              <w:adjustRightInd w:val="0"/>
              <w:snapToGrid w:val="0"/>
              <w:spacing w:line="360" w:lineRule="auto"/>
              <w:jc w:val="both"/>
              <w:rPr>
                <w:rFonts w:ascii="宋体" w:hAnsi="宋体" w:eastAsia="宋体" w:cs="宋体"/>
                <w:b w:val="0"/>
                <w:color w:val="auto"/>
                <w:szCs w:val="21"/>
                <w:highlight w:val="none"/>
              </w:rPr>
            </w:pPr>
            <w:r>
              <w:rPr>
                <w:rFonts w:hint="eastAsia" w:ascii="宋体" w:hAnsi="宋体" w:eastAsia="宋体" w:cs="宋体"/>
                <w:b w:val="0"/>
                <w:color w:val="auto"/>
                <w:szCs w:val="21"/>
                <w:highlight w:val="none"/>
              </w:rPr>
              <w:t>地址：</w:t>
            </w:r>
            <w:r>
              <w:rPr>
                <w:rFonts w:hint="eastAsia" w:ascii="宋体" w:hAnsi="宋体" w:eastAsia="宋体" w:cs="宋体"/>
                <w:b w:val="0"/>
                <w:color w:val="auto"/>
                <w:szCs w:val="21"/>
                <w:highlight w:val="none"/>
                <w:u w:val="single"/>
              </w:rPr>
              <w:t xml:space="preserve">                    </w:t>
            </w:r>
          </w:p>
        </w:tc>
        <w:tc>
          <w:tcPr>
            <w:tcW w:w="4261" w:type="dxa"/>
          </w:tcPr>
          <w:p w14:paraId="13ACAA64">
            <w:pPr>
              <w:pStyle w:val="47"/>
              <w:adjustRightInd w:val="0"/>
              <w:snapToGrid w:val="0"/>
              <w:spacing w:line="360" w:lineRule="auto"/>
              <w:jc w:val="both"/>
              <w:rPr>
                <w:rFonts w:ascii="宋体" w:hAnsi="宋体" w:eastAsia="宋体" w:cs="宋体"/>
                <w:b w:val="0"/>
                <w:color w:val="auto"/>
                <w:szCs w:val="21"/>
                <w:highlight w:val="none"/>
              </w:rPr>
            </w:pPr>
            <w:r>
              <w:rPr>
                <w:rFonts w:hint="eastAsia" w:ascii="宋体" w:hAnsi="宋体" w:eastAsia="宋体" w:cs="宋体"/>
                <w:b w:val="0"/>
                <w:color w:val="auto"/>
                <w:szCs w:val="21"/>
                <w:highlight w:val="none"/>
              </w:rPr>
              <w:t>地址：</w:t>
            </w:r>
            <w:r>
              <w:rPr>
                <w:rFonts w:hint="eastAsia" w:ascii="宋体" w:hAnsi="宋体" w:eastAsia="宋体" w:cs="宋体"/>
                <w:b w:val="0"/>
                <w:color w:val="auto"/>
                <w:szCs w:val="21"/>
                <w:highlight w:val="none"/>
                <w:u w:val="single"/>
              </w:rPr>
              <w:t xml:space="preserve">                    </w:t>
            </w:r>
          </w:p>
        </w:tc>
      </w:tr>
      <w:tr w14:paraId="3BFC0D2E">
        <w:tblPrEx>
          <w:tblCellMar>
            <w:top w:w="0" w:type="dxa"/>
            <w:left w:w="108" w:type="dxa"/>
            <w:bottom w:w="0" w:type="dxa"/>
            <w:right w:w="108" w:type="dxa"/>
          </w:tblCellMar>
        </w:tblPrEx>
        <w:trPr>
          <w:trHeight w:val="567" w:hRule="atLeast"/>
        </w:trPr>
        <w:tc>
          <w:tcPr>
            <w:tcW w:w="4261" w:type="dxa"/>
          </w:tcPr>
          <w:p w14:paraId="5F0F39CF">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tc>
        <w:tc>
          <w:tcPr>
            <w:tcW w:w="4261" w:type="dxa"/>
          </w:tcPr>
          <w:p w14:paraId="57AF7950">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tc>
      </w:tr>
      <w:tr w14:paraId="3F76B9CA">
        <w:tblPrEx>
          <w:tblCellMar>
            <w:top w:w="0" w:type="dxa"/>
            <w:left w:w="108" w:type="dxa"/>
            <w:bottom w:w="0" w:type="dxa"/>
            <w:right w:w="108" w:type="dxa"/>
          </w:tblCellMar>
        </w:tblPrEx>
        <w:trPr>
          <w:trHeight w:val="567" w:hRule="atLeast"/>
        </w:trPr>
        <w:tc>
          <w:tcPr>
            <w:tcW w:w="4261" w:type="dxa"/>
          </w:tcPr>
          <w:p w14:paraId="3C885E14">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tc>
        <w:tc>
          <w:tcPr>
            <w:tcW w:w="4261" w:type="dxa"/>
          </w:tcPr>
          <w:p w14:paraId="15FFBCEF">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tc>
      </w:tr>
      <w:tr w14:paraId="618F21EF">
        <w:tblPrEx>
          <w:tblCellMar>
            <w:top w:w="0" w:type="dxa"/>
            <w:left w:w="108" w:type="dxa"/>
            <w:bottom w:w="0" w:type="dxa"/>
            <w:right w:w="108" w:type="dxa"/>
          </w:tblCellMar>
        </w:tblPrEx>
        <w:trPr>
          <w:trHeight w:val="567" w:hRule="atLeast"/>
        </w:trPr>
        <w:tc>
          <w:tcPr>
            <w:tcW w:w="4261" w:type="dxa"/>
          </w:tcPr>
          <w:p w14:paraId="725C8712">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tc>
        <w:tc>
          <w:tcPr>
            <w:tcW w:w="4261" w:type="dxa"/>
          </w:tcPr>
          <w:p w14:paraId="3BBEDCF7">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tc>
      </w:tr>
      <w:tr w14:paraId="17332385">
        <w:tblPrEx>
          <w:tblCellMar>
            <w:top w:w="0" w:type="dxa"/>
            <w:left w:w="108" w:type="dxa"/>
            <w:bottom w:w="0" w:type="dxa"/>
            <w:right w:w="108" w:type="dxa"/>
          </w:tblCellMar>
        </w:tblPrEx>
        <w:trPr>
          <w:trHeight w:val="567" w:hRule="atLeast"/>
        </w:trPr>
        <w:tc>
          <w:tcPr>
            <w:tcW w:w="4261" w:type="dxa"/>
          </w:tcPr>
          <w:p w14:paraId="54FF5701">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p>
        </w:tc>
        <w:tc>
          <w:tcPr>
            <w:tcW w:w="4261" w:type="dxa"/>
          </w:tcPr>
          <w:p w14:paraId="447B8AA1">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p>
        </w:tc>
      </w:tr>
      <w:tr w14:paraId="56EFA902">
        <w:tblPrEx>
          <w:tblCellMar>
            <w:top w:w="0" w:type="dxa"/>
            <w:left w:w="108" w:type="dxa"/>
            <w:bottom w:w="0" w:type="dxa"/>
            <w:right w:w="108" w:type="dxa"/>
          </w:tblCellMar>
        </w:tblPrEx>
        <w:trPr>
          <w:trHeight w:val="567" w:hRule="atLeast"/>
        </w:trPr>
        <w:tc>
          <w:tcPr>
            <w:tcW w:w="4261" w:type="dxa"/>
          </w:tcPr>
          <w:p w14:paraId="15D51D37">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银行账户： </w:t>
            </w:r>
            <w:r>
              <w:rPr>
                <w:rFonts w:hint="eastAsia" w:ascii="宋体" w:hAnsi="宋体" w:eastAsia="宋体" w:cs="宋体"/>
                <w:color w:val="auto"/>
                <w:szCs w:val="21"/>
                <w:highlight w:val="none"/>
                <w:u w:val="single"/>
              </w:rPr>
              <w:t xml:space="preserve">                    </w:t>
            </w:r>
          </w:p>
        </w:tc>
        <w:tc>
          <w:tcPr>
            <w:tcW w:w="4261" w:type="dxa"/>
          </w:tcPr>
          <w:p w14:paraId="7441BC4D">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银行账户： </w:t>
            </w:r>
            <w:r>
              <w:rPr>
                <w:rFonts w:hint="eastAsia" w:ascii="宋体" w:hAnsi="宋体" w:eastAsia="宋体" w:cs="宋体"/>
                <w:color w:val="auto"/>
                <w:szCs w:val="21"/>
                <w:highlight w:val="none"/>
                <w:u w:val="single"/>
              </w:rPr>
              <w:t xml:space="preserve">                    </w:t>
            </w:r>
          </w:p>
        </w:tc>
      </w:tr>
      <w:tr w14:paraId="220E0DE0">
        <w:tblPrEx>
          <w:tblCellMar>
            <w:top w:w="0" w:type="dxa"/>
            <w:left w:w="108" w:type="dxa"/>
            <w:bottom w:w="0" w:type="dxa"/>
            <w:right w:w="108" w:type="dxa"/>
          </w:tblCellMar>
        </w:tblPrEx>
        <w:trPr>
          <w:trHeight w:val="567" w:hRule="atLeast"/>
        </w:trPr>
        <w:tc>
          <w:tcPr>
            <w:tcW w:w="4261" w:type="dxa"/>
          </w:tcPr>
          <w:p w14:paraId="3793808E">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银行账号：</w:t>
            </w:r>
            <w:r>
              <w:rPr>
                <w:rFonts w:hint="eastAsia" w:ascii="宋体" w:hAnsi="宋体" w:eastAsia="宋体" w:cs="宋体"/>
                <w:color w:val="auto"/>
                <w:szCs w:val="21"/>
                <w:highlight w:val="none"/>
                <w:u w:val="single"/>
              </w:rPr>
              <w:t xml:space="preserve">                    </w:t>
            </w:r>
          </w:p>
        </w:tc>
        <w:tc>
          <w:tcPr>
            <w:tcW w:w="4261" w:type="dxa"/>
          </w:tcPr>
          <w:p w14:paraId="1893E5A6">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银行账号：</w:t>
            </w:r>
            <w:r>
              <w:rPr>
                <w:rFonts w:hint="eastAsia" w:ascii="宋体" w:hAnsi="宋体" w:eastAsia="宋体" w:cs="宋体"/>
                <w:color w:val="auto"/>
                <w:szCs w:val="21"/>
                <w:highlight w:val="none"/>
                <w:u w:val="single"/>
              </w:rPr>
              <w:t xml:space="preserve">                    </w:t>
            </w:r>
          </w:p>
        </w:tc>
      </w:tr>
      <w:tr w14:paraId="3422C021">
        <w:tblPrEx>
          <w:tblCellMar>
            <w:top w:w="0" w:type="dxa"/>
            <w:left w:w="108" w:type="dxa"/>
            <w:bottom w:w="0" w:type="dxa"/>
            <w:right w:w="108" w:type="dxa"/>
          </w:tblCellMar>
        </w:tblPrEx>
        <w:trPr>
          <w:trHeight w:val="567" w:hRule="atLeast"/>
        </w:trPr>
        <w:tc>
          <w:tcPr>
            <w:tcW w:w="4261" w:type="dxa"/>
          </w:tcPr>
          <w:p w14:paraId="5CD0BA30">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签约日期：     年  月  日</w:t>
            </w:r>
          </w:p>
        </w:tc>
        <w:tc>
          <w:tcPr>
            <w:tcW w:w="4261" w:type="dxa"/>
          </w:tcPr>
          <w:p w14:paraId="04F58399">
            <w:pPr>
              <w:adjustRightInd w:val="0"/>
              <w:snapToGrid w:val="0"/>
              <w:spacing w:line="360" w:lineRule="auto"/>
              <w:rPr>
                <w:rFonts w:ascii="宋体" w:hAnsi="宋体" w:eastAsia="宋体" w:cs="宋体"/>
                <w:color w:val="auto"/>
                <w:szCs w:val="21"/>
                <w:highlight w:val="none"/>
              </w:rPr>
            </w:pPr>
          </w:p>
        </w:tc>
      </w:tr>
    </w:tbl>
    <w:p w14:paraId="665C2258">
      <w:pPr>
        <w:pageBreakBefore/>
        <w:widowControl/>
        <w:spacing w:line="360" w:lineRule="auto"/>
        <w:ind w:firstLine="374"/>
        <w:outlineLvl w:val="2"/>
        <w:rPr>
          <w:rFonts w:ascii="宋体" w:hAnsi="宋体" w:eastAsia="宋体" w:cs="宋体"/>
          <w:b/>
          <w:color w:val="auto"/>
          <w:szCs w:val="21"/>
          <w:highlight w:val="none"/>
        </w:rPr>
      </w:pPr>
      <w:r>
        <w:rPr>
          <w:rFonts w:hint="eastAsia" w:ascii="宋体" w:hAnsi="宋体" w:eastAsia="宋体" w:cs="宋体"/>
          <w:b/>
          <w:color w:val="auto"/>
          <w:szCs w:val="21"/>
          <w:highlight w:val="none"/>
        </w:rPr>
        <w:t>附件1：廉洁协议书</w:t>
      </w:r>
    </w:p>
    <w:p w14:paraId="2261353D">
      <w:pPr>
        <w:spacing w:line="360" w:lineRule="auto"/>
        <w:ind w:right="31" w:rightChars="15"/>
        <w:jc w:val="center"/>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廉洁协议书</w:t>
      </w:r>
    </w:p>
    <w:p w14:paraId="5D086B6A">
      <w:pPr>
        <w:spacing w:line="360" w:lineRule="auto"/>
        <w:rPr>
          <w:rFonts w:ascii="宋体" w:hAnsi="宋体" w:eastAsia="宋体" w:cs="宋体"/>
          <w:color w:val="auto"/>
          <w:highlight w:val="none"/>
        </w:rPr>
      </w:pPr>
    </w:p>
    <w:p w14:paraId="571FE927">
      <w:pPr>
        <w:spacing w:line="36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项目名称：</w:t>
      </w:r>
    </w:p>
    <w:p w14:paraId="2351697D">
      <w:pPr>
        <w:spacing w:line="36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甲方：</w:t>
      </w:r>
    </w:p>
    <w:p w14:paraId="0ED94E5C">
      <w:pPr>
        <w:spacing w:line="36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乙方：</w:t>
      </w:r>
    </w:p>
    <w:p w14:paraId="258771A0">
      <w:pPr>
        <w:spacing w:line="360" w:lineRule="auto"/>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5612133F">
      <w:pPr>
        <w:spacing w:line="360" w:lineRule="auto"/>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第一条  甲乙双方的权利和义务</w:t>
      </w:r>
    </w:p>
    <w:p w14:paraId="2F3648C4">
      <w:pPr>
        <w:spacing w:line="360" w:lineRule="auto"/>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（一）严格遵守党和国家有关法律法规等有关廉洁从业规定。</w:t>
      </w:r>
    </w:p>
    <w:p w14:paraId="776AE668">
      <w:pPr>
        <w:spacing w:line="360" w:lineRule="auto"/>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（二）严格执行本项目的合同文件，自觉按合同办事。</w:t>
      </w:r>
    </w:p>
    <w:p w14:paraId="4383F258">
      <w:pPr>
        <w:spacing w:line="360" w:lineRule="auto"/>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（三）双方的业务活动坚持公开、公正、诚信、透明的原则（除法律认定的商业秘密和合同文件另有规定之外）不得损害国家和集体利益，违反电力交易管理及其他法律法规规章制度。</w:t>
      </w:r>
    </w:p>
    <w:p w14:paraId="1E6ADA8D">
      <w:pPr>
        <w:spacing w:line="360" w:lineRule="auto"/>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（四）建立健全廉洁制度，开展廉洁教育，设立廉洁监督公示牌，公布举报电话，监督并认真查处违法违纪行为。</w:t>
      </w:r>
    </w:p>
    <w:p w14:paraId="54E266B2">
      <w:pPr>
        <w:spacing w:line="360" w:lineRule="auto"/>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（五）发现对方在业务活动中有违反廉洁规定的行为，有及时提醒对方纠正的权利和义务。</w:t>
      </w:r>
    </w:p>
    <w:p w14:paraId="42C83AE5">
      <w:pPr>
        <w:spacing w:line="360" w:lineRule="auto"/>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（六）发现对方严重违反本协议义务条款的行为，有向其上级有关部门举报、建议给予处理并要求告知处理结果的权利。</w:t>
      </w:r>
    </w:p>
    <w:p w14:paraId="55FB1224">
      <w:pPr>
        <w:spacing w:line="360" w:lineRule="auto"/>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第二条  甲方的义务</w:t>
      </w:r>
    </w:p>
    <w:p w14:paraId="0669B542">
      <w:pPr>
        <w:spacing w:line="360" w:lineRule="auto"/>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（一）甲方及其工作人员不得索要或接受乙方的礼金、有价证券和贵重物品，不得在乙方报销任何应由甲方或个人支付的费用。</w:t>
      </w:r>
    </w:p>
    <w:p w14:paraId="73CED5AE">
      <w:pPr>
        <w:spacing w:line="360" w:lineRule="auto"/>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（二）甲方工作人员不得参加乙方安排的高消费宴请和娱乐活动；不得接受乙方提供的通讯工具、交通工具和高档办公用品。</w:t>
      </w:r>
    </w:p>
    <w:p w14:paraId="492D769E">
      <w:pPr>
        <w:spacing w:line="360" w:lineRule="auto"/>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（三）甲方及其工作人员不得要求或者接受乙方为其住房装修、婚丧嫁娶活动、家属或亲友的工作安排以及出国出境、旅游等提供方便。</w:t>
      </w:r>
    </w:p>
    <w:p w14:paraId="3F3400E8">
      <w:pPr>
        <w:spacing w:line="360" w:lineRule="auto"/>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（四）甲方工作人员不得向乙方介绍其家属或者亲友（包括家属或亲友开办的公司企业）从事于本项目涉及的经济业务活动。</w:t>
      </w:r>
    </w:p>
    <w:p w14:paraId="605C08A9">
      <w:pPr>
        <w:spacing w:line="360" w:lineRule="auto"/>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（五）甲方及其工作人员不得以任何理由向乙方推荐分包单位，不得要求乙方购买合同规定外的材料和设备。</w:t>
      </w:r>
    </w:p>
    <w:p w14:paraId="7DA2E0E8">
      <w:pPr>
        <w:spacing w:line="360" w:lineRule="auto"/>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（六）甲方及其工作人员不得进行违反廉洁规定的其他活动。</w:t>
      </w:r>
    </w:p>
    <w:p w14:paraId="31D4BCC8">
      <w:pPr>
        <w:spacing w:line="360" w:lineRule="auto"/>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14:paraId="47E93136">
      <w:pPr>
        <w:spacing w:line="360" w:lineRule="auto"/>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第三条  乙方义务</w:t>
      </w:r>
    </w:p>
    <w:p w14:paraId="422DD7C2">
      <w:pPr>
        <w:spacing w:line="360" w:lineRule="auto"/>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（一）乙方不得以任何理由向甲方及其工作人员馈赠礼金、有价证券、贵重礼品，或报销应由甲方单位或个人支付的任何费用。</w:t>
      </w:r>
    </w:p>
    <w:p w14:paraId="3EB5E922">
      <w:pPr>
        <w:spacing w:line="360" w:lineRule="auto"/>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（二）乙方及其工作人员不得以考察、参观、洽谈业务、签订合同等的借口邀请甲方及其工作人员参加高消费的宴请、娱乐和健身等活动。</w:t>
      </w:r>
    </w:p>
    <w:p w14:paraId="5C661DAB">
      <w:pPr>
        <w:spacing w:line="360" w:lineRule="auto"/>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（三）乙方不得为甲方单位和个人购置或提供通讯工具、交通工具和高档办公用品等。</w:t>
      </w:r>
    </w:p>
    <w:p w14:paraId="0DDC494C">
      <w:pPr>
        <w:spacing w:line="360" w:lineRule="auto"/>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（四）乙方及其工作人员不得为甲方工作人员购买、装修、维修私人住房、汽车等。</w:t>
      </w:r>
    </w:p>
    <w:p w14:paraId="345CFAD7">
      <w:pPr>
        <w:spacing w:line="360" w:lineRule="auto"/>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（五）乙方及其工作人员不得为甲方工作人员的婚丧嫁娶、家属或亲友的工作安排，及出国出境提供方便以及报销任何私人消费的费用。</w:t>
      </w:r>
    </w:p>
    <w:p w14:paraId="6CDDD122">
      <w:pPr>
        <w:spacing w:line="360" w:lineRule="auto"/>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（六）乙方及其工作人员不得进行影响甲方及其工作人员公正执行合同和履行职务的其他活动。</w:t>
      </w:r>
    </w:p>
    <w:p w14:paraId="15EEF79A">
      <w:pPr>
        <w:spacing w:line="360" w:lineRule="auto"/>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79EB5925">
      <w:pPr>
        <w:spacing w:line="360" w:lineRule="auto"/>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第四条  违约责任</w:t>
      </w:r>
    </w:p>
    <w:p w14:paraId="55A1ADB7">
      <w:pPr>
        <w:spacing w:line="360" w:lineRule="auto"/>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（一）甲方违反本协议第一、第二条给乙方单位造成经济损失的，应予以赔偿。</w:t>
      </w:r>
    </w:p>
    <w:p w14:paraId="1AA566C6">
      <w:pPr>
        <w:spacing w:line="360" w:lineRule="auto"/>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（二）乙方违反本协议第一、第三条给甲方单位造成经济损失的，应予以赔偿。</w:t>
      </w:r>
    </w:p>
    <w:p w14:paraId="316D96E3">
      <w:pPr>
        <w:spacing w:line="360" w:lineRule="auto"/>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第五条  监督检查</w:t>
      </w:r>
    </w:p>
    <w:p w14:paraId="5E685BD1">
      <w:pPr>
        <w:spacing w:line="360" w:lineRule="auto"/>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甲乙双方的廉洁从业行为由双方或双方上级单位的纪检、监察负责监督，对本协议履行情况进行检查。</w:t>
      </w:r>
    </w:p>
    <w:p w14:paraId="7637191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第六条 举报信访受理</w:t>
      </w:r>
    </w:p>
    <w:p w14:paraId="148343E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（一）举报受理部门：东莞市水务集团有限公司纪检监察部。</w:t>
      </w:r>
    </w:p>
    <w:p w14:paraId="7749B72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（二）举报电话：（0769）23076092。</w:t>
      </w:r>
    </w:p>
    <w:p w14:paraId="783DB34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（三）举报邮箱：</w:t>
      </w:r>
      <w:r>
        <w:rPr>
          <w:color w:val="auto"/>
          <w:highlight w:val="none"/>
        </w:rPr>
        <w:fldChar w:fldCharType="begin"/>
      </w:r>
      <w:r>
        <w:rPr>
          <w:color w:val="auto"/>
          <w:highlight w:val="none"/>
        </w:rPr>
        <w:instrText xml:space="preserve"> HYPERLINK "mailto:jcsj@dgswjt.cn。" </w:instrText>
      </w:r>
      <w:r>
        <w:rPr>
          <w:color w:val="auto"/>
          <w:highlight w:val="none"/>
        </w:rPr>
        <w:fldChar w:fldCharType="separate"/>
      </w:r>
      <w:r>
        <w:rPr>
          <w:rFonts w:hint="eastAsia" w:ascii="宋体" w:hAnsi="宋体" w:eastAsia="宋体" w:cs="宋体"/>
          <w:color w:val="auto"/>
          <w:szCs w:val="21"/>
          <w:highlight w:val="none"/>
        </w:rPr>
        <w:t>jcsj@dgswjt.cn。</w:t>
      </w:r>
      <w:r>
        <w:rPr>
          <w:rFonts w:hint="eastAsia" w:ascii="宋体" w:hAnsi="宋体" w:eastAsia="宋体" w:cs="宋体"/>
          <w:color w:val="auto"/>
          <w:szCs w:val="21"/>
          <w:highlight w:val="none"/>
        </w:rPr>
        <w:fldChar w:fldCharType="end"/>
      </w:r>
    </w:p>
    <w:p w14:paraId="26FF791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（四）信访地址：广东省东莞市东城街道育华路1号。</w:t>
      </w:r>
    </w:p>
    <w:p w14:paraId="64611A8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第七条  其他</w:t>
      </w:r>
    </w:p>
    <w:p w14:paraId="5D20E1EB">
      <w:pPr>
        <w:spacing w:line="360" w:lineRule="auto"/>
        <w:ind w:firstLine="422" w:firstLineChars="201"/>
        <w:rPr>
          <w:rFonts w:ascii="宋体" w:hAnsi="宋体" w:eastAsia="宋体" w:cs="宋体"/>
          <w:color w:val="auto"/>
          <w:szCs w:val="21"/>
          <w:highlight w:val="none"/>
        </w:rPr>
      </w:pPr>
      <w:r>
        <w:rPr>
          <w:rFonts w:hint="eastAsia" w:ascii="宋体" w:hAnsi="宋体" w:eastAsia="宋体" w:cs="宋体"/>
          <w:color w:val="auto"/>
          <w:szCs w:val="21"/>
          <w:highlight w:val="none"/>
        </w:rPr>
        <w:t>本协议有效期为甲乙双方法定代表人或授权代表签字并加盖公章之日起至服务期满后为止。</w:t>
      </w:r>
    </w:p>
    <w:p w14:paraId="6C2C9B19">
      <w:pPr>
        <w:rPr>
          <w:color w:val="auto"/>
          <w:highlight w:val="none"/>
        </w:rPr>
      </w:pPr>
      <w:r>
        <w:rPr>
          <w:rFonts w:hint="eastAsia" w:ascii="宋体" w:hAnsi="宋体" w:eastAsia="宋体" w:cs="宋体"/>
          <w:color w:val="auto"/>
          <w:szCs w:val="21"/>
          <w:highlight w:val="none"/>
        </w:rPr>
        <w:t>本协议一式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份，甲方执</w:t>
      </w:r>
      <w:r>
        <w:rPr>
          <w:rFonts w:hint="eastAsia" w:ascii="宋体" w:hAnsi="宋体" w:eastAsia="宋体" w:cs="宋体"/>
          <w:color w:val="auto"/>
          <w:szCs w:val="21"/>
          <w:highlight w:val="none"/>
          <w:u w:val="single"/>
        </w:rPr>
        <w:t>伍</w:t>
      </w:r>
      <w:r>
        <w:rPr>
          <w:rFonts w:hint="eastAsia" w:ascii="宋体" w:hAnsi="宋体" w:eastAsia="宋体" w:cs="宋体"/>
          <w:color w:val="auto"/>
          <w:szCs w:val="21"/>
          <w:highlight w:val="none"/>
        </w:rPr>
        <w:t>份，乙方执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份，甲、乙双方上级主管部门各执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p>
    <w:p w14:paraId="1766E584">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531"/>
      <w:bookmarkEnd w:id="532"/>
      <w:bookmarkEnd w:id="533"/>
      <w:bookmarkEnd w:id="534"/>
      <w:bookmarkEnd w:id="535"/>
      <w:bookmarkEnd w:id="536"/>
      <w:bookmarkEnd w:id="537"/>
      <w:bookmarkEnd w:id="538"/>
      <w:bookmarkEnd w:id="539"/>
      <w:bookmarkEnd w:id="540"/>
      <w:bookmarkEnd w:id="541"/>
      <w:bookmarkEnd w:id="542"/>
      <w:bookmarkStart w:id="543" w:name="_Toc447044604"/>
      <w:bookmarkStart w:id="544" w:name="_Toc447045091"/>
      <w:bookmarkStart w:id="545" w:name="_Toc447044480"/>
    </w:p>
    <w:p w14:paraId="0505B17E">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bookmarkStart w:id="546" w:name="_Toc26521_WPSOffice_Level2"/>
      <w:r>
        <w:rPr>
          <w:rFonts w:hint="eastAsia" w:ascii="宋体" w:hAnsi="宋体" w:eastAsia="宋体" w:cs="Times New Roman"/>
          <w:b/>
          <w:color w:val="auto"/>
          <w:kern w:val="0"/>
          <w:sz w:val="28"/>
          <w:szCs w:val="28"/>
          <w:highlight w:val="none"/>
        </w:rPr>
        <w:t>一、不可撤销银行履约保函格式</w:t>
      </w:r>
      <w:bookmarkEnd w:id="543"/>
      <w:bookmarkEnd w:id="544"/>
      <w:bookmarkEnd w:id="545"/>
      <w:bookmarkEnd w:id="546"/>
    </w:p>
    <w:p w14:paraId="580C9BF0">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14:paraId="6EF06188">
      <w:pPr>
        <w:widowControl/>
        <w:autoSpaceDE w:val="0"/>
        <w:autoSpaceDN w:val="0"/>
        <w:adjustRightInd w:val="0"/>
        <w:spacing w:line="360" w:lineRule="auto"/>
        <w:jc w:val="left"/>
        <w:rPr>
          <w:rFonts w:ascii="宋体" w:hAnsi="宋体" w:eastAsia="宋体" w:cs="宋体"/>
          <w:color w:val="auto"/>
          <w:kern w:val="0"/>
          <w:szCs w:val="21"/>
          <w:highlight w:val="none"/>
        </w:rPr>
      </w:pPr>
    </w:p>
    <w:p w14:paraId="491747DE">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14:paraId="1D067370">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1B64468E">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7A969929">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14:paraId="6FCD5CE8">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38A14BEE">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69C40B8F">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66F232A2">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应自合同签订之日起至合同期限届满并完成合同的全部服务义务，受益人向申请人支付全部款项后二十八（28）日内保持有效。</w:t>
      </w:r>
    </w:p>
    <w:p w14:paraId="55C55746">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14:paraId="7E0B4383">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14:paraId="13AD2381">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联系电话：</w:t>
      </w:r>
      <w:r>
        <w:rPr>
          <w:rFonts w:hint="eastAsia" w:ascii="宋体" w:hAnsi="宋体" w:eastAsia="宋体" w:cs="宋体"/>
          <w:color w:val="auto"/>
          <w:kern w:val="0"/>
          <w:szCs w:val="21"/>
          <w:highlight w:val="none"/>
          <w:u w:val="single"/>
        </w:rPr>
        <w:t xml:space="preserve">                                        </w:t>
      </w:r>
    </w:p>
    <w:p w14:paraId="14AAD8E3">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u w:val="single"/>
        </w:rPr>
        <w:t xml:space="preserve">                                          </w:t>
      </w:r>
    </w:p>
    <w:p w14:paraId="33B513C5">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14:paraId="348D4F42">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14:paraId="2AE8EF44">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14:paraId="65F2F3FA">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5B898A51">
      <w:pPr>
        <w:widowControl/>
        <w:autoSpaceDE w:val="0"/>
        <w:autoSpaceDN w:val="0"/>
        <w:adjustRightInd w:val="0"/>
        <w:spacing w:line="360" w:lineRule="auto"/>
        <w:jc w:val="left"/>
        <w:rPr>
          <w:rFonts w:ascii="宋体" w:hAnsi="宋体" w:eastAsia="宋体" w:cs="宋体"/>
          <w:color w:val="auto"/>
          <w:kern w:val="0"/>
          <w:szCs w:val="21"/>
          <w:highlight w:val="none"/>
        </w:rPr>
      </w:pPr>
    </w:p>
    <w:p w14:paraId="4A7657BD">
      <w:pPr>
        <w:widowControl/>
        <w:autoSpaceDE w:val="0"/>
        <w:autoSpaceDN w:val="0"/>
        <w:adjustRightInd w:val="0"/>
        <w:spacing w:line="360" w:lineRule="auto"/>
        <w:jc w:val="left"/>
        <w:rPr>
          <w:rFonts w:ascii="宋体" w:hAnsi="宋体" w:eastAsia="宋体" w:cs="宋体"/>
          <w:color w:val="auto"/>
          <w:kern w:val="0"/>
          <w:szCs w:val="21"/>
          <w:highlight w:val="none"/>
        </w:rPr>
      </w:pPr>
    </w:p>
    <w:p w14:paraId="362FA78D">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6" w:type="first"/>
          <w:footerReference r:id="rId5" w:type="default"/>
          <w:pgSz w:w="12240" w:h="15840"/>
          <w:pgMar w:top="1191" w:right="1043" w:bottom="1191" w:left="1043" w:header="720" w:footer="720" w:gutter="0"/>
          <w:pgNumType w:fmt="decimal"/>
          <w:cols w:space="720" w:num="1"/>
          <w:titlePg/>
          <w:docGrid w:linePitch="326" w:charSpace="0"/>
        </w:sectPr>
      </w:pPr>
    </w:p>
    <w:p w14:paraId="12AF4C5F">
      <w:pPr>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t>二、履约保证保险凭证格式</w:t>
      </w:r>
    </w:p>
    <w:p w14:paraId="7E697882">
      <w:pPr>
        <w:autoSpaceDE w:val="0"/>
        <w:autoSpaceDN w:val="0"/>
        <w:adjustRightInd w:val="0"/>
        <w:jc w:val="center"/>
        <w:rPr>
          <w:rFonts w:ascii="宋体" w:hAnsi="宋体" w:eastAsia="宋体" w:cs="Times New Roman"/>
          <w:b/>
          <w:color w:val="auto"/>
          <w:kern w:val="0"/>
          <w:sz w:val="30"/>
          <w:szCs w:val="30"/>
          <w:highlight w:val="none"/>
        </w:rPr>
      </w:pPr>
    </w:p>
    <w:p w14:paraId="7B1A665B">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履约保证保险凭证</w:t>
      </w:r>
    </w:p>
    <w:p w14:paraId="789F1234">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21A24232">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编号：</w:t>
      </w:r>
    </w:p>
    <w:p w14:paraId="7EFAE78D">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 xml:space="preserve">（下称“受益人”）： </w:t>
      </w:r>
    </w:p>
    <w:p w14:paraId="4C05E33D">
      <w:pPr>
        <w:autoSpaceDE w:val="0"/>
        <w:autoSpaceDN w:val="0"/>
        <w:adjustRightInd w:val="0"/>
        <w:spacing w:line="360" w:lineRule="auto"/>
        <w:ind w:firstLine="437"/>
        <w:jc w:val="left"/>
        <w:rPr>
          <w:rFonts w:ascii="宋体" w:hAnsi="宋体" w:eastAsia="宋体" w:cs="宋体"/>
          <w:color w:val="auto"/>
          <w:kern w:val="0"/>
          <w:szCs w:val="21"/>
          <w:highlight w:val="none"/>
        </w:rPr>
      </w:pPr>
    </w:p>
    <w:p w14:paraId="65E246B4">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rPr>
        <w:t>。我方已接受申请人的请求，并出具《履约保证保险》保险单。</w:t>
      </w:r>
      <w:r>
        <w:rPr>
          <w:rFonts w:ascii="宋体" w:hAnsi="宋体" w:eastAsia="宋体" w:cs="宋体"/>
          <w:color w:val="auto"/>
          <w:kern w:val="0"/>
          <w:szCs w:val="21"/>
          <w:highlight w:val="none"/>
        </w:rPr>
        <w:t xml:space="preserve"> </w:t>
      </w:r>
    </w:p>
    <w:p w14:paraId="147B535E">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一、保证保险金额 </w:t>
      </w:r>
    </w:p>
    <w:p w14:paraId="39AADECC">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元 （</w:t>
      </w:r>
      <w:r>
        <w:rPr>
          <w:rFonts w:ascii="宋体" w:hAnsi="宋体" w:eastAsia="宋体" w:cs="宋体"/>
          <w:color w:val="auto"/>
          <w:kern w:val="0"/>
          <w:szCs w:val="21"/>
          <w:highlight w:val="none"/>
        </w:rPr>
        <w:t>¥</w:t>
      </w:r>
      <w:r>
        <w:rPr>
          <w:rFonts w:hint="eastAsia" w:ascii="宋体" w:hAnsi="宋体" w:eastAsia="宋体" w:cs="宋体"/>
          <w:b/>
          <w:color w:val="auto"/>
          <w:kern w:val="0"/>
          <w:szCs w:val="21"/>
          <w:highlight w:val="none"/>
          <w:u w:val="singl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p>
    <w:p w14:paraId="2BB7C1FB">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二、保证保险的责任范围 </w:t>
      </w:r>
    </w:p>
    <w:p w14:paraId="771B802C">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rPr>
        <w:t xml:space="preserve">履行相关义务，给贵方造成损失的，贵方可向我方提出索赔，我方按照保险合同的约定承担损失赔偿责任。 </w:t>
      </w:r>
    </w:p>
    <w:p w14:paraId="3ADD2F89">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三、代偿的安排 </w:t>
      </w:r>
    </w:p>
    <w:p w14:paraId="1F5D92A8">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2D0F0602">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四、生效时间 </w:t>
      </w:r>
    </w:p>
    <w:p w14:paraId="2308047E">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本保险凭证自我方法定代表人（或其授权代理人）签字并加盖保险承保章之日起生效。 </w:t>
      </w:r>
    </w:p>
    <w:p w14:paraId="24175B3D">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五、其他</w:t>
      </w:r>
    </w:p>
    <w:p w14:paraId="5B804F3F">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rPr>
        <w:t>履约保证保险</w:t>
      </w:r>
      <w:r>
        <w:rPr>
          <w:rFonts w:hint="eastAsia" w:ascii="宋体" w:hAnsi="宋体" w:eastAsia="宋体" w:cs="Times New Roman"/>
          <w:color w:val="auto"/>
          <w:kern w:val="0"/>
          <w:szCs w:val="21"/>
          <w:highlight w:val="none"/>
        </w:rPr>
        <w:t>应自合同签订之日起至合同期限届满并完成合同的全部服务义务，受益人向申请人支付全部款项后二十八（28）日内保持有效。</w:t>
      </w:r>
    </w:p>
    <w:p w14:paraId="2801B575">
      <w:pPr>
        <w:pStyle w:val="6"/>
        <w:rPr>
          <w:color w:val="auto"/>
          <w:highlight w:val="none"/>
        </w:rPr>
      </w:pPr>
    </w:p>
    <w:p w14:paraId="4D6AED25">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附：《</w:t>
      </w:r>
      <w:r>
        <w:rPr>
          <w:rFonts w:ascii="宋体" w:hAnsi="宋体" w:eastAsia="宋体" w:cs="宋体"/>
          <w:color w:val="auto"/>
          <w:kern w:val="0"/>
          <w:szCs w:val="21"/>
          <w:highlight w:val="none"/>
        </w:rPr>
        <w:t xml:space="preserve">XXX </w:t>
      </w:r>
      <w:r>
        <w:rPr>
          <w:rFonts w:hint="eastAsia" w:ascii="宋体" w:hAnsi="宋体" w:eastAsia="宋体" w:cs="宋体"/>
          <w:color w:val="auto"/>
          <w:kern w:val="0"/>
          <w:szCs w:val="21"/>
          <w:highlight w:val="none"/>
        </w:rPr>
        <w:t>保险有限公司履约保证保险（</w:t>
      </w:r>
      <w:r>
        <w:rPr>
          <w:rFonts w:ascii="宋体" w:hAnsi="宋体" w:eastAsia="宋体" w:cs="宋体"/>
          <w:color w:val="auto"/>
          <w:kern w:val="0"/>
          <w:szCs w:val="21"/>
          <w:highlight w:val="none"/>
        </w:rPr>
        <w:t xml:space="preserve">X </w:t>
      </w:r>
      <w:r>
        <w:rPr>
          <w:rFonts w:hint="eastAsia" w:ascii="宋体" w:hAnsi="宋体" w:eastAsia="宋体" w:cs="宋体"/>
          <w:color w:val="auto"/>
          <w:kern w:val="0"/>
          <w:szCs w:val="21"/>
          <w:highlight w:val="none"/>
        </w:rPr>
        <w:t xml:space="preserve">款）条款》及保单 </w:t>
      </w:r>
    </w:p>
    <w:p w14:paraId="3235E315">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7B6EA665">
      <w:pPr>
        <w:autoSpaceDE w:val="0"/>
        <w:autoSpaceDN w:val="0"/>
        <w:adjustRightInd w:val="0"/>
        <w:spacing w:line="360" w:lineRule="auto"/>
        <w:ind w:firstLine="437"/>
        <w:jc w:val="center"/>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保险人：</w:t>
      </w:r>
      <w:r>
        <w:rPr>
          <w:rFonts w:hint="eastAsia" w:ascii="宋体" w:hAnsi="宋体" w:eastAsia="宋体" w:cs="宋体"/>
          <w:color w:val="auto"/>
          <w:kern w:val="0"/>
          <w:szCs w:val="21"/>
          <w:highlight w:val="none"/>
          <w:u w:val="single"/>
        </w:rPr>
        <w:t xml:space="preserve">         （盖章）        </w:t>
      </w:r>
    </w:p>
    <w:p w14:paraId="74DBF50F">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联系电话</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p w14:paraId="016DC5BD">
      <w:pPr>
        <w:autoSpaceDE w:val="0"/>
        <w:autoSpaceDN w:val="0"/>
        <w:adjustRightInd w:val="0"/>
        <w:spacing w:line="360" w:lineRule="auto"/>
        <w:ind w:firstLine="437"/>
        <w:jc w:val="center"/>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联系人：</w:t>
      </w:r>
      <w:r>
        <w:rPr>
          <w:rFonts w:hint="eastAsia" w:ascii="宋体" w:hAnsi="宋体" w:eastAsia="宋体" w:cs="宋体"/>
          <w:color w:val="auto"/>
          <w:kern w:val="0"/>
          <w:szCs w:val="21"/>
          <w:highlight w:val="none"/>
          <w:u w:val="single"/>
        </w:rPr>
        <w:t xml:space="preserve">                         </w:t>
      </w:r>
    </w:p>
    <w:p w14:paraId="67BF10E7">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法定代表人或授权代理人：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p>
    <w:p w14:paraId="488E3349">
      <w:pPr>
        <w:autoSpaceDE w:val="0"/>
        <w:autoSpaceDN w:val="0"/>
        <w:adjustRightInd w:val="0"/>
        <w:spacing w:line="360" w:lineRule="auto"/>
        <w:ind w:firstLine="437"/>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日</w:t>
      </w:r>
    </w:p>
    <w:p w14:paraId="5E69F252">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1C0891AE">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t>三、担保公司履约担保书格式</w:t>
      </w:r>
    </w:p>
    <w:p w14:paraId="76FA4EA5">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14:paraId="0BB3E61A">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0454C20E">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14:paraId="0BF8710C">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76DB9073">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3EE78C76">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7B35D7D3">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应自合同签订之日起至合同期限届满并完成合同的全部服务义务，受益人向申请人支付全部款项后二十八（28）日内保持有效。</w:t>
      </w:r>
    </w:p>
    <w:p w14:paraId="14EDBB92">
      <w:pPr>
        <w:autoSpaceDE w:val="0"/>
        <w:autoSpaceDN w:val="0"/>
        <w:adjustRightInd w:val="0"/>
        <w:spacing w:line="360" w:lineRule="auto"/>
        <w:jc w:val="left"/>
        <w:rPr>
          <w:rFonts w:ascii="宋体" w:hAnsi="宋体" w:eastAsia="宋体" w:cs="Times New Roman"/>
          <w:color w:val="auto"/>
          <w:kern w:val="0"/>
          <w:szCs w:val="21"/>
          <w:highlight w:val="none"/>
        </w:rPr>
      </w:pPr>
    </w:p>
    <w:p w14:paraId="1B1754DB">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58AE7714">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5B65CBF3">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4CB34B1E">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482F5E8D">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5E291829">
      <w:pPr>
        <w:rPr>
          <w:color w:val="auto"/>
          <w:highlight w:val="none"/>
          <w:lang w:val="zh-CN"/>
        </w:rPr>
      </w:pPr>
    </w:p>
    <w:p w14:paraId="20F623FF">
      <w:pPr>
        <w:autoSpaceDE w:val="0"/>
        <w:autoSpaceDN w:val="0"/>
        <w:adjustRightInd w:val="0"/>
        <w:spacing w:line="360" w:lineRule="auto"/>
        <w:jc w:val="left"/>
        <w:rPr>
          <w:rFonts w:ascii="宋体" w:hAnsi="宋体" w:eastAsia="宋体" w:cs="Times New Roman"/>
          <w:color w:val="auto"/>
          <w:kern w:val="0"/>
          <w:szCs w:val="21"/>
          <w:highlight w:val="none"/>
        </w:rPr>
      </w:pPr>
    </w:p>
    <w:p w14:paraId="2B2EE3D5">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1F99D56C">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76DF2B7D">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3247667F">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3CDF32AA">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062B8428">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2D231B0C">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61ACEAE1">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2E5F5B9A">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547" w:name="_Toc9840"/>
      <w:bookmarkStart w:id="548" w:name="_Toc142508361"/>
      <w:bookmarkStart w:id="549" w:name="_Toc15817"/>
      <w:bookmarkStart w:id="550" w:name="_Toc32761_WPSOffice_Level1"/>
      <w:bookmarkStart w:id="551" w:name="_Toc28835"/>
      <w:bookmarkStart w:id="552" w:name="_Toc14958"/>
      <w:bookmarkStart w:id="553" w:name="_Toc486167708"/>
      <w:bookmarkStart w:id="554" w:name="_Toc13267"/>
      <w:bookmarkStart w:id="555" w:name="_Toc450662895"/>
      <w:bookmarkStart w:id="556" w:name="_Toc24783"/>
      <w:r>
        <w:rPr>
          <w:rFonts w:hint="eastAsia" w:ascii="宋体" w:hAnsi="宋体" w:eastAsia="宋体" w:cs="宋体"/>
          <w:b/>
          <w:bCs/>
          <w:color w:val="auto"/>
          <w:kern w:val="44"/>
          <w:sz w:val="32"/>
          <w:szCs w:val="32"/>
          <w:highlight w:val="none"/>
          <w:lang w:val="zh-CN"/>
        </w:rPr>
        <w:t>第六篇 投标文件格式</w:t>
      </w:r>
      <w:bookmarkEnd w:id="547"/>
      <w:bookmarkEnd w:id="548"/>
      <w:bookmarkEnd w:id="549"/>
      <w:bookmarkEnd w:id="550"/>
      <w:bookmarkEnd w:id="551"/>
      <w:bookmarkEnd w:id="552"/>
      <w:bookmarkEnd w:id="553"/>
      <w:bookmarkEnd w:id="554"/>
      <w:bookmarkEnd w:id="555"/>
      <w:bookmarkEnd w:id="556"/>
    </w:p>
    <w:p w14:paraId="4352BEF6">
      <w:pPr>
        <w:rPr>
          <w:rFonts w:hint="eastAsia" w:ascii="宋体" w:hAnsi="宋体" w:eastAsia="宋体" w:cs="宋体"/>
          <w:color w:val="auto"/>
          <w:sz w:val="84"/>
          <w:highlight w:val="none"/>
        </w:rPr>
      </w:pPr>
      <w:bookmarkStart w:id="557" w:name="_Toc94107202"/>
      <w:bookmarkStart w:id="558" w:name="_Toc533708121"/>
      <w:bookmarkStart w:id="559" w:name="_Toc486167709"/>
      <w:bookmarkStart w:id="560" w:name="_Toc104991868"/>
      <w:bookmarkStart w:id="561" w:name="_Toc102860411"/>
      <w:bookmarkStart w:id="562" w:name="_Toc140596921"/>
      <w:bookmarkStart w:id="563" w:name="_Toc102860067"/>
      <w:bookmarkStart w:id="564" w:name="_Toc1977721"/>
      <w:bookmarkStart w:id="565" w:name="_Toc21133_WPSOffice_Level2"/>
      <w:bookmarkStart w:id="566" w:name="_Toc142508362"/>
      <w:r>
        <w:rPr>
          <w:rFonts w:hint="eastAsia" w:ascii="宋体" w:hAnsi="宋体" w:eastAsia="宋体" w:cs="宋体"/>
          <w:b/>
          <w:color w:val="auto"/>
          <w:kern w:val="0"/>
          <w:sz w:val="32"/>
          <w:szCs w:val="32"/>
          <w:highlight w:val="none"/>
        </w:rPr>
        <w:br w:type="page"/>
      </w:r>
    </w:p>
    <w:p w14:paraId="7FF5A245">
      <w:pPr>
        <w:pStyle w:val="21"/>
        <w:spacing w:line="360" w:lineRule="auto"/>
        <w:jc w:val="center"/>
        <w:rPr>
          <w:rFonts w:hint="eastAsia" w:ascii="宋体" w:hAnsi="宋体" w:eastAsia="宋体" w:cs="宋体"/>
          <w:color w:val="auto"/>
          <w:sz w:val="84"/>
          <w:highlight w:val="none"/>
        </w:rPr>
      </w:pPr>
    </w:p>
    <w:p w14:paraId="67FE019B">
      <w:pPr>
        <w:pStyle w:val="21"/>
        <w:spacing w:line="360" w:lineRule="auto"/>
        <w:jc w:val="center"/>
        <w:rPr>
          <w:rFonts w:hint="eastAsia" w:ascii="宋体" w:hAnsi="宋体" w:eastAsia="宋体" w:cs="宋体"/>
          <w:color w:val="auto"/>
          <w:sz w:val="84"/>
          <w:highlight w:val="none"/>
        </w:rPr>
      </w:pPr>
    </w:p>
    <w:p w14:paraId="6603EACB">
      <w:pPr>
        <w:pStyle w:val="21"/>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2E78F66B">
      <w:pPr>
        <w:pStyle w:val="21"/>
        <w:spacing w:line="360" w:lineRule="auto"/>
        <w:rPr>
          <w:rFonts w:hint="eastAsia" w:ascii="宋体" w:hAnsi="宋体" w:eastAsia="宋体" w:cs="宋体"/>
          <w:color w:val="auto"/>
          <w:highlight w:val="none"/>
        </w:rPr>
      </w:pPr>
    </w:p>
    <w:p w14:paraId="0065ACC7">
      <w:pPr>
        <w:pStyle w:val="21"/>
        <w:spacing w:line="360" w:lineRule="auto"/>
        <w:rPr>
          <w:rFonts w:hint="eastAsia" w:ascii="宋体" w:hAnsi="宋体" w:eastAsia="宋体" w:cs="宋体"/>
          <w:color w:val="auto"/>
          <w:highlight w:val="none"/>
        </w:rPr>
      </w:pPr>
    </w:p>
    <w:p w14:paraId="30252E76">
      <w:pPr>
        <w:pStyle w:val="21"/>
        <w:spacing w:line="360" w:lineRule="auto"/>
        <w:rPr>
          <w:rFonts w:hint="eastAsia" w:ascii="宋体" w:hAnsi="宋体" w:eastAsia="宋体" w:cs="宋体"/>
          <w:color w:val="auto"/>
          <w:highlight w:val="none"/>
        </w:rPr>
      </w:pPr>
    </w:p>
    <w:p w14:paraId="034CD592">
      <w:pPr>
        <w:pStyle w:val="21"/>
        <w:spacing w:line="360" w:lineRule="auto"/>
        <w:rPr>
          <w:rFonts w:hint="eastAsia" w:ascii="宋体" w:hAnsi="宋体" w:eastAsia="宋体" w:cs="宋体"/>
          <w:color w:val="auto"/>
          <w:highlight w:val="none"/>
        </w:rPr>
      </w:pPr>
    </w:p>
    <w:p w14:paraId="43868C7F">
      <w:pPr>
        <w:pStyle w:val="21"/>
        <w:spacing w:line="360" w:lineRule="auto"/>
        <w:rPr>
          <w:rFonts w:hint="eastAsia" w:ascii="宋体" w:hAnsi="宋体" w:eastAsia="宋体" w:cs="宋体"/>
          <w:color w:val="auto"/>
          <w:highlight w:val="none"/>
        </w:rPr>
      </w:pPr>
    </w:p>
    <w:p w14:paraId="32E05769">
      <w:pPr>
        <w:pStyle w:val="21"/>
        <w:spacing w:line="360" w:lineRule="auto"/>
        <w:rPr>
          <w:rFonts w:hint="eastAsia" w:ascii="宋体" w:hAnsi="宋体" w:eastAsia="宋体" w:cs="宋体"/>
          <w:color w:val="auto"/>
          <w:highlight w:val="none"/>
        </w:rPr>
      </w:pPr>
    </w:p>
    <w:p w14:paraId="3657B1F4">
      <w:pPr>
        <w:pStyle w:val="21"/>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68632AA0">
      <w:pPr>
        <w:pStyle w:val="21"/>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62BAAFD1">
      <w:pPr>
        <w:pStyle w:val="21"/>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14:paraId="17AD00D4">
      <w:pPr>
        <w:pStyle w:val="21"/>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24EC5E38">
      <w:pPr>
        <w:pStyle w:val="21"/>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4F9A5D03">
      <w:pPr>
        <w:pStyle w:val="21"/>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40BCE9E1">
      <w:pPr>
        <w:pStyle w:val="21"/>
        <w:spacing w:line="360" w:lineRule="auto"/>
        <w:rPr>
          <w:rFonts w:hint="eastAsia" w:ascii="宋体" w:hAnsi="宋体" w:eastAsia="宋体" w:cs="宋体"/>
          <w:color w:val="auto"/>
          <w:highlight w:val="none"/>
        </w:rPr>
      </w:pPr>
    </w:p>
    <w:p w14:paraId="466600FA">
      <w:pPr>
        <w:pStyle w:val="2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3C59ED2">
      <w:pPr>
        <w:pStyle w:val="21"/>
        <w:spacing w:line="360" w:lineRule="auto"/>
        <w:rPr>
          <w:rFonts w:hint="eastAsia" w:ascii="宋体" w:hAnsi="宋体" w:eastAsia="宋体" w:cs="宋体"/>
          <w:color w:val="auto"/>
          <w:highlight w:val="none"/>
        </w:rPr>
      </w:pPr>
    </w:p>
    <w:p w14:paraId="5D23B6D6">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9"/>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57"/>
        <w:gridCol w:w="4059"/>
      </w:tblGrid>
      <w:tr w14:paraId="2549E4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1B529C2F">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29FAD69F">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0" w:type="pct"/>
            <w:vAlign w:val="center"/>
          </w:tcPr>
          <w:p w14:paraId="4EEB8A56">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7" w:type="pct"/>
            <w:tcBorders>
              <w:left w:val="single" w:color="auto" w:sz="4" w:space="0"/>
            </w:tcBorders>
            <w:vAlign w:val="center"/>
          </w:tcPr>
          <w:p w14:paraId="3FADC055">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5B78C4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4244D536">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02F34756">
            <w:pPr>
              <w:adjustRightInd w:val="0"/>
              <w:snapToGrid w:val="0"/>
              <w:spacing w:line="360" w:lineRule="auto"/>
              <w:jc w:val="center"/>
              <w:rPr>
                <w:rFonts w:hint="eastAsia" w:ascii="宋体" w:hAnsi="宋体" w:eastAsia="宋体" w:cs="宋体"/>
                <w:bCs/>
                <w:color w:val="auto"/>
                <w:szCs w:val="21"/>
                <w:highlight w:val="none"/>
              </w:rPr>
            </w:pPr>
          </w:p>
        </w:tc>
        <w:tc>
          <w:tcPr>
            <w:tcW w:w="1040" w:type="pct"/>
            <w:vAlign w:val="center"/>
          </w:tcPr>
          <w:p w14:paraId="112C1A65">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780C9C5B">
            <w:pPr>
              <w:adjustRightInd w:val="0"/>
              <w:snapToGrid w:val="0"/>
              <w:spacing w:line="360" w:lineRule="auto"/>
              <w:rPr>
                <w:rFonts w:hint="eastAsia" w:ascii="宋体" w:hAnsi="宋体" w:eastAsia="宋体" w:cs="宋体"/>
                <w:bCs/>
                <w:color w:val="auto"/>
                <w:szCs w:val="21"/>
                <w:highlight w:val="none"/>
              </w:rPr>
            </w:pPr>
          </w:p>
        </w:tc>
      </w:tr>
      <w:tr w14:paraId="444924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04DE20B9">
            <w:pPr>
              <w:rPr>
                <w:rFonts w:hint="eastAsia" w:ascii="宋体" w:hAnsi="宋体" w:eastAsia="宋体" w:cs="宋体"/>
                <w:bCs/>
                <w:color w:val="auto"/>
                <w:szCs w:val="21"/>
                <w:highlight w:val="none"/>
              </w:rPr>
            </w:pPr>
          </w:p>
        </w:tc>
        <w:tc>
          <w:tcPr>
            <w:tcW w:w="1337" w:type="pct"/>
            <w:vAlign w:val="center"/>
          </w:tcPr>
          <w:p w14:paraId="0D7058BD">
            <w:pPr>
              <w:rPr>
                <w:rFonts w:hint="eastAsia" w:ascii="宋体" w:hAnsi="宋体" w:eastAsia="宋体" w:cs="宋体"/>
                <w:bCs/>
                <w:color w:val="auto"/>
                <w:szCs w:val="21"/>
                <w:highlight w:val="none"/>
              </w:rPr>
            </w:pPr>
          </w:p>
        </w:tc>
        <w:tc>
          <w:tcPr>
            <w:tcW w:w="1040" w:type="pct"/>
            <w:vAlign w:val="center"/>
          </w:tcPr>
          <w:p w14:paraId="7FC85D7D">
            <w:pPr>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0A5D83FE">
            <w:pPr>
              <w:adjustRightInd w:val="0"/>
              <w:snapToGrid w:val="0"/>
              <w:spacing w:line="360" w:lineRule="auto"/>
              <w:ind w:firstLine="105" w:firstLineChars="50"/>
              <w:rPr>
                <w:rFonts w:hint="eastAsia" w:ascii="宋体" w:hAnsi="宋体" w:eastAsia="宋体" w:cs="宋体"/>
                <w:bCs/>
                <w:color w:val="auto"/>
                <w:szCs w:val="21"/>
                <w:highlight w:val="none"/>
              </w:rPr>
            </w:pPr>
          </w:p>
        </w:tc>
      </w:tr>
      <w:tr w14:paraId="2E6992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075EBC82">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7DFA590A">
            <w:pPr>
              <w:adjustRightInd w:val="0"/>
              <w:snapToGrid w:val="0"/>
              <w:spacing w:line="360" w:lineRule="auto"/>
              <w:rPr>
                <w:rFonts w:hint="eastAsia" w:ascii="宋体" w:hAnsi="宋体" w:eastAsia="宋体" w:cs="宋体"/>
                <w:bCs/>
                <w:color w:val="auto"/>
                <w:szCs w:val="21"/>
                <w:highlight w:val="none"/>
              </w:rPr>
            </w:pPr>
          </w:p>
        </w:tc>
        <w:tc>
          <w:tcPr>
            <w:tcW w:w="1040" w:type="pct"/>
            <w:vAlign w:val="center"/>
          </w:tcPr>
          <w:p w14:paraId="6D2A3EF2">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73EA4A78">
            <w:pPr>
              <w:spacing w:line="360" w:lineRule="auto"/>
              <w:ind w:firstLine="8" w:firstLineChars="4"/>
              <w:rPr>
                <w:rFonts w:hint="eastAsia" w:ascii="宋体" w:hAnsi="宋体" w:eastAsia="宋体" w:cs="宋体"/>
                <w:bCs/>
                <w:color w:val="auto"/>
                <w:szCs w:val="21"/>
                <w:highlight w:val="none"/>
              </w:rPr>
            </w:pPr>
          </w:p>
        </w:tc>
      </w:tr>
      <w:tr w14:paraId="4EDE71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7BB0FF11">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119A665E">
            <w:pPr>
              <w:adjustRightInd w:val="0"/>
              <w:snapToGrid w:val="0"/>
              <w:spacing w:line="360" w:lineRule="auto"/>
              <w:rPr>
                <w:rFonts w:hint="eastAsia" w:ascii="宋体" w:hAnsi="宋体" w:eastAsia="宋体" w:cs="宋体"/>
                <w:bCs/>
                <w:color w:val="auto"/>
                <w:szCs w:val="21"/>
                <w:highlight w:val="none"/>
              </w:rPr>
            </w:pPr>
          </w:p>
        </w:tc>
        <w:tc>
          <w:tcPr>
            <w:tcW w:w="1040" w:type="pct"/>
            <w:tcBorders>
              <w:top w:val="single" w:color="auto" w:sz="6" w:space="0"/>
              <w:left w:val="single" w:color="auto" w:sz="6" w:space="0"/>
              <w:bottom w:val="outset" w:color="808080" w:sz="6" w:space="0"/>
              <w:right w:val="single" w:color="auto" w:sz="6" w:space="0"/>
            </w:tcBorders>
            <w:vAlign w:val="center"/>
          </w:tcPr>
          <w:p w14:paraId="38195D62">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top w:val="single" w:color="auto" w:sz="6" w:space="0"/>
              <w:left w:val="single" w:color="auto" w:sz="4" w:space="0"/>
              <w:bottom w:val="outset" w:color="808080" w:sz="6" w:space="0"/>
              <w:right w:val="single" w:color="auto" w:sz="6" w:space="0"/>
            </w:tcBorders>
            <w:vAlign w:val="center"/>
          </w:tcPr>
          <w:p w14:paraId="12C0459E">
            <w:pPr>
              <w:adjustRightInd w:val="0"/>
              <w:snapToGrid w:val="0"/>
              <w:spacing w:line="360" w:lineRule="auto"/>
              <w:rPr>
                <w:rFonts w:hint="eastAsia" w:ascii="宋体" w:hAnsi="宋体" w:eastAsia="宋体" w:cs="宋体"/>
                <w:bCs/>
                <w:color w:val="auto"/>
                <w:szCs w:val="21"/>
                <w:highlight w:val="none"/>
              </w:rPr>
            </w:pPr>
          </w:p>
        </w:tc>
      </w:tr>
      <w:tr w14:paraId="17FD16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0655DC41">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0" w:type="pct"/>
            <w:tcBorders>
              <w:bottom w:val="single" w:color="auto" w:sz="4" w:space="0"/>
            </w:tcBorders>
            <w:vAlign w:val="center"/>
          </w:tcPr>
          <w:p w14:paraId="0D1B15D8">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bottom w:val="single" w:color="auto" w:sz="4" w:space="0"/>
            </w:tcBorders>
            <w:vAlign w:val="center"/>
          </w:tcPr>
          <w:p w14:paraId="3F8C1824">
            <w:pPr>
              <w:spacing w:line="360" w:lineRule="auto"/>
              <w:jc w:val="center"/>
              <w:rPr>
                <w:rFonts w:hint="eastAsia" w:ascii="宋体" w:hAnsi="宋体" w:eastAsia="宋体" w:cs="宋体"/>
                <w:bCs/>
                <w:color w:val="auto"/>
                <w:szCs w:val="21"/>
                <w:highlight w:val="none"/>
              </w:rPr>
            </w:pPr>
          </w:p>
        </w:tc>
      </w:tr>
    </w:tbl>
    <w:p w14:paraId="20E361ED">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6713682">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567" w:name="_Toc8218"/>
      <w:bookmarkStart w:id="568" w:name="_Toc23782"/>
      <w:bookmarkStart w:id="569" w:name="_Toc24575"/>
      <w:bookmarkStart w:id="570" w:name="_Toc27679"/>
      <w:bookmarkStart w:id="571" w:name="_Toc13281"/>
      <w:bookmarkStart w:id="572" w:name="_Toc30868"/>
      <w:r>
        <w:rPr>
          <w:rFonts w:hint="eastAsia" w:ascii="宋体" w:hAnsi="宋体" w:eastAsia="宋体" w:cs="宋体"/>
          <w:b/>
          <w:color w:val="auto"/>
          <w:kern w:val="0"/>
          <w:sz w:val="32"/>
          <w:szCs w:val="32"/>
          <w:highlight w:val="none"/>
        </w:rPr>
        <w:t>一、投标函格式</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1F7F6403">
      <w:pPr>
        <w:autoSpaceDE w:val="0"/>
        <w:autoSpaceDN w:val="0"/>
        <w:adjustRightInd w:val="0"/>
        <w:spacing w:line="360" w:lineRule="auto"/>
        <w:jc w:val="center"/>
        <w:rPr>
          <w:rFonts w:ascii="宋体" w:hAnsi="宋体" w:eastAsia="宋体" w:cs="宋体"/>
          <w:b/>
          <w:bCs/>
          <w:color w:val="auto"/>
          <w:sz w:val="30"/>
          <w:szCs w:val="30"/>
          <w:highlight w:val="none"/>
        </w:rPr>
      </w:pPr>
      <w:bookmarkStart w:id="573" w:name="_Toc16695_WPSOffice_Level3"/>
      <w:r>
        <w:rPr>
          <w:rFonts w:hint="eastAsia" w:ascii="宋体" w:hAnsi="宋体" w:eastAsia="宋体" w:cs="宋体"/>
          <w:b/>
          <w:bCs/>
          <w:color w:val="auto"/>
          <w:sz w:val="30"/>
          <w:szCs w:val="30"/>
          <w:highlight w:val="none"/>
          <w:lang w:val="zh-CN"/>
        </w:rPr>
        <w:t>投 标 函</w:t>
      </w:r>
      <w:bookmarkEnd w:id="573"/>
    </w:p>
    <w:p w14:paraId="02048C28">
      <w:pPr>
        <w:autoSpaceDE w:val="0"/>
        <w:autoSpaceDN w:val="0"/>
        <w:adjustRightInd w:val="0"/>
        <w:spacing w:line="360" w:lineRule="auto"/>
        <w:rPr>
          <w:rFonts w:ascii="宋体" w:hAnsi="宋体" w:eastAsia="宋体" w:cs="宋体"/>
          <w:color w:val="auto"/>
          <w:szCs w:val="21"/>
          <w:highlight w:val="none"/>
          <w:lang w:val="zh-CN"/>
        </w:rPr>
      </w:pPr>
    </w:p>
    <w:p w14:paraId="067DE0A8">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东莞市众源环境投资有限公司</w:t>
      </w:r>
    </w:p>
    <w:p w14:paraId="05CD103C">
      <w:pPr>
        <w:autoSpaceDE w:val="0"/>
        <w:autoSpaceDN w:val="0"/>
        <w:adjustRightInd w:val="0"/>
        <w:spacing w:line="360" w:lineRule="auto"/>
        <w:rPr>
          <w:rFonts w:ascii="宋体" w:hAnsi="宋体" w:eastAsia="宋体" w:cs="宋体"/>
          <w:color w:val="auto"/>
          <w:szCs w:val="21"/>
          <w:highlight w:val="none"/>
        </w:rPr>
      </w:pPr>
    </w:p>
    <w:p w14:paraId="2797C63D">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东莞市众源环境投资有限公司“特大城市市政污泥全过程管理体系”成效评估及提质增效路径研究技术服务采购项目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广建咨询（东招）2025-0005号</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69E442D3">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10C5BD10">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14:paraId="5253B950">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14:paraId="32C13ADB">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0227D5BF">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广建咨询（东招）2025-0005号</w:t>
      </w:r>
      <w:r>
        <w:rPr>
          <w:rFonts w:hint="eastAsia" w:ascii="宋体" w:hAnsi="宋体" w:eastAsia="宋体" w:cs="宋体"/>
          <w:color w:val="auto"/>
          <w:szCs w:val="21"/>
          <w:highlight w:val="none"/>
          <w:lang w:val="zh-CN"/>
        </w:rPr>
        <w:t>的投标；</w:t>
      </w:r>
    </w:p>
    <w:p w14:paraId="7EAEDB9F">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73D36946">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17CA2F15">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797983BF">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617AB5AD">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38130A4D">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4B14B57F">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6F0C1CD9">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3F5F37EF">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2BDCE957">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14EAE2B2">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5CC1BFD3">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289417D0">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14B7C9BA">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72722052">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2047EAB2">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14:paraId="32A531C6">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2994A453">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2FB7ABE5">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2C44556B">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574" w:name="_Toc102860412"/>
      <w:bookmarkStart w:id="575" w:name="_Toc94107203"/>
      <w:bookmarkStart w:id="576" w:name="_Toc1977722"/>
      <w:bookmarkStart w:id="577" w:name="_Toc142508363"/>
      <w:bookmarkStart w:id="578" w:name="_Toc486167710"/>
      <w:bookmarkStart w:id="579" w:name="_Toc140596922"/>
      <w:bookmarkStart w:id="580" w:name="_Toc104991869"/>
      <w:bookmarkStart w:id="581" w:name="_Toc3104"/>
      <w:bookmarkStart w:id="582" w:name="_Toc6435"/>
      <w:bookmarkStart w:id="583" w:name="_Toc28613_WPSOffice_Level2"/>
      <w:bookmarkStart w:id="584" w:name="_Toc12417"/>
      <w:bookmarkStart w:id="585" w:name="_Toc533708122"/>
      <w:bookmarkStart w:id="586" w:name="_Toc30995"/>
      <w:bookmarkStart w:id="587" w:name="_Toc6966"/>
      <w:bookmarkStart w:id="588" w:name="_Toc102860068"/>
      <w:bookmarkStart w:id="589" w:name="_Toc2481"/>
      <w:r>
        <w:rPr>
          <w:rFonts w:hint="eastAsia" w:ascii="宋体" w:hAnsi="宋体" w:eastAsia="宋体" w:cs="宋体"/>
          <w:b/>
          <w:color w:val="auto"/>
          <w:kern w:val="0"/>
          <w:sz w:val="32"/>
          <w:szCs w:val="32"/>
          <w:highlight w:val="none"/>
        </w:rPr>
        <w:t>二、投标承诺书格式</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49915FDD">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14:paraId="1FF99621">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2CF89D19">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东莞市众源环境投资有限公司“特大城市市政污泥全过程管理体系”成效评估及提质增效路径研究技术服务采购项目</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广建咨询（东招）2025-0005号</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46E426A3">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w:t>
      </w:r>
      <w:r>
        <w:rPr>
          <w:rFonts w:hint="eastAsia" w:ascii="宋体" w:hAnsi="宋体" w:eastAsia="宋体" w:cs="宋体"/>
          <w:color w:val="auto"/>
          <w:kern w:val="0"/>
          <w:szCs w:val="21"/>
          <w:highlight w:val="none"/>
          <w:lang w:eastAsia="zh-CN"/>
        </w:rPr>
        <w:t>东莞市众源环境投资有限公司</w:t>
      </w:r>
      <w:r>
        <w:rPr>
          <w:rFonts w:hint="eastAsia" w:ascii="宋体" w:hAnsi="宋体" w:eastAsia="宋体" w:cs="宋体"/>
          <w:color w:val="auto"/>
          <w:kern w:val="0"/>
          <w:szCs w:val="21"/>
          <w:highlight w:val="none"/>
        </w:rPr>
        <w:t>相关招标采购活动的，由我方自行承担全部后果。</w:t>
      </w:r>
    </w:p>
    <w:p w14:paraId="0383E96C">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48D1A258">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208E8DE8">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4DFE4987">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14:paraId="16039946">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14:paraId="775AFD62">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14:paraId="39F91799">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4DFF05DA">
      <w:pPr>
        <w:autoSpaceDE w:val="0"/>
        <w:autoSpaceDN w:val="0"/>
        <w:adjustRightInd w:val="0"/>
        <w:spacing w:line="360" w:lineRule="auto"/>
        <w:jc w:val="left"/>
        <w:rPr>
          <w:rFonts w:ascii="宋体" w:hAnsi="宋体" w:eastAsia="宋体" w:cs="宋体"/>
          <w:color w:val="auto"/>
          <w:kern w:val="0"/>
          <w:sz w:val="24"/>
          <w:szCs w:val="24"/>
          <w:highlight w:val="none"/>
        </w:rPr>
      </w:pPr>
    </w:p>
    <w:p w14:paraId="307FAF38">
      <w:pPr>
        <w:autoSpaceDE w:val="0"/>
        <w:autoSpaceDN w:val="0"/>
        <w:adjustRightInd w:val="0"/>
        <w:spacing w:line="360" w:lineRule="auto"/>
        <w:jc w:val="left"/>
        <w:rPr>
          <w:rFonts w:ascii="宋体" w:hAnsi="宋体" w:eastAsia="宋体" w:cs="宋体"/>
          <w:color w:val="auto"/>
          <w:kern w:val="0"/>
          <w:sz w:val="24"/>
          <w:szCs w:val="24"/>
          <w:highlight w:val="none"/>
        </w:rPr>
      </w:pPr>
      <w:bookmarkStart w:id="590" w:name="_Toc316896755"/>
      <w:bookmarkStart w:id="591" w:name="_Toc326768876"/>
      <w:bookmarkStart w:id="592" w:name="_Toc311032584"/>
    </w:p>
    <w:p w14:paraId="72160FE9">
      <w:pPr>
        <w:pageBreakBefore/>
        <w:autoSpaceDE w:val="0"/>
        <w:autoSpaceDN w:val="0"/>
        <w:adjustRightInd w:val="0"/>
        <w:spacing w:line="360" w:lineRule="auto"/>
        <w:jc w:val="left"/>
        <w:outlineLvl w:val="2"/>
        <w:rPr>
          <w:rFonts w:ascii="宋体" w:hAnsi="宋体" w:eastAsia="宋体" w:cs="宋体"/>
          <w:b/>
          <w:color w:val="auto"/>
          <w:kern w:val="44"/>
          <w:sz w:val="32"/>
          <w:szCs w:val="32"/>
          <w:highlight w:val="none"/>
        </w:rPr>
      </w:pPr>
      <w:bookmarkStart w:id="593" w:name="_Toc82182546"/>
      <w:bookmarkStart w:id="594" w:name="_Toc11072"/>
      <w:bookmarkStart w:id="595" w:name="_Toc29910"/>
      <w:bookmarkStart w:id="596" w:name="_Toc102860069"/>
      <w:bookmarkStart w:id="597" w:name="_Toc24336"/>
      <w:bookmarkStart w:id="598" w:name="_Toc6734"/>
      <w:bookmarkStart w:id="599" w:name="_Toc94107204"/>
      <w:bookmarkStart w:id="600" w:name="_Toc102860413"/>
      <w:bookmarkStart w:id="601" w:name="_Toc86764083"/>
      <w:bookmarkStart w:id="602" w:name="_Toc13941"/>
      <w:bookmarkStart w:id="603" w:name="_Toc142508364"/>
      <w:bookmarkStart w:id="604" w:name="_Toc140596923"/>
      <w:bookmarkStart w:id="605" w:name="_Toc5075"/>
      <w:bookmarkStart w:id="606" w:name="_Toc104991870"/>
      <w:bookmarkStart w:id="607" w:name="_Toc7024_WPSOffice_Level2"/>
      <w:bookmarkStart w:id="608" w:name="_Toc533708123"/>
      <w:bookmarkStart w:id="609" w:name="_Toc1977723"/>
      <w:bookmarkStart w:id="610" w:name="_Toc486167711"/>
      <w:r>
        <w:rPr>
          <w:rFonts w:hint="eastAsia" w:ascii="宋体" w:hAnsi="宋体" w:eastAsia="宋体" w:cs="宋体"/>
          <w:b/>
          <w:color w:val="auto"/>
          <w:kern w:val="44"/>
          <w:sz w:val="32"/>
          <w:szCs w:val="32"/>
          <w:highlight w:val="none"/>
        </w:rPr>
        <w:t>三、供货及/或提供服务过程承诺函格式</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14:paraId="27B64EBD">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1C401030">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东莞市众源环境投资有限公司</w:t>
      </w:r>
      <w:r>
        <w:rPr>
          <w:rFonts w:hint="eastAsia" w:ascii="宋体" w:hAnsi="宋体" w:eastAsia="宋体" w:cs="宋体"/>
          <w:color w:val="auto"/>
          <w:kern w:val="0"/>
          <w:szCs w:val="21"/>
          <w:highlight w:val="none"/>
        </w:rPr>
        <w:t>：</w:t>
      </w:r>
    </w:p>
    <w:p w14:paraId="285E466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东莞市众源环境投资有限公司“特大城市市政污泥全过程管理体系”成效评估及提质增效路径研究技术服务采购项目</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广建咨询（东招）2025-0005号</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08EDD33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710469B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756C4D7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3CAB646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18FDBEA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2596CDA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38385FD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4647595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61B6C31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4FF6328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71C14CA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2F9F59D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0143C40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46FD751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4879ECD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2A5411F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3239759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737EFDE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37E1887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0F809AF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13、我方承诺接受招标人的检查与监督，并主动配合，做好安全工作，凡有违反上述条款的即视为我方违约，招标人有权视情况从货物/服务价款中扣除2000元/次作为违约金。</w:t>
      </w:r>
    </w:p>
    <w:p w14:paraId="40C45CB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14A90D2B">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4D480E2B">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2919A802">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5BB4D44B">
      <w:pPr>
        <w:autoSpaceDE w:val="0"/>
        <w:autoSpaceDN w:val="0"/>
        <w:adjustRightInd w:val="0"/>
        <w:spacing w:line="360" w:lineRule="auto"/>
        <w:ind w:right="420" w:firstLine="5040" w:firstLineChars="240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   年   月   日</w:t>
      </w:r>
    </w:p>
    <w:p w14:paraId="4ABB4155">
      <w:pPr>
        <w:widowControl/>
        <w:autoSpaceDE/>
        <w:autoSpaceDN/>
        <w:spacing w:before="0" w:after="0" w:line="240" w:lineRule="auto"/>
        <w:ind w:right="0" w:rightChars="0" w:firstLine="0" w:firstLineChars="0"/>
        <w:jc w:val="left"/>
        <w:textAlignment w:val="auto"/>
        <w:outlineLvl w:val="9"/>
        <w:rPr>
          <w:rFonts w:ascii="宋体" w:hAnsi="宋体" w:eastAsia="宋体" w:cs="宋体"/>
          <w:color w:val="auto"/>
          <w:szCs w:val="24"/>
          <w:highlight w:val="none"/>
        </w:rPr>
      </w:pPr>
      <w:bookmarkStart w:id="611" w:name="_Toc1140"/>
      <w:bookmarkStart w:id="612" w:name="_Toc13416"/>
      <w:bookmarkStart w:id="613" w:name="_Toc94107206"/>
      <w:bookmarkStart w:id="614" w:name="_Toc140596925"/>
      <w:bookmarkStart w:id="615" w:name="_Toc102860071"/>
      <w:bookmarkStart w:id="616" w:name="_Toc142508366"/>
      <w:bookmarkStart w:id="617" w:name="_Toc702"/>
      <w:bookmarkStart w:id="618" w:name="_Toc18346"/>
      <w:bookmarkStart w:id="619" w:name="_Toc31485"/>
      <w:bookmarkStart w:id="620" w:name="_Toc104991872"/>
      <w:bookmarkStart w:id="621" w:name="_Toc5050"/>
      <w:bookmarkStart w:id="622" w:name="_Toc102860415"/>
    </w:p>
    <w:p w14:paraId="54E13499">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highlight w:val="none"/>
        </w:rPr>
        <w:sectPr>
          <w:footerReference r:id="rId8" w:type="first"/>
          <w:footerReference r:id="rId7" w:type="default"/>
          <w:pgSz w:w="12240" w:h="15840"/>
          <w:pgMar w:top="1191" w:right="1043" w:bottom="1191" w:left="1043" w:header="720" w:footer="720" w:gutter="0"/>
          <w:pgNumType w:fmt="decimal"/>
          <w:cols w:space="720" w:num="1"/>
          <w:titlePg/>
          <w:docGrid w:linePitch="326" w:charSpace="0"/>
        </w:sectPr>
      </w:pPr>
    </w:p>
    <w:p w14:paraId="1FC73C21">
      <w:pPr>
        <w:pageBreakBefore/>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、投标报价表格式</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7F78841C">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auto"/>
          <w:kern w:val="0"/>
          <w:sz w:val="30"/>
          <w:szCs w:val="30"/>
          <w:highlight w:val="none"/>
        </w:rPr>
      </w:pPr>
      <w:bookmarkStart w:id="623" w:name="_Toc11904"/>
      <w:bookmarkStart w:id="624" w:name="_Toc22321"/>
      <w:bookmarkStart w:id="625" w:name="_Toc2395_WPSOffice_Level3"/>
      <w:bookmarkStart w:id="626" w:name="_Toc15425"/>
      <w:bookmarkStart w:id="627" w:name="_Toc24175"/>
      <w:bookmarkStart w:id="628" w:name="_Toc104991873"/>
      <w:bookmarkStart w:id="629" w:name="_Toc12457"/>
      <w:bookmarkStart w:id="630" w:name="_Toc142508367"/>
      <w:bookmarkStart w:id="631" w:name="_Toc140596926"/>
      <w:bookmarkStart w:id="632" w:name="_Toc102860416"/>
      <w:bookmarkStart w:id="633" w:name="_Toc94107207"/>
      <w:bookmarkStart w:id="634" w:name="_Toc1294"/>
      <w:bookmarkStart w:id="635" w:name="_Toc102860072"/>
      <w:r>
        <w:rPr>
          <w:rFonts w:hint="eastAsia" w:ascii="宋体" w:hAnsi="宋体" w:eastAsia="宋体" w:cs="宋体"/>
          <w:b/>
          <w:color w:val="auto"/>
          <w:kern w:val="0"/>
          <w:sz w:val="30"/>
          <w:szCs w:val="30"/>
          <w:highlight w:val="none"/>
          <w:lang w:val="en-US" w:eastAsia="zh-CN"/>
        </w:rPr>
        <w:t>4</w:t>
      </w:r>
      <w:r>
        <w:rPr>
          <w:rFonts w:ascii="宋体" w:hAnsi="宋体" w:eastAsia="宋体" w:cs="宋体"/>
          <w:b/>
          <w:color w:val="auto"/>
          <w:kern w:val="0"/>
          <w:sz w:val="30"/>
          <w:szCs w:val="30"/>
          <w:highlight w:val="none"/>
        </w:rPr>
        <w:t xml:space="preserve">.1 </w:t>
      </w:r>
      <w:r>
        <w:rPr>
          <w:rFonts w:hint="eastAsia" w:ascii="宋体" w:hAnsi="宋体" w:eastAsia="宋体" w:cs="宋体"/>
          <w:b/>
          <w:color w:val="auto"/>
          <w:kern w:val="0"/>
          <w:sz w:val="30"/>
          <w:szCs w:val="30"/>
          <w:highlight w:val="none"/>
        </w:rPr>
        <w:t>投标报价表</w:t>
      </w:r>
      <w:bookmarkEnd w:id="623"/>
      <w:bookmarkEnd w:id="624"/>
      <w:bookmarkEnd w:id="625"/>
      <w:bookmarkEnd w:id="626"/>
      <w:bookmarkEnd w:id="627"/>
      <w:bookmarkEnd w:id="628"/>
      <w:bookmarkEnd w:id="629"/>
      <w:bookmarkEnd w:id="630"/>
      <w:bookmarkEnd w:id="631"/>
      <w:bookmarkEnd w:id="632"/>
      <w:bookmarkEnd w:id="633"/>
      <w:bookmarkEnd w:id="634"/>
      <w:bookmarkEnd w:id="635"/>
    </w:p>
    <w:p w14:paraId="4BCD8089">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14:paraId="0E0E6E28">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东莞市众源环境投资有限公司“特大城市市政污泥全过程管理体系”成效评估及提质增效路径研究技术服务采购项目</w:t>
      </w:r>
    </w:p>
    <w:p w14:paraId="44800C34">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广建咨询（东招）2025-0005号</w:t>
      </w:r>
    </w:p>
    <w:tbl>
      <w:tblPr>
        <w:tblStyle w:val="39"/>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6"/>
        <w:gridCol w:w="4729"/>
        <w:gridCol w:w="3273"/>
        <w:gridCol w:w="1332"/>
      </w:tblGrid>
      <w:tr w14:paraId="4AAE9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00" w:type="pct"/>
            <w:tcBorders>
              <w:top w:val="single" w:color="auto" w:sz="4" w:space="0"/>
              <w:left w:val="single" w:color="auto" w:sz="4" w:space="0"/>
              <w:bottom w:val="single" w:color="auto" w:sz="4" w:space="0"/>
              <w:right w:val="single" w:color="auto" w:sz="4" w:space="0"/>
            </w:tcBorders>
            <w:vAlign w:val="center"/>
          </w:tcPr>
          <w:p w14:paraId="4FC1940A">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2280" w:type="pct"/>
            <w:tcBorders>
              <w:top w:val="single" w:color="auto" w:sz="4" w:space="0"/>
              <w:left w:val="single" w:color="auto" w:sz="4" w:space="0"/>
              <w:bottom w:val="single" w:color="auto" w:sz="4" w:space="0"/>
              <w:right w:val="single" w:color="auto" w:sz="4" w:space="0"/>
            </w:tcBorders>
            <w:vAlign w:val="center"/>
          </w:tcPr>
          <w:p w14:paraId="018E2723">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名称</w:t>
            </w:r>
          </w:p>
        </w:tc>
        <w:tc>
          <w:tcPr>
            <w:tcW w:w="1578" w:type="pct"/>
            <w:tcBorders>
              <w:top w:val="single" w:color="auto" w:sz="4" w:space="0"/>
              <w:left w:val="single" w:color="auto" w:sz="4" w:space="0"/>
              <w:bottom w:val="single" w:color="auto" w:sz="4" w:space="0"/>
              <w:right w:val="single" w:color="auto" w:sz="4" w:space="0"/>
            </w:tcBorders>
            <w:vAlign w:val="center"/>
          </w:tcPr>
          <w:p w14:paraId="018D24E7">
            <w:pPr>
              <w:autoSpaceDE w:val="0"/>
              <w:autoSpaceDN w:val="0"/>
              <w:spacing w:line="360" w:lineRule="auto"/>
              <w:jc w:val="center"/>
              <w:rPr>
                <w:rFonts w:hint="default"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rPr>
              <w:t>投标报价（</w:t>
            </w:r>
            <w:r>
              <w:rPr>
                <w:rFonts w:hint="eastAsia" w:ascii="宋体" w:hAnsi="宋体" w:eastAsia="宋体" w:cs="Times New Roman"/>
                <w:b/>
                <w:color w:val="auto"/>
                <w:kern w:val="0"/>
                <w:szCs w:val="21"/>
                <w:highlight w:val="none"/>
                <w:lang w:val="en-US" w:eastAsia="zh-CN"/>
              </w:rPr>
              <w:t>不</w:t>
            </w:r>
            <w:r>
              <w:rPr>
                <w:rFonts w:hint="eastAsia" w:ascii="宋体" w:hAnsi="宋体" w:eastAsia="宋体" w:cs="Times New Roman"/>
                <w:b/>
                <w:color w:val="auto"/>
                <w:kern w:val="0"/>
                <w:szCs w:val="21"/>
                <w:highlight w:val="none"/>
              </w:rPr>
              <w:t>含</w:t>
            </w:r>
            <w:r>
              <w:rPr>
                <w:rFonts w:hint="eastAsia" w:ascii="宋体" w:hAnsi="宋体" w:eastAsia="宋体" w:cs="Times New Roman"/>
                <w:b/>
                <w:color w:val="auto"/>
                <w:kern w:val="0"/>
                <w:szCs w:val="21"/>
                <w:highlight w:val="none"/>
                <w:lang w:val="en-US" w:eastAsia="zh-CN"/>
              </w:rPr>
              <w:t>销项</w:t>
            </w:r>
            <w:r>
              <w:rPr>
                <w:rFonts w:hint="eastAsia" w:ascii="宋体" w:hAnsi="宋体" w:eastAsia="宋体" w:cs="Times New Roman"/>
                <w:b/>
                <w:color w:val="auto"/>
                <w:kern w:val="0"/>
                <w:szCs w:val="21"/>
                <w:highlight w:val="none"/>
              </w:rPr>
              <w:t>税，元）</w:t>
            </w:r>
          </w:p>
        </w:tc>
        <w:tc>
          <w:tcPr>
            <w:tcW w:w="642" w:type="pct"/>
            <w:tcBorders>
              <w:top w:val="single" w:color="auto" w:sz="4" w:space="0"/>
              <w:left w:val="single" w:color="auto" w:sz="4" w:space="0"/>
              <w:bottom w:val="single" w:color="auto" w:sz="4" w:space="0"/>
              <w:right w:val="single" w:color="auto" w:sz="4" w:space="0"/>
            </w:tcBorders>
            <w:vAlign w:val="center"/>
          </w:tcPr>
          <w:p w14:paraId="78BF7562">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tc>
      </w:tr>
      <w:tr w14:paraId="2EF7D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0" w:type="pct"/>
            <w:tcBorders>
              <w:top w:val="single" w:color="auto" w:sz="4" w:space="0"/>
              <w:left w:val="single" w:color="auto" w:sz="4" w:space="0"/>
              <w:right w:val="single" w:color="auto" w:sz="4" w:space="0"/>
            </w:tcBorders>
            <w:vAlign w:val="center"/>
          </w:tcPr>
          <w:p w14:paraId="2E18CD0D">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2280" w:type="pct"/>
            <w:tcBorders>
              <w:top w:val="single" w:color="auto" w:sz="4" w:space="0"/>
              <w:left w:val="single" w:color="auto" w:sz="4" w:space="0"/>
              <w:right w:val="single" w:color="auto" w:sz="4" w:space="0"/>
            </w:tcBorders>
            <w:vAlign w:val="center"/>
          </w:tcPr>
          <w:p w14:paraId="09AA2652">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东莞市众源环境投资有限公司“特大城市市政污泥全过程管理体系”成效评估及提质增效路径研究技术服务采购项目</w:t>
            </w:r>
          </w:p>
        </w:tc>
        <w:tc>
          <w:tcPr>
            <w:tcW w:w="1578" w:type="pct"/>
            <w:tcBorders>
              <w:top w:val="single" w:color="auto" w:sz="4" w:space="0"/>
              <w:left w:val="single" w:color="auto" w:sz="4" w:space="0"/>
              <w:right w:val="single" w:color="auto" w:sz="4" w:space="0"/>
            </w:tcBorders>
            <w:vAlign w:val="center"/>
          </w:tcPr>
          <w:p w14:paraId="7073752F">
            <w:pPr>
              <w:tabs>
                <w:tab w:val="left" w:pos="8610"/>
              </w:tabs>
              <w:spacing w:line="360" w:lineRule="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bidi="ar"/>
              </w:rPr>
              <w:t xml:space="preserve">    </w:t>
            </w:r>
          </w:p>
        </w:tc>
        <w:tc>
          <w:tcPr>
            <w:tcW w:w="642" w:type="pct"/>
            <w:tcBorders>
              <w:top w:val="single" w:color="auto" w:sz="4" w:space="0"/>
              <w:left w:val="single" w:color="auto" w:sz="4" w:space="0"/>
              <w:right w:val="single" w:color="auto" w:sz="4" w:space="0"/>
            </w:tcBorders>
            <w:vAlign w:val="center"/>
          </w:tcPr>
          <w:p w14:paraId="625BCCDA">
            <w:pPr>
              <w:tabs>
                <w:tab w:val="left" w:pos="8610"/>
              </w:tabs>
              <w:spacing w:line="360" w:lineRule="auto"/>
              <w:jc w:val="center"/>
              <w:rPr>
                <w:rFonts w:ascii="宋体" w:hAnsi="宋体" w:eastAsia="宋体" w:cs="Times New Roman"/>
                <w:color w:val="auto"/>
                <w:kern w:val="0"/>
                <w:szCs w:val="21"/>
                <w:highlight w:val="none"/>
              </w:rPr>
            </w:pPr>
          </w:p>
        </w:tc>
      </w:tr>
    </w:tbl>
    <w:p w14:paraId="51DF00ED">
      <w:pPr>
        <w:rPr>
          <w:rFonts w:ascii="宋体" w:hAnsi="宋体" w:eastAsia="宋体" w:cs="宋体"/>
          <w:color w:val="auto"/>
          <w:kern w:val="0"/>
          <w:sz w:val="20"/>
          <w:szCs w:val="21"/>
          <w:highlight w:val="none"/>
        </w:rPr>
      </w:pPr>
    </w:p>
    <w:p w14:paraId="7F6E5FB6">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53BCF83C">
      <w:pPr>
        <w:autoSpaceDE w:val="0"/>
        <w:autoSpaceDN w:val="0"/>
        <w:adjustRightInd w:val="0"/>
        <w:snapToGrid w:val="0"/>
        <w:spacing w:line="360" w:lineRule="auto"/>
        <w:ind w:left="605" w:leftChars="18"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b/>
          <w:color w:val="auto"/>
          <w:kern w:val="0"/>
          <w:szCs w:val="21"/>
          <w:highlight w:val="none"/>
          <w:u w:val="single"/>
        </w:rPr>
        <w:t>本项目投标报价为不含税价，即为《中华人民共和国增值税暂行条例》（国务院令第6</w:t>
      </w:r>
      <w:r>
        <w:rPr>
          <w:rFonts w:ascii="宋体" w:hAnsi="宋体" w:eastAsia="宋体" w:cs="Times New Roman"/>
          <w:b/>
          <w:color w:val="auto"/>
          <w:kern w:val="0"/>
          <w:szCs w:val="21"/>
          <w:highlight w:val="none"/>
          <w:u w:val="single"/>
        </w:rPr>
        <w:t>91</w:t>
      </w:r>
      <w:r>
        <w:rPr>
          <w:rFonts w:hint="eastAsia" w:ascii="宋体" w:hAnsi="宋体" w:eastAsia="宋体" w:cs="Times New Roman"/>
          <w:b/>
          <w:color w:val="auto"/>
          <w:kern w:val="0"/>
          <w:szCs w:val="21"/>
          <w:highlight w:val="none"/>
          <w:u w:val="single"/>
        </w:rPr>
        <w:t>号修订版）规定的销售额</w:t>
      </w:r>
      <w:r>
        <w:rPr>
          <w:rFonts w:hint="eastAsia" w:ascii="宋体" w:hAnsi="宋体" w:eastAsia="宋体" w:cs="Times New Roman"/>
          <w:color w:val="auto"/>
          <w:kern w:val="0"/>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Times New Roman"/>
          <w:color w:val="auto"/>
          <w:szCs w:val="21"/>
          <w:highlight w:val="none"/>
          <w:lang w:val="zh-CN"/>
        </w:rPr>
        <w:t>本采购项目的销项税额由招标人承担</w:t>
      </w:r>
      <w:r>
        <w:rPr>
          <w:rFonts w:hint="eastAsia" w:ascii="宋体" w:hAnsi="宋体" w:eastAsia="宋体" w:cs="Times New Roman"/>
          <w:color w:val="auto"/>
          <w:kern w:val="0"/>
          <w:szCs w:val="21"/>
          <w:highlight w:val="none"/>
        </w:rPr>
        <w:t>，不计入投标报价</w:t>
      </w:r>
      <w:r>
        <w:rPr>
          <w:rFonts w:hint="eastAsia" w:ascii="宋体" w:hAnsi="宋体" w:eastAsia="宋体" w:cs="Times New Roman"/>
          <w:color w:val="auto"/>
          <w:kern w:val="0"/>
          <w:szCs w:val="21"/>
          <w:highlight w:val="none"/>
          <w:lang w:eastAsia="zh-CN"/>
        </w:rPr>
        <w:t>。</w:t>
      </w:r>
    </w:p>
    <w:p w14:paraId="6F1D8568">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hint="eastAsia" w:ascii="宋体" w:hAnsi="宋体" w:eastAsia="宋体" w:cs="Times New Roman"/>
          <w:b/>
          <w:bCs/>
          <w:color w:val="auto"/>
          <w:kern w:val="0"/>
          <w:szCs w:val="21"/>
          <w:highlight w:val="none"/>
          <w:lang w:val="en-US" w:eastAsia="zh-CN"/>
        </w:rPr>
        <w:t>2</w:t>
      </w:r>
      <w:r>
        <w:rPr>
          <w:rFonts w:hint="eastAsia" w:ascii="宋体" w:hAnsi="宋体" w:eastAsia="宋体" w:cs="Times New Roman"/>
          <w:b/>
          <w:bCs/>
          <w:color w:val="auto"/>
          <w:kern w:val="0"/>
          <w:szCs w:val="21"/>
          <w:highlight w:val="none"/>
        </w:rPr>
        <w:t>）投标人的</w:t>
      </w:r>
      <w:r>
        <w:rPr>
          <w:rFonts w:hint="eastAsia" w:ascii="宋体" w:hAnsi="宋体" w:eastAsia="宋体" w:cs="Times New Roman"/>
          <w:b/>
          <w:bCs/>
          <w:color w:val="auto"/>
          <w:kern w:val="0"/>
          <w:szCs w:val="21"/>
          <w:highlight w:val="none"/>
          <w:lang w:val="en-US" w:eastAsia="zh-CN"/>
        </w:rPr>
        <w:t>不含销项税</w:t>
      </w:r>
      <w:r>
        <w:rPr>
          <w:rFonts w:hint="eastAsia" w:ascii="宋体" w:hAnsi="宋体" w:eastAsia="宋体" w:cs="Times New Roman"/>
          <w:b/>
          <w:bCs/>
          <w:color w:val="auto"/>
          <w:kern w:val="0"/>
          <w:szCs w:val="21"/>
          <w:highlight w:val="none"/>
        </w:rPr>
        <w:t>投标报价高于最高投标限价的</w:t>
      </w:r>
      <w:r>
        <w:rPr>
          <w:rFonts w:hint="eastAsia" w:ascii="宋体" w:hAnsi="宋体" w:eastAsia="宋体" w:cs="Times New Roman"/>
          <w:b/>
          <w:bCs/>
          <w:color w:val="auto"/>
          <w:kern w:val="0"/>
          <w:szCs w:val="21"/>
          <w:highlight w:val="none"/>
          <w:lang w:eastAsia="zh-CN"/>
        </w:rPr>
        <w:t>（</w:t>
      </w:r>
      <w:r>
        <w:rPr>
          <w:rFonts w:hint="eastAsia" w:ascii="宋体" w:hAnsi="宋体" w:eastAsia="宋体" w:cs="Times New Roman"/>
          <w:b/>
          <w:bCs/>
          <w:color w:val="auto"/>
          <w:kern w:val="0"/>
          <w:szCs w:val="21"/>
          <w:highlight w:val="none"/>
          <w:lang w:val="en-US" w:eastAsia="zh-CN"/>
        </w:rPr>
        <w:t>896,226.42元</w:t>
      </w:r>
      <w:r>
        <w:rPr>
          <w:rFonts w:hint="eastAsia" w:ascii="宋体" w:hAnsi="宋体" w:eastAsia="宋体" w:cs="Times New Roman"/>
          <w:b/>
          <w:bCs/>
          <w:color w:val="auto"/>
          <w:kern w:val="0"/>
          <w:szCs w:val="21"/>
          <w:highlight w:val="none"/>
          <w:lang w:eastAsia="zh-CN"/>
        </w:rPr>
        <w:t>），</w:t>
      </w:r>
      <w:r>
        <w:rPr>
          <w:rFonts w:hint="eastAsia" w:ascii="宋体" w:hAnsi="宋体" w:eastAsia="宋体" w:cs="Times New Roman"/>
          <w:b/>
          <w:bCs/>
          <w:color w:val="auto"/>
          <w:kern w:val="0"/>
          <w:szCs w:val="21"/>
          <w:highlight w:val="none"/>
        </w:rPr>
        <w:t>该投标人的投标文件将被视为无效投标。</w:t>
      </w:r>
    </w:p>
    <w:p w14:paraId="3C6222BA">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）投标文件的投标报价大写金额和小写金额不一致的，以大写金额为准。对不同文字文本投标文件的解释发生异议的，以中文文本为准。</w:t>
      </w:r>
    </w:p>
    <w:p w14:paraId="3D79F777">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4</w:t>
      </w:r>
      <w:r>
        <w:rPr>
          <w:rFonts w:hint="eastAsia" w:ascii="宋体" w:hAnsi="宋体" w:eastAsia="宋体" w:cs="Times New Roman"/>
          <w:color w:val="auto"/>
          <w:kern w:val="0"/>
          <w:szCs w:val="21"/>
          <w:highlight w:val="none"/>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44E5701D">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highlight w:val="none"/>
          <w:lang w:val="zh-CN"/>
        </w:rPr>
      </w:pP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Cs/>
          <w:color w:val="auto"/>
          <w:kern w:val="0"/>
          <w:szCs w:val="21"/>
          <w:highlight w:val="none"/>
          <w:lang w:val="en-US" w:eastAsia="zh-CN"/>
        </w:rPr>
        <w:t>5</w:t>
      </w:r>
      <w:r>
        <w:rPr>
          <w:rFonts w:hint="eastAsia" w:ascii="宋体" w:hAnsi="宋体" w:eastAsia="宋体" w:cs="Times New Roman"/>
          <w:bCs/>
          <w:color w:val="auto"/>
          <w:kern w:val="0"/>
          <w:szCs w:val="21"/>
          <w:highlight w:val="none"/>
          <w:lang w:val="zh-CN"/>
        </w:rPr>
        <w:t>）</w:t>
      </w:r>
      <w:r>
        <w:rPr>
          <w:rFonts w:hint="eastAsia" w:ascii="宋体" w:hAnsi="宋体" w:eastAsia="宋体" w:cs="Times New Roman"/>
          <w:color w:val="auto"/>
          <w:kern w:val="0"/>
          <w:szCs w:val="21"/>
          <w:highlight w:val="none"/>
        </w:rPr>
        <w:t>报价需保留小数点后两位，否则评标委员会按去“尾”或补“零”的方式进行修正为保留小数点后两位，投标人须接受被修正后的报价（例：如投标报价为0.789，则被修正为0.78；如投标报价为0.7，则被修正为0.70）。</w:t>
      </w:r>
    </w:p>
    <w:p w14:paraId="041F0B0F">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14:paraId="51582D4E">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14:paraId="2EF3F65E">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35BD2282">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23D78F1B">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7903DECB">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2"/>
          <w:szCs w:val="32"/>
          <w:highlight w:val="none"/>
        </w:rPr>
      </w:pPr>
      <w:r>
        <w:rPr>
          <w:rFonts w:ascii="宋体" w:hAnsi="宋体" w:eastAsia="宋体" w:cs="Times New Roman"/>
          <w:color w:val="auto"/>
          <w:szCs w:val="24"/>
          <w:highlight w:val="none"/>
          <w:lang w:val="zh-CN"/>
        </w:rPr>
        <w:br w:type="page"/>
      </w:r>
      <w:bookmarkStart w:id="636" w:name="_Toc31682"/>
      <w:bookmarkStart w:id="637" w:name="_Toc142508369"/>
      <w:bookmarkStart w:id="638" w:name="_Toc94107209"/>
      <w:bookmarkStart w:id="639" w:name="_Toc102860074"/>
      <w:bookmarkStart w:id="640" w:name="_Toc26516"/>
      <w:bookmarkStart w:id="641" w:name="_Toc104991875"/>
      <w:bookmarkStart w:id="642" w:name="_Toc23896"/>
      <w:bookmarkStart w:id="643" w:name="_Toc102860418"/>
      <w:bookmarkStart w:id="644" w:name="_Toc1267"/>
      <w:bookmarkStart w:id="645" w:name="_Toc1977725"/>
      <w:bookmarkStart w:id="646" w:name="_Toc6190"/>
      <w:bookmarkStart w:id="647" w:name="_Toc23083"/>
      <w:bookmarkStart w:id="648" w:name="_Toc140596928"/>
      <w:bookmarkStart w:id="649" w:name="_Toc20759_WPSOffice_Level2"/>
      <w:bookmarkStart w:id="650" w:name="_Toc486167712"/>
      <w:bookmarkStart w:id="651" w:name="_Toc533708124"/>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636"/>
      <w:bookmarkEnd w:id="637"/>
      <w:bookmarkEnd w:id="638"/>
      <w:bookmarkEnd w:id="639"/>
      <w:bookmarkEnd w:id="640"/>
      <w:bookmarkEnd w:id="641"/>
      <w:bookmarkEnd w:id="642"/>
      <w:bookmarkEnd w:id="643"/>
      <w:bookmarkEnd w:id="644"/>
      <w:bookmarkEnd w:id="645"/>
      <w:bookmarkEnd w:id="646"/>
      <w:bookmarkEnd w:id="647"/>
      <w:bookmarkEnd w:id="648"/>
    </w:p>
    <w:p w14:paraId="7A111B99">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p>
    <w:p w14:paraId="251ED770">
      <w:pPr>
        <w:autoSpaceDE/>
        <w:autoSpaceDN/>
        <w:adjustRightInd/>
        <w:spacing w:line="240" w:lineRule="auto"/>
        <w:jc w:val="left"/>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7083D4C">
      <w:pPr>
        <w:pStyle w:val="6"/>
        <w:rPr>
          <w:color w:val="auto"/>
          <w:highlight w:val="none"/>
        </w:rPr>
      </w:pPr>
    </w:p>
    <w:p w14:paraId="74779DD2">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52" w:name="_Toc7756"/>
      <w:bookmarkStart w:id="653" w:name="_Toc25013"/>
      <w:bookmarkStart w:id="654" w:name="_Toc21590"/>
      <w:bookmarkStart w:id="655" w:name="_Toc142508371"/>
      <w:bookmarkStart w:id="656" w:name="_Toc4868"/>
      <w:bookmarkStart w:id="657" w:name="_Toc1561"/>
      <w:bookmarkStart w:id="658" w:name="_Toc140596930"/>
      <w:bookmarkStart w:id="659" w:name="_Toc27861"/>
      <w:bookmarkStart w:id="660" w:name="_Toc94107211"/>
      <w:bookmarkStart w:id="661" w:name="_Toc102860420"/>
      <w:bookmarkStart w:id="662" w:name="_Toc104991877"/>
      <w:bookmarkStart w:id="663" w:name="_Toc102860076"/>
      <w:bookmarkStart w:id="664"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652"/>
      <w:bookmarkEnd w:id="653"/>
      <w:bookmarkEnd w:id="654"/>
      <w:bookmarkEnd w:id="655"/>
      <w:bookmarkEnd w:id="656"/>
      <w:bookmarkEnd w:id="657"/>
      <w:bookmarkEnd w:id="658"/>
      <w:bookmarkEnd w:id="659"/>
      <w:bookmarkEnd w:id="660"/>
      <w:bookmarkEnd w:id="661"/>
      <w:bookmarkEnd w:id="662"/>
      <w:bookmarkEnd w:id="663"/>
    </w:p>
    <w:p w14:paraId="317C78A2">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665" w:name="_Toc102860077"/>
      <w:bookmarkStart w:id="666" w:name="_Toc7441"/>
      <w:bookmarkStart w:id="667" w:name="_Toc140596931"/>
      <w:bookmarkStart w:id="668" w:name="_Toc94107212"/>
      <w:bookmarkStart w:id="669" w:name="_Toc9132"/>
      <w:bookmarkStart w:id="670" w:name="_Toc104991878"/>
      <w:bookmarkStart w:id="671" w:name="_Toc10961"/>
      <w:bookmarkStart w:id="672" w:name="_Toc25764"/>
      <w:bookmarkStart w:id="673" w:name="_Toc102860421"/>
      <w:bookmarkStart w:id="674" w:name="_Toc17202"/>
      <w:bookmarkStart w:id="675" w:name="_Toc17499"/>
      <w:bookmarkStart w:id="676" w:name="_Toc142508372"/>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665"/>
      <w:bookmarkEnd w:id="666"/>
      <w:bookmarkEnd w:id="667"/>
      <w:bookmarkEnd w:id="668"/>
      <w:bookmarkEnd w:id="669"/>
      <w:bookmarkEnd w:id="670"/>
      <w:bookmarkEnd w:id="671"/>
      <w:bookmarkEnd w:id="672"/>
      <w:bookmarkEnd w:id="673"/>
      <w:bookmarkEnd w:id="674"/>
      <w:bookmarkEnd w:id="675"/>
      <w:bookmarkEnd w:id="676"/>
    </w:p>
    <w:p w14:paraId="5797D41A">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649"/>
      <w:bookmarkEnd w:id="650"/>
      <w:bookmarkEnd w:id="651"/>
      <w:bookmarkEnd w:id="664"/>
    </w:p>
    <w:p w14:paraId="1F9A2CDE">
      <w:pPr>
        <w:spacing w:before="120" w:after="120" w:line="360" w:lineRule="auto"/>
        <w:ind w:firstLine="608" w:firstLineChars="202"/>
        <w:jc w:val="center"/>
        <w:rPr>
          <w:rFonts w:ascii="宋体" w:hAnsi="宋体" w:eastAsia="宋体" w:cs="宋体"/>
          <w:b/>
          <w:color w:val="auto"/>
          <w:sz w:val="30"/>
          <w:szCs w:val="30"/>
          <w:highlight w:val="none"/>
        </w:rPr>
      </w:pPr>
    </w:p>
    <w:p w14:paraId="7D305ED5">
      <w:pPr>
        <w:spacing w:before="120" w:after="120" w:line="360" w:lineRule="auto"/>
        <w:ind w:firstLine="608" w:firstLineChars="202"/>
        <w:jc w:val="center"/>
        <w:rPr>
          <w:rFonts w:ascii="宋体" w:hAnsi="宋体" w:eastAsia="宋体" w:cs="宋体"/>
          <w:b/>
          <w:bCs/>
          <w:color w:val="auto"/>
          <w:sz w:val="30"/>
          <w:szCs w:val="30"/>
          <w:highlight w:val="none"/>
        </w:rPr>
      </w:pPr>
      <w:bookmarkStart w:id="677" w:name="_Toc11033_WPSOffice_Level3"/>
      <w:r>
        <w:rPr>
          <w:rFonts w:hint="eastAsia" w:ascii="宋体" w:hAnsi="宋体" w:eastAsia="宋体" w:cs="宋体"/>
          <w:b/>
          <w:color w:val="auto"/>
          <w:sz w:val="30"/>
          <w:szCs w:val="30"/>
          <w:highlight w:val="none"/>
        </w:rPr>
        <w:t>法定代</w:t>
      </w:r>
      <w:bookmarkStart w:id="678" w:name="_Toc36971359"/>
      <w:bookmarkStart w:id="679" w:name="_Toc45995270"/>
      <w:r>
        <w:rPr>
          <w:rFonts w:hint="eastAsia" w:ascii="宋体" w:hAnsi="宋体" w:eastAsia="宋体" w:cs="宋体"/>
          <w:b/>
          <w:color w:val="auto"/>
          <w:sz w:val="30"/>
          <w:szCs w:val="30"/>
          <w:highlight w:val="none"/>
        </w:rPr>
        <w:t>表人身份证明书</w:t>
      </w:r>
      <w:bookmarkEnd w:id="677"/>
    </w:p>
    <w:bookmarkEnd w:id="678"/>
    <w:bookmarkEnd w:id="679"/>
    <w:p w14:paraId="627ECEBB">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6656FCE3">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65563D20">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19D49502">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3C0DCD9A">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5EFE76E0">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4B1F4F9F">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073C1BAF">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37E2D814">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4294DD40">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2C535A89"/>
                          <w:p w14:paraId="55607FA4"/>
                          <w:p w14:paraId="6DFE3352"/>
                          <w:p w14:paraId="6AC0013B"/>
                          <w:p w14:paraId="1D768BC7">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2C535A89"/>
                    <w:p w14:paraId="55607FA4"/>
                    <w:p w14:paraId="6DFE3352"/>
                    <w:p w14:paraId="6AC0013B"/>
                    <w:p w14:paraId="1D768BC7">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0C38503C"/>
                          <w:p w14:paraId="2127151F"/>
                          <w:p w14:paraId="211ED93E"/>
                          <w:p w14:paraId="5418D68F"/>
                          <w:p w14:paraId="057567AF">
                            <w:pPr>
                              <w:jc w:val="center"/>
                              <w:rPr>
                                <w:szCs w:val="21"/>
                              </w:rPr>
                            </w:pPr>
                            <w:r>
                              <w:rPr>
                                <w:rFonts w:hint="eastAsia"/>
                                <w:szCs w:val="21"/>
                              </w:rPr>
                              <w:t>法定代表人身份证反面</w:t>
                            </w:r>
                          </w:p>
                          <w:p w14:paraId="4FFE594C">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0C38503C"/>
                    <w:p w14:paraId="2127151F"/>
                    <w:p w14:paraId="211ED93E"/>
                    <w:p w14:paraId="5418D68F"/>
                    <w:p w14:paraId="057567AF">
                      <w:pPr>
                        <w:jc w:val="center"/>
                        <w:rPr>
                          <w:szCs w:val="21"/>
                        </w:rPr>
                      </w:pPr>
                      <w:r>
                        <w:rPr>
                          <w:rFonts w:hint="eastAsia"/>
                          <w:szCs w:val="21"/>
                        </w:rPr>
                        <w:t>法定代表人身份证反面</w:t>
                      </w:r>
                    </w:p>
                    <w:p w14:paraId="4FFE594C">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7F1BF0E0"/>
                          <w:p w14:paraId="0B836C83"/>
                          <w:p w14:paraId="352C091E"/>
                          <w:p w14:paraId="00B18542"/>
                          <w:p w14:paraId="0F063F2F">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7F1BF0E0"/>
                    <w:p w14:paraId="0B836C83"/>
                    <w:p w14:paraId="352C091E"/>
                    <w:p w14:paraId="00B18542"/>
                    <w:p w14:paraId="0F063F2F">
                      <w:pPr>
                        <w:jc w:val="center"/>
                      </w:pPr>
                      <w:r>
                        <w:rPr>
                          <w:rFonts w:hint="eastAsia"/>
                        </w:rPr>
                        <w:t>身份证正面</w:t>
                      </w:r>
                    </w:p>
                  </w:txbxContent>
                </v:textbox>
              </v:shape>
            </w:pict>
          </mc:Fallback>
        </mc:AlternateContent>
      </w:r>
    </w:p>
    <w:p w14:paraId="35C41B30">
      <w:pPr>
        <w:autoSpaceDE w:val="0"/>
        <w:autoSpaceDN w:val="0"/>
        <w:adjustRightInd w:val="0"/>
        <w:jc w:val="left"/>
        <w:rPr>
          <w:rFonts w:ascii="宋体" w:hAnsi="宋体" w:eastAsia="宋体" w:cs="宋体"/>
          <w:color w:val="auto"/>
          <w:kern w:val="0"/>
          <w:sz w:val="24"/>
          <w:szCs w:val="24"/>
          <w:highlight w:val="none"/>
        </w:rPr>
      </w:pPr>
    </w:p>
    <w:p w14:paraId="0969BB1B">
      <w:pPr>
        <w:autoSpaceDE w:val="0"/>
        <w:autoSpaceDN w:val="0"/>
        <w:adjustRightInd w:val="0"/>
        <w:jc w:val="left"/>
        <w:rPr>
          <w:rFonts w:ascii="宋体" w:hAnsi="宋体" w:eastAsia="宋体" w:cs="宋体"/>
          <w:color w:val="auto"/>
          <w:kern w:val="0"/>
          <w:sz w:val="24"/>
          <w:szCs w:val="24"/>
          <w:highlight w:val="none"/>
        </w:rPr>
      </w:pPr>
    </w:p>
    <w:p w14:paraId="4F8CCC3D">
      <w:pPr>
        <w:autoSpaceDE w:val="0"/>
        <w:autoSpaceDN w:val="0"/>
        <w:adjustRightInd w:val="0"/>
        <w:jc w:val="left"/>
        <w:rPr>
          <w:rFonts w:ascii="宋体" w:hAnsi="宋体" w:eastAsia="宋体" w:cs="宋体"/>
          <w:color w:val="auto"/>
          <w:kern w:val="0"/>
          <w:sz w:val="24"/>
          <w:szCs w:val="24"/>
          <w:highlight w:val="none"/>
        </w:rPr>
      </w:pPr>
    </w:p>
    <w:p w14:paraId="26180733">
      <w:pPr>
        <w:autoSpaceDE w:val="0"/>
        <w:autoSpaceDN w:val="0"/>
        <w:adjustRightInd w:val="0"/>
        <w:jc w:val="left"/>
        <w:rPr>
          <w:rFonts w:ascii="宋体" w:hAnsi="宋体" w:eastAsia="宋体" w:cs="宋体"/>
          <w:color w:val="auto"/>
          <w:kern w:val="0"/>
          <w:sz w:val="24"/>
          <w:szCs w:val="24"/>
          <w:highlight w:val="none"/>
        </w:rPr>
      </w:pPr>
    </w:p>
    <w:p w14:paraId="08CD89FF">
      <w:pPr>
        <w:autoSpaceDE w:val="0"/>
        <w:autoSpaceDN w:val="0"/>
        <w:adjustRightInd w:val="0"/>
        <w:jc w:val="left"/>
        <w:rPr>
          <w:rFonts w:ascii="宋体" w:hAnsi="宋体" w:eastAsia="宋体" w:cs="宋体"/>
          <w:color w:val="auto"/>
          <w:kern w:val="0"/>
          <w:sz w:val="24"/>
          <w:szCs w:val="24"/>
          <w:highlight w:val="none"/>
        </w:rPr>
      </w:pPr>
    </w:p>
    <w:p w14:paraId="39FD2341">
      <w:pPr>
        <w:autoSpaceDE w:val="0"/>
        <w:autoSpaceDN w:val="0"/>
        <w:adjustRightInd w:val="0"/>
        <w:jc w:val="left"/>
        <w:rPr>
          <w:rFonts w:ascii="宋体" w:hAnsi="宋体" w:eastAsia="宋体" w:cs="宋体"/>
          <w:color w:val="auto"/>
          <w:kern w:val="0"/>
          <w:sz w:val="24"/>
          <w:szCs w:val="24"/>
          <w:highlight w:val="none"/>
        </w:rPr>
      </w:pPr>
    </w:p>
    <w:p w14:paraId="15E76B17">
      <w:pPr>
        <w:autoSpaceDE w:val="0"/>
        <w:autoSpaceDN w:val="0"/>
        <w:adjustRightInd w:val="0"/>
        <w:jc w:val="left"/>
        <w:rPr>
          <w:rFonts w:ascii="宋体" w:hAnsi="宋体" w:eastAsia="宋体" w:cs="宋体"/>
          <w:color w:val="auto"/>
          <w:kern w:val="0"/>
          <w:sz w:val="24"/>
          <w:szCs w:val="24"/>
          <w:highlight w:val="none"/>
        </w:rPr>
      </w:pPr>
    </w:p>
    <w:p w14:paraId="556A8D4A">
      <w:pPr>
        <w:autoSpaceDE w:val="0"/>
        <w:autoSpaceDN w:val="0"/>
        <w:adjustRightInd w:val="0"/>
        <w:jc w:val="left"/>
        <w:rPr>
          <w:rFonts w:ascii="宋体" w:hAnsi="宋体" w:eastAsia="宋体" w:cs="宋体"/>
          <w:color w:val="auto"/>
          <w:kern w:val="0"/>
          <w:sz w:val="24"/>
          <w:szCs w:val="24"/>
          <w:highlight w:val="none"/>
        </w:rPr>
      </w:pPr>
    </w:p>
    <w:p w14:paraId="608BA9B0">
      <w:pPr>
        <w:autoSpaceDE w:val="0"/>
        <w:autoSpaceDN w:val="0"/>
        <w:adjustRightInd w:val="0"/>
        <w:jc w:val="left"/>
        <w:rPr>
          <w:rFonts w:ascii="宋体" w:hAnsi="宋体" w:eastAsia="宋体" w:cs="宋体"/>
          <w:color w:val="auto"/>
          <w:kern w:val="0"/>
          <w:sz w:val="24"/>
          <w:szCs w:val="24"/>
          <w:highlight w:val="none"/>
        </w:rPr>
      </w:pPr>
    </w:p>
    <w:p w14:paraId="1CD8331E">
      <w:pPr>
        <w:autoSpaceDE w:val="0"/>
        <w:autoSpaceDN w:val="0"/>
        <w:adjustRightInd w:val="0"/>
        <w:jc w:val="left"/>
        <w:rPr>
          <w:rFonts w:ascii="宋体" w:hAnsi="宋体" w:eastAsia="宋体" w:cs="宋体"/>
          <w:b/>
          <w:color w:val="auto"/>
          <w:kern w:val="0"/>
          <w:szCs w:val="21"/>
          <w:highlight w:val="none"/>
        </w:rPr>
      </w:pPr>
    </w:p>
    <w:p w14:paraId="21E80674">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025512AF">
      <w:pPr>
        <w:autoSpaceDE w:val="0"/>
        <w:autoSpaceDN w:val="0"/>
        <w:adjustRightInd w:val="0"/>
        <w:jc w:val="left"/>
        <w:rPr>
          <w:rFonts w:ascii="宋体" w:hAnsi="宋体" w:eastAsia="宋体" w:cs="宋体"/>
          <w:color w:val="auto"/>
          <w:kern w:val="0"/>
          <w:szCs w:val="21"/>
          <w:highlight w:val="none"/>
        </w:rPr>
      </w:pPr>
    </w:p>
    <w:p w14:paraId="2C9A1C6E">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590"/>
      <w:bookmarkEnd w:id="591"/>
      <w:bookmarkEnd w:id="592"/>
      <w:bookmarkStart w:id="680" w:name="_Toc533708125"/>
      <w:bookmarkStart w:id="681" w:name="_Toc1977727"/>
      <w:bookmarkStart w:id="682" w:name="_Toc486167713"/>
      <w:bookmarkStart w:id="683" w:name="_Toc6240_WPSOffice_Level2"/>
      <w:r>
        <w:rPr>
          <w:rFonts w:hint="eastAsia" w:ascii="宋体" w:hAnsi="宋体" w:eastAsia="宋体" w:cs="宋体"/>
          <w:b/>
          <w:color w:val="auto"/>
          <w:szCs w:val="24"/>
          <w:highlight w:val="none"/>
        </w:rPr>
        <w:t>（2）法定代表人授权书格式</w:t>
      </w:r>
      <w:bookmarkEnd w:id="680"/>
      <w:bookmarkEnd w:id="681"/>
      <w:bookmarkEnd w:id="682"/>
      <w:bookmarkEnd w:id="683"/>
    </w:p>
    <w:p w14:paraId="7C318D56">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20B3F415">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684" w:name="_Toc29146_WPSOffice_Level3"/>
      <w:r>
        <w:rPr>
          <w:rFonts w:hint="eastAsia" w:ascii="宋体" w:hAnsi="宋体" w:eastAsia="宋体" w:cs="宋体"/>
          <w:b/>
          <w:bCs/>
          <w:color w:val="auto"/>
          <w:sz w:val="30"/>
          <w:szCs w:val="30"/>
          <w:highlight w:val="none"/>
          <w:lang w:val="zh-CN"/>
        </w:rPr>
        <w:t>法定代表人授权书</w:t>
      </w:r>
      <w:bookmarkEnd w:id="684"/>
    </w:p>
    <w:p w14:paraId="017CFDC6">
      <w:pPr>
        <w:autoSpaceDE w:val="0"/>
        <w:autoSpaceDN w:val="0"/>
        <w:adjustRightInd w:val="0"/>
        <w:spacing w:line="360" w:lineRule="auto"/>
        <w:jc w:val="center"/>
        <w:rPr>
          <w:rFonts w:ascii="宋体" w:hAnsi="宋体" w:eastAsia="宋体" w:cs="宋体"/>
          <w:color w:val="auto"/>
          <w:szCs w:val="28"/>
          <w:highlight w:val="none"/>
          <w:lang w:val="zh-CN"/>
        </w:rPr>
      </w:pPr>
    </w:p>
    <w:p w14:paraId="662B86D3">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致：东莞市众源环境投资有限公司</w:t>
      </w:r>
    </w:p>
    <w:p w14:paraId="1741105C">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东莞市众源环境投资有限公司“特大城市市政污泥全过程管理体系”成效评估及提质增效路径研究技术服务采购项目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广建咨询（东招）2025-0005号</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6B27EEF7">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2496FAFE">
      <w:pPr>
        <w:spacing w:before="120" w:after="120" w:line="360" w:lineRule="auto"/>
        <w:ind w:left="348" w:leftChars="136" w:hanging="62"/>
        <w:rPr>
          <w:rFonts w:ascii="宋体" w:hAnsi="宋体" w:eastAsia="宋体" w:cs="宋体"/>
          <w:color w:val="auto"/>
          <w:szCs w:val="24"/>
          <w:highlight w:val="none"/>
        </w:rPr>
      </w:pPr>
    </w:p>
    <w:p w14:paraId="013B00C8">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4613E2F0">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1B8A9D43">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40B6C014">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68CD1ECD">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7FFDE838">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161A8E3F">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2C5C91B4">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06B168F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4170A42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2250615F"/>
                          <w:p w14:paraId="21F97C78"/>
                          <w:p w14:paraId="30952ED4"/>
                          <w:p w14:paraId="42B66FD2"/>
                          <w:p w14:paraId="1B18BFB8">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2250615F"/>
                    <w:p w14:paraId="21F97C78"/>
                    <w:p w14:paraId="30952ED4"/>
                    <w:p w14:paraId="42B66FD2"/>
                    <w:p w14:paraId="1B18BFB8">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35D00195"/>
                          <w:p w14:paraId="66FD1FC2"/>
                          <w:p w14:paraId="2D87DAA0"/>
                          <w:p w14:paraId="59FC315F"/>
                          <w:p w14:paraId="327A90A8">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35D00195"/>
                    <w:p w14:paraId="66FD1FC2"/>
                    <w:p w14:paraId="2D87DAA0"/>
                    <w:p w14:paraId="59FC315F"/>
                    <w:p w14:paraId="327A90A8">
                      <w:pPr>
                        <w:jc w:val="center"/>
                        <w:rPr>
                          <w:rFonts w:hAnsi="宋体"/>
                        </w:rPr>
                      </w:pPr>
                      <w:r>
                        <w:rPr>
                          <w:rFonts w:hint="eastAsia" w:hAnsi="宋体"/>
                        </w:rPr>
                        <w:t>法定代表人身份证正面</w:t>
                      </w:r>
                    </w:p>
                  </w:txbxContent>
                </v:textbox>
              </v:shape>
            </w:pict>
          </mc:Fallback>
        </mc:AlternateContent>
      </w:r>
    </w:p>
    <w:p w14:paraId="2E397EC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DE1C42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A3969F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95B25B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0F7C34E">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31AB25E">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2B1A06E">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CBA326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1D77BE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48108A73"/>
                          <w:p w14:paraId="7F5F2094">
                            <w:pPr>
                              <w:jc w:val="center"/>
                              <w:rPr>
                                <w:rFonts w:hAnsi="宋体"/>
                                <w:color w:val="FF0000"/>
                              </w:rPr>
                            </w:pPr>
                          </w:p>
                          <w:p w14:paraId="3F9D19BD">
                            <w:pPr>
                              <w:jc w:val="center"/>
                              <w:rPr>
                                <w:rFonts w:hAnsi="宋体"/>
                                <w:color w:val="FF0000"/>
                              </w:rPr>
                            </w:pPr>
                          </w:p>
                          <w:p w14:paraId="0A5E1FCB">
                            <w:pPr>
                              <w:jc w:val="center"/>
                              <w:rPr>
                                <w:rFonts w:hAnsi="宋体"/>
                                <w:color w:val="FF0000"/>
                              </w:rPr>
                            </w:pPr>
                          </w:p>
                          <w:p w14:paraId="019C822A">
                            <w:pPr>
                              <w:jc w:val="center"/>
                            </w:pPr>
                            <w:r>
                              <w:rPr>
                                <w:rFonts w:hint="eastAsia" w:hAnsi="宋体"/>
                              </w:rPr>
                              <w:t>被授权人身份证反面</w:t>
                            </w:r>
                          </w:p>
                          <w:p w14:paraId="590D5E2F"/>
                          <w:p w14:paraId="11AEF65B"/>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48108A73"/>
                    <w:p w14:paraId="7F5F2094">
                      <w:pPr>
                        <w:jc w:val="center"/>
                        <w:rPr>
                          <w:rFonts w:hAnsi="宋体"/>
                          <w:color w:val="FF0000"/>
                        </w:rPr>
                      </w:pPr>
                    </w:p>
                    <w:p w14:paraId="3F9D19BD">
                      <w:pPr>
                        <w:jc w:val="center"/>
                        <w:rPr>
                          <w:rFonts w:hAnsi="宋体"/>
                          <w:color w:val="FF0000"/>
                        </w:rPr>
                      </w:pPr>
                    </w:p>
                    <w:p w14:paraId="0A5E1FCB">
                      <w:pPr>
                        <w:jc w:val="center"/>
                        <w:rPr>
                          <w:rFonts w:hAnsi="宋体"/>
                          <w:color w:val="FF0000"/>
                        </w:rPr>
                      </w:pPr>
                    </w:p>
                    <w:p w14:paraId="019C822A">
                      <w:pPr>
                        <w:jc w:val="center"/>
                      </w:pPr>
                      <w:r>
                        <w:rPr>
                          <w:rFonts w:hint="eastAsia" w:hAnsi="宋体"/>
                        </w:rPr>
                        <w:t>被授权人身份证反面</w:t>
                      </w:r>
                    </w:p>
                    <w:p w14:paraId="590D5E2F"/>
                    <w:p w14:paraId="11AEF65B"/>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0C1154FA"/>
                          <w:p w14:paraId="7EBFA0F4">
                            <w:pPr>
                              <w:jc w:val="center"/>
                              <w:rPr>
                                <w:rFonts w:hAnsi="宋体"/>
                                <w:color w:val="FF0000"/>
                              </w:rPr>
                            </w:pPr>
                          </w:p>
                          <w:p w14:paraId="3E312A54">
                            <w:pPr>
                              <w:jc w:val="center"/>
                              <w:rPr>
                                <w:rFonts w:hAnsi="宋体"/>
                                <w:color w:val="FF0000"/>
                              </w:rPr>
                            </w:pPr>
                          </w:p>
                          <w:p w14:paraId="22FA3AFD">
                            <w:pPr>
                              <w:jc w:val="center"/>
                              <w:rPr>
                                <w:rFonts w:hAnsi="宋体"/>
                                <w:color w:val="FF0000"/>
                              </w:rPr>
                            </w:pPr>
                          </w:p>
                          <w:p w14:paraId="116F5239">
                            <w:pPr>
                              <w:jc w:val="center"/>
                            </w:pPr>
                            <w:r>
                              <w:rPr>
                                <w:rFonts w:hint="eastAsia" w:hAnsi="宋体"/>
                              </w:rPr>
                              <w:t>被授权人身份证正面</w:t>
                            </w:r>
                          </w:p>
                          <w:p w14:paraId="2D52C3DA"/>
                          <w:p w14:paraId="090AC36C"/>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0C1154FA"/>
                    <w:p w14:paraId="7EBFA0F4">
                      <w:pPr>
                        <w:jc w:val="center"/>
                        <w:rPr>
                          <w:rFonts w:hAnsi="宋体"/>
                          <w:color w:val="FF0000"/>
                        </w:rPr>
                      </w:pPr>
                    </w:p>
                    <w:p w14:paraId="3E312A54">
                      <w:pPr>
                        <w:jc w:val="center"/>
                        <w:rPr>
                          <w:rFonts w:hAnsi="宋体"/>
                          <w:color w:val="FF0000"/>
                        </w:rPr>
                      </w:pPr>
                    </w:p>
                    <w:p w14:paraId="22FA3AFD">
                      <w:pPr>
                        <w:jc w:val="center"/>
                        <w:rPr>
                          <w:rFonts w:hAnsi="宋体"/>
                          <w:color w:val="FF0000"/>
                        </w:rPr>
                      </w:pPr>
                    </w:p>
                    <w:p w14:paraId="116F5239">
                      <w:pPr>
                        <w:jc w:val="center"/>
                      </w:pPr>
                      <w:r>
                        <w:rPr>
                          <w:rFonts w:hint="eastAsia" w:hAnsi="宋体"/>
                        </w:rPr>
                        <w:t>被授权人身份证正面</w:t>
                      </w:r>
                    </w:p>
                    <w:p w14:paraId="2D52C3DA"/>
                    <w:p w14:paraId="090AC36C"/>
                  </w:txbxContent>
                </v:textbox>
              </v:shape>
            </w:pict>
          </mc:Fallback>
        </mc:AlternateContent>
      </w:r>
    </w:p>
    <w:p w14:paraId="520ED89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C4D9F8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F6B3B4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582A4D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43485C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7041A4E">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10" w:type="first"/>
          <w:footerReference r:id="rId9" w:type="default"/>
          <w:pgSz w:w="12240" w:h="15840"/>
          <w:pgMar w:top="1191" w:right="1043" w:bottom="1191" w:left="1043" w:header="720" w:footer="720" w:gutter="0"/>
          <w:pgNumType w:fmt="decimal"/>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3AC8B8B1">
      <w:pPr>
        <w:autoSpaceDE/>
        <w:autoSpaceDN/>
        <w:adjustRightInd/>
        <w:spacing w:line="360" w:lineRule="auto"/>
        <w:jc w:val="left"/>
        <w:outlineLvl w:val="2"/>
        <w:rPr>
          <w:rFonts w:hint="eastAsia" w:ascii="宋体" w:hAnsi="宋体" w:eastAsia="宋体" w:cs="宋体"/>
          <w:b/>
          <w:color w:val="auto"/>
          <w:kern w:val="0"/>
          <w:sz w:val="30"/>
          <w:szCs w:val="30"/>
          <w:highlight w:val="none"/>
        </w:rPr>
      </w:pPr>
      <w:bookmarkStart w:id="685" w:name="_Toc13341"/>
      <w:bookmarkStart w:id="686" w:name="_Toc142508373"/>
      <w:bookmarkStart w:id="687" w:name="_Toc7508"/>
      <w:bookmarkStart w:id="688" w:name="_Toc1977730"/>
      <w:bookmarkStart w:id="689" w:name="_Toc94107214"/>
      <w:bookmarkStart w:id="690" w:name="_Toc21843"/>
      <w:bookmarkStart w:id="691" w:name="_Toc104991880"/>
      <w:bookmarkStart w:id="692" w:name="_Toc8121"/>
      <w:bookmarkStart w:id="693" w:name="_Toc140596933"/>
      <w:bookmarkStart w:id="694" w:name="_Toc2728"/>
      <w:r>
        <w:rPr>
          <w:rFonts w:hint="eastAsia" w:ascii="宋体" w:hAnsi="宋体" w:eastAsia="宋体" w:cs="宋体"/>
          <w:b/>
          <w:color w:val="auto"/>
          <w:kern w:val="0"/>
          <w:sz w:val="30"/>
          <w:szCs w:val="30"/>
          <w:highlight w:val="none"/>
          <w:lang w:val="en-US" w:eastAsia="zh-CN"/>
        </w:rPr>
        <w:t>5.4</w:t>
      </w:r>
      <w:r>
        <w:rPr>
          <w:rFonts w:hint="eastAsia" w:ascii="宋体" w:hAnsi="宋体" w:eastAsia="宋体" w:cs="宋体"/>
          <w:b/>
          <w:color w:val="auto"/>
          <w:kern w:val="0"/>
          <w:sz w:val="30"/>
          <w:szCs w:val="30"/>
          <w:highlight w:val="none"/>
        </w:rPr>
        <w:t>资格业绩【投标人</w:t>
      </w:r>
      <w:r>
        <w:rPr>
          <w:rFonts w:hint="eastAsia" w:ascii="宋体" w:hAnsi="宋体" w:eastAsia="宋体" w:cs="宋体"/>
          <w:b/>
          <w:color w:val="auto"/>
          <w:kern w:val="0"/>
          <w:sz w:val="30"/>
          <w:szCs w:val="30"/>
          <w:highlight w:val="none"/>
          <w:lang w:eastAsia="zh-CN"/>
        </w:rPr>
        <w:t>2022年1月1日</w:t>
      </w:r>
      <w:r>
        <w:rPr>
          <w:rFonts w:hint="eastAsia" w:ascii="宋体" w:hAnsi="宋体" w:eastAsia="宋体" w:cs="宋体"/>
          <w:b/>
          <w:color w:val="auto"/>
          <w:kern w:val="0"/>
          <w:sz w:val="30"/>
          <w:szCs w:val="30"/>
          <w:highlight w:val="none"/>
        </w:rPr>
        <w:t>以来</w:t>
      </w:r>
      <w:r>
        <w:rPr>
          <w:rFonts w:hint="eastAsia" w:ascii="宋体" w:hAnsi="宋体" w:eastAsia="宋体" w:cs="宋体"/>
          <w:b/>
          <w:color w:val="auto"/>
          <w:kern w:val="0"/>
          <w:sz w:val="30"/>
          <w:szCs w:val="30"/>
          <w:highlight w:val="none"/>
          <w:lang w:val="en-US" w:eastAsia="zh-CN"/>
        </w:rPr>
        <w:t>具有一份</w:t>
      </w:r>
      <w:r>
        <w:rPr>
          <w:rFonts w:hint="eastAsia" w:ascii="宋体" w:hAnsi="宋体" w:eastAsia="宋体" w:cs="宋体"/>
          <w:b/>
          <w:color w:val="auto"/>
          <w:kern w:val="0"/>
          <w:sz w:val="30"/>
          <w:szCs w:val="30"/>
          <w:highlight w:val="none"/>
        </w:rPr>
        <w:t>生态环境领域</w:t>
      </w:r>
      <w:r>
        <w:rPr>
          <w:rFonts w:hint="eastAsia" w:ascii="宋体" w:hAnsi="宋体" w:eastAsia="宋体" w:cs="宋体"/>
          <w:b/>
          <w:color w:val="auto"/>
          <w:kern w:val="0"/>
          <w:sz w:val="30"/>
          <w:szCs w:val="30"/>
          <w:highlight w:val="none"/>
          <w:lang w:val="en-US" w:eastAsia="zh-CN"/>
        </w:rPr>
        <w:t>技术研究服务同类业绩</w:t>
      </w:r>
      <w:r>
        <w:rPr>
          <w:rFonts w:hint="eastAsia" w:ascii="宋体" w:hAnsi="宋体" w:eastAsia="宋体" w:cs="宋体"/>
          <w:b/>
          <w:color w:val="auto"/>
          <w:kern w:val="0"/>
          <w:sz w:val="30"/>
          <w:szCs w:val="30"/>
          <w:highlight w:val="none"/>
        </w:rPr>
        <w:t>（合同签订日期为</w:t>
      </w:r>
      <w:r>
        <w:rPr>
          <w:rFonts w:hint="eastAsia" w:ascii="宋体" w:hAnsi="宋体" w:eastAsia="宋体" w:cs="宋体"/>
          <w:b/>
          <w:color w:val="auto"/>
          <w:kern w:val="0"/>
          <w:sz w:val="30"/>
          <w:szCs w:val="30"/>
          <w:highlight w:val="none"/>
          <w:lang w:eastAsia="zh-CN"/>
        </w:rPr>
        <w:t>2022年1月1日</w:t>
      </w:r>
      <w:r>
        <w:rPr>
          <w:rFonts w:hint="eastAsia" w:ascii="宋体" w:hAnsi="宋体" w:eastAsia="宋体" w:cs="宋体"/>
          <w:b/>
          <w:color w:val="auto"/>
          <w:kern w:val="0"/>
          <w:sz w:val="30"/>
          <w:szCs w:val="30"/>
          <w:highlight w:val="none"/>
        </w:rPr>
        <w:t>或以后）</w:t>
      </w:r>
      <w:r>
        <w:rPr>
          <w:rFonts w:hint="eastAsia" w:ascii="宋体" w:hAnsi="宋体" w:eastAsia="宋体" w:cs="宋体"/>
          <w:b/>
          <w:color w:val="auto"/>
          <w:kern w:val="0"/>
          <w:sz w:val="30"/>
          <w:szCs w:val="30"/>
          <w:highlight w:val="none"/>
          <w:lang w:eastAsia="zh-CN"/>
        </w:rPr>
        <w:t>】</w:t>
      </w:r>
    </w:p>
    <w:tbl>
      <w:tblPr>
        <w:tblStyle w:val="39"/>
        <w:tblW w:w="45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802"/>
        <w:gridCol w:w="2982"/>
        <w:gridCol w:w="2035"/>
        <w:gridCol w:w="1370"/>
        <w:gridCol w:w="1175"/>
        <w:gridCol w:w="972"/>
      </w:tblGrid>
      <w:tr w14:paraId="0600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430" w:type="pct"/>
            <w:noWrap w:val="0"/>
            <w:vAlign w:val="center"/>
          </w:tcPr>
          <w:p w14:paraId="4ED809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96" w:type="pct"/>
            <w:noWrap w:val="0"/>
            <w:vAlign w:val="center"/>
          </w:tcPr>
          <w:p w14:paraId="4DACAC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089" w:type="pct"/>
            <w:noWrap w:val="0"/>
            <w:vAlign w:val="center"/>
          </w:tcPr>
          <w:p w14:paraId="6B4F8F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733" w:type="pct"/>
            <w:noWrap w:val="0"/>
            <w:vAlign w:val="center"/>
          </w:tcPr>
          <w:p w14:paraId="48A530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629" w:type="pct"/>
            <w:noWrap w:val="0"/>
            <w:vAlign w:val="center"/>
          </w:tcPr>
          <w:p w14:paraId="5B5AF8E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520" w:type="pct"/>
            <w:noWrap w:val="0"/>
            <w:vAlign w:val="center"/>
          </w:tcPr>
          <w:p w14:paraId="4087DCE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4FC1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430" w:type="pct"/>
            <w:noWrap w:val="0"/>
            <w:vAlign w:val="center"/>
          </w:tcPr>
          <w:p w14:paraId="22C56042">
            <w:pPr>
              <w:jc w:val="center"/>
              <w:rPr>
                <w:rFonts w:hint="eastAsia" w:ascii="宋体" w:hAnsi="宋体" w:eastAsia="宋体" w:cs="宋体"/>
                <w:color w:val="auto"/>
                <w:sz w:val="21"/>
                <w:szCs w:val="21"/>
                <w:highlight w:val="none"/>
              </w:rPr>
            </w:pPr>
          </w:p>
        </w:tc>
        <w:tc>
          <w:tcPr>
            <w:tcW w:w="1596" w:type="pct"/>
            <w:noWrap w:val="0"/>
            <w:vAlign w:val="center"/>
          </w:tcPr>
          <w:p w14:paraId="3CB65D6B">
            <w:pPr>
              <w:jc w:val="center"/>
              <w:rPr>
                <w:rFonts w:hint="eastAsia" w:ascii="宋体" w:hAnsi="宋体" w:eastAsia="宋体" w:cs="宋体"/>
                <w:color w:val="auto"/>
                <w:sz w:val="21"/>
                <w:szCs w:val="21"/>
                <w:highlight w:val="none"/>
              </w:rPr>
            </w:pPr>
          </w:p>
        </w:tc>
        <w:tc>
          <w:tcPr>
            <w:tcW w:w="1089" w:type="pct"/>
            <w:noWrap w:val="0"/>
            <w:vAlign w:val="center"/>
          </w:tcPr>
          <w:p w14:paraId="34439731">
            <w:pPr>
              <w:jc w:val="center"/>
              <w:rPr>
                <w:rFonts w:hint="eastAsia" w:ascii="宋体" w:hAnsi="宋体" w:eastAsia="宋体" w:cs="宋体"/>
                <w:color w:val="auto"/>
                <w:sz w:val="21"/>
                <w:szCs w:val="21"/>
                <w:highlight w:val="none"/>
              </w:rPr>
            </w:pPr>
          </w:p>
        </w:tc>
        <w:tc>
          <w:tcPr>
            <w:tcW w:w="733" w:type="pct"/>
            <w:noWrap w:val="0"/>
            <w:vAlign w:val="center"/>
          </w:tcPr>
          <w:p w14:paraId="6ABA9567">
            <w:pPr>
              <w:jc w:val="center"/>
              <w:rPr>
                <w:rFonts w:hint="eastAsia" w:ascii="宋体" w:hAnsi="宋体" w:eastAsia="宋体" w:cs="宋体"/>
                <w:color w:val="auto"/>
                <w:sz w:val="21"/>
                <w:szCs w:val="21"/>
                <w:highlight w:val="none"/>
              </w:rPr>
            </w:pPr>
          </w:p>
        </w:tc>
        <w:tc>
          <w:tcPr>
            <w:tcW w:w="629" w:type="pct"/>
            <w:noWrap w:val="0"/>
            <w:vAlign w:val="center"/>
          </w:tcPr>
          <w:p w14:paraId="20D27C6F">
            <w:pPr>
              <w:jc w:val="center"/>
              <w:rPr>
                <w:rFonts w:hint="eastAsia" w:ascii="宋体" w:hAnsi="宋体" w:eastAsia="宋体" w:cs="宋体"/>
                <w:color w:val="auto"/>
                <w:sz w:val="21"/>
                <w:szCs w:val="21"/>
                <w:highlight w:val="none"/>
              </w:rPr>
            </w:pPr>
          </w:p>
        </w:tc>
        <w:tc>
          <w:tcPr>
            <w:tcW w:w="520" w:type="pct"/>
            <w:noWrap w:val="0"/>
            <w:vAlign w:val="center"/>
          </w:tcPr>
          <w:p w14:paraId="52C2E87A">
            <w:pPr>
              <w:jc w:val="center"/>
              <w:rPr>
                <w:rFonts w:hint="eastAsia" w:ascii="宋体" w:hAnsi="宋体" w:eastAsia="宋体" w:cs="宋体"/>
                <w:color w:val="auto"/>
                <w:sz w:val="21"/>
                <w:szCs w:val="21"/>
                <w:highlight w:val="none"/>
              </w:rPr>
            </w:pPr>
          </w:p>
        </w:tc>
      </w:tr>
      <w:tr w14:paraId="302F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430" w:type="pct"/>
            <w:noWrap w:val="0"/>
            <w:vAlign w:val="center"/>
          </w:tcPr>
          <w:p w14:paraId="243D63EA">
            <w:pPr>
              <w:jc w:val="center"/>
              <w:rPr>
                <w:rFonts w:hint="eastAsia" w:ascii="宋体" w:hAnsi="宋体" w:eastAsia="宋体" w:cs="宋体"/>
                <w:color w:val="auto"/>
                <w:sz w:val="21"/>
                <w:szCs w:val="21"/>
                <w:highlight w:val="none"/>
              </w:rPr>
            </w:pPr>
          </w:p>
        </w:tc>
        <w:tc>
          <w:tcPr>
            <w:tcW w:w="1596" w:type="pct"/>
            <w:noWrap w:val="0"/>
            <w:vAlign w:val="center"/>
          </w:tcPr>
          <w:p w14:paraId="58EB57C2">
            <w:pPr>
              <w:jc w:val="center"/>
              <w:rPr>
                <w:rFonts w:hint="eastAsia" w:ascii="宋体" w:hAnsi="宋体" w:eastAsia="宋体" w:cs="宋体"/>
                <w:color w:val="auto"/>
                <w:sz w:val="21"/>
                <w:szCs w:val="21"/>
                <w:highlight w:val="none"/>
              </w:rPr>
            </w:pPr>
          </w:p>
        </w:tc>
        <w:tc>
          <w:tcPr>
            <w:tcW w:w="1089" w:type="pct"/>
            <w:noWrap w:val="0"/>
            <w:vAlign w:val="center"/>
          </w:tcPr>
          <w:p w14:paraId="64783324">
            <w:pPr>
              <w:jc w:val="center"/>
              <w:rPr>
                <w:rFonts w:hint="eastAsia" w:ascii="宋体" w:hAnsi="宋体" w:eastAsia="宋体" w:cs="宋体"/>
                <w:color w:val="auto"/>
                <w:sz w:val="21"/>
                <w:szCs w:val="21"/>
                <w:highlight w:val="none"/>
              </w:rPr>
            </w:pPr>
          </w:p>
        </w:tc>
        <w:tc>
          <w:tcPr>
            <w:tcW w:w="733" w:type="pct"/>
            <w:noWrap w:val="0"/>
            <w:vAlign w:val="center"/>
          </w:tcPr>
          <w:p w14:paraId="189C5C14">
            <w:pPr>
              <w:jc w:val="center"/>
              <w:rPr>
                <w:rFonts w:hint="eastAsia" w:ascii="宋体" w:hAnsi="宋体" w:eastAsia="宋体" w:cs="宋体"/>
                <w:color w:val="auto"/>
                <w:sz w:val="21"/>
                <w:szCs w:val="21"/>
                <w:highlight w:val="none"/>
              </w:rPr>
            </w:pPr>
          </w:p>
        </w:tc>
        <w:tc>
          <w:tcPr>
            <w:tcW w:w="629" w:type="pct"/>
            <w:noWrap w:val="0"/>
            <w:vAlign w:val="center"/>
          </w:tcPr>
          <w:p w14:paraId="14BB06BB">
            <w:pPr>
              <w:jc w:val="center"/>
              <w:rPr>
                <w:rFonts w:hint="eastAsia" w:ascii="宋体" w:hAnsi="宋体" w:eastAsia="宋体" w:cs="宋体"/>
                <w:color w:val="auto"/>
                <w:sz w:val="21"/>
                <w:szCs w:val="21"/>
                <w:highlight w:val="none"/>
              </w:rPr>
            </w:pPr>
          </w:p>
        </w:tc>
        <w:tc>
          <w:tcPr>
            <w:tcW w:w="520" w:type="pct"/>
            <w:noWrap w:val="0"/>
            <w:vAlign w:val="center"/>
          </w:tcPr>
          <w:p w14:paraId="69087C7D">
            <w:pPr>
              <w:jc w:val="center"/>
              <w:rPr>
                <w:rFonts w:hint="eastAsia" w:ascii="宋体" w:hAnsi="宋体" w:eastAsia="宋体" w:cs="宋体"/>
                <w:color w:val="auto"/>
                <w:sz w:val="21"/>
                <w:szCs w:val="21"/>
                <w:highlight w:val="none"/>
              </w:rPr>
            </w:pPr>
          </w:p>
        </w:tc>
      </w:tr>
      <w:tr w14:paraId="7A1A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430" w:type="pct"/>
            <w:noWrap w:val="0"/>
            <w:vAlign w:val="center"/>
          </w:tcPr>
          <w:p w14:paraId="3FB52CEE">
            <w:pPr>
              <w:jc w:val="center"/>
              <w:rPr>
                <w:rFonts w:hint="eastAsia" w:ascii="宋体" w:hAnsi="宋体" w:eastAsia="宋体" w:cs="宋体"/>
                <w:color w:val="auto"/>
                <w:sz w:val="21"/>
                <w:szCs w:val="21"/>
                <w:highlight w:val="none"/>
              </w:rPr>
            </w:pPr>
          </w:p>
        </w:tc>
        <w:tc>
          <w:tcPr>
            <w:tcW w:w="1596" w:type="pct"/>
            <w:noWrap w:val="0"/>
            <w:vAlign w:val="center"/>
          </w:tcPr>
          <w:p w14:paraId="29683DC0">
            <w:pPr>
              <w:jc w:val="center"/>
              <w:rPr>
                <w:rFonts w:hint="eastAsia" w:ascii="宋体" w:hAnsi="宋体" w:eastAsia="宋体" w:cs="宋体"/>
                <w:color w:val="auto"/>
                <w:sz w:val="21"/>
                <w:szCs w:val="21"/>
                <w:highlight w:val="none"/>
              </w:rPr>
            </w:pPr>
          </w:p>
        </w:tc>
        <w:tc>
          <w:tcPr>
            <w:tcW w:w="1089" w:type="pct"/>
            <w:noWrap w:val="0"/>
            <w:vAlign w:val="center"/>
          </w:tcPr>
          <w:p w14:paraId="1E6A838B">
            <w:pPr>
              <w:jc w:val="center"/>
              <w:rPr>
                <w:rFonts w:hint="eastAsia" w:ascii="宋体" w:hAnsi="宋体" w:eastAsia="宋体" w:cs="宋体"/>
                <w:color w:val="auto"/>
                <w:sz w:val="21"/>
                <w:szCs w:val="21"/>
                <w:highlight w:val="none"/>
              </w:rPr>
            </w:pPr>
          </w:p>
        </w:tc>
        <w:tc>
          <w:tcPr>
            <w:tcW w:w="733" w:type="pct"/>
            <w:noWrap w:val="0"/>
            <w:vAlign w:val="center"/>
          </w:tcPr>
          <w:p w14:paraId="4DFF6F88">
            <w:pPr>
              <w:jc w:val="center"/>
              <w:rPr>
                <w:rFonts w:hint="eastAsia" w:ascii="宋体" w:hAnsi="宋体" w:eastAsia="宋体" w:cs="宋体"/>
                <w:color w:val="auto"/>
                <w:sz w:val="21"/>
                <w:szCs w:val="21"/>
                <w:highlight w:val="none"/>
              </w:rPr>
            </w:pPr>
          </w:p>
        </w:tc>
        <w:tc>
          <w:tcPr>
            <w:tcW w:w="629" w:type="pct"/>
            <w:noWrap w:val="0"/>
            <w:vAlign w:val="center"/>
          </w:tcPr>
          <w:p w14:paraId="5717F794">
            <w:pPr>
              <w:jc w:val="center"/>
              <w:rPr>
                <w:rFonts w:hint="eastAsia" w:ascii="宋体" w:hAnsi="宋体" w:eastAsia="宋体" w:cs="宋体"/>
                <w:color w:val="auto"/>
                <w:sz w:val="21"/>
                <w:szCs w:val="21"/>
                <w:highlight w:val="none"/>
              </w:rPr>
            </w:pPr>
          </w:p>
        </w:tc>
        <w:tc>
          <w:tcPr>
            <w:tcW w:w="520" w:type="pct"/>
            <w:noWrap w:val="0"/>
            <w:vAlign w:val="center"/>
          </w:tcPr>
          <w:p w14:paraId="30131CA8">
            <w:pPr>
              <w:jc w:val="center"/>
              <w:rPr>
                <w:rFonts w:hint="eastAsia" w:ascii="宋体" w:hAnsi="宋体" w:eastAsia="宋体" w:cs="宋体"/>
                <w:color w:val="auto"/>
                <w:sz w:val="21"/>
                <w:szCs w:val="21"/>
                <w:highlight w:val="none"/>
              </w:rPr>
            </w:pPr>
          </w:p>
        </w:tc>
      </w:tr>
      <w:tr w14:paraId="0A3E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430" w:type="pct"/>
            <w:noWrap w:val="0"/>
            <w:vAlign w:val="center"/>
          </w:tcPr>
          <w:p w14:paraId="35E666BE">
            <w:pPr>
              <w:jc w:val="center"/>
              <w:rPr>
                <w:rFonts w:hint="eastAsia" w:ascii="宋体" w:hAnsi="宋体" w:eastAsia="宋体" w:cs="宋体"/>
                <w:color w:val="auto"/>
                <w:sz w:val="21"/>
                <w:szCs w:val="21"/>
                <w:highlight w:val="none"/>
              </w:rPr>
            </w:pPr>
          </w:p>
        </w:tc>
        <w:tc>
          <w:tcPr>
            <w:tcW w:w="1596" w:type="pct"/>
            <w:noWrap w:val="0"/>
            <w:vAlign w:val="center"/>
          </w:tcPr>
          <w:p w14:paraId="27BDB934">
            <w:pPr>
              <w:jc w:val="center"/>
              <w:rPr>
                <w:rFonts w:hint="eastAsia" w:ascii="宋体" w:hAnsi="宋体" w:eastAsia="宋体" w:cs="宋体"/>
                <w:color w:val="auto"/>
                <w:sz w:val="21"/>
                <w:szCs w:val="21"/>
                <w:highlight w:val="none"/>
              </w:rPr>
            </w:pPr>
          </w:p>
        </w:tc>
        <w:tc>
          <w:tcPr>
            <w:tcW w:w="1089" w:type="pct"/>
            <w:noWrap w:val="0"/>
            <w:vAlign w:val="center"/>
          </w:tcPr>
          <w:p w14:paraId="471B77B3">
            <w:pPr>
              <w:jc w:val="center"/>
              <w:rPr>
                <w:rFonts w:hint="eastAsia" w:ascii="宋体" w:hAnsi="宋体" w:eastAsia="宋体" w:cs="宋体"/>
                <w:color w:val="auto"/>
                <w:sz w:val="21"/>
                <w:szCs w:val="21"/>
                <w:highlight w:val="none"/>
              </w:rPr>
            </w:pPr>
          </w:p>
        </w:tc>
        <w:tc>
          <w:tcPr>
            <w:tcW w:w="733" w:type="pct"/>
            <w:noWrap w:val="0"/>
            <w:vAlign w:val="center"/>
          </w:tcPr>
          <w:p w14:paraId="11B5B1BD">
            <w:pPr>
              <w:jc w:val="center"/>
              <w:rPr>
                <w:rFonts w:hint="eastAsia" w:ascii="宋体" w:hAnsi="宋体" w:eastAsia="宋体" w:cs="宋体"/>
                <w:color w:val="auto"/>
                <w:sz w:val="21"/>
                <w:szCs w:val="21"/>
                <w:highlight w:val="none"/>
              </w:rPr>
            </w:pPr>
          </w:p>
        </w:tc>
        <w:tc>
          <w:tcPr>
            <w:tcW w:w="629" w:type="pct"/>
            <w:noWrap w:val="0"/>
            <w:vAlign w:val="center"/>
          </w:tcPr>
          <w:p w14:paraId="5A814CFF">
            <w:pPr>
              <w:jc w:val="center"/>
              <w:rPr>
                <w:rFonts w:hint="eastAsia" w:ascii="宋体" w:hAnsi="宋体" w:eastAsia="宋体" w:cs="宋体"/>
                <w:color w:val="auto"/>
                <w:sz w:val="21"/>
                <w:szCs w:val="21"/>
                <w:highlight w:val="none"/>
              </w:rPr>
            </w:pPr>
          </w:p>
        </w:tc>
        <w:tc>
          <w:tcPr>
            <w:tcW w:w="520" w:type="pct"/>
            <w:noWrap w:val="0"/>
            <w:vAlign w:val="center"/>
          </w:tcPr>
          <w:p w14:paraId="4296E6BF">
            <w:pPr>
              <w:jc w:val="center"/>
              <w:rPr>
                <w:rFonts w:hint="eastAsia" w:ascii="宋体" w:hAnsi="宋体" w:eastAsia="宋体" w:cs="宋体"/>
                <w:color w:val="auto"/>
                <w:sz w:val="21"/>
                <w:szCs w:val="21"/>
                <w:highlight w:val="none"/>
              </w:rPr>
            </w:pPr>
          </w:p>
        </w:tc>
      </w:tr>
    </w:tbl>
    <w:p w14:paraId="338A0A42">
      <w:pPr>
        <w:snapToGrid w:val="0"/>
        <w:spacing w:line="360" w:lineRule="auto"/>
        <w:rPr>
          <w:rFonts w:hAnsi="宋体"/>
          <w:b/>
          <w:color w:val="auto"/>
          <w:sz w:val="21"/>
          <w:szCs w:val="21"/>
          <w:highlight w:val="none"/>
        </w:rPr>
      </w:pPr>
    </w:p>
    <w:p w14:paraId="7FB98732">
      <w:pPr>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资格业绩证明材料提交要求：</w:t>
      </w:r>
    </w:p>
    <w:p w14:paraId="5A887316">
      <w:pPr>
        <w:snapToGrid w:val="0"/>
        <w:spacing w:line="360" w:lineRule="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业绩中的“</w:t>
      </w:r>
      <w:r>
        <w:rPr>
          <w:rFonts w:hint="eastAsia" w:ascii="宋体" w:hAnsi="宋体" w:eastAsia="宋体" w:cs="宋体"/>
          <w:bCs/>
          <w:color w:val="auto"/>
          <w:szCs w:val="21"/>
          <w:highlight w:val="none"/>
        </w:rPr>
        <w:t>生态环境领域</w:t>
      </w:r>
      <w:r>
        <w:rPr>
          <w:rFonts w:hint="eastAsia" w:ascii="宋体" w:hAnsi="宋体" w:eastAsia="宋体" w:cs="宋体"/>
          <w:bCs/>
          <w:color w:val="auto"/>
          <w:sz w:val="21"/>
          <w:szCs w:val="21"/>
          <w:highlight w:val="none"/>
          <w:lang w:val="en-US" w:eastAsia="zh-CN"/>
        </w:rPr>
        <w:t>”是指包含</w:t>
      </w:r>
      <w:r>
        <w:rPr>
          <w:rFonts w:hint="eastAsia" w:ascii="宋体" w:hAnsi="宋体" w:eastAsia="宋体" w:cs="宋体"/>
          <w:bCs/>
          <w:color w:val="auto"/>
          <w:szCs w:val="21"/>
          <w:highlight w:val="none"/>
        </w:rPr>
        <w:t>水污染治理</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或</w:t>
      </w:r>
      <w:r>
        <w:rPr>
          <w:rFonts w:hint="eastAsia" w:ascii="宋体" w:hAnsi="宋体" w:eastAsia="宋体" w:cs="宋体"/>
          <w:bCs/>
          <w:color w:val="auto"/>
          <w:szCs w:val="21"/>
          <w:highlight w:val="none"/>
        </w:rPr>
        <w:t>大气污染治理</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或</w:t>
      </w:r>
      <w:r>
        <w:rPr>
          <w:rFonts w:hint="eastAsia" w:ascii="宋体" w:hAnsi="宋体" w:eastAsia="宋体" w:cs="宋体"/>
          <w:bCs/>
          <w:color w:val="auto"/>
          <w:szCs w:val="21"/>
          <w:highlight w:val="none"/>
        </w:rPr>
        <w:t>固体废弃物处理处置</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或</w:t>
      </w:r>
      <w:r>
        <w:rPr>
          <w:rFonts w:hint="eastAsia" w:ascii="宋体" w:hAnsi="宋体" w:eastAsia="宋体" w:cs="宋体"/>
          <w:bCs/>
          <w:color w:val="auto"/>
          <w:szCs w:val="21"/>
          <w:highlight w:val="none"/>
        </w:rPr>
        <w:t>物理污染治理</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或</w:t>
      </w:r>
      <w:r>
        <w:rPr>
          <w:rFonts w:hint="eastAsia" w:ascii="宋体" w:hAnsi="宋体" w:eastAsia="宋体" w:cs="宋体"/>
          <w:bCs/>
          <w:color w:val="auto"/>
          <w:szCs w:val="21"/>
          <w:highlight w:val="none"/>
        </w:rPr>
        <w:t>生态修复</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范围的领域。</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生态环境领域</w:t>
      </w:r>
      <w:r>
        <w:rPr>
          <w:rFonts w:hint="eastAsia" w:ascii="宋体" w:hAnsi="宋体" w:eastAsia="宋体" w:cs="宋体"/>
          <w:bCs/>
          <w:color w:val="auto"/>
          <w:szCs w:val="21"/>
          <w:highlight w:val="none"/>
          <w:lang w:val="en-US" w:eastAsia="zh-CN"/>
        </w:rPr>
        <w:t>技术研究服务同类业绩</w:t>
      </w:r>
      <w:r>
        <w:rPr>
          <w:rFonts w:hint="eastAsia" w:ascii="宋体" w:hAnsi="宋体" w:eastAsia="宋体" w:cs="宋体"/>
          <w:bCs/>
          <w:color w:val="auto"/>
          <w:szCs w:val="21"/>
          <w:highlight w:val="none"/>
          <w:lang w:eastAsia="zh-CN"/>
        </w:rPr>
        <w:t>”是</w:t>
      </w:r>
      <w:r>
        <w:rPr>
          <w:rFonts w:hint="eastAsia" w:ascii="宋体" w:hAnsi="宋体" w:eastAsia="宋体" w:cs="宋体"/>
          <w:bCs/>
          <w:color w:val="auto"/>
          <w:szCs w:val="21"/>
          <w:highlight w:val="none"/>
          <w:lang w:val="en-US" w:eastAsia="zh-CN"/>
        </w:rPr>
        <w:t>指该业绩包含</w:t>
      </w:r>
      <w:r>
        <w:rPr>
          <w:rFonts w:hint="eastAsia" w:ascii="宋体" w:hAnsi="宋体" w:eastAsia="宋体" w:cs="宋体"/>
          <w:bCs/>
          <w:color w:val="auto"/>
          <w:szCs w:val="21"/>
          <w:highlight w:val="none"/>
        </w:rPr>
        <w:t>生态环境领域</w:t>
      </w:r>
      <w:r>
        <w:rPr>
          <w:rFonts w:hint="eastAsia" w:ascii="宋体" w:hAnsi="宋体" w:eastAsia="宋体" w:cs="宋体"/>
          <w:bCs/>
          <w:color w:val="auto"/>
          <w:szCs w:val="21"/>
          <w:highlight w:val="none"/>
          <w:lang w:eastAsia="zh-CN"/>
        </w:rPr>
        <w:t>的</w:t>
      </w:r>
      <w:r>
        <w:rPr>
          <w:rFonts w:hint="eastAsia" w:ascii="宋体" w:hAnsi="宋体" w:eastAsia="宋体" w:cs="宋体"/>
          <w:bCs/>
          <w:color w:val="auto"/>
          <w:szCs w:val="21"/>
          <w:highlight w:val="none"/>
          <w:lang w:val="en-US" w:eastAsia="zh-CN"/>
        </w:rPr>
        <w:t>全过程管理（或处理技术，</w:t>
      </w:r>
      <w:r>
        <w:rPr>
          <w:rFonts w:hint="eastAsia" w:ascii="宋体" w:hAnsi="宋体" w:eastAsia="宋体" w:cs="Times New Roman"/>
          <w:b w:val="0"/>
          <w:bCs/>
          <w:color w:val="auto"/>
          <w:kern w:val="0"/>
          <w:sz w:val="21"/>
          <w:szCs w:val="21"/>
          <w:highlight w:val="none"/>
          <w:lang w:val="en-US" w:eastAsia="zh-CN"/>
        </w:rPr>
        <w:t>或应用技术</w:t>
      </w:r>
      <w:r>
        <w:rPr>
          <w:rFonts w:hint="eastAsia" w:ascii="宋体" w:hAnsi="宋体" w:eastAsia="宋体" w:cs="宋体"/>
          <w:bCs/>
          <w:color w:val="auto"/>
          <w:szCs w:val="21"/>
          <w:highlight w:val="none"/>
          <w:lang w:val="en-US" w:eastAsia="zh-CN"/>
        </w:rPr>
        <w:t>）</w:t>
      </w:r>
      <w:r>
        <w:rPr>
          <w:rFonts w:hint="eastAsia" w:ascii="宋体" w:hAnsi="宋体" w:eastAsia="宋体" w:cs="Times New Roman"/>
          <w:b w:val="0"/>
          <w:bCs/>
          <w:color w:val="auto"/>
          <w:kern w:val="0"/>
          <w:sz w:val="21"/>
          <w:szCs w:val="21"/>
          <w:highlight w:val="none"/>
          <w:lang w:val="en-US" w:eastAsia="zh-CN"/>
        </w:rPr>
        <w:t>的技术研究（或评估研究，或规范研究，或政策研究）</w:t>
      </w:r>
      <w:r>
        <w:rPr>
          <w:rFonts w:hint="eastAsia" w:ascii="宋体" w:hAnsi="宋体" w:eastAsia="宋体" w:cs="宋体"/>
          <w:bCs/>
          <w:color w:val="auto"/>
          <w:szCs w:val="21"/>
          <w:highlight w:val="none"/>
          <w:lang w:val="en-US" w:eastAsia="zh-CN"/>
        </w:rPr>
        <w:t>服务内容的业绩；</w:t>
      </w:r>
    </w:p>
    <w:p w14:paraId="5CA59E27">
      <w:pPr>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业绩须附合同复印件（合同服务提供方为投标人）；</w:t>
      </w:r>
    </w:p>
    <w:p w14:paraId="7ABD48B4">
      <w:pPr>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）若合同及证明文件无法反映资格条件（合同签订日期为</w:t>
      </w:r>
      <w:r>
        <w:rPr>
          <w:rFonts w:hint="eastAsia" w:ascii="宋体" w:hAnsi="宋体" w:eastAsia="宋体" w:cs="宋体"/>
          <w:bCs/>
          <w:color w:val="auto"/>
          <w:sz w:val="21"/>
          <w:szCs w:val="21"/>
          <w:highlight w:val="none"/>
          <w:lang w:eastAsia="zh-CN"/>
        </w:rPr>
        <w:t>2022年1月1日</w:t>
      </w:r>
      <w:r>
        <w:rPr>
          <w:rFonts w:hint="eastAsia" w:ascii="宋体" w:hAnsi="宋体" w:eastAsia="宋体" w:cs="宋体"/>
          <w:bCs/>
          <w:color w:val="auto"/>
          <w:sz w:val="21"/>
          <w:szCs w:val="21"/>
          <w:highlight w:val="none"/>
        </w:rPr>
        <w:t>或以后</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合同服务内容必须包含</w:t>
      </w:r>
      <w:r>
        <w:rPr>
          <w:rFonts w:hint="eastAsia" w:ascii="宋体" w:hAnsi="宋体" w:eastAsia="宋体" w:cs="宋体"/>
          <w:bCs/>
          <w:color w:val="auto"/>
          <w:szCs w:val="21"/>
          <w:highlight w:val="none"/>
        </w:rPr>
        <w:t>生态环境领域</w:t>
      </w:r>
      <w:r>
        <w:rPr>
          <w:rFonts w:hint="eastAsia" w:ascii="宋体" w:hAnsi="宋体" w:eastAsia="宋体" w:cs="宋体"/>
          <w:bCs/>
          <w:color w:val="auto"/>
          <w:szCs w:val="21"/>
          <w:highlight w:val="none"/>
          <w:lang w:val="en-US" w:eastAsia="zh-CN"/>
        </w:rPr>
        <w:t>技术研究服务</w:t>
      </w:r>
      <w:r>
        <w:rPr>
          <w:rFonts w:hint="eastAsia" w:ascii="宋体" w:hAnsi="宋体" w:eastAsia="宋体" w:cs="宋体"/>
          <w:bCs/>
          <w:color w:val="auto"/>
          <w:sz w:val="21"/>
          <w:szCs w:val="21"/>
          <w:highlight w:val="none"/>
        </w:rPr>
        <w:t>）的，还需提供服务购买方出具的书面补充说明文件复印件作为辅助证明（复印件能显示服务</w:t>
      </w:r>
      <w:r>
        <w:rPr>
          <w:rFonts w:hint="eastAsia" w:ascii="宋体" w:hAnsi="宋体" w:eastAsia="宋体" w:cs="宋体"/>
          <w:bCs/>
          <w:color w:val="auto"/>
          <w:sz w:val="21"/>
          <w:szCs w:val="21"/>
          <w:highlight w:val="none"/>
          <w:lang w:eastAsia="zh-CN"/>
        </w:rPr>
        <w:t>招标人公章</w:t>
      </w:r>
      <w:r>
        <w:rPr>
          <w:rFonts w:hint="eastAsia" w:ascii="宋体" w:hAnsi="宋体" w:eastAsia="宋体" w:cs="宋体"/>
          <w:bCs/>
          <w:color w:val="auto"/>
          <w:sz w:val="21"/>
          <w:szCs w:val="21"/>
          <w:highlight w:val="none"/>
        </w:rPr>
        <w:t>）；</w:t>
      </w:r>
    </w:p>
    <w:p w14:paraId="31EA01B7">
      <w:pPr>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w:t>
      </w:r>
      <w:r>
        <w:rPr>
          <w:rFonts w:hint="eastAsia" w:ascii="宋体" w:hAnsi="宋体" w:eastAsia="宋体" w:cs="宋体"/>
          <w:b/>
          <w:i w:val="0"/>
          <w:iCs w:val="0"/>
          <w:color w:val="auto"/>
          <w:sz w:val="21"/>
          <w:szCs w:val="21"/>
          <w:highlight w:val="none"/>
        </w:rPr>
        <w:t>未按上述要求在此格式下提供证明材料的业绩，或在此格式下所附材料无法证明符合资格要求的业绩，按无效投标文件处理。</w:t>
      </w:r>
    </w:p>
    <w:p w14:paraId="08F600F7">
      <w:pPr>
        <w:autoSpaceDE/>
        <w:autoSpaceDN/>
        <w:adjustRightInd/>
        <w:spacing w:line="240" w:lineRule="auto"/>
        <w:jc w:val="left"/>
        <w:outlineLvl w:val="2"/>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7593FDE7">
      <w:pPr>
        <w:autoSpaceDE/>
        <w:autoSpaceDN/>
        <w:adjustRightInd/>
        <w:spacing w:line="240" w:lineRule="auto"/>
        <w:jc w:val="left"/>
        <w:outlineLvl w:val="2"/>
        <w:rPr>
          <w:rFonts w:ascii="宋体" w:hAnsi="宋体" w:eastAsia="宋体" w:cs="Times New Roman"/>
          <w:b/>
          <w:bCs/>
          <w:color w:val="auto"/>
          <w:sz w:val="32"/>
          <w:szCs w:val="32"/>
          <w:highlight w:val="none"/>
          <w:lang w:val="zh-CN"/>
        </w:rPr>
      </w:pPr>
      <w:r>
        <w:rPr>
          <w:rFonts w:hint="eastAsia" w:ascii="宋体" w:hAnsi="宋体" w:eastAsia="宋体" w:cs="宋体"/>
          <w:b/>
          <w:color w:val="auto"/>
          <w:kern w:val="0"/>
          <w:sz w:val="30"/>
          <w:szCs w:val="30"/>
          <w:highlight w:val="none"/>
          <w:lang w:val="en-US" w:eastAsia="zh-CN"/>
        </w:rPr>
        <w:t xml:space="preserve">5.5 </w:t>
      </w:r>
      <w:r>
        <w:rPr>
          <w:rFonts w:hint="eastAsia" w:ascii="宋体" w:hAnsi="宋体" w:eastAsia="宋体" w:cs="宋体"/>
          <w:b/>
          <w:color w:val="auto"/>
          <w:kern w:val="0"/>
          <w:sz w:val="30"/>
          <w:szCs w:val="30"/>
          <w:highlight w:val="none"/>
        </w:rPr>
        <w:t>最近3年投标人牵涉的其他（失信和违法）处罚说明格式</w:t>
      </w:r>
      <w:bookmarkEnd w:id="685"/>
      <w:bookmarkEnd w:id="686"/>
      <w:bookmarkEnd w:id="687"/>
      <w:bookmarkEnd w:id="688"/>
      <w:bookmarkEnd w:id="689"/>
      <w:bookmarkEnd w:id="690"/>
      <w:bookmarkEnd w:id="691"/>
      <w:bookmarkEnd w:id="692"/>
      <w:bookmarkEnd w:id="693"/>
      <w:bookmarkEnd w:id="694"/>
    </w:p>
    <w:p w14:paraId="02E1A620">
      <w:pPr>
        <w:autoSpaceDE w:val="0"/>
        <w:autoSpaceDN w:val="0"/>
        <w:adjustRightInd w:val="0"/>
        <w:spacing w:line="360" w:lineRule="auto"/>
        <w:jc w:val="center"/>
        <w:outlineLvl w:val="2"/>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432A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1616EB6C">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3BC349F3">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7C2E6D97">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26699896">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31ED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1DBD17A3">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1764BD3C">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1756CBFA">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1EDD0AFD">
            <w:pPr>
              <w:autoSpaceDE w:val="0"/>
              <w:autoSpaceDN w:val="0"/>
              <w:adjustRightInd w:val="0"/>
              <w:spacing w:line="360" w:lineRule="auto"/>
              <w:jc w:val="center"/>
              <w:rPr>
                <w:rFonts w:ascii="宋体" w:hAnsi="宋体" w:eastAsia="宋体" w:cs="宋体"/>
                <w:color w:val="auto"/>
                <w:kern w:val="0"/>
                <w:szCs w:val="21"/>
                <w:highlight w:val="none"/>
              </w:rPr>
            </w:pPr>
          </w:p>
        </w:tc>
      </w:tr>
      <w:tr w14:paraId="71780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68A6BB9A">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2AC276FA">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3E59F4BC">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2ECD2570">
            <w:pPr>
              <w:autoSpaceDE w:val="0"/>
              <w:autoSpaceDN w:val="0"/>
              <w:adjustRightInd w:val="0"/>
              <w:spacing w:line="360" w:lineRule="auto"/>
              <w:jc w:val="center"/>
              <w:rPr>
                <w:rFonts w:ascii="宋体" w:hAnsi="宋体" w:eastAsia="宋体" w:cs="宋体"/>
                <w:color w:val="auto"/>
                <w:kern w:val="0"/>
                <w:szCs w:val="21"/>
                <w:highlight w:val="none"/>
              </w:rPr>
            </w:pPr>
          </w:p>
        </w:tc>
      </w:tr>
      <w:tr w14:paraId="38171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4E0AE8FE">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14:paraId="164143A8">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7EE9B1E7">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1E120B60">
            <w:pPr>
              <w:autoSpaceDE w:val="0"/>
              <w:autoSpaceDN w:val="0"/>
              <w:adjustRightInd w:val="0"/>
              <w:spacing w:line="360" w:lineRule="auto"/>
              <w:jc w:val="center"/>
              <w:rPr>
                <w:rFonts w:ascii="宋体" w:hAnsi="宋体" w:eastAsia="宋体" w:cs="宋体"/>
                <w:color w:val="auto"/>
                <w:kern w:val="0"/>
                <w:szCs w:val="21"/>
                <w:highlight w:val="none"/>
              </w:rPr>
            </w:pPr>
          </w:p>
        </w:tc>
      </w:tr>
    </w:tbl>
    <w:p w14:paraId="666D1B45">
      <w:pPr>
        <w:autoSpaceDE w:val="0"/>
        <w:autoSpaceDN w:val="0"/>
        <w:adjustRightInd w:val="0"/>
        <w:spacing w:line="360" w:lineRule="auto"/>
        <w:jc w:val="left"/>
        <w:rPr>
          <w:rFonts w:ascii="宋体" w:hAnsi="宋体" w:eastAsia="宋体" w:cs="宋体"/>
          <w:color w:val="auto"/>
          <w:kern w:val="0"/>
          <w:szCs w:val="21"/>
          <w:highlight w:val="none"/>
        </w:rPr>
      </w:pPr>
    </w:p>
    <w:p w14:paraId="51E6BF0D">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07012BB5">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1E1E74F5">
      <w:pPr>
        <w:autoSpaceDE w:val="0"/>
        <w:autoSpaceDN w:val="0"/>
        <w:adjustRightInd w:val="0"/>
        <w:spacing w:line="360" w:lineRule="auto"/>
        <w:jc w:val="center"/>
        <w:rPr>
          <w:rFonts w:ascii="宋体" w:hAnsi="宋体" w:eastAsia="宋体" w:cs="宋体"/>
          <w:color w:val="auto"/>
          <w:kern w:val="0"/>
          <w:sz w:val="24"/>
          <w:szCs w:val="24"/>
          <w:highlight w:val="none"/>
        </w:rPr>
      </w:pPr>
    </w:p>
    <w:p w14:paraId="793B0A18">
      <w:pPr>
        <w:spacing w:line="360" w:lineRule="auto"/>
        <w:ind w:firstLine="494" w:firstLineChars="206"/>
        <w:rPr>
          <w:rFonts w:ascii="宋体" w:hAnsi="宋体" w:eastAsia="宋体" w:cs="宋体"/>
          <w:color w:val="auto"/>
          <w:kern w:val="0"/>
          <w:sz w:val="24"/>
          <w:szCs w:val="24"/>
          <w:highlight w:val="none"/>
        </w:rPr>
      </w:pPr>
    </w:p>
    <w:p w14:paraId="7BE1C259">
      <w:pPr>
        <w:spacing w:line="360" w:lineRule="auto"/>
        <w:ind w:firstLine="494" w:firstLineChars="206"/>
        <w:rPr>
          <w:rFonts w:ascii="宋体" w:hAnsi="宋体" w:eastAsia="宋体" w:cs="宋体"/>
          <w:color w:val="auto"/>
          <w:kern w:val="0"/>
          <w:sz w:val="24"/>
          <w:szCs w:val="24"/>
          <w:highlight w:val="none"/>
        </w:rPr>
      </w:pPr>
    </w:p>
    <w:p w14:paraId="47F12210">
      <w:pPr>
        <w:spacing w:line="360" w:lineRule="auto"/>
        <w:ind w:firstLine="494" w:firstLineChars="206"/>
        <w:rPr>
          <w:rFonts w:ascii="宋体" w:hAnsi="宋体" w:eastAsia="宋体" w:cs="宋体"/>
          <w:color w:val="auto"/>
          <w:kern w:val="0"/>
          <w:sz w:val="24"/>
          <w:szCs w:val="24"/>
          <w:highlight w:val="none"/>
        </w:rPr>
      </w:pPr>
    </w:p>
    <w:p w14:paraId="3C4FA12D">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2609F268">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14:paraId="1FC28F00">
      <w:pPr>
        <w:rPr>
          <w:rFonts w:ascii="宋体" w:hAnsi="宋体" w:eastAsia="宋体" w:cs="宋体"/>
          <w:color w:val="auto"/>
          <w:szCs w:val="24"/>
          <w:highlight w:val="none"/>
          <w:lang w:val="zh-CN"/>
        </w:rPr>
      </w:pPr>
      <w:bookmarkStart w:id="695" w:name="_Toc142508374"/>
      <w:bookmarkStart w:id="696" w:name="_Toc30939"/>
      <w:bookmarkStart w:id="697" w:name="_Toc104991881"/>
      <w:bookmarkStart w:id="698" w:name="_Toc6412"/>
      <w:bookmarkStart w:id="699" w:name="_Toc102860079"/>
      <w:bookmarkStart w:id="700" w:name="_Toc486167714"/>
      <w:bookmarkStart w:id="701" w:name="_Toc102860423"/>
      <w:bookmarkStart w:id="702" w:name="_Toc533708126"/>
      <w:bookmarkStart w:id="703" w:name="_Toc94107215"/>
      <w:bookmarkStart w:id="704" w:name="_Toc1977731"/>
      <w:bookmarkStart w:id="705" w:name="_Toc140596934"/>
      <w:bookmarkStart w:id="706" w:name="_Toc2031_WPSOffice_Level2"/>
      <w:r>
        <w:rPr>
          <w:rFonts w:ascii="宋体" w:hAnsi="宋体" w:eastAsia="宋体" w:cs="宋体"/>
          <w:color w:val="auto"/>
          <w:szCs w:val="24"/>
          <w:highlight w:val="none"/>
          <w:lang w:val="zh-CN"/>
        </w:rPr>
        <w:br w:type="page"/>
      </w:r>
    </w:p>
    <w:p w14:paraId="2ED04987">
      <w:pPr>
        <w:tabs>
          <w:tab w:val="left" w:pos="567"/>
        </w:tabs>
        <w:autoSpaceDE w:val="0"/>
        <w:autoSpaceDN w:val="0"/>
        <w:adjustRightInd w:val="0"/>
        <w:spacing w:line="360" w:lineRule="auto"/>
        <w:jc w:val="left"/>
        <w:outlineLvl w:val="2"/>
        <w:rPr>
          <w:rFonts w:ascii="宋体" w:hAnsi="宋体" w:eastAsia="宋体" w:cs="Times New Roman"/>
          <w:color w:val="auto"/>
          <w:kern w:val="0"/>
          <w:szCs w:val="21"/>
          <w:highlight w:val="none"/>
          <w:u w:val="single"/>
        </w:rPr>
      </w:pPr>
      <w:bookmarkStart w:id="707" w:name="_Toc2285"/>
      <w:bookmarkStart w:id="708" w:name="_Toc17508"/>
      <w:bookmarkStart w:id="709" w:name="_Toc25429"/>
      <w:bookmarkStart w:id="710" w:name="_Toc25695"/>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6E166CF8">
      <w:pPr>
        <w:autoSpaceDE w:val="0"/>
        <w:autoSpaceDN w:val="0"/>
        <w:adjustRightInd w:val="0"/>
        <w:spacing w:line="360" w:lineRule="auto"/>
        <w:jc w:val="center"/>
        <w:rPr>
          <w:rFonts w:ascii="宋体" w:hAnsi="宋体" w:eastAsia="宋体" w:cs="宋体"/>
          <w:b/>
          <w:bCs/>
          <w:color w:val="auto"/>
          <w:sz w:val="30"/>
          <w:szCs w:val="30"/>
          <w:highlight w:val="none"/>
        </w:rPr>
      </w:pPr>
      <w:bookmarkStart w:id="711" w:name="_Toc2773_WPSOffice_Level3"/>
      <w:r>
        <w:rPr>
          <w:rFonts w:hint="eastAsia" w:ascii="宋体" w:hAnsi="宋体" w:eastAsia="宋体" w:cs="宋体"/>
          <w:b/>
          <w:bCs/>
          <w:color w:val="auto"/>
          <w:sz w:val="30"/>
          <w:szCs w:val="30"/>
          <w:highlight w:val="none"/>
          <w:lang w:val="zh-CN"/>
        </w:rPr>
        <w:t>投标人基本情况一览表</w:t>
      </w:r>
      <w:bookmarkEnd w:id="711"/>
    </w:p>
    <w:p w14:paraId="1E76272F">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3FDE7FF0">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1EB43D51">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1BE0B3BE">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43A52456">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5671F1AC">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63BCA8E6">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3C0BE375">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4430BE9D">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16AA175D">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4BF5E7A5">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082DBB2F">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1E18A13E">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3159B1B4">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5FE9786C">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73513471">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2C7E4B77">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48CCFF09">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066CBF78">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7854B108">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7E774E1E">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025FAF2E">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14D2CAE4">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0C4A5769">
      <w:pPr>
        <w:autoSpaceDE w:val="0"/>
        <w:autoSpaceDN w:val="0"/>
        <w:adjustRightInd w:val="0"/>
        <w:spacing w:line="360" w:lineRule="auto"/>
        <w:ind w:firstLine="420" w:firstLineChars="200"/>
        <w:rPr>
          <w:rFonts w:ascii="宋体" w:hAnsi="宋体" w:eastAsia="宋体" w:cs="宋体"/>
          <w:color w:val="auto"/>
          <w:szCs w:val="24"/>
          <w:highlight w:val="none"/>
        </w:rPr>
      </w:pPr>
    </w:p>
    <w:p w14:paraId="30ADC4AA">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6E544030">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79B68BCE">
      <w:pPr>
        <w:autoSpaceDE w:val="0"/>
        <w:autoSpaceDN w:val="0"/>
        <w:adjustRightInd w:val="0"/>
        <w:spacing w:line="360" w:lineRule="auto"/>
        <w:ind w:firstLine="0" w:firstLineChars="0"/>
        <w:jc w:val="left"/>
        <w:outlineLvl w:val="9"/>
        <w:rPr>
          <w:rFonts w:ascii="宋体" w:hAnsi="宋体" w:eastAsia="宋体" w:cs="宋体"/>
          <w:b/>
          <w:color w:val="auto"/>
          <w:kern w:val="0"/>
          <w:sz w:val="32"/>
          <w:szCs w:val="32"/>
          <w:highlight w:val="none"/>
          <w:lang w:val="zh-CN"/>
        </w:rPr>
      </w:pPr>
      <w:r>
        <w:rPr>
          <w:rFonts w:hint="eastAsia" w:ascii="宋体" w:hAnsi="宋体" w:eastAsia="宋体" w:cs="宋体"/>
          <w:color w:val="auto"/>
          <w:szCs w:val="24"/>
          <w:highlight w:val="none"/>
          <w:lang w:val="zh-CN"/>
        </w:rPr>
        <w:br w:type="page"/>
      </w:r>
      <w:bookmarkStart w:id="712" w:name="_Toc102860081"/>
      <w:bookmarkStart w:id="713" w:name="_Toc104991883"/>
      <w:bookmarkStart w:id="714" w:name="_Toc7498"/>
      <w:bookmarkStart w:id="715" w:name="_Toc8427"/>
      <w:bookmarkStart w:id="716" w:name="_Toc533708130"/>
      <w:bookmarkStart w:id="717" w:name="_Toc17995"/>
      <w:bookmarkStart w:id="718" w:name="_Toc142508376"/>
      <w:bookmarkStart w:id="719" w:name="_Toc102860425"/>
      <w:bookmarkStart w:id="720" w:name="_Toc739_WPSOffice_Level2"/>
      <w:bookmarkStart w:id="721" w:name="_Toc3984"/>
      <w:bookmarkStart w:id="722" w:name="_Toc140596936"/>
      <w:bookmarkStart w:id="723" w:name="_Toc486167716"/>
      <w:bookmarkStart w:id="724" w:name="_Toc333"/>
      <w:bookmarkStart w:id="725" w:name="_Toc26821"/>
      <w:bookmarkStart w:id="726" w:name="_Toc1977736"/>
      <w:bookmarkStart w:id="727" w:name="_Toc94107217"/>
      <w:r>
        <w:rPr>
          <w:rFonts w:hint="eastAsia" w:ascii="宋体" w:hAnsi="宋体" w:eastAsia="宋体" w:cs="宋体"/>
          <w:b/>
          <w:color w:val="auto"/>
          <w:kern w:val="0"/>
          <w:sz w:val="32"/>
          <w:szCs w:val="32"/>
          <w:highlight w:val="none"/>
          <w:lang w:val="zh-CN" w:eastAsia="zh-CN"/>
        </w:rPr>
        <w:t>七</w:t>
      </w:r>
      <w:r>
        <w:rPr>
          <w:rFonts w:hint="eastAsia" w:ascii="宋体" w:hAnsi="宋体" w:eastAsia="宋体" w:cs="宋体"/>
          <w:b/>
          <w:color w:val="auto"/>
          <w:kern w:val="0"/>
          <w:sz w:val="32"/>
          <w:szCs w:val="32"/>
          <w:highlight w:val="none"/>
          <w:lang w:val="zh-CN"/>
        </w:rPr>
        <w:t>、合同条款偏离表格式</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14:paraId="3E087EA3">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728" w:name="_Toc26412_WPSOffice_Level3"/>
      <w:r>
        <w:rPr>
          <w:rFonts w:hint="eastAsia" w:ascii="宋体" w:hAnsi="宋体" w:eastAsia="宋体" w:cs="宋体"/>
          <w:b/>
          <w:bCs/>
          <w:color w:val="auto"/>
          <w:kern w:val="0"/>
          <w:sz w:val="28"/>
          <w:szCs w:val="30"/>
          <w:highlight w:val="none"/>
          <w:lang w:val="zh-CN"/>
        </w:rPr>
        <w:t>东莞市众源环境投资有限公司“特大城市市政污泥全过程管理体系”成效评估及提质增效路径研究技术服务采购项目合同条款偏离表</w:t>
      </w:r>
      <w:bookmarkEnd w:id="728"/>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2BC3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7C7AC32C">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4602F87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512F5D6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26582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77A2D432">
            <w:pPr>
              <w:autoSpaceDE w:val="0"/>
              <w:autoSpaceDN w:val="0"/>
              <w:adjustRightInd w:val="0"/>
              <w:spacing w:line="400" w:lineRule="exact"/>
              <w:jc w:val="center"/>
              <w:rPr>
                <w:rFonts w:ascii="宋体" w:hAnsi="宋体" w:eastAsia="宋体" w:cs="宋体"/>
                <w:color w:val="auto"/>
                <w:kern w:val="0"/>
                <w:szCs w:val="21"/>
                <w:highlight w:val="none"/>
              </w:rPr>
            </w:pPr>
          </w:p>
        </w:tc>
        <w:tc>
          <w:tcPr>
            <w:tcW w:w="1425" w:type="dxa"/>
            <w:vAlign w:val="center"/>
          </w:tcPr>
          <w:p w14:paraId="2E88A78C">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79C6C48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0DA2D65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36F8D7A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2524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10D04B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5BFEBDD0">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w:t>
            </w:r>
          </w:p>
        </w:tc>
        <w:tc>
          <w:tcPr>
            <w:tcW w:w="3055" w:type="dxa"/>
            <w:vAlign w:val="center"/>
          </w:tcPr>
          <w:p w14:paraId="5B4B43A6">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合同内容及服务期限</w:t>
            </w:r>
          </w:p>
        </w:tc>
        <w:tc>
          <w:tcPr>
            <w:tcW w:w="1346" w:type="dxa"/>
            <w:vAlign w:val="center"/>
          </w:tcPr>
          <w:p w14:paraId="32B92219">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AD09767">
            <w:pPr>
              <w:autoSpaceDE w:val="0"/>
              <w:autoSpaceDN w:val="0"/>
              <w:adjustRightInd w:val="0"/>
              <w:spacing w:line="400" w:lineRule="exact"/>
              <w:jc w:val="center"/>
              <w:rPr>
                <w:rFonts w:ascii="宋体" w:hAnsi="宋体" w:eastAsia="宋体" w:cs="宋体"/>
                <w:color w:val="auto"/>
                <w:kern w:val="0"/>
                <w:szCs w:val="21"/>
                <w:highlight w:val="none"/>
              </w:rPr>
            </w:pPr>
          </w:p>
        </w:tc>
      </w:tr>
      <w:tr w14:paraId="439C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4EC0B3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2F8971C5">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二</w:t>
            </w:r>
          </w:p>
        </w:tc>
        <w:tc>
          <w:tcPr>
            <w:tcW w:w="3055" w:type="dxa"/>
            <w:vAlign w:val="center"/>
          </w:tcPr>
          <w:p w14:paraId="779C40EE">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合同价款及支付方式</w:t>
            </w:r>
          </w:p>
        </w:tc>
        <w:tc>
          <w:tcPr>
            <w:tcW w:w="1346" w:type="dxa"/>
            <w:vAlign w:val="center"/>
          </w:tcPr>
          <w:p w14:paraId="69997D6A">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1488FF2">
            <w:pPr>
              <w:autoSpaceDE w:val="0"/>
              <w:autoSpaceDN w:val="0"/>
              <w:adjustRightInd w:val="0"/>
              <w:spacing w:line="400" w:lineRule="exact"/>
              <w:jc w:val="center"/>
              <w:rPr>
                <w:rFonts w:ascii="宋体" w:hAnsi="宋体" w:eastAsia="宋体" w:cs="宋体"/>
                <w:color w:val="auto"/>
                <w:kern w:val="0"/>
                <w:szCs w:val="21"/>
                <w:highlight w:val="none"/>
              </w:rPr>
            </w:pPr>
          </w:p>
        </w:tc>
      </w:tr>
      <w:tr w14:paraId="1702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03B1DB2">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100B109D">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三</w:t>
            </w:r>
          </w:p>
        </w:tc>
        <w:tc>
          <w:tcPr>
            <w:tcW w:w="3055" w:type="dxa"/>
            <w:vAlign w:val="center"/>
          </w:tcPr>
          <w:p w14:paraId="2D7B30C3">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成果要求</w:t>
            </w:r>
          </w:p>
        </w:tc>
        <w:tc>
          <w:tcPr>
            <w:tcW w:w="1346" w:type="dxa"/>
            <w:vAlign w:val="center"/>
          </w:tcPr>
          <w:p w14:paraId="166DED94">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B40C592">
            <w:pPr>
              <w:autoSpaceDE w:val="0"/>
              <w:autoSpaceDN w:val="0"/>
              <w:adjustRightInd w:val="0"/>
              <w:spacing w:line="400" w:lineRule="exact"/>
              <w:jc w:val="center"/>
              <w:rPr>
                <w:rFonts w:ascii="宋体" w:hAnsi="宋体" w:eastAsia="宋体" w:cs="宋体"/>
                <w:color w:val="auto"/>
                <w:kern w:val="0"/>
                <w:szCs w:val="21"/>
                <w:highlight w:val="none"/>
              </w:rPr>
            </w:pPr>
          </w:p>
        </w:tc>
      </w:tr>
      <w:tr w14:paraId="3B93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48515A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69C93734">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w:t>
            </w:r>
          </w:p>
        </w:tc>
        <w:tc>
          <w:tcPr>
            <w:tcW w:w="3055" w:type="dxa"/>
            <w:vAlign w:val="center"/>
          </w:tcPr>
          <w:p w14:paraId="083225FD">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项目进度要求</w:t>
            </w:r>
          </w:p>
        </w:tc>
        <w:tc>
          <w:tcPr>
            <w:tcW w:w="1346" w:type="dxa"/>
            <w:vAlign w:val="center"/>
          </w:tcPr>
          <w:p w14:paraId="4B2BDFE3">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87322D8">
            <w:pPr>
              <w:autoSpaceDE w:val="0"/>
              <w:autoSpaceDN w:val="0"/>
              <w:adjustRightInd w:val="0"/>
              <w:spacing w:line="400" w:lineRule="exact"/>
              <w:jc w:val="center"/>
              <w:rPr>
                <w:rFonts w:ascii="宋体" w:hAnsi="宋体" w:eastAsia="宋体" w:cs="宋体"/>
                <w:color w:val="auto"/>
                <w:kern w:val="0"/>
                <w:szCs w:val="21"/>
                <w:highlight w:val="none"/>
              </w:rPr>
            </w:pPr>
          </w:p>
        </w:tc>
      </w:tr>
      <w:tr w14:paraId="026B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7285C7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02BE168B">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五</w:t>
            </w:r>
          </w:p>
        </w:tc>
        <w:tc>
          <w:tcPr>
            <w:tcW w:w="3055" w:type="dxa"/>
            <w:vAlign w:val="center"/>
          </w:tcPr>
          <w:p w14:paraId="492A962E">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 双方权利义务</w:t>
            </w:r>
          </w:p>
        </w:tc>
        <w:tc>
          <w:tcPr>
            <w:tcW w:w="1346" w:type="dxa"/>
            <w:vAlign w:val="center"/>
          </w:tcPr>
          <w:p w14:paraId="7EAF31AA">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7748F11">
            <w:pPr>
              <w:autoSpaceDE w:val="0"/>
              <w:autoSpaceDN w:val="0"/>
              <w:adjustRightInd w:val="0"/>
              <w:spacing w:line="400" w:lineRule="exact"/>
              <w:jc w:val="center"/>
              <w:rPr>
                <w:rFonts w:ascii="宋体" w:hAnsi="宋体" w:eastAsia="宋体" w:cs="宋体"/>
                <w:color w:val="auto"/>
                <w:kern w:val="0"/>
                <w:szCs w:val="21"/>
                <w:highlight w:val="none"/>
              </w:rPr>
            </w:pPr>
          </w:p>
        </w:tc>
      </w:tr>
      <w:tr w14:paraId="7F29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FCF711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567F5B3D">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六</w:t>
            </w:r>
          </w:p>
        </w:tc>
        <w:tc>
          <w:tcPr>
            <w:tcW w:w="3055" w:type="dxa"/>
            <w:vAlign w:val="center"/>
          </w:tcPr>
          <w:p w14:paraId="6161F40A">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履约担保</w:t>
            </w:r>
          </w:p>
        </w:tc>
        <w:tc>
          <w:tcPr>
            <w:tcW w:w="1346" w:type="dxa"/>
            <w:vAlign w:val="center"/>
          </w:tcPr>
          <w:p w14:paraId="50FC8F26">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57B93D6">
            <w:pPr>
              <w:autoSpaceDE w:val="0"/>
              <w:autoSpaceDN w:val="0"/>
              <w:adjustRightInd w:val="0"/>
              <w:spacing w:line="400" w:lineRule="exact"/>
              <w:jc w:val="center"/>
              <w:rPr>
                <w:rFonts w:ascii="宋体" w:hAnsi="宋体" w:eastAsia="宋体" w:cs="宋体"/>
                <w:color w:val="auto"/>
                <w:kern w:val="0"/>
                <w:szCs w:val="21"/>
                <w:highlight w:val="none"/>
              </w:rPr>
            </w:pPr>
          </w:p>
        </w:tc>
      </w:tr>
      <w:tr w14:paraId="6D9A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A704E1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42DDADF9">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七</w:t>
            </w:r>
          </w:p>
        </w:tc>
        <w:tc>
          <w:tcPr>
            <w:tcW w:w="3055" w:type="dxa"/>
            <w:vAlign w:val="center"/>
          </w:tcPr>
          <w:p w14:paraId="44C9ECD1">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违约责任</w:t>
            </w:r>
          </w:p>
        </w:tc>
        <w:tc>
          <w:tcPr>
            <w:tcW w:w="1346" w:type="dxa"/>
            <w:vAlign w:val="center"/>
          </w:tcPr>
          <w:p w14:paraId="09EE4200">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941BD4D">
            <w:pPr>
              <w:autoSpaceDE w:val="0"/>
              <w:autoSpaceDN w:val="0"/>
              <w:adjustRightInd w:val="0"/>
              <w:spacing w:line="400" w:lineRule="exact"/>
              <w:jc w:val="center"/>
              <w:rPr>
                <w:rFonts w:ascii="宋体" w:hAnsi="宋体" w:eastAsia="宋体" w:cs="宋体"/>
                <w:color w:val="auto"/>
                <w:kern w:val="0"/>
                <w:szCs w:val="21"/>
                <w:highlight w:val="none"/>
              </w:rPr>
            </w:pPr>
          </w:p>
        </w:tc>
      </w:tr>
      <w:tr w14:paraId="2A26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873D93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125AA097">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八</w:t>
            </w:r>
          </w:p>
        </w:tc>
        <w:tc>
          <w:tcPr>
            <w:tcW w:w="3055" w:type="dxa"/>
            <w:vAlign w:val="center"/>
          </w:tcPr>
          <w:p w14:paraId="18A78E92">
            <w:pPr>
              <w:autoSpaceDE w:val="0"/>
              <w:autoSpaceDN w:val="0"/>
              <w:adjustRightInd w:val="0"/>
              <w:spacing w:line="400" w:lineRule="exact"/>
              <w:jc w:val="center"/>
              <w:rPr>
                <w:rFonts w:ascii="宋体" w:hAnsi="宋体" w:eastAsia="宋体" w:cs="Times New Roman"/>
                <w:color w:val="auto"/>
                <w:kern w:val="0"/>
                <w:sz w:val="18"/>
                <w:szCs w:val="18"/>
                <w:highlight w:val="none"/>
              </w:rPr>
            </w:pPr>
            <w:r>
              <w:rPr>
                <w:rFonts w:hint="eastAsia" w:ascii="宋体" w:hAnsi="宋体" w:eastAsia="宋体" w:cs="Times New Roman"/>
                <w:color w:val="auto"/>
                <w:kern w:val="0"/>
                <w:szCs w:val="21"/>
                <w:highlight w:val="none"/>
              </w:rPr>
              <w:t>知识产权的归属及保密</w:t>
            </w:r>
          </w:p>
        </w:tc>
        <w:tc>
          <w:tcPr>
            <w:tcW w:w="1346" w:type="dxa"/>
            <w:vAlign w:val="center"/>
          </w:tcPr>
          <w:p w14:paraId="7A398DDF">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8F934D6">
            <w:pPr>
              <w:autoSpaceDE w:val="0"/>
              <w:autoSpaceDN w:val="0"/>
              <w:adjustRightInd w:val="0"/>
              <w:spacing w:line="400" w:lineRule="exact"/>
              <w:jc w:val="center"/>
              <w:rPr>
                <w:rFonts w:ascii="宋体" w:hAnsi="宋体" w:eastAsia="宋体" w:cs="宋体"/>
                <w:color w:val="auto"/>
                <w:kern w:val="0"/>
                <w:szCs w:val="21"/>
                <w:highlight w:val="none"/>
              </w:rPr>
            </w:pPr>
          </w:p>
        </w:tc>
      </w:tr>
      <w:tr w14:paraId="15B0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21ECB6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4E54AC86">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九</w:t>
            </w:r>
          </w:p>
        </w:tc>
        <w:tc>
          <w:tcPr>
            <w:tcW w:w="3055" w:type="dxa"/>
            <w:vAlign w:val="center"/>
          </w:tcPr>
          <w:p w14:paraId="768469D7">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不可抗力</w:t>
            </w:r>
          </w:p>
        </w:tc>
        <w:tc>
          <w:tcPr>
            <w:tcW w:w="1346" w:type="dxa"/>
            <w:vAlign w:val="center"/>
          </w:tcPr>
          <w:p w14:paraId="4FB7D9CE">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30210D7">
            <w:pPr>
              <w:autoSpaceDE w:val="0"/>
              <w:autoSpaceDN w:val="0"/>
              <w:adjustRightInd w:val="0"/>
              <w:spacing w:line="400" w:lineRule="exact"/>
              <w:jc w:val="center"/>
              <w:rPr>
                <w:rFonts w:ascii="宋体" w:hAnsi="宋体" w:eastAsia="宋体" w:cs="宋体"/>
                <w:color w:val="auto"/>
                <w:kern w:val="0"/>
                <w:szCs w:val="21"/>
                <w:highlight w:val="none"/>
              </w:rPr>
            </w:pPr>
          </w:p>
        </w:tc>
      </w:tr>
      <w:tr w14:paraId="6B7A0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D044A7C">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3E4315A3">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十</w:t>
            </w:r>
          </w:p>
        </w:tc>
        <w:tc>
          <w:tcPr>
            <w:tcW w:w="3055" w:type="dxa"/>
            <w:vAlign w:val="center"/>
          </w:tcPr>
          <w:p w14:paraId="02309A5A">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争</w:t>
            </w:r>
            <w:r>
              <w:rPr>
                <w:rFonts w:hint="eastAsia" w:ascii="宋体" w:hAnsi="宋体" w:eastAsia="宋体" w:cs="Times New Roman"/>
                <w:color w:val="auto"/>
                <w:kern w:val="0"/>
                <w:szCs w:val="21"/>
                <w:highlight w:val="none"/>
                <w:lang w:val="en-US" w:eastAsia="zh-CN"/>
              </w:rPr>
              <w:t>议</w:t>
            </w:r>
            <w:r>
              <w:rPr>
                <w:rFonts w:hint="eastAsia" w:ascii="宋体" w:hAnsi="宋体" w:eastAsia="宋体" w:cs="Times New Roman"/>
                <w:color w:val="auto"/>
                <w:kern w:val="0"/>
                <w:szCs w:val="21"/>
                <w:highlight w:val="none"/>
              </w:rPr>
              <w:t>解决</w:t>
            </w:r>
          </w:p>
        </w:tc>
        <w:tc>
          <w:tcPr>
            <w:tcW w:w="1346" w:type="dxa"/>
            <w:vAlign w:val="center"/>
          </w:tcPr>
          <w:p w14:paraId="4AC4A75C">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F566526">
            <w:pPr>
              <w:autoSpaceDE w:val="0"/>
              <w:autoSpaceDN w:val="0"/>
              <w:adjustRightInd w:val="0"/>
              <w:spacing w:line="400" w:lineRule="exact"/>
              <w:jc w:val="center"/>
              <w:rPr>
                <w:rFonts w:ascii="宋体" w:hAnsi="宋体" w:eastAsia="宋体" w:cs="宋体"/>
                <w:color w:val="auto"/>
                <w:kern w:val="0"/>
                <w:szCs w:val="21"/>
                <w:highlight w:val="none"/>
              </w:rPr>
            </w:pPr>
          </w:p>
        </w:tc>
      </w:tr>
      <w:tr w14:paraId="613E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CD32B8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39032FD7">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十一</w:t>
            </w:r>
          </w:p>
        </w:tc>
        <w:tc>
          <w:tcPr>
            <w:tcW w:w="3055" w:type="dxa"/>
            <w:vAlign w:val="center"/>
          </w:tcPr>
          <w:p w14:paraId="55F4D704">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 附   则</w:t>
            </w:r>
          </w:p>
        </w:tc>
        <w:tc>
          <w:tcPr>
            <w:tcW w:w="1346" w:type="dxa"/>
            <w:vAlign w:val="center"/>
          </w:tcPr>
          <w:p w14:paraId="37B90B2D">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0521297">
            <w:pPr>
              <w:autoSpaceDE w:val="0"/>
              <w:autoSpaceDN w:val="0"/>
              <w:adjustRightInd w:val="0"/>
              <w:spacing w:line="400" w:lineRule="exact"/>
              <w:jc w:val="center"/>
              <w:rPr>
                <w:rFonts w:ascii="宋体" w:hAnsi="宋体" w:eastAsia="宋体" w:cs="宋体"/>
                <w:color w:val="auto"/>
                <w:kern w:val="0"/>
                <w:szCs w:val="21"/>
                <w:highlight w:val="none"/>
              </w:rPr>
            </w:pPr>
          </w:p>
        </w:tc>
      </w:tr>
      <w:tr w14:paraId="0E26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9994BD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75FD9AEA">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附件1</w:t>
            </w:r>
          </w:p>
        </w:tc>
        <w:tc>
          <w:tcPr>
            <w:tcW w:w="3055" w:type="dxa"/>
            <w:vAlign w:val="center"/>
          </w:tcPr>
          <w:p w14:paraId="262D58BC">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廉洁协议书</w:t>
            </w:r>
          </w:p>
        </w:tc>
        <w:tc>
          <w:tcPr>
            <w:tcW w:w="1346" w:type="dxa"/>
            <w:vAlign w:val="center"/>
          </w:tcPr>
          <w:p w14:paraId="2B7AC519">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64D197A">
            <w:pPr>
              <w:autoSpaceDE w:val="0"/>
              <w:autoSpaceDN w:val="0"/>
              <w:adjustRightInd w:val="0"/>
              <w:spacing w:line="400" w:lineRule="exact"/>
              <w:jc w:val="center"/>
              <w:rPr>
                <w:rFonts w:ascii="宋体" w:hAnsi="宋体" w:eastAsia="宋体" w:cs="宋体"/>
                <w:color w:val="auto"/>
                <w:kern w:val="0"/>
                <w:szCs w:val="21"/>
                <w:highlight w:val="none"/>
              </w:rPr>
            </w:pPr>
          </w:p>
        </w:tc>
      </w:tr>
      <w:tr w14:paraId="6E25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BB6A686">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1425" w:type="dxa"/>
            <w:vAlign w:val="center"/>
          </w:tcPr>
          <w:p w14:paraId="507B112D">
            <w:pPr>
              <w:snapToGrid w:val="0"/>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lang w:val="en-US" w:eastAsia="zh-CN" w:bidi="ar"/>
              </w:rPr>
              <w:t>一</w:t>
            </w:r>
          </w:p>
        </w:tc>
        <w:tc>
          <w:tcPr>
            <w:tcW w:w="3055" w:type="dxa"/>
            <w:vAlign w:val="center"/>
          </w:tcPr>
          <w:p w14:paraId="07619682">
            <w:pPr>
              <w:snapToGrid w:val="0"/>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lang w:val="en-US" w:eastAsia="zh-CN" w:bidi="ar"/>
              </w:rPr>
              <w:t>不可撤销银行履约保函</w:t>
            </w:r>
          </w:p>
        </w:tc>
        <w:tc>
          <w:tcPr>
            <w:tcW w:w="1346" w:type="dxa"/>
            <w:vAlign w:val="center"/>
          </w:tcPr>
          <w:p w14:paraId="13F17065">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BE06B5E">
            <w:pPr>
              <w:autoSpaceDE w:val="0"/>
              <w:autoSpaceDN w:val="0"/>
              <w:adjustRightInd w:val="0"/>
              <w:spacing w:line="400" w:lineRule="exact"/>
              <w:jc w:val="center"/>
              <w:rPr>
                <w:rFonts w:ascii="宋体" w:hAnsi="宋体" w:eastAsia="宋体" w:cs="宋体"/>
                <w:color w:val="auto"/>
                <w:kern w:val="0"/>
                <w:szCs w:val="21"/>
                <w:highlight w:val="none"/>
              </w:rPr>
            </w:pPr>
          </w:p>
        </w:tc>
      </w:tr>
      <w:tr w14:paraId="2F86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22BF47A">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w:t>
            </w:r>
          </w:p>
        </w:tc>
        <w:tc>
          <w:tcPr>
            <w:tcW w:w="1425" w:type="dxa"/>
            <w:vAlign w:val="center"/>
          </w:tcPr>
          <w:p w14:paraId="7BDE2B5C">
            <w:pPr>
              <w:snapToGrid w:val="0"/>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lang w:val="en-US" w:eastAsia="zh-CN" w:bidi="ar"/>
              </w:rPr>
              <w:t>二</w:t>
            </w:r>
          </w:p>
        </w:tc>
        <w:tc>
          <w:tcPr>
            <w:tcW w:w="3055" w:type="dxa"/>
            <w:vAlign w:val="center"/>
          </w:tcPr>
          <w:p w14:paraId="2DF3F2B4">
            <w:pPr>
              <w:snapToGrid w:val="0"/>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lang w:val="en-US" w:eastAsia="zh-CN" w:bidi="ar"/>
              </w:rPr>
              <w:t>履约保证保险凭证</w:t>
            </w:r>
          </w:p>
        </w:tc>
        <w:tc>
          <w:tcPr>
            <w:tcW w:w="1346" w:type="dxa"/>
            <w:vAlign w:val="center"/>
          </w:tcPr>
          <w:p w14:paraId="09AFE75B">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D806487">
            <w:pPr>
              <w:autoSpaceDE w:val="0"/>
              <w:autoSpaceDN w:val="0"/>
              <w:adjustRightInd w:val="0"/>
              <w:spacing w:line="400" w:lineRule="exact"/>
              <w:jc w:val="center"/>
              <w:rPr>
                <w:rFonts w:ascii="宋体" w:hAnsi="宋体" w:eastAsia="宋体" w:cs="宋体"/>
                <w:color w:val="auto"/>
                <w:kern w:val="0"/>
                <w:szCs w:val="21"/>
                <w:highlight w:val="none"/>
              </w:rPr>
            </w:pPr>
          </w:p>
        </w:tc>
      </w:tr>
      <w:tr w14:paraId="4366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04E24D9">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w:t>
            </w:r>
          </w:p>
        </w:tc>
        <w:tc>
          <w:tcPr>
            <w:tcW w:w="1425" w:type="dxa"/>
            <w:vAlign w:val="center"/>
          </w:tcPr>
          <w:p w14:paraId="04B4756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lang w:val="en-US" w:eastAsia="zh-CN" w:bidi="ar"/>
              </w:rPr>
              <w:t>三</w:t>
            </w:r>
          </w:p>
        </w:tc>
        <w:tc>
          <w:tcPr>
            <w:tcW w:w="3055" w:type="dxa"/>
            <w:vAlign w:val="center"/>
          </w:tcPr>
          <w:p w14:paraId="7D9261A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lang w:val="en-US" w:eastAsia="zh-CN" w:bidi="ar"/>
              </w:rPr>
              <w:t>担保公司履约担保书</w:t>
            </w:r>
          </w:p>
        </w:tc>
        <w:tc>
          <w:tcPr>
            <w:tcW w:w="1346" w:type="dxa"/>
            <w:vAlign w:val="center"/>
          </w:tcPr>
          <w:p w14:paraId="0BCC0227">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7EB853E">
            <w:pPr>
              <w:autoSpaceDE w:val="0"/>
              <w:autoSpaceDN w:val="0"/>
              <w:adjustRightInd w:val="0"/>
              <w:spacing w:line="400" w:lineRule="exact"/>
              <w:jc w:val="center"/>
              <w:rPr>
                <w:rFonts w:ascii="宋体" w:hAnsi="宋体" w:eastAsia="宋体" w:cs="宋体"/>
                <w:color w:val="auto"/>
                <w:kern w:val="0"/>
                <w:szCs w:val="21"/>
                <w:highlight w:val="none"/>
              </w:rPr>
            </w:pPr>
          </w:p>
        </w:tc>
      </w:tr>
    </w:tbl>
    <w:p w14:paraId="1132163A">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39F3CBD4">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538223BE">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63E23DC8">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商务条件优于招标文件的要求；负偏离是指投标人提供的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商务条件不满足或不完全满足招标文件的要求；无偏离是指投标人提供的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商务条件完全满足招标文件的要求。</w:t>
      </w:r>
    </w:p>
    <w:p w14:paraId="7E716DEF">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179E3D12">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2023570D">
      <w:pPr>
        <w:spacing w:line="360" w:lineRule="auto"/>
        <w:ind w:left="357" w:leftChars="-100" w:hanging="567" w:hangingChars="270"/>
        <w:rPr>
          <w:rFonts w:ascii="宋体" w:hAnsi="宋体" w:eastAsia="宋体" w:cs="宋体"/>
          <w:color w:val="auto"/>
          <w:szCs w:val="21"/>
          <w:highlight w:val="none"/>
        </w:rPr>
      </w:pPr>
    </w:p>
    <w:p w14:paraId="45F22464">
      <w:pPr>
        <w:spacing w:line="360" w:lineRule="auto"/>
        <w:ind w:left="357" w:leftChars="-100" w:hanging="567" w:hangingChars="270"/>
        <w:rPr>
          <w:rFonts w:ascii="宋体" w:hAnsi="宋体" w:eastAsia="宋体" w:cs="宋体"/>
          <w:color w:val="auto"/>
          <w:szCs w:val="21"/>
          <w:highlight w:val="none"/>
        </w:rPr>
      </w:pPr>
    </w:p>
    <w:p w14:paraId="2C6C4012">
      <w:pPr>
        <w:spacing w:line="360" w:lineRule="auto"/>
        <w:ind w:left="357" w:leftChars="-100" w:hanging="567" w:hangingChars="270"/>
        <w:rPr>
          <w:rFonts w:ascii="宋体" w:hAnsi="宋体" w:eastAsia="宋体" w:cs="宋体"/>
          <w:color w:val="auto"/>
          <w:szCs w:val="21"/>
          <w:highlight w:val="none"/>
        </w:rPr>
      </w:pPr>
    </w:p>
    <w:p w14:paraId="543DC66A">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4F1D3B4F">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589A59F5">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729" w:name="_Toc14623"/>
      <w:bookmarkStart w:id="730" w:name="_Toc29505"/>
      <w:bookmarkStart w:id="731" w:name="_Toc1850"/>
      <w:bookmarkStart w:id="732" w:name="_Toc94107218"/>
      <w:bookmarkStart w:id="733" w:name="_Toc12710"/>
      <w:bookmarkStart w:id="734" w:name="_Toc140596937"/>
      <w:bookmarkStart w:id="735" w:name="_Toc102860426"/>
      <w:bookmarkStart w:id="736" w:name="_Toc102860082"/>
      <w:bookmarkStart w:id="737" w:name="_Toc13179"/>
      <w:bookmarkStart w:id="738" w:name="_Toc142508377"/>
      <w:bookmarkStart w:id="739" w:name="_Toc104991884"/>
      <w:bookmarkStart w:id="740" w:name="_Toc5473"/>
      <w:bookmarkStart w:id="741" w:name="_Toc486167717"/>
      <w:bookmarkStart w:id="742" w:name="_Toc27980_WPSOffice_Level2"/>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rPr>
        <w:t>、业绩表格式</w:t>
      </w:r>
      <w:bookmarkEnd w:id="729"/>
      <w:bookmarkEnd w:id="730"/>
      <w:bookmarkEnd w:id="731"/>
      <w:bookmarkEnd w:id="732"/>
      <w:bookmarkEnd w:id="733"/>
      <w:bookmarkEnd w:id="734"/>
      <w:bookmarkEnd w:id="735"/>
      <w:bookmarkEnd w:id="736"/>
      <w:bookmarkEnd w:id="737"/>
      <w:bookmarkEnd w:id="738"/>
      <w:bookmarkEnd w:id="739"/>
      <w:bookmarkEnd w:id="740"/>
    </w:p>
    <w:p w14:paraId="27E53DDF">
      <w:pPr>
        <w:autoSpaceDE w:val="0"/>
        <w:autoSpaceDN w:val="0"/>
        <w:adjustRightInd w:val="0"/>
        <w:spacing w:line="360" w:lineRule="auto"/>
        <w:ind w:firstLine="602"/>
        <w:jc w:val="center"/>
        <w:rPr>
          <w:rFonts w:hint="eastAsia" w:ascii="宋体" w:hAnsi="宋体" w:eastAsia="宋体" w:cs="Times New Roman"/>
          <w:b/>
          <w:bCs/>
          <w:color w:val="auto"/>
          <w:sz w:val="30"/>
          <w:szCs w:val="30"/>
          <w:highlight w:val="none"/>
          <w:lang w:val="en-US" w:eastAsia="zh-CN"/>
        </w:rPr>
      </w:pPr>
      <w:r>
        <w:rPr>
          <w:rFonts w:hint="eastAsia" w:ascii="宋体" w:hAnsi="宋体" w:eastAsia="宋体" w:cs="Times New Roman"/>
          <w:b/>
          <w:bCs/>
          <w:color w:val="auto"/>
          <w:sz w:val="30"/>
          <w:szCs w:val="30"/>
          <w:highlight w:val="none"/>
          <w:lang w:val="zh-CN"/>
        </w:rPr>
        <w:t>投标人</w:t>
      </w:r>
      <w:r>
        <w:rPr>
          <w:rFonts w:hint="eastAsia" w:ascii="宋体" w:hAnsi="宋体" w:eastAsia="宋体" w:cs="Times New Roman"/>
          <w:b/>
          <w:bCs/>
          <w:color w:val="auto"/>
          <w:sz w:val="30"/>
          <w:szCs w:val="30"/>
          <w:highlight w:val="none"/>
          <w:lang w:val="en-US" w:eastAsia="zh-CN"/>
        </w:rPr>
        <w:t>2022年1月1日</w:t>
      </w:r>
      <w:r>
        <w:rPr>
          <w:rFonts w:hint="eastAsia" w:ascii="宋体" w:hAnsi="宋体" w:eastAsia="宋体" w:cs="Times New Roman"/>
          <w:b/>
          <w:bCs/>
          <w:color w:val="auto"/>
          <w:sz w:val="30"/>
          <w:szCs w:val="30"/>
          <w:highlight w:val="none"/>
          <w:lang w:val="zh-CN"/>
        </w:rPr>
        <w:t>以来</w:t>
      </w:r>
      <w:r>
        <w:rPr>
          <w:rFonts w:hint="eastAsia" w:ascii="宋体" w:hAnsi="宋体" w:eastAsia="宋体" w:cs="宋体"/>
          <w:b/>
          <w:bCs/>
          <w:color w:val="auto"/>
          <w:kern w:val="2"/>
          <w:sz w:val="30"/>
          <w:szCs w:val="30"/>
          <w:highlight w:val="none"/>
          <w:lang w:val="zh-CN"/>
        </w:rPr>
        <w:t>（合同签订时间为</w:t>
      </w:r>
      <w:r>
        <w:rPr>
          <w:rFonts w:hint="eastAsia" w:ascii="宋体" w:hAnsi="宋体" w:eastAsia="宋体" w:cs="宋体"/>
          <w:b/>
          <w:bCs/>
          <w:color w:val="auto"/>
          <w:kern w:val="2"/>
          <w:sz w:val="30"/>
          <w:szCs w:val="30"/>
          <w:highlight w:val="none"/>
          <w:lang w:eastAsia="zh-CN"/>
        </w:rPr>
        <w:t>2022年1月1日</w:t>
      </w:r>
      <w:r>
        <w:rPr>
          <w:rFonts w:hint="eastAsia" w:ascii="宋体" w:hAnsi="宋体" w:eastAsia="宋体" w:cs="宋体"/>
          <w:b/>
          <w:bCs/>
          <w:color w:val="auto"/>
          <w:kern w:val="2"/>
          <w:sz w:val="30"/>
          <w:szCs w:val="30"/>
          <w:highlight w:val="none"/>
        </w:rPr>
        <w:t>或以后</w:t>
      </w:r>
      <w:r>
        <w:rPr>
          <w:rFonts w:hint="eastAsia" w:ascii="宋体" w:hAnsi="宋体" w:eastAsia="宋体" w:cs="宋体"/>
          <w:b/>
          <w:bCs/>
          <w:color w:val="auto"/>
          <w:kern w:val="2"/>
          <w:sz w:val="30"/>
          <w:szCs w:val="30"/>
          <w:highlight w:val="none"/>
          <w:lang w:val="zh-CN"/>
        </w:rPr>
        <w:t>）</w:t>
      </w:r>
      <w:r>
        <w:rPr>
          <w:rFonts w:hint="eastAsia" w:ascii="宋体" w:hAnsi="宋体" w:eastAsia="宋体" w:cs="Times New Roman"/>
          <w:b/>
          <w:bCs/>
          <w:color w:val="auto"/>
          <w:sz w:val="30"/>
          <w:szCs w:val="30"/>
          <w:highlight w:val="none"/>
          <w:lang w:val="zh-CN"/>
        </w:rPr>
        <w:t>承接过生态环境领域技术研究服务同类业绩表</w:t>
      </w:r>
    </w:p>
    <w:tbl>
      <w:tblPr>
        <w:tblStyle w:val="39"/>
        <w:tblW w:w="49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776"/>
        <w:gridCol w:w="1686"/>
        <w:gridCol w:w="1970"/>
        <w:gridCol w:w="1202"/>
        <w:gridCol w:w="1139"/>
        <w:gridCol w:w="1171"/>
        <w:gridCol w:w="1242"/>
        <w:gridCol w:w="940"/>
      </w:tblGrid>
      <w:tr w14:paraId="5273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83" w:type="pct"/>
            <w:noWrap w:val="0"/>
            <w:vAlign w:val="center"/>
          </w:tcPr>
          <w:p w14:paraId="5A4B49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32" w:type="pct"/>
            <w:noWrap w:val="0"/>
            <w:vAlign w:val="center"/>
          </w:tcPr>
          <w:p w14:paraId="69CB66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972" w:type="pct"/>
            <w:noWrap w:val="0"/>
            <w:vAlign w:val="center"/>
          </w:tcPr>
          <w:p w14:paraId="2382703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593" w:type="pct"/>
            <w:noWrap w:val="0"/>
            <w:vAlign w:val="center"/>
          </w:tcPr>
          <w:p w14:paraId="4DBB02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562" w:type="pct"/>
            <w:noWrap w:val="0"/>
            <w:vAlign w:val="center"/>
          </w:tcPr>
          <w:p w14:paraId="1A44FC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578" w:type="pct"/>
            <w:noWrap w:val="0"/>
            <w:vAlign w:val="center"/>
          </w:tcPr>
          <w:p w14:paraId="10D30115">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是否属于固体废物领域业绩</w:t>
            </w:r>
          </w:p>
        </w:tc>
        <w:tc>
          <w:tcPr>
            <w:tcW w:w="613" w:type="pct"/>
            <w:noWrap w:val="0"/>
            <w:vAlign w:val="center"/>
          </w:tcPr>
          <w:p w14:paraId="3A7DE0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获奖情况</w:t>
            </w:r>
          </w:p>
        </w:tc>
        <w:tc>
          <w:tcPr>
            <w:tcW w:w="464" w:type="pct"/>
            <w:noWrap w:val="0"/>
            <w:vAlign w:val="center"/>
          </w:tcPr>
          <w:p w14:paraId="5FBF62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BD6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83" w:type="pct"/>
            <w:noWrap w:val="0"/>
            <w:vAlign w:val="center"/>
          </w:tcPr>
          <w:p w14:paraId="04462CCE">
            <w:pPr>
              <w:jc w:val="center"/>
              <w:rPr>
                <w:rFonts w:hint="eastAsia" w:ascii="宋体" w:hAnsi="宋体" w:eastAsia="宋体" w:cs="宋体"/>
                <w:color w:val="auto"/>
                <w:sz w:val="21"/>
                <w:szCs w:val="21"/>
                <w:highlight w:val="none"/>
              </w:rPr>
            </w:pPr>
          </w:p>
        </w:tc>
        <w:tc>
          <w:tcPr>
            <w:tcW w:w="832" w:type="pct"/>
            <w:noWrap w:val="0"/>
            <w:vAlign w:val="center"/>
          </w:tcPr>
          <w:p w14:paraId="7B50FBF1">
            <w:pPr>
              <w:jc w:val="center"/>
              <w:rPr>
                <w:rFonts w:hint="eastAsia" w:ascii="宋体" w:hAnsi="宋体" w:eastAsia="宋体" w:cs="宋体"/>
                <w:color w:val="auto"/>
                <w:sz w:val="21"/>
                <w:szCs w:val="21"/>
                <w:highlight w:val="none"/>
              </w:rPr>
            </w:pPr>
          </w:p>
        </w:tc>
        <w:tc>
          <w:tcPr>
            <w:tcW w:w="972" w:type="pct"/>
            <w:noWrap w:val="0"/>
            <w:vAlign w:val="center"/>
          </w:tcPr>
          <w:p w14:paraId="72681149">
            <w:pPr>
              <w:jc w:val="center"/>
              <w:rPr>
                <w:rFonts w:hint="eastAsia" w:ascii="宋体" w:hAnsi="宋体" w:eastAsia="宋体" w:cs="宋体"/>
                <w:color w:val="auto"/>
                <w:sz w:val="21"/>
                <w:szCs w:val="21"/>
                <w:highlight w:val="none"/>
              </w:rPr>
            </w:pPr>
          </w:p>
        </w:tc>
        <w:tc>
          <w:tcPr>
            <w:tcW w:w="593" w:type="pct"/>
            <w:noWrap w:val="0"/>
            <w:vAlign w:val="center"/>
          </w:tcPr>
          <w:p w14:paraId="3D41102E">
            <w:pPr>
              <w:jc w:val="center"/>
              <w:rPr>
                <w:rFonts w:hint="eastAsia" w:ascii="宋体" w:hAnsi="宋体" w:eastAsia="宋体" w:cs="宋体"/>
                <w:color w:val="auto"/>
                <w:sz w:val="21"/>
                <w:szCs w:val="21"/>
                <w:highlight w:val="none"/>
              </w:rPr>
            </w:pPr>
          </w:p>
        </w:tc>
        <w:tc>
          <w:tcPr>
            <w:tcW w:w="562" w:type="pct"/>
            <w:noWrap w:val="0"/>
            <w:vAlign w:val="center"/>
          </w:tcPr>
          <w:p w14:paraId="1612050B">
            <w:pPr>
              <w:jc w:val="center"/>
              <w:rPr>
                <w:rFonts w:hint="eastAsia" w:ascii="宋体" w:hAnsi="宋体" w:eastAsia="宋体" w:cs="宋体"/>
                <w:color w:val="auto"/>
                <w:sz w:val="21"/>
                <w:szCs w:val="21"/>
                <w:highlight w:val="none"/>
              </w:rPr>
            </w:pPr>
          </w:p>
        </w:tc>
        <w:tc>
          <w:tcPr>
            <w:tcW w:w="578" w:type="pct"/>
            <w:noWrap w:val="0"/>
            <w:vAlign w:val="center"/>
          </w:tcPr>
          <w:p w14:paraId="2127666B">
            <w:pPr>
              <w:jc w:val="center"/>
              <w:rPr>
                <w:rFonts w:hint="eastAsia" w:ascii="宋体" w:hAnsi="宋体" w:eastAsia="宋体" w:cs="宋体"/>
                <w:color w:val="auto"/>
                <w:sz w:val="21"/>
                <w:szCs w:val="21"/>
                <w:highlight w:val="none"/>
              </w:rPr>
            </w:pPr>
          </w:p>
        </w:tc>
        <w:tc>
          <w:tcPr>
            <w:tcW w:w="613" w:type="pct"/>
            <w:noWrap w:val="0"/>
            <w:vAlign w:val="center"/>
          </w:tcPr>
          <w:p w14:paraId="72ED5F4B">
            <w:pPr>
              <w:jc w:val="center"/>
              <w:rPr>
                <w:rFonts w:hint="eastAsia" w:ascii="宋体" w:hAnsi="宋体" w:eastAsia="宋体" w:cs="宋体"/>
                <w:color w:val="auto"/>
                <w:sz w:val="21"/>
                <w:szCs w:val="21"/>
                <w:highlight w:val="none"/>
              </w:rPr>
            </w:pPr>
          </w:p>
        </w:tc>
        <w:tc>
          <w:tcPr>
            <w:tcW w:w="464" w:type="pct"/>
            <w:noWrap w:val="0"/>
            <w:vAlign w:val="center"/>
          </w:tcPr>
          <w:p w14:paraId="49ADC70C">
            <w:pPr>
              <w:jc w:val="center"/>
              <w:rPr>
                <w:rFonts w:hint="eastAsia" w:ascii="宋体" w:hAnsi="宋体" w:eastAsia="宋体" w:cs="宋体"/>
                <w:color w:val="auto"/>
                <w:sz w:val="21"/>
                <w:szCs w:val="21"/>
                <w:highlight w:val="none"/>
              </w:rPr>
            </w:pPr>
          </w:p>
        </w:tc>
      </w:tr>
      <w:tr w14:paraId="16C9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83" w:type="pct"/>
            <w:noWrap w:val="0"/>
            <w:vAlign w:val="center"/>
          </w:tcPr>
          <w:p w14:paraId="0707A177">
            <w:pPr>
              <w:jc w:val="center"/>
              <w:rPr>
                <w:rFonts w:hint="eastAsia" w:ascii="宋体" w:hAnsi="宋体" w:eastAsia="宋体" w:cs="宋体"/>
                <w:color w:val="auto"/>
                <w:sz w:val="21"/>
                <w:szCs w:val="21"/>
                <w:highlight w:val="none"/>
              </w:rPr>
            </w:pPr>
          </w:p>
        </w:tc>
        <w:tc>
          <w:tcPr>
            <w:tcW w:w="832" w:type="pct"/>
            <w:noWrap w:val="0"/>
            <w:vAlign w:val="center"/>
          </w:tcPr>
          <w:p w14:paraId="25DB3F83">
            <w:pPr>
              <w:jc w:val="center"/>
              <w:rPr>
                <w:rFonts w:hint="eastAsia" w:ascii="宋体" w:hAnsi="宋体" w:eastAsia="宋体" w:cs="宋体"/>
                <w:color w:val="auto"/>
                <w:sz w:val="21"/>
                <w:szCs w:val="21"/>
                <w:highlight w:val="none"/>
              </w:rPr>
            </w:pPr>
          </w:p>
        </w:tc>
        <w:tc>
          <w:tcPr>
            <w:tcW w:w="972" w:type="pct"/>
            <w:noWrap w:val="0"/>
            <w:vAlign w:val="center"/>
          </w:tcPr>
          <w:p w14:paraId="150BE5C8">
            <w:pPr>
              <w:jc w:val="center"/>
              <w:rPr>
                <w:rFonts w:hint="eastAsia" w:ascii="宋体" w:hAnsi="宋体" w:eastAsia="宋体" w:cs="宋体"/>
                <w:color w:val="auto"/>
                <w:sz w:val="21"/>
                <w:szCs w:val="21"/>
                <w:highlight w:val="none"/>
              </w:rPr>
            </w:pPr>
          </w:p>
        </w:tc>
        <w:tc>
          <w:tcPr>
            <w:tcW w:w="593" w:type="pct"/>
            <w:noWrap w:val="0"/>
            <w:vAlign w:val="center"/>
          </w:tcPr>
          <w:p w14:paraId="622AE095">
            <w:pPr>
              <w:jc w:val="center"/>
              <w:rPr>
                <w:rFonts w:hint="eastAsia" w:ascii="宋体" w:hAnsi="宋体" w:eastAsia="宋体" w:cs="宋体"/>
                <w:color w:val="auto"/>
                <w:sz w:val="21"/>
                <w:szCs w:val="21"/>
                <w:highlight w:val="none"/>
              </w:rPr>
            </w:pPr>
          </w:p>
        </w:tc>
        <w:tc>
          <w:tcPr>
            <w:tcW w:w="562" w:type="pct"/>
            <w:noWrap w:val="0"/>
            <w:vAlign w:val="center"/>
          </w:tcPr>
          <w:p w14:paraId="2C4AB3EE">
            <w:pPr>
              <w:jc w:val="center"/>
              <w:rPr>
                <w:rFonts w:hint="eastAsia" w:ascii="宋体" w:hAnsi="宋体" w:eastAsia="宋体" w:cs="宋体"/>
                <w:color w:val="auto"/>
                <w:sz w:val="21"/>
                <w:szCs w:val="21"/>
                <w:highlight w:val="none"/>
              </w:rPr>
            </w:pPr>
          </w:p>
        </w:tc>
        <w:tc>
          <w:tcPr>
            <w:tcW w:w="578" w:type="pct"/>
            <w:noWrap w:val="0"/>
            <w:vAlign w:val="center"/>
          </w:tcPr>
          <w:p w14:paraId="0D8156CE">
            <w:pPr>
              <w:jc w:val="center"/>
              <w:rPr>
                <w:rFonts w:hint="eastAsia" w:ascii="宋体" w:hAnsi="宋体" w:eastAsia="宋体" w:cs="宋体"/>
                <w:color w:val="auto"/>
                <w:sz w:val="21"/>
                <w:szCs w:val="21"/>
                <w:highlight w:val="none"/>
              </w:rPr>
            </w:pPr>
          </w:p>
        </w:tc>
        <w:tc>
          <w:tcPr>
            <w:tcW w:w="613" w:type="pct"/>
            <w:noWrap w:val="0"/>
            <w:vAlign w:val="center"/>
          </w:tcPr>
          <w:p w14:paraId="3448D957">
            <w:pPr>
              <w:jc w:val="center"/>
              <w:rPr>
                <w:rFonts w:hint="eastAsia" w:ascii="宋体" w:hAnsi="宋体" w:eastAsia="宋体" w:cs="宋体"/>
                <w:color w:val="auto"/>
                <w:sz w:val="21"/>
                <w:szCs w:val="21"/>
                <w:highlight w:val="none"/>
              </w:rPr>
            </w:pPr>
          </w:p>
        </w:tc>
        <w:tc>
          <w:tcPr>
            <w:tcW w:w="464" w:type="pct"/>
            <w:noWrap w:val="0"/>
            <w:vAlign w:val="center"/>
          </w:tcPr>
          <w:p w14:paraId="79B46A0F">
            <w:pPr>
              <w:jc w:val="center"/>
              <w:rPr>
                <w:rFonts w:hint="eastAsia" w:ascii="宋体" w:hAnsi="宋体" w:eastAsia="宋体" w:cs="宋体"/>
                <w:color w:val="auto"/>
                <w:sz w:val="21"/>
                <w:szCs w:val="21"/>
                <w:highlight w:val="none"/>
              </w:rPr>
            </w:pPr>
          </w:p>
        </w:tc>
      </w:tr>
      <w:tr w14:paraId="7467D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83" w:type="pct"/>
            <w:noWrap w:val="0"/>
            <w:vAlign w:val="center"/>
          </w:tcPr>
          <w:p w14:paraId="1E25F90B">
            <w:pPr>
              <w:jc w:val="center"/>
              <w:rPr>
                <w:rFonts w:hint="eastAsia" w:ascii="宋体" w:hAnsi="宋体" w:eastAsia="宋体" w:cs="宋体"/>
                <w:color w:val="auto"/>
                <w:sz w:val="21"/>
                <w:szCs w:val="21"/>
                <w:highlight w:val="none"/>
              </w:rPr>
            </w:pPr>
          </w:p>
        </w:tc>
        <w:tc>
          <w:tcPr>
            <w:tcW w:w="832" w:type="pct"/>
            <w:noWrap w:val="0"/>
            <w:vAlign w:val="center"/>
          </w:tcPr>
          <w:p w14:paraId="2F06DCE4">
            <w:pPr>
              <w:jc w:val="center"/>
              <w:rPr>
                <w:rFonts w:hint="eastAsia" w:ascii="宋体" w:hAnsi="宋体" w:eastAsia="宋体" w:cs="宋体"/>
                <w:color w:val="auto"/>
                <w:sz w:val="21"/>
                <w:szCs w:val="21"/>
                <w:highlight w:val="none"/>
              </w:rPr>
            </w:pPr>
          </w:p>
        </w:tc>
        <w:tc>
          <w:tcPr>
            <w:tcW w:w="972" w:type="pct"/>
            <w:noWrap w:val="0"/>
            <w:vAlign w:val="center"/>
          </w:tcPr>
          <w:p w14:paraId="5FAED4D3">
            <w:pPr>
              <w:jc w:val="center"/>
              <w:rPr>
                <w:rFonts w:hint="eastAsia" w:ascii="宋体" w:hAnsi="宋体" w:eastAsia="宋体" w:cs="宋体"/>
                <w:color w:val="auto"/>
                <w:sz w:val="21"/>
                <w:szCs w:val="21"/>
                <w:highlight w:val="none"/>
              </w:rPr>
            </w:pPr>
          </w:p>
        </w:tc>
        <w:tc>
          <w:tcPr>
            <w:tcW w:w="593" w:type="pct"/>
            <w:noWrap w:val="0"/>
            <w:vAlign w:val="center"/>
          </w:tcPr>
          <w:p w14:paraId="2D8ACF2E">
            <w:pPr>
              <w:jc w:val="center"/>
              <w:rPr>
                <w:rFonts w:hint="eastAsia" w:ascii="宋体" w:hAnsi="宋体" w:eastAsia="宋体" w:cs="宋体"/>
                <w:color w:val="auto"/>
                <w:sz w:val="21"/>
                <w:szCs w:val="21"/>
                <w:highlight w:val="none"/>
              </w:rPr>
            </w:pPr>
          </w:p>
        </w:tc>
        <w:tc>
          <w:tcPr>
            <w:tcW w:w="562" w:type="pct"/>
            <w:noWrap w:val="0"/>
            <w:vAlign w:val="center"/>
          </w:tcPr>
          <w:p w14:paraId="6708407F">
            <w:pPr>
              <w:jc w:val="center"/>
              <w:rPr>
                <w:rFonts w:hint="eastAsia" w:ascii="宋体" w:hAnsi="宋体" w:eastAsia="宋体" w:cs="宋体"/>
                <w:color w:val="auto"/>
                <w:sz w:val="21"/>
                <w:szCs w:val="21"/>
                <w:highlight w:val="none"/>
              </w:rPr>
            </w:pPr>
          </w:p>
        </w:tc>
        <w:tc>
          <w:tcPr>
            <w:tcW w:w="578" w:type="pct"/>
            <w:noWrap w:val="0"/>
            <w:vAlign w:val="center"/>
          </w:tcPr>
          <w:p w14:paraId="5FA872D6">
            <w:pPr>
              <w:jc w:val="center"/>
              <w:rPr>
                <w:rFonts w:hint="eastAsia" w:ascii="宋体" w:hAnsi="宋体" w:eastAsia="宋体" w:cs="宋体"/>
                <w:color w:val="auto"/>
                <w:sz w:val="21"/>
                <w:szCs w:val="21"/>
                <w:highlight w:val="none"/>
              </w:rPr>
            </w:pPr>
          </w:p>
        </w:tc>
        <w:tc>
          <w:tcPr>
            <w:tcW w:w="613" w:type="pct"/>
            <w:noWrap w:val="0"/>
            <w:vAlign w:val="center"/>
          </w:tcPr>
          <w:p w14:paraId="620BCD7E">
            <w:pPr>
              <w:jc w:val="center"/>
              <w:rPr>
                <w:rFonts w:hint="eastAsia" w:ascii="宋体" w:hAnsi="宋体" w:eastAsia="宋体" w:cs="宋体"/>
                <w:color w:val="auto"/>
                <w:sz w:val="21"/>
                <w:szCs w:val="21"/>
                <w:highlight w:val="none"/>
              </w:rPr>
            </w:pPr>
          </w:p>
        </w:tc>
        <w:tc>
          <w:tcPr>
            <w:tcW w:w="464" w:type="pct"/>
            <w:noWrap w:val="0"/>
            <w:vAlign w:val="center"/>
          </w:tcPr>
          <w:p w14:paraId="43EB873A">
            <w:pPr>
              <w:jc w:val="center"/>
              <w:rPr>
                <w:rFonts w:hint="eastAsia" w:ascii="宋体" w:hAnsi="宋体" w:eastAsia="宋体" w:cs="宋体"/>
                <w:color w:val="auto"/>
                <w:sz w:val="21"/>
                <w:szCs w:val="21"/>
                <w:highlight w:val="none"/>
              </w:rPr>
            </w:pPr>
          </w:p>
        </w:tc>
      </w:tr>
      <w:tr w14:paraId="2D6B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83" w:type="pct"/>
            <w:noWrap w:val="0"/>
            <w:vAlign w:val="center"/>
          </w:tcPr>
          <w:p w14:paraId="377E3C86">
            <w:pPr>
              <w:jc w:val="center"/>
              <w:rPr>
                <w:rFonts w:hint="eastAsia" w:ascii="宋体" w:hAnsi="宋体" w:eastAsia="宋体" w:cs="宋体"/>
                <w:color w:val="auto"/>
                <w:sz w:val="21"/>
                <w:szCs w:val="21"/>
                <w:highlight w:val="none"/>
              </w:rPr>
            </w:pPr>
          </w:p>
        </w:tc>
        <w:tc>
          <w:tcPr>
            <w:tcW w:w="832" w:type="pct"/>
            <w:noWrap w:val="0"/>
            <w:vAlign w:val="center"/>
          </w:tcPr>
          <w:p w14:paraId="0D4C524A">
            <w:pPr>
              <w:jc w:val="center"/>
              <w:rPr>
                <w:rFonts w:hint="eastAsia" w:ascii="宋体" w:hAnsi="宋体" w:eastAsia="宋体" w:cs="宋体"/>
                <w:color w:val="auto"/>
                <w:sz w:val="21"/>
                <w:szCs w:val="21"/>
                <w:highlight w:val="none"/>
              </w:rPr>
            </w:pPr>
          </w:p>
        </w:tc>
        <w:tc>
          <w:tcPr>
            <w:tcW w:w="972" w:type="pct"/>
            <w:noWrap w:val="0"/>
            <w:vAlign w:val="center"/>
          </w:tcPr>
          <w:p w14:paraId="083D0CD0">
            <w:pPr>
              <w:jc w:val="center"/>
              <w:rPr>
                <w:rFonts w:hint="eastAsia" w:ascii="宋体" w:hAnsi="宋体" w:eastAsia="宋体" w:cs="宋体"/>
                <w:color w:val="auto"/>
                <w:sz w:val="21"/>
                <w:szCs w:val="21"/>
                <w:highlight w:val="none"/>
              </w:rPr>
            </w:pPr>
          </w:p>
        </w:tc>
        <w:tc>
          <w:tcPr>
            <w:tcW w:w="593" w:type="pct"/>
            <w:noWrap w:val="0"/>
            <w:vAlign w:val="center"/>
          </w:tcPr>
          <w:p w14:paraId="3F138F9A">
            <w:pPr>
              <w:jc w:val="center"/>
              <w:rPr>
                <w:rFonts w:hint="eastAsia" w:ascii="宋体" w:hAnsi="宋体" w:eastAsia="宋体" w:cs="宋体"/>
                <w:color w:val="auto"/>
                <w:sz w:val="21"/>
                <w:szCs w:val="21"/>
                <w:highlight w:val="none"/>
              </w:rPr>
            </w:pPr>
          </w:p>
        </w:tc>
        <w:tc>
          <w:tcPr>
            <w:tcW w:w="562" w:type="pct"/>
            <w:noWrap w:val="0"/>
            <w:vAlign w:val="center"/>
          </w:tcPr>
          <w:p w14:paraId="565501DE">
            <w:pPr>
              <w:jc w:val="center"/>
              <w:rPr>
                <w:rFonts w:hint="eastAsia" w:ascii="宋体" w:hAnsi="宋体" w:eastAsia="宋体" w:cs="宋体"/>
                <w:color w:val="auto"/>
                <w:sz w:val="21"/>
                <w:szCs w:val="21"/>
                <w:highlight w:val="none"/>
              </w:rPr>
            </w:pPr>
          </w:p>
        </w:tc>
        <w:tc>
          <w:tcPr>
            <w:tcW w:w="578" w:type="pct"/>
            <w:noWrap w:val="0"/>
            <w:vAlign w:val="center"/>
          </w:tcPr>
          <w:p w14:paraId="4782F957">
            <w:pPr>
              <w:jc w:val="center"/>
              <w:rPr>
                <w:rFonts w:hint="eastAsia" w:ascii="宋体" w:hAnsi="宋体" w:eastAsia="宋体" w:cs="宋体"/>
                <w:color w:val="auto"/>
                <w:sz w:val="21"/>
                <w:szCs w:val="21"/>
                <w:highlight w:val="none"/>
              </w:rPr>
            </w:pPr>
          </w:p>
        </w:tc>
        <w:tc>
          <w:tcPr>
            <w:tcW w:w="613" w:type="pct"/>
            <w:noWrap w:val="0"/>
            <w:vAlign w:val="center"/>
          </w:tcPr>
          <w:p w14:paraId="4C372774">
            <w:pPr>
              <w:jc w:val="center"/>
              <w:rPr>
                <w:rFonts w:hint="eastAsia" w:ascii="宋体" w:hAnsi="宋体" w:eastAsia="宋体" w:cs="宋体"/>
                <w:color w:val="auto"/>
                <w:sz w:val="21"/>
                <w:szCs w:val="21"/>
                <w:highlight w:val="none"/>
              </w:rPr>
            </w:pPr>
          </w:p>
        </w:tc>
        <w:tc>
          <w:tcPr>
            <w:tcW w:w="464" w:type="pct"/>
            <w:noWrap w:val="0"/>
            <w:vAlign w:val="center"/>
          </w:tcPr>
          <w:p w14:paraId="5B43AE86">
            <w:pPr>
              <w:jc w:val="center"/>
              <w:rPr>
                <w:rFonts w:hint="eastAsia" w:ascii="宋体" w:hAnsi="宋体" w:eastAsia="宋体" w:cs="宋体"/>
                <w:color w:val="auto"/>
                <w:sz w:val="21"/>
                <w:szCs w:val="21"/>
                <w:highlight w:val="none"/>
              </w:rPr>
            </w:pPr>
          </w:p>
        </w:tc>
      </w:tr>
    </w:tbl>
    <w:p w14:paraId="4BEE62B9">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05EA228F">
      <w:pPr>
        <w:autoSpaceDE w:val="0"/>
        <w:autoSpaceDN w:val="0"/>
        <w:adjustRightInd w:val="0"/>
        <w:snapToGrid w:val="0"/>
        <w:spacing w:line="360" w:lineRule="auto"/>
        <w:ind w:left="481" w:leftChars="-41" w:hanging="567" w:hangingChars="270"/>
        <w:jc w:val="left"/>
        <w:rPr>
          <w:rFonts w:hint="eastAsia" w:ascii="宋体" w:hAnsi="宋体" w:eastAsia="宋体" w:cs="Times New Roman"/>
          <w:b w:val="0"/>
          <w:bCs/>
          <w:color w:val="auto"/>
          <w:kern w:val="0"/>
          <w:sz w:val="21"/>
          <w:szCs w:val="21"/>
          <w:highlight w:val="none"/>
          <w:lang w:val="en-US" w:eastAsia="zh-CN"/>
        </w:rPr>
      </w:pPr>
      <w:r>
        <w:rPr>
          <w:rFonts w:hint="eastAsia" w:ascii="宋体" w:hAnsi="宋体" w:eastAsia="宋体" w:cs="Times New Roman"/>
          <w:color w:val="auto"/>
          <w:szCs w:val="24"/>
          <w:highlight w:val="none"/>
          <w:lang w:val="zh-CN"/>
        </w:rPr>
        <w:t>备注：</w:t>
      </w:r>
    </w:p>
    <w:p w14:paraId="07C5B728">
      <w:pPr>
        <w:autoSpaceDE w:val="0"/>
        <w:autoSpaceDN w:val="0"/>
        <w:adjustRightInd w:val="0"/>
        <w:snapToGrid w:val="0"/>
        <w:spacing w:line="360" w:lineRule="auto"/>
        <w:ind w:left="481" w:leftChars="-41" w:hanging="567" w:hangingChars="270"/>
        <w:jc w:val="left"/>
        <w:rPr>
          <w:rFonts w:hint="eastAsia" w:ascii="宋体" w:hAnsi="宋体" w:eastAsia="宋体" w:cs="Times New Roman"/>
          <w:b/>
          <w:bCs w:val="0"/>
          <w:color w:val="auto"/>
          <w:kern w:val="0"/>
          <w:szCs w:val="21"/>
          <w:highlight w:val="none"/>
        </w:rPr>
      </w:pPr>
      <w:r>
        <w:rPr>
          <w:rFonts w:hint="eastAsia" w:ascii="宋体" w:hAnsi="宋体" w:eastAsia="宋体" w:cs="Times New Roman"/>
          <w:b w:val="0"/>
          <w:bCs/>
          <w:color w:val="auto"/>
          <w:kern w:val="0"/>
          <w:sz w:val="21"/>
          <w:szCs w:val="21"/>
          <w:highlight w:val="none"/>
          <w:lang w:val="en-US" w:eastAsia="zh-CN"/>
        </w:rPr>
        <w:t>（1）</w:t>
      </w:r>
      <w:r>
        <w:rPr>
          <w:rFonts w:hint="eastAsia" w:ascii="宋体" w:hAnsi="宋体" w:eastAsia="宋体" w:cs="Times New Roman"/>
          <w:b/>
          <w:bCs w:val="0"/>
          <w:color w:val="auto"/>
          <w:kern w:val="0"/>
          <w:szCs w:val="21"/>
          <w:highlight w:val="none"/>
        </w:rPr>
        <w:t>同一个单项合同的业绩可以同时在资格业绩和评分业绩重复放置。</w:t>
      </w:r>
    </w:p>
    <w:p w14:paraId="5C4028F5">
      <w:pPr>
        <w:autoSpaceDE w:val="0"/>
        <w:autoSpaceDN w:val="0"/>
        <w:adjustRightInd w:val="0"/>
        <w:snapToGrid w:val="0"/>
        <w:spacing w:line="360" w:lineRule="auto"/>
        <w:ind w:left="481" w:leftChars="-41" w:hanging="567" w:hangingChars="270"/>
        <w:jc w:val="left"/>
        <w:rPr>
          <w:rFonts w:hint="eastAsia" w:ascii="宋体" w:hAnsi="宋体" w:eastAsia="宋体" w:cs="Times New Roman"/>
          <w:b w:val="0"/>
          <w:bCs/>
          <w:color w:val="auto"/>
          <w:kern w:val="0"/>
          <w:szCs w:val="21"/>
          <w:highlight w:val="none"/>
          <w:lang w:eastAsia="zh-CN"/>
        </w:rPr>
      </w:pPr>
      <w:r>
        <w:rPr>
          <w:rFonts w:hint="eastAsia" w:ascii="宋体" w:hAnsi="宋体" w:eastAsia="宋体" w:cs="Times New Roman"/>
          <w:b w:val="0"/>
          <w:bCs/>
          <w:color w:val="auto"/>
          <w:kern w:val="0"/>
          <w:szCs w:val="21"/>
          <w:highlight w:val="none"/>
          <w:lang w:eastAsia="zh-CN"/>
        </w:rPr>
        <w:t>（</w:t>
      </w:r>
      <w:r>
        <w:rPr>
          <w:rFonts w:hint="eastAsia" w:ascii="宋体" w:hAnsi="宋体" w:eastAsia="宋体" w:cs="Times New Roman"/>
          <w:b w:val="0"/>
          <w:bCs/>
          <w:color w:val="auto"/>
          <w:kern w:val="0"/>
          <w:szCs w:val="21"/>
          <w:highlight w:val="none"/>
          <w:lang w:val="en-US" w:eastAsia="zh-CN"/>
        </w:rPr>
        <w:t>2</w:t>
      </w:r>
      <w:r>
        <w:rPr>
          <w:rFonts w:hint="eastAsia" w:ascii="宋体" w:hAnsi="宋体" w:eastAsia="宋体" w:cs="Times New Roman"/>
          <w:b w:val="0"/>
          <w:bCs/>
          <w:color w:val="auto"/>
          <w:kern w:val="0"/>
          <w:szCs w:val="21"/>
          <w:highlight w:val="none"/>
          <w:lang w:eastAsia="zh-CN"/>
        </w:rPr>
        <w:t>）业绩中的“生态环境领域”是指包含水污染治理（或大气污染治理，或固体废弃物处理处置，或物理污染治理，或生态修复）范围的领域。“生态环境领域技术研究服务同类业绩”是指该业绩包含生态环境领域的全过程管理（或处理技术，或应用技术）的技术研究（或评估研究，或规范研究，或政策研究）服务内容的业绩；</w:t>
      </w:r>
    </w:p>
    <w:p w14:paraId="538CEA31">
      <w:pPr>
        <w:autoSpaceDE w:val="0"/>
        <w:autoSpaceDN w:val="0"/>
        <w:adjustRightInd w:val="0"/>
        <w:snapToGrid w:val="0"/>
        <w:spacing w:line="360" w:lineRule="auto"/>
        <w:ind w:left="481" w:leftChars="-41" w:hanging="567" w:hangingChars="270"/>
        <w:jc w:val="left"/>
        <w:rPr>
          <w:rFonts w:hint="eastAsia" w:ascii="宋体" w:hAnsi="宋体" w:eastAsia="宋体" w:cs="Times New Roman"/>
          <w:b w:val="0"/>
          <w:bCs/>
          <w:color w:val="auto"/>
          <w:kern w:val="0"/>
          <w:sz w:val="21"/>
          <w:szCs w:val="21"/>
          <w:highlight w:val="none"/>
          <w:lang w:val="en-US" w:eastAsia="zh-CN"/>
        </w:rPr>
      </w:pPr>
      <w:r>
        <w:rPr>
          <w:rFonts w:hint="eastAsia" w:ascii="宋体" w:hAnsi="宋体" w:eastAsia="宋体" w:cs="Times New Roman"/>
          <w:b w:val="0"/>
          <w:bCs/>
          <w:color w:val="auto"/>
          <w:kern w:val="0"/>
          <w:szCs w:val="21"/>
          <w:highlight w:val="none"/>
          <w:lang w:eastAsia="zh-CN"/>
        </w:rPr>
        <w:t>（</w:t>
      </w:r>
      <w:r>
        <w:rPr>
          <w:rFonts w:hint="eastAsia" w:ascii="宋体" w:hAnsi="宋体" w:eastAsia="宋体" w:cs="Times New Roman"/>
          <w:b w:val="0"/>
          <w:bCs/>
          <w:color w:val="auto"/>
          <w:kern w:val="0"/>
          <w:szCs w:val="21"/>
          <w:highlight w:val="none"/>
          <w:lang w:val="en-US" w:eastAsia="zh-CN"/>
        </w:rPr>
        <w:t>3</w:t>
      </w:r>
      <w:r>
        <w:rPr>
          <w:rFonts w:hint="eastAsia" w:ascii="宋体" w:hAnsi="宋体" w:eastAsia="宋体" w:cs="Times New Roman"/>
          <w:b w:val="0"/>
          <w:bCs/>
          <w:color w:val="auto"/>
          <w:kern w:val="0"/>
          <w:szCs w:val="21"/>
          <w:highlight w:val="none"/>
          <w:lang w:eastAsia="zh-CN"/>
        </w:rPr>
        <w:t>）</w:t>
      </w:r>
      <w:r>
        <w:rPr>
          <w:rFonts w:hint="eastAsia" w:ascii="宋体" w:hAnsi="宋体" w:eastAsia="宋体" w:cs="Times New Roman"/>
          <w:b w:val="0"/>
          <w:bCs/>
          <w:color w:val="auto"/>
          <w:kern w:val="0"/>
          <w:sz w:val="21"/>
          <w:szCs w:val="21"/>
          <w:highlight w:val="none"/>
          <w:lang w:val="en-US" w:eastAsia="zh-CN"/>
        </w:rPr>
        <w:t>业绩中的“固体废物”是指属于工业固体废物，或生活垃圾，或建筑垃圾、农业固体废物等，或危险废物，或其他固体废物（城镇污水污泥，或清淤疏浚污泥，或实验室固体废物）的固体（或半固体）废弃物质。“固体废物领域技术研究服务同类业绩”是指该业绩包含固体废物领域的全过程管理（或处理技术，或应用技术）的技术研究（或评估研究，或规范研究，或政策研究）服务内容的业绩；</w:t>
      </w:r>
    </w:p>
    <w:p w14:paraId="48454F00">
      <w:pPr>
        <w:autoSpaceDE w:val="0"/>
        <w:autoSpaceDN w:val="0"/>
        <w:adjustRightInd w:val="0"/>
        <w:snapToGrid w:val="0"/>
        <w:spacing w:line="360" w:lineRule="auto"/>
        <w:ind w:left="481" w:leftChars="-41" w:hanging="567" w:hangingChars="270"/>
        <w:jc w:val="left"/>
        <w:rPr>
          <w:rFonts w:hint="eastAsia" w:ascii="宋体" w:hAnsi="宋体" w:eastAsia="宋体" w:cs="Times New Roman"/>
          <w:b w:val="0"/>
          <w:bCs/>
          <w:color w:val="auto"/>
          <w:kern w:val="0"/>
          <w:sz w:val="21"/>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（4）业绩须附合同复印件（合同服务提供方为投标人）；</w:t>
      </w:r>
    </w:p>
    <w:p w14:paraId="64E2DC0D">
      <w:pPr>
        <w:autoSpaceDE w:val="0"/>
        <w:autoSpaceDN w:val="0"/>
        <w:adjustRightInd w:val="0"/>
        <w:snapToGrid w:val="0"/>
        <w:spacing w:line="360" w:lineRule="auto"/>
        <w:ind w:left="481" w:leftChars="-41" w:hanging="567" w:hangingChars="270"/>
        <w:jc w:val="left"/>
        <w:rPr>
          <w:rFonts w:hint="eastAsia" w:ascii="宋体" w:hAnsi="宋体" w:eastAsia="宋体" w:cs="Times New Roman"/>
          <w:b w:val="0"/>
          <w:bCs/>
          <w:color w:val="auto"/>
          <w:kern w:val="0"/>
          <w:sz w:val="21"/>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（5）若合同及证明文件无法反映评审条件（合同签订日期为2022年1月1日或以后、合同服务内容必须包含</w:t>
      </w:r>
      <w:r>
        <w:rPr>
          <w:rFonts w:hint="eastAsia" w:ascii="宋体" w:hAnsi="宋体" w:eastAsia="宋体" w:cs="Times New Roman"/>
          <w:b w:val="0"/>
          <w:bCs/>
          <w:color w:val="auto"/>
          <w:kern w:val="0"/>
          <w:szCs w:val="21"/>
          <w:highlight w:val="none"/>
          <w:lang w:eastAsia="zh-CN"/>
        </w:rPr>
        <w:t>生态环境领域</w:t>
      </w:r>
      <w:r>
        <w:rPr>
          <w:rFonts w:hint="eastAsia" w:ascii="宋体" w:hAnsi="宋体" w:eastAsia="宋体" w:cs="Times New Roman"/>
          <w:b w:val="0"/>
          <w:bCs/>
          <w:color w:val="auto"/>
          <w:kern w:val="0"/>
          <w:sz w:val="21"/>
          <w:szCs w:val="21"/>
          <w:highlight w:val="none"/>
          <w:lang w:val="en-US" w:eastAsia="zh-CN"/>
        </w:rPr>
        <w:t>或固体废物技术服务）的，还需提供服务购买方出具的书面补充说明文件复印件作为辅助证明（复印件能显示服务招标人公章）；</w:t>
      </w:r>
    </w:p>
    <w:p w14:paraId="3913054D">
      <w:pPr>
        <w:autoSpaceDE w:val="0"/>
        <w:autoSpaceDN w:val="0"/>
        <w:adjustRightInd w:val="0"/>
        <w:snapToGrid w:val="0"/>
        <w:spacing w:line="360" w:lineRule="auto"/>
        <w:ind w:left="481" w:leftChars="-41" w:hanging="567" w:hangingChars="270"/>
        <w:jc w:val="left"/>
        <w:rPr>
          <w:rFonts w:hint="eastAsia" w:ascii="宋体" w:hAnsi="宋体" w:eastAsia="宋体" w:cs="Times New Roman"/>
          <w:b w:val="0"/>
          <w:bCs/>
          <w:color w:val="auto"/>
          <w:kern w:val="0"/>
          <w:sz w:val="21"/>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（6）未按上述要求提供证明材料的业绩，或所附材料无法证明填报项目属于投标人承接的业绩，或符合本项评分要求的业绩，在评审时将不予考虑。</w:t>
      </w:r>
    </w:p>
    <w:p w14:paraId="21BA3797">
      <w:pPr>
        <w:pStyle w:val="3"/>
        <w:rPr>
          <w:rFonts w:hint="eastAsia" w:ascii="宋体" w:hAnsi="宋体" w:eastAsia="宋体" w:cs="Times New Roman"/>
          <w:color w:val="auto"/>
          <w:szCs w:val="24"/>
          <w:highlight w:val="none"/>
          <w:lang w:val="zh-CN"/>
        </w:rPr>
      </w:pPr>
    </w:p>
    <w:p w14:paraId="415D821E">
      <w:pPr>
        <w:pStyle w:val="3"/>
        <w:rPr>
          <w:rFonts w:hint="eastAsia" w:ascii="宋体" w:hAnsi="宋体" w:eastAsia="宋体" w:cs="Times New Roman"/>
          <w:color w:val="auto"/>
          <w:szCs w:val="24"/>
          <w:highlight w:val="none"/>
          <w:lang w:val="zh-CN"/>
        </w:rPr>
      </w:pPr>
    </w:p>
    <w:p w14:paraId="0868CF2C">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386BA2CC">
      <w:pPr>
        <w:autoSpaceDE w:val="0"/>
        <w:autoSpaceDN w:val="0"/>
        <w:adjustRightInd w:val="0"/>
        <w:spacing w:line="360" w:lineRule="auto"/>
        <w:ind w:firstLine="5040" w:firstLineChars="2400"/>
        <w:jc w:val="left"/>
        <w:rPr>
          <w:rFonts w:ascii="宋体" w:hAnsi="宋体" w:eastAsia="宋体" w:cs="Times New Roman"/>
          <w:b/>
          <w:bCs/>
          <w:color w:val="auto"/>
          <w:sz w:val="30"/>
          <w:szCs w:val="30"/>
          <w:highlight w:val="none"/>
          <w:lang w:val="zh-CN"/>
        </w:rPr>
      </w:pPr>
      <w:r>
        <w:rPr>
          <w:rFonts w:hint="eastAsia" w:ascii="宋体" w:hAnsi="宋体" w:eastAsia="宋体" w:cs="Times New Roman"/>
          <w:color w:val="auto"/>
          <w:szCs w:val="24"/>
          <w:highlight w:val="none"/>
          <w:lang w:val="zh-CN"/>
        </w:rPr>
        <w:t>日期：   年   月   日</w:t>
      </w:r>
      <w:r>
        <w:rPr>
          <w:rFonts w:hAnsi="宋体"/>
          <w:color w:val="auto"/>
          <w:sz w:val="21"/>
          <w:szCs w:val="21"/>
          <w:highlight w:val="none"/>
        </w:rPr>
        <w:br w:type="page"/>
      </w:r>
    </w:p>
    <w:bookmarkEnd w:id="741"/>
    <w:bookmarkEnd w:id="742"/>
    <w:p w14:paraId="4CBED3F0">
      <w:pPr>
        <w:pageBreakBefore/>
        <w:spacing w:before="120" w:after="120" w:line="360" w:lineRule="auto"/>
        <w:jc w:val="left"/>
        <w:outlineLvl w:val="2"/>
        <w:rPr>
          <w:rFonts w:hint="eastAsia" w:ascii="宋体" w:hAnsi="宋体" w:eastAsia="宋体" w:cs="宋体"/>
          <w:b/>
          <w:bCs/>
          <w:color w:val="auto"/>
          <w:kern w:val="0"/>
          <w:sz w:val="32"/>
          <w:szCs w:val="32"/>
          <w:highlight w:val="none"/>
          <w:lang w:val="en-US" w:eastAsia="zh-CN"/>
        </w:rPr>
      </w:pPr>
      <w:bookmarkStart w:id="743" w:name="_Toc140596938"/>
      <w:bookmarkStart w:id="744" w:name="_Toc18413"/>
      <w:bookmarkStart w:id="745" w:name="_Toc102860083"/>
      <w:bookmarkStart w:id="746" w:name="_Toc18175_WPSOffice_Level2"/>
      <w:bookmarkStart w:id="747" w:name="_Toc5275"/>
      <w:bookmarkStart w:id="748" w:name="_Toc486167719"/>
      <w:bookmarkStart w:id="749" w:name="_Toc94107220"/>
      <w:bookmarkStart w:id="750" w:name="_Toc26636"/>
      <w:bookmarkStart w:id="751" w:name="_Toc15478"/>
      <w:bookmarkStart w:id="752" w:name="_Toc142508378"/>
      <w:bookmarkStart w:id="753" w:name="_Toc102860427"/>
      <w:bookmarkStart w:id="754" w:name="_Toc31965"/>
      <w:bookmarkStart w:id="755" w:name="_Toc104991885"/>
      <w:bookmarkStart w:id="756" w:name="_Toc1977737"/>
      <w:bookmarkStart w:id="757" w:name="_Toc533708132"/>
      <w:bookmarkStart w:id="758" w:name="_Toc19890"/>
      <w:r>
        <w:rPr>
          <w:rFonts w:hint="eastAsia" w:ascii="宋体" w:hAnsi="宋体" w:eastAsia="宋体" w:cs="宋体"/>
          <w:b/>
          <w:bCs/>
          <w:color w:val="auto"/>
          <w:kern w:val="0"/>
          <w:sz w:val="32"/>
          <w:szCs w:val="32"/>
          <w:highlight w:val="none"/>
          <w:lang w:val="en-US" w:eastAsia="zh-CN"/>
        </w:rPr>
        <w:t>九</w:t>
      </w:r>
      <w:r>
        <w:rPr>
          <w:rFonts w:hint="eastAsia" w:ascii="宋体" w:hAnsi="宋体" w:eastAsia="宋体" w:cs="宋体"/>
          <w:b/>
          <w:bCs/>
          <w:color w:val="auto"/>
          <w:kern w:val="0"/>
          <w:sz w:val="32"/>
          <w:szCs w:val="32"/>
          <w:highlight w:val="none"/>
          <w:lang w:val="zh-CN"/>
        </w:rPr>
        <w:t>、</w:t>
      </w:r>
      <w:r>
        <w:rPr>
          <w:rFonts w:hint="eastAsia" w:ascii="宋体" w:hAnsi="宋体" w:eastAsia="宋体" w:cs="宋体"/>
          <w:b/>
          <w:bCs/>
          <w:color w:val="auto"/>
          <w:kern w:val="0"/>
          <w:sz w:val="32"/>
          <w:szCs w:val="32"/>
          <w:highlight w:val="none"/>
          <w:lang w:val="en-US" w:eastAsia="zh-CN"/>
        </w:rPr>
        <w:t>科研实力资料</w:t>
      </w:r>
    </w:p>
    <w:p w14:paraId="7F0B5074">
      <w:pPr>
        <w:pageBreakBefore w:val="0"/>
        <w:spacing w:before="120" w:after="120" w:line="360" w:lineRule="auto"/>
        <w:jc w:val="center"/>
        <w:outlineLvl w:val="2"/>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lang w:val="en-US" w:eastAsia="zh-CN"/>
        </w:rPr>
        <w:t xml:space="preserve">9.1 </w:t>
      </w:r>
      <w:r>
        <w:rPr>
          <w:rFonts w:hint="eastAsia" w:ascii="宋体" w:hAnsi="宋体" w:eastAsia="宋体" w:cs="宋体"/>
          <w:b/>
          <w:bCs/>
          <w:color w:val="auto"/>
          <w:kern w:val="0"/>
          <w:sz w:val="30"/>
          <w:szCs w:val="30"/>
          <w:highlight w:val="none"/>
        </w:rPr>
        <w:t>投标人自2022年1月1日以来，在核心期刊发表的生态环境领域</w:t>
      </w:r>
    </w:p>
    <w:p w14:paraId="479D5DB2">
      <w:pPr>
        <w:pageBreakBefore w:val="0"/>
        <w:spacing w:before="120" w:after="120" w:line="360" w:lineRule="auto"/>
        <w:jc w:val="center"/>
        <w:outlineLvl w:val="2"/>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rPr>
        <w:t>相关论文</w:t>
      </w:r>
      <w:r>
        <w:rPr>
          <w:rFonts w:hint="eastAsia" w:ascii="宋体" w:hAnsi="宋体" w:eastAsia="宋体" w:cs="宋体"/>
          <w:b/>
          <w:bCs/>
          <w:color w:val="auto"/>
          <w:kern w:val="0"/>
          <w:sz w:val="30"/>
          <w:szCs w:val="30"/>
          <w:highlight w:val="none"/>
          <w:lang w:val="en-US" w:eastAsia="zh-CN"/>
        </w:rPr>
        <w:t>情况</w:t>
      </w:r>
    </w:p>
    <w:tbl>
      <w:tblPr>
        <w:tblStyle w:val="39"/>
        <w:tblW w:w="49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768"/>
        <w:gridCol w:w="2222"/>
        <w:gridCol w:w="1643"/>
        <w:gridCol w:w="1201"/>
        <w:gridCol w:w="1138"/>
        <w:gridCol w:w="2210"/>
        <w:gridCol w:w="936"/>
      </w:tblGrid>
      <w:tr w14:paraId="6A33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79" w:type="pct"/>
            <w:noWrap w:val="0"/>
            <w:vAlign w:val="center"/>
          </w:tcPr>
          <w:p w14:paraId="07C6E3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97" w:type="pct"/>
            <w:noWrap w:val="0"/>
            <w:vAlign w:val="center"/>
          </w:tcPr>
          <w:p w14:paraId="4FA85C2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论文</w:t>
            </w:r>
            <w:r>
              <w:rPr>
                <w:rFonts w:hint="eastAsia" w:ascii="宋体" w:hAnsi="宋体" w:eastAsia="宋体" w:cs="宋体"/>
                <w:color w:val="auto"/>
                <w:szCs w:val="21"/>
                <w:highlight w:val="none"/>
              </w:rPr>
              <w:t>课题名称</w:t>
            </w:r>
          </w:p>
        </w:tc>
        <w:tc>
          <w:tcPr>
            <w:tcW w:w="811" w:type="pct"/>
            <w:noWrap w:val="0"/>
            <w:vAlign w:val="center"/>
          </w:tcPr>
          <w:p w14:paraId="2A6B9D41">
            <w:pPr>
              <w:jc w:val="center"/>
              <w:rPr>
                <w:rFonts w:hint="eastAsia" w:ascii="宋体" w:hAnsi="宋体" w:eastAsia="宋体" w:cs="宋体"/>
                <w:color w:val="auto"/>
                <w:sz w:val="21"/>
                <w:szCs w:val="21"/>
                <w:highlight w:val="none"/>
              </w:rPr>
            </w:pPr>
            <w:r>
              <w:rPr>
                <w:rFonts w:hint="eastAsia" w:ascii="宋体" w:hAnsi="宋体" w:eastAsia="宋体" w:cs="Times New Roman"/>
                <w:b w:val="0"/>
                <w:bCs/>
                <w:color w:val="auto"/>
                <w:kern w:val="0"/>
                <w:szCs w:val="21"/>
                <w:highlight w:val="none"/>
                <w:lang w:val="en-US" w:eastAsia="zh-CN"/>
              </w:rPr>
              <w:t>发表时间</w:t>
            </w:r>
          </w:p>
        </w:tc>
        <w:tc>
          <w:tcPr>
            <w:tcW w:w="593" w:type="pct"/>
            <w:noWrap w:val="0"/>
            <w:vAlign w:val="center"/>
          </w:tcPr>
          <w:p w14:paraId="2B577612">
            <w:pPr>
              <w:jc w:val="center"/>
              <w:rPr>
                <w:rFonts w:hint="default" w:ascii="宋体" w:hAnsi="宋体" w:eastAsia="宋体" w:cs="宋体"/>
                <w:color w:val="auto"/>
                <w:sz w:val="21"/>
                <w:szCs w:val="21"/>
                <w:highlight w:val="none"/>
                <w:lang w:val="en-US"/>
              </w:rPr>
            </w:pPr>
            <w:r>
              <w:rPr>
                <w:rFonts w:hint="eastAsia" w:ascii="宋体" w:hAnsi="宋体" w:eastAsia="宋体" w:cs="Times New Roman"/>
                <w:b w:val="0"/>
                <w:bCs/>
                <w:color w:val="auto"/>
                <w:kern w:val="0"/>
                <w:szCs w:val="21"/>
                <w:highlight w:val="none"/>
                <w:lang w:val="en-US" w:eastAsia="zh-CN"/>
              </w:rPr>
              <w:t>期刊名称</w:t>
            </w:r>
          </w:p>
        </w:tc>
        <w:tc>
          <w:tcPr>
            <w:tcW w:w="562" w:type="pct"/>
            <w:noWrap w:val="0"/>
            <w:vAlign w:val="center"/>
          </w:tcPr>
          <w:p w14:paraId="33406A8A">
            <w:pPr>
              <w:jc w:val="center"/>
              <w:rPr>
                <w:rFonts w:hint="eastAsia" w:ascii="宋体" w:hAnsi="宋体" w:eastAsia="宋体" w:cs="宋体"/>
                <w:color w:val="auto"/>
                <w:sz w:val="21"/>
                <w:szCs w:val="21"/>
                <w:highlight w:val="none"/>
              </w:rPr>
            </w:pPr>
            <w:r>
              <w:rPr>
                <w:rFonts w:hint="eastAsia" w:ascii="宋体" w:hAnsi="宋体" w:eastAsia="宋体" w:cs="Times New Roman"/>
                <w:b w:val="0"/>
                <w:bCs/>
                <w:color w:val="auto"/>
                <w:kern w:val="0"/>
                <w:szCs w:val="21"/>
                <w:highlight w:val="none"/>
                <w:lang w:val="en-US" w:eastAsia="zh-CN"/>
              </w:rPr>
              <w:t>刊号</w:t>
            </w:r>
          </w:p>
        </w:tc>
        <w:tc>
          <w:tcPr>
            <w:tcW w:w="1091" w:type="pct"/>
            <w:noWrap w:val="0"/>
            <w:vAlign w:val="center"/>
          </w:tcPr>
          <w:p w14:paraId="26EB7AF8">
            <w:pPr>
              <w:jc w:val="center"/>
              <w:rPr>
                <w:rFonts w:hint="eastAsia"/>
                <w:color w:val="auto"/>
                <w:highlight w:val="none"/>
                <w:lang w:val="en-US" w:eastAsia="zh-CN"/>
              </w:rPr>
            </w:pPr>
            <w:r>
              <w:rPr>
                <w:rFonts w:hint="eastAsia" w:ascii="宋体" w:hAnsi="宋体" w:eastAsia="宋体" w:cs="宋体"/>
                <w:color w:val="auto"/>
                <w:szCs w:val="21"/>
                <w:highlight w:val="none"/>
                <w:lang w:val="en-US" w:eastAsia="zh-CN"/>
              </w:rPr>
              <w:t>所属的</w:t>
            </w:r>
            <w:r>
              <w:rPr>
                <w:rFonts w:hint="eastAsia" w:ascii="宋体" w:hAnsi="宋体" w:eastAsia="宋体" w:cs="宋体"/>
                <w:color w:val="auto"/>
                <w:szCs w:val="21"/>
                <w:highlight w:val="none"/>
              </w:rPr>
              <w:t>核心期刊</w:t>
            </w:r>
            <w:r>
              <w:rPr>
                <w:rFonts w:hint="eastAsia" w:ascii="宋体" w:hAnsi="宋体" w:eastAsia="宋体" w:cs="宋体"/>
                <w:color w:val="auto"/>
                <w:szCs w:val="21"/>
                <w:highlight w:val="none"/>
                <w:lang w:val="en-US" w:eastAsia="zh-CN"/>
              </w:rPr>
              <w:t>体系</w:t>
            </w:r>
          </w:p>
        </w:tc>
        <w:tc>
          <w:tcPr>
            <w:tcW w:w="462" w:type="pct"/>
            <w:noWrap w:val="0"/>
            <w:vAlign w:val="center"/>
          </w:tcPr>
          <w:p w14:paraId="4276BE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0E4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79" w:type="pct"/>
            <w:noWrap w:val="0"/>
            <w:vAlign w:val="center"/>
          </w:tcPr>
          <w:p w14:paraId="58CCAE4D">
            <w:pPr>
              <w:jc w:val="center"/>
              <w:rPr>
                <w:rFonts w:hint="eastAsia" w:ascii="宋体" w:hAnsi="宋体" w:eastAsia="宋体" w:cs="宋体"/>
                <w:color w:val="auto"/>
                <w:sz w:val="21"/>
                <w:szCs w:val="21"/>
                <w:highlight w:val="none"/>
              </w:rPr>
            </w:pPr>
          </w:p>
        </w:tc>
        <w:tc>
          <w:tcPr>
            <w:tcW w:w="1097" w:type="pct"/>
            <w:noWrap w:val="0"/>
            <w:vAlign w:val="center"/>
          </w:tcPr>
          <w:p w14:paraId="236CEC67">
            <w:pPr>
              <w:jc w:val="center"/>
              <w:rPr>
                <w:rFonts w:hint="eastAsia" w:ascii="宋体" w:hAnsi="宋体" w:eastAsia="宋体" w:cs="宋体"/>
                <w:color w:val="auto"/>
                <w:sz w:val="21"/>
                <w:szCs w:val="21"/>
                <w:highlight w:val="none"/>
              </w:rPr>
            </w:pPr>
          </w:p>
        </w:tc>
        <w:tc>
          <w:tcPr>
            <w:tcW w:w="811" w:type="pct"/>
            <w:noWrap w:val="0"/>
            <w:vAlign w:val="center"/>
          </w:tcPr>
          <w:p w14:paraId="6A6BE45D">
            <w:pPr>
              <w:jc w:val="center"/>
              <w:rPr>
                <w:rFonts w:hint="eastAsia" w:ascii="宋体" w:hAnsi="宋体" w:eastAsia="宋体" w:cs="宋体"/>
                <w:color w:val="auto"/>
                <w:sz w:val="21"/>
                <w:szCs w:val="21"/>
                <w:highlight w:val="none"/>
              </w:rPr>
            </w:pPr>
          </w:p>
        </w:tc>
        <w:tc>
          <w:tcPr>
            <w:tcW w:w="593" w:type="pct"/>
            <w:noWrap w:val="0"/>
            <w:vAlign w:val="center"/>
          </w:tcPr>
          <w:p w14:paraId="1C08E855">
            <w:pPr>
              <w:jc w:val="center"/>
              <w:rPr>
                <w:rFonts w:hint="eastAsia" w:ascii="宋体" w:hAnsi="宋体" w:eastAsia="宋体" w:cs="宋体"/>
                <w:color w:val="auto"/>
                <w:sz w:val="21"/>
                <w:szCs w:val="21"/>
                <w:highlight w:val="none"/>
              </w:rPr>
            </w:pPr>
          </w:p>
        </w:tc>
        <w:tc>
          <w:tcPr>
            <w:tcW w:w="562" w:type="pct"/>
            <w:noWrap w:val="0"/>
            <w:vAlign w:val="center"/>
          </w:tcPr>
          <w:p w14:paraId="50D2DB2D">
            <w:pPr>
              <w:jc w:val="center"/>
              <w:rPr>
                <w:rFonts w:hint="eastAsia" w:ascii="宋体" w:hAnsi="宋体" w:eastAsia="宋体" w:cs="宋体"/>
                <w:color w:val="auto"/>
                <w:sz w:val="21"/>
                <w:szCs w:val="21"/>
                <w:highlight w:val="none"/>
              </w:rPr>
            </w:pPr>
          </w:p>
        </w:tc>
        <w:tc>
          <w:tcPr>
            <w:tcW w:w="1091" w:type="pct"/>
            <w:noWrap w:val="0"/>
            <w:vAlign w:val="center"/>
          </w:tcPr>
          <w:p w14:paraId="776C90D3">
            <w:pPr>
              <w:jc w:val="center"/>
              <w:rPr>
                <w:rFonts w:hint="eastAsia" w:ascii="宋体" w:hAnsi="宋体" w:eastAsia="宋体" w:cs="宋体"/>
                <w:color w:val="auto"/>
                <w:sz w:val="21"/>
                <w:szCs w:val="21"/>
                <w:highlight w:val="none"/>
              </w:rPr>
            </w:pPr>
          </w:p>
        </w:tc>
        <w:tc>
          <w:tcPr>
            <w:tcW w:w="462" w:type="pct"/>
            <w:noWrap w:val="0"/>
            <w:vAlign w:val="center"/>
          </w:tcPr>
          <w:p w14:paraId="7C7996C0">
            <w:pPr>
              <w:jc w:val="center"/>
              <w:rPr>
                <w:rFonts w:hint="eastAsia" w:ascii="宋体" w:hAnsi="宋体" w:eastAsia="宋体" w:cs="宋体"/>
                <w:color w:val="auto"/>
                <w:sz w:val="21"/>
                <w:szCs w:val="21"/>
                <w:highlight w:val="none"/>
              </w:rPr>
            </w:pPr>
          </w:p>
        </w:tc>
      </w:tr>
      <w:tr w14:paraId="4308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79" w:type="pct"/>
            <w:noWrap w:val="0"/>
            <w:vAlign w:val="center"/>
          </w:tcPr>
          <w:p w14:paraId="4D6B669B">
            <w:pPr>
              <w:jc w:val="center"/>
              <w:rPr>
                <w:rFonts w:hint="eastAsia" w:ascii="宋体" w:hAnsi="宋体" w:eastAsia="宋体" w:cs="宋体"/>
                <w:color w:val="auto"/>
                <w:sz w:val="21"/>
                <w:szCs w:val="21"/>
                <w:highlight w:val="none"/>
              </w:rPr>
            </w:pPr>
          </w:p>
        </w:tc>
        <w:tc>
          <w:tcPr>
            <w:tcW w:w="1097" w:type="pct"/>
            <w:noWrap w:val="0"/>
            <w:vAlign w:val="center"/>
          </w:tcPr>
          <w:p w14:paraId="313480B4">
            <w:pPr>
              <w:jc w:val="center"/>
              <w:rPr>
                <w:rFonts w:hint="eastAsia" w:ascii="宋体" w:hAnsi="宋体" w:eastAsia="宋体" w:cs="宋体"/>
                <w:color w:val="auto"/>
                <w:sz w:val="21"/>
                <w:szCs w:val="21"/>
                <w:highlight w:val="none"/>
              </w:rPr>
            </w:pPr>
          </w:p>
        </w:tc>
        <w:tc>
          <w:tcPr>
            <w:tcW w:w="811" w:type="pct"/>
            <w:noWrap w:val="0"/>
            <w:vAlign w:val="center"/>
          </w:tcPr>
          <w:p w14:paraId="68FE65EB">
            <w:pPr>
              <w:jc w:val="center"/>
              <w:rPr>
                <w:rFonts w:hint="eastAsia" w:ascii="宋体" w:hAnsi="宋体" w:eastAsia="宋体" w:cs="宋体"/>
                <w:color w:val="auto"/>
                <w:sz w:val="21"/>
                <w:szCs w:val="21"/>
                <w:highlight w:val="none"/>
              </w:rPr>
            </w:pPr>
          </w:p>
        </w:tc>
        <w:tc>
          <w:tcPr>
            <w:tcW w:w="593" w:type="pct"/>
            <w:noWrap w:val="0"/>
            <w:vAlign w:val="center"/>
          </w:tcPr>
          <w:p w14:paraId="214A0711">
            <w:pPr>
              <w:jc w:val="center"/>
              <w:rPr>
                <w:rFonts w:hint="eastAsia" w:ascii="宋体" w:hAnsi="宋体" w:eastAsia="宋体" w:cs="宋体"/>
                <w:color w:val="auto"/>
                <w:sz w:val="21"/>
                <w:szCs w:val="21"/>
                <w:highlight w:val="none"/>
              </w:rPr>
            </w:pPr>
          </w:p>
        </w:tc>
        <w:tc>
          <w:tcPr>
            <w:tcW w:w="562" w:type="pct"/>
            <w:noWrap w:val="0"/>
            <w:vAlign w:val="center"/>
          </w:tcPr>
          <w:p w14:paraId="693D39C1">
            <w:pPr>
              <w:jc w:val="center"/>
              <w:rPr>
                <w:rFonts w:hint="eastAsia" w:ascii="宋体" w:hAnsi="宋体" w:eastAsia="宋体" w:cs="宋体"/>
                <w:color w:val="auto"/>
                <w:sz w:val="21"/>
                <w:szCs w:val="21"/>
                <w:highlight w:val="none"/>
              </w:rPr>
            </w:pPr>
          </w:p>
        </w:tc>
        <w:tc>
          <w:tcPr>
            <w:tcW w:w="1091" w:type="pct"/>
            <w:noWrap w:val="0"/>
            <w:vAlign w:val="center"/>
          </w:tcPr>
          <w:p w14:paraId="250C1C4F">
            <w:pPr>
              <w:jc w:val="center"/>
              <w:rPr>
                <w:rFonts w:hint="eastAsia" w:ascii="宋体" w:hAnsi="宋体" w:eastAsia="宋体" w:cs="宋体"/>
                <w:color w:val="auto"/>
                <w:sz w:val="21"/>
                <w:szCs w:val="21"/>
                <w:highlight w:val="none"/>
              </w:rPr>
            </w:pPr>
          </w:p>
        </w:tc>
        <w:tc>
          <w:tcPr>
            <w:tcW w:w="462" w:type="pct"/>
            <w:noWrap w:val="0"/>
            <w:vAlign w:val="center"/>
          </w:tcPr>
          <w:p w14:paraId="07B07171">
            <w:pPr>
              <w:jc w:val="center"/>
              <w:rPr>
                <w:rFonts w:hint="eastAsia" w:ascii="宋体" w:hAnsi="宋体" w:eastAsia="宋体" w:cs="宋体"/>
                <w:color w:val="auto"/>
                <w:sz w:val="21"/>
                <w:szCs w:val="21"/>
                <w:highlight w:val="none"/>
              </w:rPr>
            </w:pPr>
          </w:p>
        </w:tc>
      </w:tr>
      <w:tr w14:paraId="663C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79" w:type="pct"/>
            <w:noWrap w:val="0"/>
            <w:vAlign w:val="center"/>
          </w:tcPr>
          <w:p w14:paraId="012C41C0">
            <w:pPr>
              <w:jc w:val="center"/>
              <w:rPr>
                <w:rFonts w:hint="eastAsia" w:ascii="宋体" w:hAnsi="宋体" w:eastAsia="宋体" w:cs="宋体"/>
                <w:color w:val="auto"/>
                <w:sz w:val="21"/>
                <w:szCs w:val="21"/>
                <w:highlight w:val="none"/>
              </w:rPr>
            </w:pPr>
          </w:p>
        </w:tc>
        <w:tc>
          <w:tcPr>
            <w:tcW w:w="1097" w:type="pct"/>
            <w:noWrap w:val="0"/>
            <w:vAlign w:val="center"/>
          </w:tcPr>
          <w:p w14:paraId="0C3E8865">
            <w:pPr>
              <w:jc w:val="center"/>
              <w:rPr>
                <w:rFonts w:hint="eastAsia" w:ascii="宋体" w:hAnsi="宋体" w:eastAsia="宋体" w:cs="宋体"/>
                <w:color w:val="auto"/>
                <w:sz w:val="21"/>
                <w:szCs w:val="21"/>
                <w:highlight w:val="none"/>
              </w:rPr>
            </w:pPr>
          </w:p>
        </w:tc>
        <w:tc>
          <w:tcPr>
            <w:tcW w:w="811" w:type="pct"/>
            <w:noWrap w:val="0"/>
            <w:vAlign w:val="center"/>
          </w:tcPr>
          <w:p w14:paraId="66C36A6C">
            <w:pPr>
              <w:jc w:val="center"/>
              <w:rPr>
                <w:rFonts w:hint="eastAsia" w:ascii="宋体" w:hAnsi="宋体" w:eastAsia="宋体" w:cs="宋体"/>
                <w:color w:val="auto"/>
                <w:sz w:val="21"/>
                <w:szCs w:val="21"/>
                <w:highlight w:val="none"/>
              </w:rPr>
            </w:pPr>
          </w:p>
        </w:tc>
        <w:tc>
          <w:tcPr>
            <w:tcW w:w="593" w:type="pct"/>
            <w:noWrap w:val="0"/>
            <w:vAlign w:val="center"/>
          </w:tcPr>
          <w:p w14:paraId="72F99677">
            <w:pPr>
              <w:jc w:val="center"/>
              <w:rPr>
                <w:rFonts w:hint="eastAsia" w:ascii="宋体" w:hAnsi="宋体" w:eastAsia="宋体" w:cs="宋体"/>
                <w:color w:val="auto"/>
                <w:sz w:val="21"/>
                <w:szCs w:val="21"/>
                <w:highlight w:val="none"/>
              </w:rPr>
            </w:pPr>
          </w:p>
        </w:tc>
        <w:tc>
          <w:tcPr>
            <w:tcW w:w="562" w:type="pct"/>
            <w:noWrap w:val="0"/>
            <w:vAlign w:val="center"/>
          </w:tcPr>
          <w:p w14:paraId="770272F7">
            <w:pPr>
              <w:jc w:val="center"/>
              <w:rPr>
                <w:rFonts w:hint="eastAsia" w:ascii="宋体" w:hAnsi="宋体" w:eastAsia="宋体" w:cs="宋体"/>
                <w:color w:val="auto"/>
                <w:sz w:val="21"/>
                <w:szCs w:val="21"/>
                <w:highlight w:val="none"/>
              </w:rPr>
            </w:pPr>
          </w:p>
        </w:tc>
        <w:tc>
          <w:tcPr>
            <w:tcW w:w="1091" w:type="pct"/>
            <w:noWrap w:val="0"/>
            <w:vAlign w:val="center"/>
          </w:tcPr>
          <w:p w14:paraId="307E5BA1">
            <w:pPr>
              <w:jc w:val="center"/>
              <w:rPr>
                <w:rFonts w:hint="eastAsia" w:ascii="宋体" w:hAnsi="宋体" w:eastAsia="宋体" w:cs="宋体"/>
                <w:color w:val="auto"/>
                <w:sz w:val="21"/>
                <w:szCs w:val="21"/>
                <w:highlight w:val="none"/>
              </w:rPr>
            </w:pPr>
          </w:p>
        </w:tc>
        <w:tc>
          <w:tcPr>
            <w:tcW w:w="462" w:type="pct"/>
            <w:noWrap w:val="0"/>
            <w:vAlign w:val="center"/>
          </w:tcPr>
          <w:p w14:paraId="2B6F8351">
            <w:pPr>
              <w:jc w:val="center"/>
              <w:rPr>
                <w:rFonts w:hint="eastAsia" w:ascii="宋体" w:hAnsi="宋体" w:eastAsia="宋体" w:cs="宋体"/>
                <w:color w:val="auto"/>
                <w:sz w:val="21"/>
                <w:szCs w:val="21"/>
                <w:highlight w:val="none"/>
              </w:rPr>
            </w:pPr>
          </w:p>
        </w:tc>
      </w:tr>
      <w:tr w14:paraId="189B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79" w:type="pct"/>
            <w:noWrap w:val="0"/>
            <w:vAlign w:val="center"/>
          </w:tcPr>
          <w:p w14:paraId="6359874D">
            <w:pPr>
              <w:jc w:val="center"/>
              <w:rPr>
                <w:rFonts w:hint="eastAsia" w:ascii="宋体" w:hAnsi="宋体" w:eastAsia="宋体" w:cs="宋体"/>
                <w:color w:val="auto"/>
                <w:sz w:val="21"/>
                <w:szCs w:val="21"/>
                <w:highlight w:val="none"/>
              </w:rPr>
            </w:pPr>
          </w:p>
        </w:tc>
        <w:tc>
          <w:tcPr>
            <w:tcW w:w="1097" w:type="pct"/>
            <w:noWrap w:val="0"/>
            <w:vAlign w:val="center"/>
          </w:tcPr>
          <w:p w14:paraId="194E26E5">
            <w:pPr>
              <w:jc w:val="center"/>
              <w:rPr>
                <w:rFonts w:hint="eastAsia" w:ascii="宋体" w:hAnsi="宋体" w:eastAsia="宋体" w:cs="宋体"/>
                <w:color w:val="auto"/>
                <w:sz w:val="21"/>
                <w:szCs w:val="21"/>
                <w:highlight w:val="none"/>
              </w:rPr>
            </w:pPr>
          </w:p>
        </w:tc>
        <w:tc>
          <w:tcPr>
            <w:tcW w:w="811" w:type="pct"/>
            <w:noWrap w:val="0"/>
            <w:vAlign w:val="center"/>
          </w:tcPr>
          <w:p w14:paraId="2751CD23">
            <w:pPr>
              <w:jc w:val="center"/>
              <w:rPr>
                <w:rFonts w:hint="eastAsia" w:ascii="宋体" w:hAnsi="宋体" w:eastAsia="宋体" w:cs="宋体"/>
                <w:color w:val="auto"/>
                <w:sz w:val="21"/>
                <w:szCs w:val="21"/>
                <w:highlight w:val="none"/>
              </w:rPr>
            </w:pPr>
          </w:p>
        </w:tc>
        <w:tc>
          <w:tcPr>
            <w:tcW w:w="593" w:type="pct"/>
            <w:noWrap w:val="0"/>
            <w:vAlign w:val="center"/>
          </w:tcPr>
          <w:p w14:paraId="67B90ED0">
            <w:pPr>
              <w:jc w:val="center"/>
              <w:rPr>
                <w:rFonts w:hint="eastAsia" w:ascii="宋体" w:hAnsi="宋体" w:eastAsia="宋体" w:cs="宋体"/>
                <w:color w:val="auto"/>
                <w:sz w:val="21"/>
                <w:szCs w:val="21"/>
                <w:highlight w:val="none"/>
              </w:rPr>
            </w:pPr>
          </w:p>
        </w:tc>
        <w:tc>
          <w:tcPr>
            <w:tcW w:w="562" w:type="pct"/>
            <w:noWrap w:val="0"/>
            <w:vAlign w:val="center"/>
          </w:tcPr>
          <w:p w14:paraId="1076E450">
            <w:pPr>
              <w:jc w:val="center"/>
              <w:rPr>
                <w:rFonts w:hint="eastAsia" w:ascii="宋体" w:hAnsi="宋体" w:eastAsia="宋体" w:cs="宋体"/>
                <w:color w:val="auto"/>
                <w:sz w:val="21"/>
                <w:szCs w:val="21"/>
                <w:highlight w:val="none"/>
              </w:rPr>
            </w:pPr>
          </w:p>
        </w:tc>
        <w:tc>
          <w:tcPr>
            <w:tcW w:w="1091" w:type="pct"/>
            <w:noWrap w:val="0"/>
            <w:vAlign w:val="center"/>
          </w:tcPr>
          <w:p w14:paraId="524BFF6A">
            <w:pPr>
              <w:jc w:val="center"/>
              <w:rPr>
                <w:rFonts w:hint="eastAsia" w:ascii="宋体" w:hAnsi="宋体" w:eastAsia="宋体" w:cs="宋体"/>
                <w:color w:val="auto"/>
                <w:sz w:val="21"/>
                <w:szCs w:val="21"/>
                <w:highlight w:val="none"/>
              </w:rPr>
            </w:pPr>
          </w:p>
        </w:tc>
        <w:tc>
          <w:tcPr>
            <w:tcW w:w="462" w:type="pct"/>
            <w:noWrap w:val="0"/>
            <w:vAlign w:val="center"/>
          </w:tcPr>
          <w:p w14:paraId="6C7C8EE2">
            <w:pPr>
              <w:jc w:val="center"/>
              <w:rPr>
                <w:rFonts w:hint="eastAsia" w:ascii="宋体" w:hAnsi="宋体" w:eastAsia="宋体" w:cs="宋体"/>
                <w:color w:val="auto"/>
                <w:sz w:val="21"/>
                <w:szCs w:val="21"/>
                <w:highlight w:val="none"/>
              </w:rPr>
            </w:pPr>
          </w:p>
        </w:tc>
      </w:tr>
    </w:tbl>
    <w:p w14:paraId="6B6D67F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Times New Roman"/>
          <w:b w:val="0"/>
          <w:bCs/>
          <w:color w:val="auto"/>
          <w:kern w:val="0"/>
          <w:szCs w:val="21"/>
          <w:highlight w:val="none"/>
          <w:lang w:val="en-US" w:eastAsia="zh-CN"/>
        </w:rPr>
      </w:pPr>
      <w:r>
        <w:rPr>
          <w:rFonts w:hint="eastAsia" w:ascii="宋体" w:hAnsi="宋体" w:eastAsia="宋体" w:cs="Times New Roman"/>
          <w:b w:val="0"/>
          <w:bCs/>
          <w:color w:val="auto"/>
          <w:kern w:val="0"/>
          <w:szCs w:val="21"/>
          <w:highlight w:val="none"/>
          <w:lang w:val="en-US" w:eastAsia="zh-CN"/>
        </w:rPr>
        <w:t>备注：</w:t>
      </w:r>
    </w:p>
    <w:p w14:paraId="654A3368">
      <w:pPr>
        <w:keepNext w:val="0"/>
        <w:keepLines w:val="0"/>
        <w:pageBreakBefore w:val="0"/>
        <w:widowControl w:val="0"/>
        <w:kinsoku/>
        <w:wordWrap/>
        <w:overflowPunct/>
        <w:topLinePunct w:val="0"/>
        <w:autoSpaceDE/>
        <w:autoSpaceDN/>
        <w:bidi w:val="0"/>
        <w:adjustRightInd/>
        <w:spacing w:line="400" w:lineRule="exact"/>
        <w:ind w:left="420" w:hanging="420" w:hangingChars="200"/>
        <w:textAlignment w:val="auto"/>
        <w:rPr>
          <w:rFonts w:hint="eastAsia" w:ascii="宋体" w:hAnsi="宋体" w:eastAsia="宋体" w:cs="Times New Roman"/>
          <w:b w:val="0"/>
          <w:bCs/>
          <w:color w:val="auto"/>
          <w:kern w:val="0"/>
          <w:szCs w:val="21"/>
          <w:highlight w:val="none"/>
          <w:lang w:eastAsia="zh-CN"/>
        </w:rPr>
      </w:pPr>
      <w:r>
        <w:rPr>
          <w:rFonts w:hint="eastAsia" w:ascii="宋体" w:hAnsi="宋体" w:eastAsia="宋体" w:cs="Times New Roman"/>
          <w:b w:val="0"/>
          <w:bCs/>
          <w:color w:val="auto"/>
          <w:kern w:val="0"/>
          <w:szCs w:val="21"/>
          <w:highlight w:val="none"/>
          <w:lang w:val="en-US" w:eastAsia="zh-CN"/>
        </w:rPr>
        <w:t>（1）</w:t>
      </w:r>
      <w:r>
        <w:rPr>
          <w:rFonts w:hint="eastAsia" w:ascii="宋体" w:hAnsi="宋体" w:eastAsia="宋体" w:cs="Times New Roman"/>
          <w:b w:val="0"/>
          <w:bCs/>
          <w:color w:val="auto"/>
          <w:kern w:val="0"/>
          <w:szCs w:val="21"/>
          <w:highlight w:val="none"/>
        </w:rPr>
        <w:t>“生态环境领域”是指包含水污染治理（或大气污染治理，或固体废弃物处理处置，或物理污染治理，或生态修复）范围的领域</w:t>
      </w:r>
      <w:r>
        <w:rPr>
          <w:rFonts w:hint="eastAsia" w:ascii="宋体" w:hAnsi="宋体" w:eastAsia="宋体" w:cs="Times New Roman"/>
          <w:b w:val="0"/>
          <w:bCs/>
          <w:color w:val="auto"/>
          <w:kern w:val="0"/>
          <w:szCs w:val="21"/>
          <w:highlight w:val="none"/>
          <w:lang w:eastAsia="zh-CN"/>
        </w:rPr>
        <w:t>；</w:t>
      </w:r>
    </w:p>
    <w:p w14:paraId="14C77195">
      <w:pPr>
        <w:keepNext w:val="0"/>
        <w:keepLines w:val="0"/>
        <w:pageBreakBefore w:val="0"/>
        <w:widowControl w:val="0"/>
        <w:kinsoku/>
        <w:wordWrap/>
        <w:overflowPunct/>
        <w:topLinePunct w:val="0"/>
        <w:autoSpaceDE/>
        <w:autoSpaceDN/>
        <w:bidi w:val="0"/>
        <w:adjustRightInd/>
        <w:spacing w:line="400" w:lineRule="exact"/>
        <w:ind w:left="420" w:hanging="420" w:hangingChars="200"/>
        <w:textAlignment w:val="auto"/>
        <w:rPr>
          <w:rFonts w:hint="eastAsia" w:ascii="宋体" w:hAnsi="宋体" w:eastAsia="宋体" w:cs="Times New Roman"/>
          <w:b w:val="0"/>
          <w:bCs/>
          <w:color w:val="auto"/>
          <w:kern w:val="0"/>
          <w:szCs w:val="21"/>
          <w:highlight w:val="none"/>
          <w:lang w:val="en-US" w:eastAsia="zh-CN"/>
        </w:rPr>
      </w:pPr>
      <w:r>
        <w:rPr>
          <w:rFonts w:hint="eastAsia" w:ascii="宋体" w:hAnsi="宋体" w:eastAsia="宋体" w:cs="Times New Roman"/>
          <w:b w:val="0"/>
          <w:bCs/>
          <w:color w:val="auto"/>
          <w:kern w:val="0"/>
          <w:szCs w:val="21"/>
          <w:highlight w:val="none"/>
          <w:lang w:val="en-US" w:eastAsia="zh-CN"/>
        </w:rPr>
        <w:t>（2）“核心期刊”是指该期刊被列入CSTPCD（</w:t>
      </w:r>
      <w:r>
        <w:rPr>
          <w:rFonts w:hint="eastAsia" w:ascii="宋体" w:hAnsi="宋体" w:eastAsia="宋体" w:cs="Times New Roman"/>
          <w:b w:val="0"/>
          <w:bCs/>
          <w:color w:val="auto"/>
          <w:kern w:val="0"/>
          <w:szCs w:val="21"/>
          <w:highlight w:val="none"/>
        </w:rPr>
        <w:t>中国科技核心期刊</w:t>
      </w:r>
      <w:r>
        <w:rPr>
          <w:rFonts w:hint="eastAsia" w:ascii="宋体" w:hAnsi="宋体" w:eastAsia="宋体" w:cs="Times New Roman"/>
          <w:b w:val="0"/>
          <w:bCs/>
          <w:color w:val="auto"/>
          <w:kern w:val="0"/>
          <w:szCs w:val="21"/>
          <w:highlight w:val="none"/>
          <w:lang w:val="en-US" w:eastAsia="zh-CN"/>
        </w:rPr>
        <w:t>）【或北大核心（</w:t>
      </w:r>
      <w:r>
        <w:rPr>
          <w:rFonts w:hint="eastAsia" w:ascii="宋体" w:hAnsi="宋体" w:eastAsia="宋体" w:cs="Times New Roman"/>
          <w:b w:val="0"/>
          <w:bCs/>
          <w:color w:val="auto"/>
          <w:kern w:val="0"/>
          <w:szCs w:val="21"/>
          <w:highlight w:val="none"/>
        </w:rPr>
        <w:t>北京大学《中文核心期刊要目总览》</w:t>
      </w:r>
      <w:r>
        <w:rPr>
          <w:rFonts w:hint="eastAsia" w:ascii="宋体" w:hAnsi="宋体" w:eastAsia="宋体" w:cs="Times New Roman"/>
          <w:b w:val="0"/>
          <w:bCs/>
          <w:color w:val="auto"/>
          <w:kern w:val="0"/>
          <w:szCs w:val="21"/>
          <w:highlight w:val="none"/>
          <w:lang w:val="en-US" w:eastAsia="zh-CN"/>
        </w:rPr>
        <w:t>），或AMI（</w:t>
      </w:r>
      <w:r>
        <w:rPr>
          <w:rFonts w:hint="eastAsia" w:ascii="宋体" w:hAnsi="宋体" w:eastAsia="宋体" w:cs="Times New Roman"/>
          <w:b w:val="0"/>
          <w:bCs/>
          <w:color w:val="auto"/>
          <w:kern w:val="0"/>
          <w:szCs w:val="21"/>
          <w:highlight w:val="none"/>
        </w:rPr>
        <w:t>中国人文社会科学期刊</w:t>
      </w:r>
      <w:r>
        <w:rPr>
          <w:rFonts w:hint="eastAsia" w:ascii="宋体" w:hAnsi="宋体" w:eastAsia="宋体" w:cs="Times New Roman"/>
          <w:b w:val="0"/>
          <w:bCs/>
          <w:color w:val="auto"/>
          <w:kern w:val="0"/>
          <w:szCs w:val="21"/>
          <w:highlight w:val="none"/>
          <w:lang w:val="en-US" w:eastAsia="zh-CN"/>
        </w:rPr>
        <w:t>），或CSCD（</w:t>
      </w:r>
      <w:r>
        <w:rPr>
          <w:rFonts w:hint="eastAsia" w:ascii="宋体" w:hAnsi="宋体" w:eastAsia="宋体" w:cs="Times New Roman"/>
          <w:b w:val="0"/>
          <w:bCs/>
          <w:color w:val="auto"/>
          <w:kern w:val="0"/>
          <w:szCs w:val="21"/>
          <w:highlight w:val="none"/>
        </w:rPr>
        <w:t>中国科学引文数据库</w:t>
      </w:r>
      <w:r>
        <w:rPr>
          <w:rFonts w:hint="eastAsia" w:ascii="宋体" w:hAnsi="宋体" w:eastAsia="宋体" w:cs="Times New Roman"/>
          <w:b w:val="0"/>
          <w:bCs/>
          <w:color w:val="auto"/>
          <w:kern w:val="0"/>
          <w:szCs w:val="21"/>
          <w:highlight w:val="none"/>
          <w:lang w:val="en-US" w:eastAsia="zh-CN"/>
        </w:rPr>
        <w:t>），或CSSCI（</w:t>
      </w:r>
      <w:r>
        <w:rPr>
          <w:rFonts w:hint="eastAsia" w:ascii="宋体" w:hAnsi="宋体" w:eastAsia="宋体" w:cs="Times New Roman"/>
          <w:b w:val="0"/>
          <w:bCs/>
          <w:color w:val="auto"/>
          <w:kern w:val="0"/>
          <w:szCs w:val="21"/>
          <w:highlight w:val="none"/>
        </w:rPr>
        <w:t>中文社会科学引文索引</w:t>
      </w:r>
      <w:r>
        <w:rPr>
          <w:rFonts w:hint="eastAsia" w:ascii="宋体" w:hAnsi="宋体" w:eastAsia="宋体" w:cs="Times New Roman"/>
          <w:b w:val="0"/>
          <w:bCs/>
          <w:color w:val="auto"/>
          <w:kern w:val="0"/>
          <w:szCs w:val="21"/>
          <w:highlight w:val="none"/>
          <w:lang w:val="en-US" w:eastAsia="zh-CN"/>
        </w:rPr>
        <w:t>），或EI（</w:t>
      </w:r>
      <w:r>
        <w:rPr>
          <w:rFonts w:hint="eastAsia" w:ascii="宋体" w:hAnsi="宋体" w:eastAsia="宋体" w:cs="Times New Roman"/>
          <w:b w:val="0"/>
          <w:bCs/>
          <w:color w:val="auto"/>
          <w:kern w:val="0"/>
          <w:szCs w:val="21"/>
          <w:highlight w:val="none"/>
        </w:rPr>
        <w:t>工程索引</w:t>
      </w:r>
      <w:r>
        <w:rPr>
          <w:rFonts w:hint="eastAsia" w:ascii="宋体" w:hAnsi="宋体" w:eastAsia="宋体" w:cs="Times New Roman"/>
          <w:b w:val="0"/>
          <w:bCs/>
          <w:color w:val="auto"/>
          <w:kern w:val="0"/>
          <w:szCs w:val="21"/>
          <w:highlight w:val="none"/>
          <w:lang w:val="en-US" w:eastAsia="zh-CN"/>
        </w:rPr>
        <w:t>），或SCI（</w:t>
      </w:r>
      <w:r>
        <w:rPr>
          <w:rFonts w:hint="eastAsia" w:ascii="宋体" w:hAnsi="宋体" w:eastAsia="宋体" w:cs="Times New Roman"/>
          <w:b w:val="0"/>
          <w:bCs/>
          <w:color w:val="auto"/>
          <w:kern w:val="0"/>
          <w:szCs w:val="21"/>
          <w:highlight w:val="none"/>
        </w:rPr>
        <w:t>科学引文索引</w:t>
      </w:r>
      <w:r>
        <w:rPr>
          <w:rFonts w:hint="eastAsia" w:ascii="宋体" w:hAnsi="宋体" w:eastAsia="宋体" w:cs="Times New Roman"/>
          <w:b w:val="0"/>
          <w:bCs/>
          <w:color w:val="auto"/>
          <w:kern w:val="0"/>
          <w:szCs w:val="21"/>
          <w:highlight w:val="none"/>
          <w:lang w:val="en-US" w:eastAsia="zh-CN"/>
        </w:rPr>
        <w:t>）】目录的期刊。</w:t>
      </w:r>
    </w:p>
    <w:p w14:paraId="17E22684">
      <w:pPr>
        <w:keepNext w:val="0"/>
        <w:keepLines w:val="0"/>
        <w:pageBreakBefore w:val="0"/>
        <w:widowControl w:val="0"/>
        <w:kinsoku/>
        <w:wordWrap/>
        <w:overflowPunct/>
        <w:topLinePunct w:val="0"/>
        <w:autoSpaceDE/>
        <w:autoSpaceDN/>
        <w:bidi w:val="0"/>
        <w:adjustRightInd/>
        <w:spacing w:line="400" w:lineRule="exact"/>
        <w:ind w:left="420" w:hanging="420" w:hangingChars="200"/>
        <w:textAlignment w:val="auto"/>
        <w:rPr>
          <w:rFonts w:hint="eastAsia" w:ascii="宋体" w:hAnsi="宋体" w:eastAsia="宋体" w:cs="Times New Roman"/>
          <w:b w:val="0"/>
          <w:bCs/>
          <w:color w:val="auto"/>
          <w:kern w:val="0"/>
          <w:szCs w:val="21"/>
          <w:highlight w:val="none"/>
          <w:lang w:val="en-US" w:eastAsia="zh-CN"/>
        </w:rPr>
      </w:pPr>
      <w:r>
        <w:rPr>
          <w:rFonts w:hint="eastAsia" w:ascii="宋体" w:hAnsi="宋体" w:eastAsia="宋体" w:cs="Times New Roman"/>
          <w:b w:val="0"/>
          <w:bCs/>
          <w:color w:val="auto"/>
          <w:kern w:val="0"/>
          <w:szCs w:val="21"/>
          <w:highlight w:val="none"/>
          <w:lang w:val="en-US" w:eastAsia="zh-CN"/>
        </w:rPr>
        <w:t>（3）论文</w:t>
      </w:r>
      <w:r>
        <w:rPr>
          <w:rFonts w:hint="eastAsia" w:ascii="宋体" w:hAnsi="宋体" w:eastAsia="宋体" w:cs="Times New Roman"/>
          <w:b w:val="0"/>
          <w:bCs/>
          <w:color w:val="auto"/>
          <w:kern w:val="0"/>
          <w:szCs w:val="21"/>
          <w:highlight w:val="none"/>
        </w:rPr>
        <w:t>证明</w:t>
      </w:r>
      <w:r>
        <w:rPr>
          <w:rFonts w:hint="eastAsia" w:ascii="宋体" w:hAnsi="宋体" w:eastAsia="宋体" w:cs="Times New Roman"/>
          <w:b w:val="0"/>
          <w:bCs/>
          <w:color w:val="auto"/>
          <w:kern w:val="0"/>
          <w:szCs w:val="21"/>
          <w:highlight w:val="none"/>
          <w:lang w:val="en-US" w:eastAsia="zh-CN"/>
        </w:rPr>
        <w:t>资料须体现论文研究领域、署名单位、发表时间、期刊名称、刊号、刊号对应的期刊被列入“核心期刊”的凭证（如万方数据平台的期刊</w:t>
      </w:r>
      <w:r>
        <w:rPr>
          <w:rFonts w:hint="eastAsia" w:ascii="宋体" w:hAnsi="宋体" w:eastAsia="宋体" w:cs="Times New Roman"/>
          <w:b w:val="0"/>
          <w:bCs/>
          <w:color w:val="auto"/>
          <w:kern w:val="0"/>
          <w:szCs w:val="21"/>
          <w:highlight w:val="none"/>
        </w:rPr>
        <w:t>查询结果凭证</w:t>
      </w:r>
      <w:r>
        <w:rPr>
          <w:rFonts w:hint="eastAsia" w:ascii="宋体" w:hAnsi="宋体" w:eastAsia="宋体" w:cs="Times New Roman"/>
          <w:b w:val="0"/>
          <w:bCs/>
          <w:color w:val="auto"/>
          <w:kern w:val="0"/>
          <w:szCs w:val="21"/>
          <w:highlight w:val="none"/>
          <w:lang w:val="en-US" w:eastAsia="zh-CN"/>
        </w:rPr>
        <w:t>）等。</w:t>
      </w:r>
    </w:p>
    <w:p w14:paraId="728EAF3C">
      <w:pPr>
        <w:autoSpaceDE/>
        <w:autoSpaceDN/>
        <w:adjustRightInd/>
        <w:spacing w:line="400" w:lineRule="exact"/>
        <w:ind w:left="420" w:hanging="420" w:hangingChars="200"/>
        <w:rPr>
          <w:rFonts w:hint="eastAsia" w:ascii="宋体" w:hAnsi="宋体" w:eastAsia="宋体" w:cs="Times New Roman"/>
          <w:b w:val="0"/>
          <w:bCs/>
          <w:color w:val="auto"/>
          <w:kern w:val="0"/>
          <w:szCs w:val="21"/>
          <w:highlight w:val="none"/>
          <w:lang w:eastAsia="zh-CN"/>
        </w:rPr>
      </w:pPr>
      <w:r>
        <w:rPr>
          <w:rFonts w:hint="eastAsia" w:ascii="宋体" w:hAnsi="宋体" w:eastAsia="宋体" w:cs="Times New Roman"/>
          <w:b w:val="0"/>
          <w:bCs/>
          <w:color w:val="auto"/>
          <w:kern w:val="0"/>
          <w:sz w:val="21"/>
          <w:szCs w:val="21"/>
          <w:highlight w:val="none"/>
          <w:lang w:val="en-US" w:eastAsia="zh-CN"/>
        </w:rPr>
        <w:t>（4）如论文</w:t>
      </w:r>
      <w:r>
        <w:rPr>
          <w:rFonts w:hint="eastAsia" w:ascii="宋体" w:hAnsi="宋体" w:eastAsia="宋体" w:cs="Times New Roman"/>
          <w:b w:val="0"/>
          <w:bCs/>
          <w:color w:val="auto"/>
          <w:kern w:val="0"/>
          <w:szCs w:val="21"/>
          <w:highlight w:val="none"/>
        </w:rPr>
        <w:t>采用外文</w:t>
      </w:r>
      <w:r>
        <w:rPr>
          <w:rFonts w:hint="eastAsia" w:ascii="宋体" w:hAnsi="宋体" w:eastAsia="宋体" w:cs="Times New Roman"/>
          <w:b w:val="0"/>
          <w:bCs/>
          <w:color w:val="auto"/>
          <w:kern w:val="0"/>
          <w:szCs w:val="21"/>
          <w:highlight w:val="none"/>
          <w:lang w:val="en-US" w:eastAsia="zh-CN"/>
        </w:rPr>
        <w:t>撰写</w:t>
      </w:r>
      <w:r>
        <w:rPr>
          <w:rFonts w:hint="eastAsia" w:ascii="宋体" w:hAnsi="宋体" w:eastAsia="宋体" w:cs="Times New Roman"/>
          <w:b w:val="0"/>
          <w:bCs/>
          <w:color w:val="auto"/>
          <w:kern w:val="0"/>
          <w:szCs w:val="21"/>
          <w:highlight w:val="none"/>
        </w:rPr>
        <w:t>的，应附中文译本</w:t>
      </w:r>
      <w:r>
        <w:rPr>
          <w:rFonts w:hint="eastAsia" w:ascii="宋体" w:hAnsi="宋体" w:eastAsia="宋体" w:cs="Times New Roman"/>
          <w:b w:val="0"/>
          <w:bCs/>
          <w:color w:val="auto"/>
          <w:kern w:val="0"/>
          <w:szCs w:val="21"/>
          <w:highlight w:val="none"/>
          <w:lang w:eastAsia="zh-CN"/>
        </w:rPr>
        <w:t>；</w:t>
      </w:r>
    </w:p>
    <w:p w14:paraId="6F9112BC">
      <w:pPr>
        <w:autoSpaceDE/>
        <w:autoSpaceDN/>
        <w:adjustRightInd/>
        <w:spacing w:line="400" w:lineRule="exact"/>
        <w:ind w:left="420" w:hanging="420" w:hangingChars="200"/>
        <w:rPr>
          <w:rFonts w:hint="eastAsia"/>
          <w:b w:val="0"/>
          <w:color w:val="auto"/>
          <w:highlight w:val="none"/>
          <w:lang w:val="en-US" w:eastAsia="zh-CN"/>
        </w:rPr>
      </w:pPr>
      <w:r>
        <w:rPr>
          <w:rFonts w:hint="eastAsia" w:hAnsi="宋体" w:cs="Times New Roman"/>
          <w:b w:val="0"/>
          <w:bCs/>
          <w:color w:val="auto"/>
          <w:kern w:val="0"/>
          <w:sz w:val="21"/>
          <w:szCs w:val="21"/>
          <w:highlight w:val="none"/>
          <w:lang w:val="en-US" w:eastAsia="zh-CN"/>
        </w:rPr>
        <w:t>（5）</w:t>
      </w:r>
      <w:r>
        <w:rPr>
          <w:rFonts w:hint="eastAsia" w:ascii="宋体" w:hAnsi="宋体" w:eastAsia="宋体" w:cs="Times New Roman"/>
          <w:b w:val="0"/>
          <w:bCs/>
          <w:color w:val="auto"/>
          <w:kern w:val="0"/>
          <w:sz w:val="21"/>
          <w:szCs w:val="21"/>
          <w:highlight w:val="none"/>
          <w:lang w:val="en-US" w:eastAsia="zh-CN"/>
        </w:rPr>
        <w:t>未按上述要求提供论文证明材料，或所附材料不符合本项评分要求的论文，在评审时将不予考虑。</w:t>
      </w:r>
    </w:p>
    <w:p w14:paraId="22D76852">
      <w:pPr>
        <w:pageBreakBefore w:val="0"/>
        <w:spacing w:before="120" w:after="120" w:line="360" w:lineRule="auto"/>
        <w:jc w:val="center"/>
        <w:outlineLvl w:val="2"/>
        <w:rPr>
          <w:rFonts w:hint="eastAsia" w:ascii="宋体" w:hAnsi="宋体" w:eastAsia="宋体" w:cs="宋体"/>
          <w:b/>
          <w:bCs/>
          <w:color w:val="auto"/>
          <w:kern w:val="0"/>
          <w:sz w:val="30"/>
          <w:szCs w:val="30"/>
          <w:highlight w:val="none"/>
          <w:lang w:val="en-US" w:eastAsia="zh-CN"/>
        </w:rPr>
      </w:pPr>
    </w:p>
    <w:p w14:paraId="47BC6575">
      <w:pPr>
        <w:pageBreakBefore/>
        <w:spacing w:before="120" w:after="120" w:line="360" w:lineRule="auto"/>
        <w:jc w:val="center"/>
        <w:outlineLvl w:val="2"/>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lang w:val="en-US" w:eastAsia="zh-CN"/>
        </w:rPr>
        <w:t xml:space="preserve">9.2 </w:t>
      </w:r>
      <w:r>
        <w:rPr>
          <w:rFonts w:hint="eastAsia" w:ascii="宋体" w:hAnsi="宋体" w:eastAsia="宋体" w:cs="宋体"/>
          <w:b/>
          <w:bCs/>
          <w:color w:val="auto"/>
          <w:kern w:val="0"/>
          <w:sz w:val="30"/>
          <w:szCs w:val="30"/>
          <w:highlight w:val="none"/>
        </w:rPr>
        <w:t>投标人承接的生态环境领域技术研究服务同类业绩在2022年1月1日至今获奖情况</w:t>
      </w:r>
    </w:p>
    <w:p w14:paraId="2FD62C8C">
      <w:pPr>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Times New Roman"/>
          <w:b w:val="0"/>
          <w:bCs/>
          <w:color w:val="auto"/>
          <w:kern w:val="0"/>
          <w:szCs w:val="21"/>
          <w:highlight w:val="none"/>
          <w:lang w:val="en-US" w:eastAsia="zh-CN"/>
        </w:rPr>
      </w:pPr>
    </w:p>
    <w:p w14:paraId="45C49C7A">
      <w:pPr>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Times New Roman"/>
          <w:b w:val="0"/>
          <w:bCs/>
          <w:color w:val="auto"/>
          <w:kern w:val="0"/>
          <w:szCs w:val="21"/>
          <w:highlight w:val="none"/>
          <w:lang w:val="en-US" w:eastAsia="zh-CN"/>
        </w:rPr>
      </w:pPr>
    </w:p>
    <w:p w14:paraId="238B0DFA">
      <w:pPr>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b w:val="0"/>
          <w:bCs/>
          <w:color w:val="auto"/>
          <w:sz w:val="21"/>
          <w:szCs w:val="21"/>
          <w:highlight w:val="none"/>
          <w:lang w:val="zh-CN"/>
        </w:rPr>
      </w:pPr>
      <w:r>
        <w:rPr>
          <w:rFonts w:hint="eastAsia" w:ascii="宋体" w:hAnsi="宋体" w:eastAsia="宋体" w:cs="Times New Roman"/>
          <w:b w:val="0"/>
          <w:bCs/>
          <w:color w:val="auto"/>
          <w:kern w:val="0"/>
          <w:szCs w:val="21"/>
          <w:highlight w:val="none"/>
          <w:lang w:val="en-US" w:eastAsia="zh-CN"/>
        </w:rPr>
        <w:t>备注：</w:t>
      </w:r>
    </w:p>
    <w:p w14:paraId="34FA7BA5">
      <w:pPr>
        <w:keepNext w:val="0"/>
        <w:keepLines w:val="0"/>
        <w:pageBreakBefore w:val="0"/>
        <w:widowControl w:val="0"/>
        <w:kinsoku/>
        <w:wordWrap/>
        <w:overflowPunct/>
        <w:topLinePunct w:val="0"/>
        <w:bidi w:val="0"/>
        <w:spacing w:line="360" w:lineRule="auto"/>
        <w:ind w:left="420" w:leftChars="0" w:hanging="420" w:hangingChars="200"/>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颁发单位包括政府行政主管部门或行业协会（学会）；</w:t>
      </w:r>
    </w:p>
    <w:p w14:paraId="7D4A0B09">
      <w:pPr>
        <w:keepNext w:val="0"/>
        <w:keepLines w:val="0"/>
        <w:pageBreakBefore w:val="0"/>
        <w:widowControl w:val="0"/>
        <w:kinsoku/>
        <w:wordWrap/>
        <w:overflowPunct/>
        <w:topLinePunct w:val="0"/>
        <w:bidi w:val="0"/>
        <w:spacing w:line="360" w:lineRule="auto"/>
        <w:ind w:left="420" w:leftChars="0" w:hanging="420" w:hangingChars="200"/>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获奖时间以</w:t>
      </w:r>
      <w:r>
        <w:rPr>
          <w:rFonts w:hint="eastAsia" w:ascii="宋体" w:hAnsi="宋体" w:eastAsia="宋体" w:cs="宋体"/>
          <w:b w:val="0"/>
          <w:bCs/>
          <w:color w:val="auto"/>
          <w:szCs w:val="21"/>
          <w:highlight w:val="none"/>
          <w:lang w:val="zh-CN"/>
        </w:rPr>
        <w:t>获奖证书颁发日期</w:t>
      </w:r>
      <w:r>
        <w:rPr>
          <w:rFonts w:hint="eastAsia" w:ascii="宋体" w:hAnsi="宋体" w:eastAsia="宋体" w:cs="宋体"/>
          <w:b w:val="0"/>
          <w:bCs/>
          <w:color w:val="auto"/>
          <w:sz w:val="21"/>
          <w:szCs w:val="21"/>
          <w:highlight w:val="none"/>
          <w:lang w:val="en-US" w:eastAsia="zh-CN"/>
        </w:rPr>
        <w:t>或</w:t>
      </w:r>
      <w:r>
        <w:rPr>
          <w:rFonts w:hint="eastAsia" w:ascii="宋体" w:hAnsi="宋体" w:eastAsia="宋体" w:cs="宋体"/>
          <w:b w:val="0"/>
          <w:bCs/>
          <w:color w:val="auto"/>
          <w:sz w:val="21"/>
          <w:szCs w:val="21"/>
          <w:highlight w:val="none"/>
          <w:lang w:val="zh-CN"/>
        </w:rPr>
        <w:t>获奖公告通知日为准；</w:t>
      </w:r>
    </w:p>
    <w:p w14:paraId="6A59922D">
      <w:pPr>
        <w:keepNext w:val="0"/>
        <w:keepLines w:val="0"/>
        <w:pageBreakBefore w:val="0"/>
        <w:widowControl w:val="0"/>
        <w:kinsoku/>
        <w:wordWrap/>
        <w:overflowPunct/>
        <w:topLinePunct w:val="0"/>
        <w:bidi w:val="0"/>
        <w:spacing w:line="360" w:lineRule="auto"/>
        <w:ind w:left="420" w:leftChars="0" w:hanging="420" w:hangingChars="200"/>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zh-CN"/>
        </w:rPr>
        <w:t>需提供获奖证书</w:t>
      </w:r>
      <w:r>
        <w:rPr>
          <w:rFonts w:hint="eastAsia" w:ascii="宋体" w:hAnsi="宋体" w:eastAsia="宋体" w:cs="宋体"/>
          <w:b w:val="0"/>
          <w:bCs/>
          <w:color w:val="auto"/>
          <w:sz w:val="21"/>
          <w:szCs w:val="21"/>
          <w:highlight w:val="none"/>
          <w:lang w:val="en-US" w:eastAsia="zh-CN"/>
        </w:rPr>
        <w:t>/获奖公告</w:t>
      </w:r>
      <w:r>
        <w:rPr>
          <w:rFonts w:hint="eastAsia" w:ascii="宋体" w:hAnsi="宋体" w:eastAsia="宋体" w:cs="宋体"/>
          <w:b w:val="0"/>
          <w:bCs/>
          <w:color w:val="auto"/>
          <w:sz w:val="21"/>
          <w:szCs w:val="21"/>
          <w:highlight w:val="none"/>
          <w:lang w:val="zh-CN"/>
        </w:rPr>
        <w:t>复印件或网上公示获奖页面截图凭证（</w:t>
      </w:r>
      <w:r>
        <w:rPr>
          <w:rFonts w:hint="eastAsia" w:ascii="宋体" w:hAnsi="宋体" w:eastAsia="宋体" w:cs="宋体"/>
          <w:b w:val="0"/>
          <w:bCs/>
          <w:color w:val="auto"/>
          <w:sz w:val="21"/>
          <w:szCs w:val="21"/>
          <w:highlight w:val="none"/>
          <w:lang w:val="en-US" w:eastAsia="zh-CN"/>
        </w:rPr>
        <w:t>且证明材料反映获奖单位包含投标人</w:t>
      </w:r>
      <w:r>
        <w:rPr>
          <w:rFonts w:hint="eastAsia" w:ascii="宋体" w:hAnsi="宋体" w:eastAsia="宋体" w:cs="宋体"/>
          <w:b w:val="0"/>
          <w:bCs/>
          <w:color w:val="auto"/>
          <w:sz w:val="21"/>
          <w:szCs w:val="21"/>
          <w:highlight w:val="none"/>
          <w:lang w:val="zh-CN"/>
        </w:rPr>
        <w:t>）；</w:t>
      </w:r>
    </w:p>
    <w:p w14:paraId="1BF67225">
      <w:pPr>
        <w:autoSpaceDE/>
        <w:autoSpaceDN/>
        <w:adjustRightInd/>
        <w:spacing w:line="360" w:lineRule="auto"/>
        <w:jc w:val="left"/>
        <w:rPr>
          <w:rFonts w:hint="eastAsia" w:ascii="宋体" w:hAnsi="宋体" w:eastAsia="宋体" w:cs="Times New Roman"/>
          <w:b w:val="0"/>
          <w:bCs/>
          <w:color w:val="auto"/>
          <w:kern w:val="0"/>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Times New Roman"/>
          <w:b w:val="0"/>
          <w:bCs/>
          <w:color w:val="auto"/>
          <w:kern w:val="0"/>
          <w:sz w:val="21"/>
          <w:szCs w:val="21"/>
          <w:highlight w:val="none"/>
          <w:lang w:val="en-US" w:eastAsia="zh-CN"/>
        </w:rPr>
        <w:t>获奖业绩须附合同复印件（合同服务提供方为投标人）加以证明；</w:t>
      </w:r>
    </w:p>
    <w:p w14:paraId="0EBF5BD0">
      <w:pPr>
        <w:autoSpaceDE/>
        <w:autoSpaceDN/>
        <w:adjustRightInd/>
        <w:spacing w:line="360" w:lineRule="auto"/>
        <w:jc w:val="left"/>
        <w:rPr>
          <w:rFonts w:hint="eastAsia"/>
          <w:color w:val="auto"/>
          <w:highlight w:val="none"/>
        </w:rPr>
      </w:pP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Cs w:val="21"/>
          <w:highlight w:val="none"/>
        </w:rPr>
        <w:t>得奖项目按高分项只计算一次、不重复计分</w:t>
      </w:r>
      <w:r>
        <w:rPr>
          <w:rFonts w:hint="eastAsia" w:ascii="宋体" w:hAnsi="宋体" w:eastAsia="宋体" w:cs="宋体"/>
          <w:b w:val="0"/>
          <w:bCs/>
          <w:color w:val="auto"/>
          <w:szCs w:val="21"/>
          <w:highlight w:val="none"/>
          <w:lang w:eastAsia="zh-CN"/>
        </w:rPr>
        <w:t>。</w:t>
      </w:r>
    </w:p>
    <w:p w14:paraId="3E2C9007">
      <w:pPr>
        <w:pageBreakBefore/>
        <w:spacing w:before="120" w:after="120" w:line="360" w:lineRule="auto"/>
        <w:jc w:val="center"/>
        <w:outlineLvl w:val="2"/>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lang w:val="en-US" w:eastAsia="zh-CN"/>
        </w:rPr>
        <w:t xml:space="preserve">9.3 </w:t>
      </w:r>
      <w:r>
        <w:rPr>
          <w:rFonts w:hint="eastAsia" w:ascii="宋体" w:hAnsi="宋体" w:eastAsia="宋体" w:cs="宋体"/>
          <w:b/>
          <w:bCs/>
          <w:color w:val="auto"/>
          <w:kern w:val="0"/>
          <w:sz w:val="30"/>
          <w:szCs w:val="30"/>
          <w:highlight w:val="none"/>
        </w:rPr>
        <w:t>投标人完成的生态环境领域技术课题在2022年1月1日至今的成果鉴定情况</w:t>
      </w:r>
    </w:p>
    <w:p w14:paraId="5A294D52">
      <w:pPr>
        <w:pageBreakBefore w:val="0"/>
        <w:spacing w:before="0" w:after="0" w:line="360" w:lineRule="auto"/>
        <w:jc w:val="left"/>
        <w:outlineLvl w:val="2"/>
        <w:rPr>
          <w:rFonts w:hint="eastAsia" w:ascii="宋体" w:hAnsi="宋体" w:eastAsia="宋体" w:cs="宋体"/>
          <w:b w:val="0"/>
          <w:bCs w:val="0"/>
          <w:color w:val="auto"/>
          <w:kern w:val="0"/>
          <w:sz w:val="21"/>
          <w:szCs w:val="21"/>
          <w:highlight w:val="none"/>
          <w:lang w:val="en-US" w:eastAsia="zh-CN"/>
        </w:rPr>
      </w:pPr>
    </w:p>
    <w:p w14:paraId="1794F888">
      <w:pPr>
        <w:pageBreakBefore w:val="0"/>
        <w:spacing w:before="0" w:after="0" w:line="360" w:lineRule="auto"/>
        <w:jc w:val="left"/>
        <w:outlineLvl w:val="2"/>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备注：</w:t>
      </w:r>
    </w:p>
    <w:p w14:paraId="3AEDA969">
      <w:pPr>
        <w:pageBreakBefore w:val="0"/>
        <w:spacing w:before="0" w:after="0" w:line="360" w:lineRule="auto"/>
        <w:jc w:val="left"/>
        <w:outlineLvl w:val="2"/>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需提供加盖鉴定单位公章的技术成果鉴定报告（或鉴定证书），鉴定时间以鉴定报告（或鉴定证书）签署日期为准；</w:t>
      </w:r>
    </w:p>
    <w:p w14:paraId="71B0EA2F">
      <w:pPr>
        <w:pageBreakBefore w:val="0"/>
        <w:spacing w:before="0" w:after="0" w:line="360" w:lineRule="auto"/>
        <w:jc w:val="left"/>
        <w:outlineLvl w:val="2"/>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成果鉴定报告（或鉴定证书）出具单位包括政府行政主管部门、行业协会（学会）或其他第三方科技成果评价机构；</w:t>
      </w:r>
    </w:p>
    <w:p w14:paraId="50337A72">
      <w:pPr>
        <w:pageBreakBefore w:val="0"/>
        <w:spacing w:before="0" w:after="0" w:line="360" w:lineRule="auto"/>
        <w:jc w:val="left"/>
        <w:outlineLvl w:val="2"/>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成果鉴定报告（或鉴定证书）需体现课题主要完成单位包含投标人，否则不得分；</w:t>
      </w:r>
    </w:p>
    <w:p w14:paraId="4ADD6D55">
      <w:pPr>
        <w:pageBreakBefore w:val="0"/>
        <w:spacing w:before="0" w:after="0" w:line="360" w:lineRule="auto"/>
        <w:jc w:val="left"/>
        <w:outlineLvl w:val="2"/>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成果鉴定情况按高分项只计算一次、不重复计分。</w:t>
      </w:r>
    </w:p>
    <w:p w14:paraId="600DE234">
      <w:pPr>
        <w:keepNext w:val="0"/>
        <w:keepLines w:val="0"/>
        <w:pageBreakBefore/>
        <w:widowControl w:val="0"/>
        <w:kinsoku/>
        <w:wordWrap/>
        <w:overflowPunct/>
        <w:topLinePunct w:val="0"/>
        <w:autoSpaceDE/>
        <w:autoSpaceDN/>
        <w:bidi w:val="0"/>
        <w:adjustRightInd/>
        <w:snapToGrid/>
        <w:spacing w:before="120" w:after="120" w:line="360" w:lineRule="auto"/>
        <w:jc w:val="center"/>
        <w:textAlignment w:val="auto"/>
        <w:outlineLvl w:val="2"/>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lang w:val="en-US" w:eastAsia="zh-CN"/>
        </w:rPr>
        <w:t xml:space="preserve">9.4 </w:t>
      </w:r>
      <w:r>
        <w:rPr>
          <w:rFonts w:hint="eastAsia" w:ascii="宋体" w:hAnsi="宋体" w:eastAsia="宋体" w:cs="宋体"/>
          <w:b/>
          <w:bCs/>
          <w:color w:val="auto"/>
          <w:kern w:val="0"/>
          <w:sz w:val="30"/>
          <w:szCs w:val="30"/>
          <w:highlight w:val="none"/>
        </w:rPr>
        <w:t>投标人具有的科研技术平台情况</w:t>
      </w:r>
    </w:p>
    <w:p w14:paraId="244E0B3E">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Times New Roman"/>
          <w:b/>
          <w:bCs w:val="0"/>
          <w:color w:val="auto"/>
          <w:kern w:val="0"/>
          <w:szCs w:val="21"/>
          <w:highlight w:val="none"/>
          <w:lang w:val="en-US" w:eastAsia="zh-CN"/>
        </w:rPr>
      </w:pPr>
    </w:p>
    <w:p w14:paraId="29F28285">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Times New Roman"/>
          <w:b/>
          <w:bCs w:val="0"/>
          <w:color w:val="auto"/>
          <w:kern w:val="0"/>
          <w:szCs w:val="21"/>
          <w:highlight w:val="none"/>
          <w:lang w:val="en-US" w:eastAsia="zh-CN"/>
        </w:rPr>
      </w:pPr>
    </w:p>
    <w:p w14:paraId="66A1243E">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Times New Roman"/>
          <w:b w:val="0"/>
          <w:bCs/>
          <w:color w:val="auto"/>
          <w:kern w:val="0"/>
          <w:szCs w:val="21"/>
          <w:highlight w:val="none"/>
          <w:lang w:val="en-US" w:eastAsia="zh-CN"/>
        </w:rPr>
      </w:pPr>
      <w:r>
        <w:rPr>
          <w:rFonts w:hint="eastAsia" w:ascii="宋体" w:hAnsi="宋体" w:eastAsia="宋体" w:cs="Times New Roman"/>
          <w:b w:val="0"/>
          <w:bCs/>
          <w:color w:val="auto"/>
          <w:kern w:val="0"/>
          <w:szCs w:val="21"/>
          <w:highlight w:val="none"/>
          <w:lang w:val="en-US" w:eastAsia="zh-CN"/>
        </w:rPr>
        <w:t>备注：</w:t>
      </w:r>
    </w:p>
    <w:p w14:paraId="56CBBF4C">
      <w:pPr>
        <w:keepNext w:val="0"/>
        <w:keepLines w:val="0"/>
        <w:pageBreakBefore w:val="0"/>
        <w:widowControl w:val="0"/>
        <w:kinsoku/>
        <w:wordWrap/>
        <w:overflowPunct/>
        <w:topLinePunct w:val="0"/>
        <w:autoSpaceDE/>
        <w:autoSpaceDN/>
        <w:bidi w:val="0"/>
        <w:adjustRightInd/>
        <w:spacing w:line="360" w:lineRule="auto"/>
        <w:ind w:left="420" w:leftChars="0" w:hanging="420" w:hangingChars="200"/>
        <w:jc w:val="left"/>
        <w:textAlignment w:val="auto"/>
        <w:rPr>
          <w:rFonts w:hint="eastAsia" w:ascii="宋体" w:hAnsi="宋体" w:eastAsia="宋体" w:cs="Times New Roman"/>
          <w:b w:val="0"/>
          <w:bCs/>
          <w:color w:val="auto"/>
          <w:kern w:val="0"/>
          <w:szCs w:val="21"/>
          <w:highlight w:val="none"/>
          <w:lang w:eastAsia="zh-CN"/>
        </w:rPr>
      </w:pPr>
      <w:r>
        <w:rPr>
          <w:rFonts w:hint="eastAsia" w:ascii="宋体" w:hAnsi="宋体" w:eastAsia="宋体" w:cs="Times New Roman"/>
          <w:b w:val="0"/>
          <w:bCs/>
          <w:color w:val="auto"/>
          <w:kern w:val="0"/>
          <w:szCs w:val="21"/>
          <w:highlight w:val="none"/>
          <w:lang w:val="en-US" w:eastAsia="zh-CN"/>
        </w:rPr>
        <w:t>（1）</w:t>
      </w:r>
      <w:r>
        <w:rPr>
          <w:rFonts w:hint="eastAsia" w:ascii="宋体" w:hAnsi="宋体" w:eastAsia="宋体" w:cs="Times New Roman"/>
          <w:b w:val="0"/>
          <w:bCs/>
          <w:color w:val="auto"/>
          <w:kern w:val="0"/>
          <w:szCs w:val="21"/>
          <w:highlight w:val="none"/>
        </w:rPr>
        <w:t>“生态环境领域”是指包含水污染治理（或大气污染治理，或固体废弃物处理处置，或物理污染治理，或生态修复）范围的领域</w:t>
      </w:r>
      <w:r>
        <w:rPr>
          <w:rFonts w:hint="eastAsia" w:ascii="宋体" w:hAnsi="宋体" w:eastAsia="宋体" w:cs="Times New Roman"/>
          <w:b w:val="0"/>
          <w:bCs/>
          <w:color w:val="auto"/>
          <w:kern w:val="0"/>
          <w:szCs w:val="21"/>
          <w:highlight w:val="none"/>
          <w:lang w:eastAsia="zh-CN"/>
        </w:rPr>
        <w:t>；</w:t>
      </w:r>
    </w:p>
    <w:p w14:paraId="13005218">
      <w:pPr>
        <w:keepNext w:val="0"/>
        <w:keepLines w:val="0"/>
        <w:pageBreakBefore w:val="0"/>
        <w:widowControl w:val="0"/>
        <w:kinsoku/>
        <w:wordWrap/>
        <w:overflowPunct/>
        <w:topLinePunct w:val="0"/>
        <w:autoSpaceDE/>
        <w:autoSpaceDN/>
        <w:bidi w:val="0"/>
        <w:adjustRightInd/>
        <w:spacing w:line="360" w:lineRule="auto"/>
        <w:ind w:left="420" w:leftChars="0" w:hanging="420" w:hangingChars="200"/>
        <w:jc w:val="left"/>
        <w:textAlignment w:val="auto"/>
        <w:rPr>
          <w:rFonts w:hint="eastAsia" w:ascii="宋体" w:hAnsi="宋体" w:eastAsia="宋体" w:cs="Times New Roman"/>
          <w:b w:val="0"/>
          <w:bCs/>
          <w:color w:val="auto"/>
          <w:kern w:val="0"/>
          <w:szCs w:val="21"/>
          <w:highlight w:val="none"/>
          <w:lang w:val="en-US" w:eastAsia="zh-CN"/>
        </w:rPr>
      </w:pPr>
      <w:r>
        <w:rPr>
          <w:rFonts w:hint="eastAsia" w:ascii="宋体" w:hAnsi="宋体" w:eastAsia="宋体" w:cs="Times New Roman"/>
          <w:b w:val="0"/>
          <w:bCs/>
          <w:color w:val="auto"/>
          <w:kern w:val="0"/>
          <w:szCs w:val="21"/>
          <w:highlight w:val="none"/>
          <w:lang w:val="en-US" w:eastAsia="zh-CN"/>
        </w:rPr>
        <w:t>（2）投标人的</w:t>
      </w:r>
      <w:r>
        <w:rPr>
          <w:rFonts w:hint="eastAsia" w:ascii="宋体" w:hAnsi="宋体" w:eastAsia="宋体" w:cs="Times New Roman"/>
          <w:b w:val="0"/>
          <w:bCs/>
          <w:color w:val="auto"/>
          <w:kern w:val="0"/>
          <w:szCs w:val="21"/>
          <w:highlight w:val="none"/>
        </w:rPr>
        <w:t>工程技术研究中心（或重点实验室</w:t>
      </w:r>
      <w:r>
        <w:rPr>
          <w:rFonts w:hint="eastAsia" w:ascii="宋体" w:hAnsi="宋体" w:eastAsia="宋体" w:cs="Times New Roman"/>
          <w:b w:val="0"/>
          <w:bCs/>
          <w:color w:val="auto"/>
          <w:kern w:val="0"/>
          <w:szCs w:val="21"/>
          <w:highlight w:val="none"/>
          <w:lang w:eastAsia="zh-CN"/>
        </w:rPr>
        <w:t>）</w:t>
      </w:r>
      <w:r>
        <w:rPr>
          <w:rFonts w:hint="eastAsia" w:ascii="宋体" w:hAnsi="宋体" w:eastAsia="宋体" w:cs="Times New Roman"/>
          <w:b w:val="0"/>
          <w:bCs/>
          <w:color w:val="auto"/>
          <w:kern w:val="0"/>
          <w:szCs w:val="21"/>
          <w:highlight w:val="none"/>
          <w:lang w:val="en-US" w:eastAsia="zh-CN"/>
        </w:rPr>
        <w:t>须通过科学技术部门认定，</w:t>
      </w:r>
      <w:r>
        <w:rPr>
          <w:rFonts w:hint="eastAsia" w:ascii="宋体" w:hAnsi="宋体" w:eastAsia="宋体" w:cs="Times New Roman"/>
          <w:b w:val="0"/>
          <w:bCs/>
          <w:color w:val="auto"/>
          <w:kern w:val="0"/>
          <w:szCs w:val="21"/>
          <w:highlight w:val="none"/>
        </w:rPr>
        <w:t>工程研究中心</w:t>
      </w:r>
      <w:r>
        <w:rPr>
          <w:rFonts w:hint="eastAsia" w:ascii="宋体" w:hAnsi="宋体" w:eastAsia="宋体" w:cs="Times New Roman"/>
          <w:b w:val="0"/>
          <w:bCs/>
          <w:color w:val="auto"/>
          <w:kern w:val="0"/>
          <w:szCs w:val="21"/>
          <w:highlight w:val="none"/>
          <w:lang w:val="en-US" w:eastAsia="zh-CN"/>
        </w:rPr>
        <w:t>须通过发展和改革部门认定，并提供科学技术部门（或发展和改革部门）发布的认定通知（拟组建公示）及认定名单（拟组建名单）或其他能够证明投标人具有工程技术研究中心</w:t>
      </w:r>
      <w:r>
        <w:rPr>
          <w:rFonts w:hint="eastAsia" w:ascii="宋体" w:hAnsi="宋体" w:eastAsia="宋体" w:cs="Times New Roman"/>
          <w:b w:val="0"/>
          <w:bCs/>
          <w:color w:val="auto"/>
          <w:kern w:val="0"/>
          <w:szCs w:val="21"/>
          <w:highlight w:val="none"/>
        </w:rPr>
        <w:t>（或重点实验室，或工程研究中心）</w:t>
      </w:r>
      <w:r>
        <w:rPr>
          <w:rFonts w:hint="eastAsia" w:ascii="宋体" w:hAnsi="宋体" w:eastAsia="宋体" w:cs="Times New Roman"/>
          <w:b w:val="0"/>
          <w:bCs/>
          <w:color w:val="auto"/>
          <w:kern w:val="0"/>
          <w:szCs w:val="21"/>
          <w:highlight w:val="none"/>
          <w:lang w:val="en-US" w:eastAsia="zh-CN"/>
        </w:rPr>
        <w:t>的资料，否则不得分；</w:t>
      </w:r>
    </w:p>
    <w:p w14:paraId="3389C71F">
      <w:pPr>
        <w:keepNext w:val="0"/>
        <w:keepLines w:val="0"/>
        <w:pageBreakBefore w:val="0"/>
        <w:widowControl w:val="0"/>
        <w:kinsoku/>
        <w:wordWrap/>
        <w:overflowPunct/>
        <w:topLinePunct w:val="0"/>
        <w:autoSpaceDE/>
        <w:autoSpaceDN/>
        <w:bidi w:val="0"/>
        <w:adjustRightInd/>
        <w:spacing w:line="360" w:lineRule="auto"/>
        <w:ind w:left="420" w:leftChars="0" w:hanging="420" w:hangingChars="200"/>
        <w:jc w:val="left"/>
        <w:textAlignment w:val="auto"/>
        <w:rPr>
          <w:rFonts w:hint="eastAsia"/>
          <w:b w:val="0"/>
          <w:bCs/>
          <w:color w:val="auto"/>
          <w:sz w:val="21"/>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w:t>
      </w:r>
      <w:r>
        <w:rPr>
          <w:rFonts w:hint="eastAsia" w:hAnsi="宋体" w:cs="Times New Roman"/>
          <w:b w:val="0"/>
          <w:bCs/>
          <w:color w:val="auto"/>
          <w:kern w:val="0"/>
          <w:sz w:val="21"/>
          <w:szCs w:val="21"/>
          <w:highlight w:val="none"/>
          <w:lang w:val="en-US" w:eastAsia="zh-CN"/>
        </w:rPr>
        <w:t>3</w:t>
      </w:r>
      <w:r>
        <w:rPr>
          <w:rFonts w:hint="eastAsia" w:ascii="宋体" w:hAnsi="宋体" w:eastAsia="宋体" w:cs="Times New Roman"/>
          <w:b w:val="0"/>
          <w:bCs/>
          <w:color w:val="auto"/>
          <w:kern w:val="0"/>
          <w:sz w:val="21"/>
          <w:szCs w:val="21"/>
          <w:highlight w:val="none"/>
          <w:lang w:val="en-US" w:eastAsia="zh-CN"/>
        </w:rPr>
        <w:t>）投标人的</w:t>
      </w:r>
      <w:r>
        <w:rPr>
          <w:rFonts w:hint="eastAsia" w:ascii="宋体" w:hAnsi="宋体" w:eastAsia="宋体" w:cs="Times New Roman"/>
          <w:b w:val="0"/>
          <w:bCs/>
          <w:color w:val="auto"/>
          <w:kern w:val="0"/>
          <w:sz w:val="21"/>
          <w:szCs w:val="21"/>
          <w:highlight w:val="none"/>
        </w:rPr>
        <w:t>工程技术研究中心（或重点实验室，或工程研究中心）</w:t>
      </w:r>
      <w:r>
        <w:rPr>
          <w:rFonts w:hint="eastAsia" w:ascii="宋体" w:hAnsi="宋体" w:eastAsia="宋体" w:cs="Times New Roman"/>
          <w:b w:val="0"/>
          <w:bCs/>
          <w:color w:val="auto"/>
          <w:kern w:val="0"/>
          <w:sz w:val="21"/>
          <w:szCs w:val="21"/>
          <w:highlight w:val="none"/>
          <w:lang w:val="en-US" w:eastAsia="zh-CN"/>
        </w:rPr>
        <w:t>应在有效认定状态（即投标时未被列入撤销名单内），否则不得分。</w:t>
      </w:r>
    </w:p>
    <w:p w14:paraId="2C4585BF">
      <w:pPr>
        <w:pageBreakBefore/>
        <w:spacing w:before="120" w:after="120" w:line="360" w:lineRule="auto"/>
        <w:jc w:val="left"/>
        <w:outlineLvl w:val="2"/>
        <w:rPr>
          <w:rFonts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en-US" w:eastAsia="zh-CN"/>
        </w:rPr>
        <w:t>十、</w:t>
      </w:r>
      <w:r>
        <w:rPr>
          <w:rFonts w:hint="eastAsia" w:ascii="宋体" w:hAnsi="宋体" w:eastAsia="宋体" w:cs="宋体"/>
          <w:b/>
          <w:bCs/>
          <w:color w:val="auto"/>
          <w:kern w:val="0"/>
          <w:sz w:val="32"/>
          <w:szCs w:val="32"/>
          <w:highlight w:val="none"/>
          <w:lang w:val="zh-CN"/>
        </w:rPr>
        <w:t>投标保证金汇入情况说明</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14:paraId="5ED350DF">
      <w:pPr>
        <w:autoSpaceDE w:val="0"/>
        <w:autoSpaceDN w:val="0"/>
        <w:adjustRightInd w:val="0"/>
        <w:spacing w:line="360" w:lineRule="auto"/>
        <w:jc w:val="left"/>
        <w:rPr>
          <w:rFonts w:ascii="宋体" w:hAnsi="宋体" w:eastAsia="宋体" w:cs="宋体"/>
          <w:color w:val="auto"/>
          <w:szCs w:val="24"/>
          <w:highlight w:val="none"/>
        </w:rPr>
      </w:pPr>
    </w:p>
    <w:p w14:paraId="124E760E">
      <w:pPr>
        <w:autoSpaceDE w:val="0"/>
        <w:autoSpaceDN w:val="0"/>
        <w:adjustRightInd w:val="0"/>
        <w:spacing w:line="360" w:lineRule="auto"/>
        <w:jc w:val="center"/>
        <w:rPr>
          <w:rFonts w:ascii="宋体" w:hAnsi="宋体" w:eastAsia="宋体" w:cs="宋体"/>
          <w:b/>
          <w:bCs/>
          <w:color w:val="auto"/>
          <w:kern w:val="0"/>
          <w:sz w:val="24"/>
          <w:szCs w:val="24"/>
          <w:highlight w:val="none"/>
        </w:rPr>
      </w:pPr>
      <w:bookmarkStart w:id="759" w:name="_Toc31832_WPSOffice_Level3"/>
      <w:r>
        <w:rPr>
          <w:rFonts w:hint="eastAsia" w:ascii="宋体" w:hAnsi="宋体" w:eastAsia="宋体" w:cs="宋体"/>
          <w:b/>
          <w:bCs/>
          <w:color w:val="auto"/>
          <w:kern w:val="0"/>
          <w:sz w:val="24"/>
          <w:szCs w:val="24"/>
          <w:highlight w:val="none"/>
        </w:rPr>
        <w:t>投标保证金汇入情况说明</w:t>
      </w:r>
      <w:bookmarkEnd w:id="759"/>
    </w:p>
    <w:p w14:paraId="3915AB31">
      <w:pPr>
        <w:autoSpaceDE w:val="0"/>
        <w:autoSpaceDN w:val="0"/>
        <w:adjustRightInd w:val="0"/>
        <w:spacing w:line="360" w:lineRule="auto"/>
        <w:jc w:val="center"/>
        <w:rPr>
          <w:rFonts w:ascii="宋体" w:hAnsi="宋体" w:eastAsia="宋体" w:cs="宋体"/>
          <w:b/>
          <w:bCs/>
          <w:color w:val="auto"/>
          <w:kern w:val="0"/>
          <w:szCs w:val="24"/>
          <w:highlight w:val="none"/>
        </w:rPr>
      </w:pPr>
    </w:p>
    <w:p w14:paraId="5245BC3D">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东莞市众源环境投资有限公司</w:t>
      </w:r>
      <w:r>
        <w:rPr>
          <w:rFonts w:hint="eastAsia" w:ascii="宋体" w:hAnsi="宋体" w:eastAsia="宋体" w:cs="宋体"/>
          <w:color w:val="auto"/>
          <w:szCs w:val="21"/>
          <w:highlight w:val="none"/>
        </w:rPr>
        <w:t>：</w:t>
      </w:r>
    </w:p>
    <w:p w14:paraId="42D50AE4">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东莞市众源环境投资有限公司“特大城市市政污泥全过程管理体系”成效评估及提质增效路径研究技术服务采购项目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广建咨询（东招）2025-0005号</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0D15A128">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14:paraId="72EDC1AA">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2C95609D">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14:paraId="3BC1D3F2">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071B74F0">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3BB2BD40">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14:paraId="5161EB7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6C5A19CC">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14:paraId="3A356CBA">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73F9B025">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1CC62CE0">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62597636">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733E0EAA">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7726E8F5">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32932EA5">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7EA5DA00">
      <w:pPr>
        <w:spacing w:line="360" w:lineRule="auto"/>
        <w:ind w:left="340" w:leftChars="162" w:firstLine="425"/>
        <w:rPr>
          <w:rFonts w:ascii="宋体" w:hAnsi="宋体" w:eastAsia="宋体" w:cs="宋体"/>
          <w:b/>
          <w:bCs/>
          <w:color w:val="auto"/>
          <w:szCs w:val="21"/>
          <w:highlight w:val="none"/>
        </w:rPr>
      </w:pPr>
      <w:bookmarkStart w:id="760" w:name="_Toc26208_WPSOffice_Level3"/>
      <w:r>
        <w:rPr>
          <w:rFonts w:hint="eastAsia" w:ascii="宋体" w:hAnsi="宋体" w:eastAsia="宋体" w:cs="宋体"/>
          <w:b/>
          <w:bCs/>
          <w:color w:val="auto"/>
          <w:szCs w:val="21"/>
          <w:highlight w:val="none"/>
        </w:rPr>
        <w:t>附：1、我方投标保证金汇款凭证（复印件）</w:t>
      </w:r>
      <w:bookmarkEnd w:id="760"/>
    </w:p>
    <w:p w14:paraId="03A14444">
      <w:pPr>
        <w:spacing w:line="360" w:lineRule="auto"/>
        <w:ind w:left="340" w:leftChars="162" w:firstLine="839" w:firstLineChars="398"/>
        <w:rPr>
          <w:rFonts w:ascii="宋体" w:hAnsi="宋体" w:eastAsia="宋体" w:cs="宋体"/>
          <w:b/>
          <w:bCs/>
          <w:color w:val="auto"/>
          <w:szCs w:val="21"/>
          <w:highlight w:val="none"/>
        </w:rPr>
      </w:pPr>
      <w:bookmarkStart w:id="761" w:name="_Toc12992_WPSOffice_Level3"/>
      <w:r>
        <w:rPr>
          <w:rFonts w:hint="eastAsia" w:ascii="宋体" w:hAnsi="宋体" w:eastAsia="宋体" w:cs="宋体"/>
          <w:b/>
          <w:bCs/>
          <w:color w:val="auto"/>
          <w:szCs w:val="21"/>
          <w:highlight w:val="none"/>
        </w:rPr>
        <w:t>2、我方基本账户开户许可证（复印件）</w:t>
      </w:r>
      <w:bookmarkEnd w:id="761"/>
    </w:p>
    <w:p w14:paraId="6A0924B1">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5BB68916">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14:paraId="41AA16C8">
      <w:pPr>
        <w:spacing w:line="360" w:lineRule="auto"/>
        <w:rPr>
          <w:rFonts w:ascii="宋体" w:hAnsi="宋体" w:eastAsia="宋体" w:cs="宋体"/>
          <w:b/>
          <w:color w:val="auto"/>
          <w:kern w:val="0"/>
          <w:szCs w:val="21"/>
          <w:highlight w:val="none"/>
        </w:rPr>
      </w:pPr>
      <w:bookmarkStart w:id="762" w:name="_Toc533708134"/>
      <w:bookmarkStart w:id="763" w:name="_Toc486167721"/>
    </w:p>
    <w:p w14:paraId="761FB366">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bCs/>
          <w:color w:val="auto"/>
          <w:kern w:val="0"/>
          <w:sz w:val="32"/>
          <w:szCs w:val="32"/>
          <w:highlight w:val="none"/>
          <w:lang w:val="zh-CN"/>
        </w:rPr>
      </w:pPr>
      <w:bookmarkStart w:id="764" w:name="_Toc24616"/>
      <w:bookmarkStart w:id="765" w:name="_Toc94107221"/>
      <w:bookmarkStart w:id="766" w:name="_Toc102860428"/>
      <w:bookmarkStart w:id="767" w:name="_Toc104991886"/>
      <w:bookmarkStart w:id="768" w:name="_Toc1977738"/>
      <w:bookmarkStart w:id="769" w:name="_Toc142508379"/>
      <w:bookmarkStart w:id="770" w:name="_Toc102860084"/>
      <w:bookmarkStart w:id="771" w:name="_Toc140596939"/>
    </w:p>
    <w:p w14:paraId="0FDBF4B2">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bCs/>
          <w:color w:val="auto"/>
          <w:kern w:val="0"/>
          <w:sz w:val="32"/>
          <w:szCs w:val="32"/>
          <w:highlight w:val="none"/>
          <w:lang w:val="zh-CN"/>
        </w:rPr>
      </w:pPr>
    </w:p>
    <w:p w14:paraId="4383CA81">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footerReference r:id="rId11" w:type="default"/>
          <w:pgSz w:w="12240" w:h="15840"/>
          <w:pgMar w:top="1191" w:right="1043" w:bottom="1191" w:left="1043" w:header="720" w:footer="720" w:gutter="0"/>
          <w:pgNumType w:fmt="decimal"/>
          <w:cols w:space="720" w:num="1"/>
          <w:titlePg/>
          <w:docGrid w:linePitch="326" w:charSpace="0"/>
        </w:sectPr>
      </w:pPr>
      <w:bookmarkStart w:id="772" w:name="_Toc1800"/>
      <w:bookmarkStart w:id="773" w:name="_Toc6541"/>
      <w:bookmarkStart w:id="774" w:name="_Toc29652"/>
      <w:bookmarkStart w:id="775" w:name="_Toc5782"/>
      <w:bookmarkStart w:id="776" w:name="_Toc2007"/>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一</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764"/>
      <w:bookmarkEnd w:id="765"/>
      <w:bookmarkEnd w:id="766"/>
      <w:bookmarkEnd w:id="767"/>
      <w:bookmarkEnd w:id="768"/>
      <w:bookmarkEnd w:id="769"/>
      <w:bookmarkEnd w:id="770"/>
      <w:bookmarkEnd w:id="771"/>
      <w:bookmarkEnd w:id="772"/>
      <w:bookmarkEnd w:id="773"/>
      <w:bookmarkEnd w:id="774"/>
      <w:bookmarkEnd w:id="775"/>
      <w:bookmarkEnd w:id="776"/>
    </w:p>
    <w:p w14:paraId="232497B5">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777" w:name="_Toc140596940"/>
      <w:bookmarkStart w:id="778" w:name="_Toc142508380"/>
      <w:bookmarkStart w:id="779" w:name="_Toc104991887"/>
      <w:bookmarkStart w:id="780" w:name="_Toc94107222"/>
      <w:bookmarkStart w:id="781" w:name="_Toc102860429"/>
      <w:bookmarkStart w:id="782" w:name="_Toc1977739"/>
      <w:bookmarkStart w:id="783" w:name="_Toc16447"/>
      <w:bookmarkStart w:id="784" w:name="_Toc27482"/>
      <w:bookmarkStart w:id="785" w:name="_Toc6008"/>
      <w:bookmarkStart w:id="786" w:name="_Toc102860085"/>
      <w:bookmarkStart w:id="787" w:name="_Toc24226"/>
      <w:bookmarkStart w:id="788" w:name="_Toc18038"/>
      <w:bookmarkStart w:id="789" w:name="_Toc31916"/>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、技术响应文件格式</w:t>
      </w:r>
      <w:bookmarkEnd w:id="762"/>
      <w:bookmarkEnd w:id="777"/>
      <w:bookmarkEnd w:id="778"/>
      <w:bookmarkEnd w:id="779"/>
      <w:bookmarkEnd w:id="780"/>
      <w:bookmarkEnd w:id="781"/>
      <w:bookmarkEnd w:id="782"/>
      <w:bookmarkEnd w:id="783"/>
      <w:bookmarkEnd w:id="784"/>
      <w:bookmarkEnd w:id="785"/>
      <w:bookmarkEnd w:id="786"/>
      <w:bookmarkEnd w:id="787"/>
      <w:bookmarkEnd w:id="788"/>
      <w:bookmarkEnd w:id="789"/>
    </w:p>
    <w:p w14:paraId="4735CEB3">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11EB95D2">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1、用户需求响应程度（即1</w:t>
      </w:r>
      <w:r>
        <w:rPr>
          <w:rFonts w:hint="eastAsia" w:ascii="宋体" w:hAnsi="宋体" w:eastAsia="宋体" w:cs="宋体"/>
          <w:color w:val="auto"/>
          <w:kern w:val="0"/>
          <w:szCs w:val="21"/>
          <w:highlight w:val="none"/>
          <w:lang w:val="en-US" w:eastAsia="zh-CN"/>
        </w:rPr>
        <w:t>2</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w:t>
      </w:r>
    </w:p>
    <w:p w14:paraId="1838160C">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2、项目总体研究方案；</w:t>
      </w:r>
    </w:p>
    <w:p w14:paraId="231A99DD">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项目重点、难点分析方案</w:t>
      </w:r>
      <w:r>
        <w:rPr>
          <w:rFonts w:hint="eastAsia" w:ascii="宋体" w:hAnsi="宋体" w:eastAsia="宋体" w:cs="宋体"/>
          <w:color w:val="auto"/>
          <w:kern w:val="0"/>
          <w:szCs w:val="21"/>
          <w:highlight w:val="none"/>
        </w:rPr>
        <w:t>；</w:t>
      </w:r>
    </w:p>
    <w:p w14:paraId="42927B97">
      <w:pPr>
        <w:spacing w:line="360" w:lineRule="auto"/>
        <w:ind w:left="443" w:leftChars="77" w:hanging="281" w:hangingChars="134"/>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人员配置方案</w:t>
      </w:r>
      <w:r>
        <w:rPr>
          <w:rFonts w:hint="eastAsia" w:ascii="宋体" w:hAnsi="宋体" w:eastAsia="宋体" w:cs="宋体"/>
          <w:color w:val="auto"/>
          <w:kern w:val="0"/>
          <w:szCs w:val="21"/>
          <w:highlight w:val="none"/>
          <w:lang w:eastAsia="zh-CN"/>
        </w:rPr>
        <w:t>；</w:t>
      </w:r>
    </w:p>
    <w:p w14:paraId="6049E3D0">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投标人认为有必要提供的其它材料（不做强制要求）。</w:t>
      </w:r>
    </w:p>
    <w:p w14:paraId="201A2EB6">
      <w:pPr>
        <w:pStyle w:val="21"/>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bookmarkEnd w:id="763"/>
      <w:bookmarkStart w:id="790" w:name="_Toc102860430"/>
      <w:bookmarkStart w:id="791" w:name="_Toc140596941"/>
      <w:bookmarkStart w:id="792" w:name="_Toc142508381"/>
      <w:bookmarkStart w:id="793" w:name="_Toc533708135"/>
      <w:bookmarkStart w:id="794" w:name="_Toc1977740"/>
      <w:bookmarkStart w:id="795" w:name="_Toc104991888"/>
      <w:bookmarkStart w:id="796" w:name="_Toc94107223"/>
      <w:bookmarkStart w:id="797" w:name="_Toc102860086"/>
    </w:p>
    <w:p w14:paraId="671D2DE6">
      <w:pPr>
        <w:pStyle w:val="21"/>
        <w:spacing w:line="360" w:lineRule="auto"/>
        <w:jc w:val="center"/>
        <w:rPr>
          <w:rFonts w:hint="eastAsia" w:ascii="宋体" w:hAnsi="宋体" w:eastAsia="宋体" w:cs="宋体"/>
          <w:b/>
          <w:color w:val="auto"/>
          <w:kern w:val="0"/>
          <w:szCs w:val="21"/>
          <w:highlight w:val="none"/>
        </w:rPr>
      </w:pPr>
    </w:p>
    <w:p w14:paraId="01F52D5C">
      <w:pPr>
        <w:pStyle w:val="21"/>
        <w:spacing w:line="360" w:lineRule="auto"/>
        <w:jc w:val="center"/>
        <w:rPr>
          <w:rFonts w:hint="eastAsia" w:ascii="宋体" w:hAnsi="宋体" w:eastAsia="宋体" w:cs="宋体"/>
          <w:b/>
          <w:color w:val="auto"/>
          <w:kern w:val="0"/>
          <w:szCs w:val="21"/>
          <w:highlight w:val="none"/>
        </w:rPr>
      </w:pPr>
    </w:p>
    <w:p w14:paraId="2D501CDD">
      <w:pPr>
        <w:pStyle w:val="21"/>
        <w:spacing w:line="360" w:lineRule="auto"/>
        <w:jc w:val="center"/>
        <w:rPr>
          <w:rFonts w:hint="eastAsia" w:ascii="宋体" w:hAnsi="宋体" w:eastAsia="宋体" w:cs="宋体"/>
          <w:b/>
          <w:color w:val="auto"/>
          <w:kern w:val="0"/>
          <w:szCs w:val="21"/>
          <w:highlight w:val="none"/>
        </w:rPr>
      </w:pPr>
    </w:p>
    <w:p w14:paraId="510D39AF">
      <w:pPr>
        <w:pStyle w:val="21"/>
        <w:spacing w:line="360" w:lineRule="auto"/>
        <w:jc w:val="center"/>
        <w:rPr>
          <w:rFonts w:hint="eastAsia" w:ascii="宋体" w:hAnsi="宋体" w:eastAsia="宋体" w:cs="宋体"/>
          <w:b/>
          <w:color w:val="auto"/>
          <w:kern w:val="0"/>
          <w:szCs w:val="21"/>
          <w:highlight w:val="none"/>
        </w:rPr>
      </w:pPr>
    </w:p>
    <w:p w14:paraId="5FC91AAB">
      <w:pPr>
        <w:pStyle w:val="21"/>
        <w:spacing w:line="360" w:lineRule="auto"/>
        <w:jc w:val="center"/>
        <w:rPr>
          <w:rFonts w:hint="eastAsia" w:ascii="宋体" w:hAnsi="宋体" w:eastAsia="宋体" w:cs="宋体"/>
          <w:b/>
          <w:color w:val="auto"/>
          <w:kern w:val="0"/>
          <w:szCs w:val="21"/>
          <w:highlight w:val="none"/>
        </w:rPr>
      </w:pPr>
    </w:p>
    <w:p w14:paraId="238C3832">
      <w:pPr>
        <w:pStyle w:val="21"/>
        <w:spacing w:line="360" w:lineRule="auto"/>
        <w:jc w:val="center"/>
        <w:rPr>
          <w:rFonts w:hint="eastAsia" w:ascii="宋体" w:hAnsi="宋体" w:eastAsia="宋体" w:cs="宋体"/>
          <w:b/>
          <w:color w:val="auto"/>
          <w:kern w:val="0"/>
          <w:szCs w:val="21"/>
          <w:highlight w:val="none"/>
        </w:rPr>
      </w:pPr>
    </w:p>
    <w:p w14:paraId="0049C620">
      <w:pPr>
        <w:pStyle w:val="21"/>
        <w:spacing w:line="360" w:lineRule="auto"/>
        <w:jc w:val="center"/>
        <w:rPr>
          <w:rFonts w:hint="eastAsia" w:ascii="宋体" w:hAnsi="宋体" w:eastAsia="宋体" w:cs="宋体"/>
          <w:b/>
          <w:color w:val="auto"/>
          <w:kern w:val="0"/>
          <w:szCs w:val="21"/>
          <w:highlight w:val="none"/>
        </w:rPr>
      </w:pPr>
    </w:p>
    <w:p w14:paraId="4AEB66E5">
      <w:pPr>
        <w:pStyle w:val="21"/>
        <w:spacing w:line="360" w:lineRule="auto"/>
        <w:jc w:val="center"/>
        <w:rPr>
          <w:rFonts w:hint="eastAsia" w:ascii="宋体" w:hAnsi="宋体" w:eastAsia="宋体" w:cs="宋体"/>
          <w:b/>
          <w:color w:val="auto"/>
          <w:kern w:val="0"/>
          <w:szCs w:val="21"/>
          <w:highlight w:val="none"/>
        </w:rPr>
      </w:pPr>
    </w:p>
    <w:p w14:paraId="6B7255E4">
      <w:pPr>
        <w:pStyle w:val="21"/>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0D427453">
      <w:pPr>
        <w:pStyle w:val="21"/>
        <w:spacing w:line="360" w:lineRule="auto"/>
        <w:rPr>
          <w:rFonts w:hint="eastAsia" w:ascii="宋体" w:hAnsi="宋体" w:eastAsia="宋体" w:cs="宋体"/>
          <w:color w:val="auto"/>
          <w:highlight w:val="none"/>
        </w:rPr>
      </w:pPr>
    </w:p>
    <w:p w14:paraId="5A5346B2">
      <w:pPr>
        <w:pStyle w:val="21"/>
        <w:spacing w:line="360" w:lineRule="auto"/>
        <w:rPr>
          <w:rFonts w:hint="eastAsia" w:ascii="宋体" w:hAnsi="宋体" w:eastAsia="宋体" w:cs="宋体"/>
          <w:color w:val="auto"/>
          <w:highlight w:val="none"/>
        </w:rPr>
      </w:pPr>
    </w:p>
    <w:p w14:paraId="2CE31828">
      <w:pPr>
        <w:pStyle w:val="21"/>
        <w:spacing w:line="360" w:lineRule="auto"/>
        <w:rPr>
          <w:rFonts w:hint="eastAsia" w:ascii="宋体" w:hAnsi="宋体" w:eastAsia="宋体" w:cs="宋体"/>
          <w:color w:val="auto"/>
          <w:highlight w:val="none"/>
        </w:rPr>
      </w:pPr>
    </w:p>
    <w:p w14:paraId="729E5441">
      <w:pPr>
        <w:pStyle w:val="21"/>
        <w:spacing w:line="360" w:lineRule="auto"/>
        <w:rPr>
          <w:rFonts w:hint="eastAsia" w:ascii="宋体" w:hAnsi="宋体" w:eastAsia="宋体" w:cs="宋体"/>
          <w:color w:val="auto"/>
          <w:highlight w:val="none"/>
        </w:rPr>
      </w:pPr>
    </w:p>
    <w:p w14:paraId="1B69E89D">
      <w:pPr>
        <w:pStyle w:val="21"/>
        <w:spacing w:line="360" w:lineRule="auto"/>
        <w:rPr>
          <w:rFonts w:hint="eastAsia" w:ascii="宋体" w:hAnsi="宋体" w:eastAsia="宋体" w:cs="宋体"/>
          <w:color w:val="auto"/>
          <w:highlight w:val="none"/>
        </w:rPr>
      </w:pPr>
    </w:p>
    <w:p w14:paraId="46061A20">
      <w:pPr>
        <w:pStyle w:val="21"/>
        <w:spacing w:line="360" w:lineRule="auto"/>
        <w:rPr>
          <w:rFonts w:hint="eastAsia" w:ascii="宋体" w:hAnsi="宋体" w:eastAsia="宋体" w:cs="宋体"/>
          <w:color w:val="auto"/>
          <w:highlight w:val="none"/>
        </w:rPr>
      </w:pPr>
    </w:p>
    <w:p w14:paraId="5958EF00">
      <w:pPr>
        <w:pStyle w:val="21"/>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461FCD0E">
      <w:pPr>
        <w:pStyle w:val="21"/>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182349AD">
      <w:pPr>
        <w:pStyle w:val="21"/>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14:paraId="584230CC">
      <w:pPr>
        <w:pStyle w:val="21"/>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375BC1A4">
      <w:pPr>
        <w:pStyle w:val="21"/>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4067D8F6">
      <w:pPr>
        <w:pStyle w:val="21"/>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200A8A4B">
      <w:pPr>
        <w:pStyle w:val="21"/>
        <w:spacing w:line="360" w:lineRule="auto"/>
        <w:rPr>
          <w:rFonts w:hint="eastAsia" w:ascii="宋体" w:hAnsi="宋体" w:eastAsia="宋体" w:cs="宋体"/>
          <w:color w:val="auto"/>
          <w:highlight w:val="none"/>
        </w:rPr>
      </w:pPr>
    </w:p>
    <w:p w14:paraId="0DF3A18C">
      <w:pPr>
        <w:pStyle w:val="2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59322A0">
      <w:pPr>
        <w:pStyle w:val="21"/>
        <w:spacing w:line="360" w:lineRule="auto"/>
        <w:rPr>
          <w:rFonts w:hint="eastAsia" w:ascii="宋体" w:hAnsi="宋体" w:eastAsia="宋体" w:cs="宋体"/>
          <w:color w:val="auto"/>
          <w:highlight w:val="none"/>
        </w:rPr>
      </w:pPr>
    </w:p>
    <w:p w14:paraId="6BAE0707">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9"/>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71"/>
        <w:gridCol w:w="4045"/>
      </w:tblGrid>
      <w:tr w14:paraId="5DBC55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4A04AAFF">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420B6FC3">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7" w:type="pct"/>
            <w:vAlign w:val="center"/>
          </w:tcPr>
          <w:p w14:paraId="6E4A950C">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0" w:type="pct"/>
            <w:tcBorders>
              <w:left w:val="single" w:color="auto" w:sz="4" w:space="0"/>
            </w:tcBorders>
            <w:vAlign w:val="center"/>
          </w:tcPr>
          <w:p w14:paraId="5D3ECE0A">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3645B7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33D979AC">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6AA64DC2">
            <w:pPr>
              <w:adjustRightInd w:val="0"/>
              <w:snapToGrid w:val="0"/>
              <w:spacing w:line="360" w:lineRule="auto"/>
              <w:jc w:val="center"/>
              <w:rPr>
                <w:rFonts w:hint="eastAsia" w:ascii="宋体" w:hAnsi="宋体" w:eastAsia="宋体" w:cs="宋体"/>
                <w:bCs/>
                <w:color w:val="auto"/>
                <w:szCs w:val="21"/>
                <w:highlight w:val="none"/>
              </w:rPr>
            </w:pPr>
          </w:p>
        </w:tc>
        <w:tc>
          <w:tcPr>
            <w:tcW w:w="1047" w:type="pct"/>
            <w:vAlign w:val="center"/>
          </w:tcPr>
          <w:p w14:paraId="7E6837FA">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677B2F07">
            <w:pPr>
              <w:adjustRightInd w:val="0"/>
              <w:snapToGrid w:val="0"/>
              <w:spacing w:line="360" w:lineRule="auto"/>
              <w:rPr>
                <w:rFonts w:hint="eastAsia" w:ascii="宋体" w:hAnsi="宋体" w:eastAsia="宋体" w:cs="宋体"/>
                <w:bCs/>
                <w:color w:val="auto"/>
                <w:szCs w:val="21"/>
                <w:highlight w:val="none"/>
              </w:rPr>
            </w:pPr>
          </w:p>
        </w:tc>
      </w:tr>
      <w:tr w14:paraId="79BBFC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cantSplit/>
          <w:trHeight w:val="1761" w:hRule="atLeast"/>
          <w:jc w:val="center"/>
        </w:trPr>
        <w:tc>
          <w:tcPr>
            <w:tcW w:w="665" w:type="pct"/>
            <w:vAlign w:val="center"/>
          </w:tcPr>
          <w:p w14:paraId="614443C3">
            <w:pPr>
              <w:rPr>
                <w:rFonts w:hint="eastAsia" w:ascii="宋体" w:hAnsi="宋体" w:eastAsia="宋体" w:cs="宋体"/>
                <w:bCs/>
                <w:color w:val="auto"/>
                <w:szCs w:val="21"/>
                <w:highlight w:val="none"/>
              </w:rPr>
            </w:pPr>
          </w:p>
        </w:tc>
        <w:tc>
          <w:tcPr>
            <w:tcW w:w="1337" w:type="pct"/>
            <w:vAlign w:val="center"/>
          </w:tcPr>
          <w:p w14:paraId="5CCFB96D">
            <w:pPr>
              <w:rPr>
                <w:rFonts w:hint="eastAsia" w:ascii="宋体" w:hAnsi="宋体" w:eastAsia="宋体" w:cs="宋体"/>
                <w:bCs/>
                <w:color w:val="auto"/>
                <w:szCs w:val="21"/>
                <w:highlight w:val="none"/>
              </w:rPr>
            </w:pPr>
          </w:p>
        </w:tc>
        <w:tc>
          <w:tcPr>
            <w:tcW w:w="1047" w:type="pct"/>
            <w:vAlign w:val="center"/>
          </w:tcPr>
          <w:p w14:paraId="75E3A05D">
            <w:pPr>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7608ED5B">
            <w:pPr>
              <w:adjustRightInd w:val="0"/>
              <w:snapToGrid w:val="0"/>
              <w:spacing w:line="360" w:lineRule="auto"/>
              <w:ind w:firstLine="105" w:firstLineChars="50"/>
              <w:rPr>
                <w:rFonts w:hint="eastAsia" w:ascii="宋体" w:hAnsi="宋体" w:eastAsia="宋体" w:cs="宋体"/>
                <w:bCs/>
                <w:color w:val="auto"/>
                <w:szCs w:val="21"/>
                <w:highlight w:val="none"/>
              </w:rPr>
            </w:pPr>
          </w:p>
        </w:tc>
      </w:tr>
      <w:tr w14:paraId="15B552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6930B681">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2EE60A5E">
            <w:pPr>
              <w:adjustRightInd w:val="0"/>
              <w:snapToGrid w:val="0"/>
              <w:spacing w:line="360" w:lineRule="auto"/>
              <w:rPr>
                <w:rFonts w:hint="eastAsia" w:ascii="宋体" w:hAnsi="宋体" w:eastAsia="宋体" w:cs="宋体"/>
                <w:bCs/>
                <w:color w:val="auto"/>
                <w:szCs w:val="21"/>
                <w:highlight w:val="none"/>
              </w:rPr>
            </w:pPr>
          </w:p>
        </w:tc>
        <w:tc>
          <w:tcPr>
            <w:tcW w:w="1047" w:type="pct"/>
            <w:vAlign w:val="center"/>
          </w:tcPr>
          <w:p w14:paraId="103BB529">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72A76CEC">
            <w:pPr>
              <w:spacing w:line="360" w:lineRule="auto"/>
              <w:ind w:firstLine="8" w:firstLineChars="4"/>
              <w:rPr>
                <w:rFonts w:hint="eastAsia" w:ascii="宋体" w:hAnsi="宋体" w:eastAsia="宋体" w:cs="宋体"/>
                <w:bCs/>
                <w:color w:val="auto"/>
                <w:szCs w:val="21"/>
                <w:highlight w:val="none"/>
              </w:rPr>
            </w:pPr>
          </w:p>
        </w:tc>
      </w:tr>
      <w:tr w14:paraId="103377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5ACB4623">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037C9453">
            <w:pPr>
              <w:adjustRightInd w:val="0"/>
              <w:snapToGrid w:val="0"/>
              <w:spacing w:line="360" w:lineRule="auto"/>
              <w:rPr>
                <w:rFonts w:hint="eastAsia" w:ascii="宋体" w:hAnsi="宋体" w:eastAsia="宋体" w:cs="宋体"/>
                <w:bCs/>
                <w:color w:val="auto"/>
                <w:szCs w:val="21"/>
                <w:highlight w:val="none"/>
              </w:rPr>
            </w:pPr>
          </w:p>
        </w:tc>
        <w:tc>
          <w:tcPr>
            <w:tcW w:w="1047" w:type="pct"/>
            <w:tcBorders>
              <w:top w:val="single" w:color="auto" w:sz="6" w:space="0"/>
              <w:left w:val="single" w:color="auto" w:sz="6" w:space="0"/>
              <w:bottom w:val="outset" w:color="808080" w:sz="6" w:space="0"/>
              <w:right w:val="single" w:color="auto" w:sz="6" w:space="0"/>
            </w:tcBorders>
            <w:vAlign w:val="center"/>
          </w:tcPr>
          <w:p w14:paraId="49C09804">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top w:val="single" w:color="auto" w:sz="6" w:space="0"/>
              <w:left w:val="single" w:color="auto" w:sz="4" w:space="0"/>
              <w:bottom w:val="outset" w:color="808080" w:sz="6" w:space="0"/>
              <w:right w:val="single" w:color="auto" w:sz="6" w:space="0"/>
            </w:tcBorders>
            <w:vAlign w:val="center"/>
          </w:tcPr>
          <w:p w14:paraId="672C535B">
            <w:pPr>
              <w:adjustRightInd w:val="0"/>
              <w:snapToGrid w:val="0"/>
              <w:spacing w:line="360" w:lineRule="auto"/>
              <w:rPr>
                <w:rFonts w:hint="eastAsia" w:ascii="宋体" w:hAnsi="宋体" w:eastAsia="宋体" w:cs="宋体"/>
                <w:bCs/>
                <w:color w:val="auto"/>
                <w:szCs w:val="21"/>
                <w:highlight w:val="none"/>
              </w:rPr>
            </w:pPr>
          </w:p>
        </w:tc>
      </w:tr>
      <w:tr w14:paraId="14FB98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4F94E111">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7" w:type="pct"/>
            <w:tcBorders>
              <w:bottom w:val="single" w:color="auto" w:sz="4" w:space="0"/>
            </w:tcBorders>
            <w:vAlign w:val="center"/>
          </w:tcPr>
          <w:p w14:paraId="36F6CA65">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bottom w:val="single" w:color="auto" w:sz="4" w:space="0"/>
            </w:tcBorders>
            <w:vAlign w:val="center"/>
          </w:tcPr>
          <w:p w14:paraId="171108F5">
            <w:pPr>
              <w:spacing w:line="360" w:lineRule="auto"/>
              <w:jc w:val="center"/>
              <w:rPr>
                <w:rFonts w:hint="eastAsia" w:ascii="宋体" w:hAnsi="宋体" w:eastAsia="宋体" w:cs="宋体"/>
                <w:bCs/>
                <w:color w:val="auto"/>
                <w:szCs w:val="21"/>
                <w:highlight w:val="none"/>
              </w:rPr>
            </w:pPr>
          </w:p>
        </w:tc>
      </w:tr>
    </w:tbl>
    <w:p w14:paraId="105804D4">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4CAB1865">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798" w:name="_Toc18999"/>
      <w:bookmarkStart w:id="799" w:name="_Toc27934"/>
      <w:bookmarkStart w:id="800" w:name="_Toc30575"/>
      <w:bookmarkStart w:id="801" w:name="_Toc29923"/>
      <w:bookmarkStart w:id="802" w:name="_Toc30448"/>
      <w:bookmarkStart w:id="803" w:name="_Toc17857"/>
      <w:r>
        <w:rPr>
          <w:rFonts w:hint="eastAsia" w:ascii="宋体" w:hAnsi="宋体" w:eastAsia="宋体" w:cs="宋体"/>
          <w:b/>
          <w:color w:val="auto"/>
          <w:kern w:val="0"/>
          <w:sz w:val="30"/>
          <w:szCs w:val="30"/>
          <w:highlight w:val="none"/>
        </w:rPr>
        <w:t>1</w:t>
      </w:r>
      <w:r>
        <w:rPr>
          <w:rFonts w:hint="default"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.1 用户需求偏离表格式</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14:paraId="07C97D40">
      <w:pPr>
        <w:spacing w:before="120" w:after="120" w:line="360" w:lineRule="auto"/>
        <w:jc w:val="center"/>
        <w:rPr>
          <w:rFonts w:ascii="宋体" w:hAnsi="宋体" w:eastAsia="宋体" w:cs="Times New Roman"/>
          <w:color w:val="auto"/>
          <w:kern w:val="0"/>
          <w:szCs w:val="21"/>
          <w:highlight w:val="none"/>
        </w:rPr>
      </w:pPr>
      <w:bookmarkStart w:id="804" w:name="_Toc17449_WPSOffice_Level3"/>
      <w:r>
        <w:rPr>
          <w:rFonts w:hint="eastAsia" w:ascii="宋体" w:hAnsi="宋体" w:eastAsia="宋体" w:cs="宋体"/>
          <w:b/>
          <w:color w:val="auto"/>
          <w:kern w:val="0"/>
          <w:sz w:val="30"/>
          <w:szCs w:val="30"/>
          <w:highlight w:val="none"/>
          <w:lang w:val="zh-CN"/>
        </w:rPr>
        <w:t>用户需求偏离表</w:t>
      </w:r>
      <w:bookmarkEnd w:id="804"/>
    </w:p>
    <w:tbl>
      <w:tblPr>
        <w:tblStyle w:val="39"/>
        <w:tblW w:w="47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944"/>
        <w:gridCol w:w="3395"/>
        <w:gridCol w:w="1214"/>
        <w:gridCol w:w="2499"/>
        <w:gridCol w:w="1119"/>
      </w:tblGrid>
      <w:tr w14:paraId="2EDD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00" w:type="pct"/>
            <w:vMerge w:val="restart"/>
            <w:vAlign w:val="center"/>
          </w:tcPr>
          <w:p w14:paraId="06D1F82A">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224" w:type="pct"/>
            <w:gridSpan w:val="2"/>
            <w:vAlign w:val="center"/>
          </w:tcPr>
          <w:p w14:paraId="4360305E">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2474" w:type="pct"/>
            <w:gridSpan w:val="3"/>
            <w:vAlign w:val="center"/>
          </w:tcPr>
          <w:p w14:paraId="5D0BA73B">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14:paraId="0767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00" w:type="pct"/>
            <w:vMerge w:val="continue"/>
            <w:vAlign w:val="center"/>
          </w:tcPr>
          <w:p w14:paraId="1AB074AF">
            <w:pPr>
              <w:keepNext/>
              <w:keepLines/>
              <w:spacing w:line="400" w:lineRule="exact"/>
              <w:jc w:val="center"/>
              <w:outlineLvl w:val="0"/>
              <w:rPr>
                <w:rFonts w:ascii="宋体" w:hAnsi="宋体" w:eastAsia="宋体" w:cs="宋体"/>
                <w:color w:val="auto"/>
                <w:kern w:val="0"/>
                <w:sz w:val="18"/>
                <w:szCs w:val="18"/>
                <w:highlight w:val="none"/>
              </w:rPr>
            </w:pPr>
          </w:p>
        </w:tc>
        <w:tc>
          <w:tcPr>
            <w:tcW w:w="484" w:type="pct"/>
            <w:vAlign w:val="center"/>
          </w:tcPr>
          <w:p w14:paraId="14ED3BB3">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1740" w:type="pct"/>
            <w:vAlign w:val="center"/>
          </w:tcPr>
          <w:p w14:paraId="110E52D5">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622" w:type="pct"/>
            <w:vAlign w:val="center"/>
          </w:tcPr>
          <w:p w14:paraId="15B72756">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1281" w:type="pct"/>
            <w:vAlign w:val="center"/>
          </w:tcPr>
          <w:p w14:paraId="41FB86E7">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571" w:type="pct"/>
            <w:vAlign w:val="center"/>
          </w:tcPr>
          <w:p w14:paraId="44E9ECDE">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14:paraId="1CC2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00" w:type="pct"/>
            <w:vAlign w:val="center"/>
          </w:tcPr>
          <w:p w14:paraId="50C43E45">
            <w:pPr>
              <w:spacing w:line="400" w:lineRule="exact"/>
              <w:jc w:val="center"/>
              <w:rPr>
                <w:rFonts w:ascii="宋体" w:hAnsi="宋体" w:eastAsia="宋体" w:cs="宋体"/>
                <w:b w:val="0"/>
                <w:bCs w:val="0"/>
                <w:color w:val="auto"/>
                <w:kern w:val="0"/>
                <w:sz w:val="18"/>
                <w:szCs w:val="18"/>
                <w:highlight w:val="none"/>
              </w:rPr>
            </w:pPr>
            <w:r>
              <w:rPr>
                <w:rFonts w:ascii="宋体" w:hAnsi="宋体" w:eastAsia="宋体" w:cs="宋体"/>
                <w:b w:val="0"/>
                <w:bCs w:val="0"/>
                <w:color w:val="auto"/>
                <w:kern w:val="0"/>
                <w:sz w:val="18"/>
                <w:szCs w:val="18"/>
                <w:highlight w:val="none"/>
              </w:rPr>
              <w:t>1</w:t>
            </w:r>
          </w:p>
        </w:tc>
        <w:tc>
          <w:tcPr>
            <w:tcW w:w="484" w:type="pct"/>
            <w:vAlign w:val="center"/>
          </w:tcPr>
          <w:p w14:paraId="432F3B25">
            <w:pPr>
              <w:spacing w:line="400" w:lineRule="exact"/>
              <w:jc w:val="center"/>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一</w:t>
            </w:r>
          </w:p>
        </w:tc>
        <w:tc>
          <w:tcPr>
            <w:tcW w:w="1740" w:type="pct"/>
            <w:vAlign w:val="center"/>
          </w:tcPr>
          <w:p w14:paraId="19BF4AFF">
            <w:pPr>
              <w:pageBreakBefore w:val="0"/>
              <w:widowControl w:val="0"/>
              <w:kinsoku/>
              <w:wordWrap/>
              <w:overflowPunct/>
              <w:topLinePunct w:val="0"/>
              <w:autoSpaceDE w:val="0"/>
              <w:autoSpaceDN w:val="0"/>
              <w:bidi w:val="0"/>
              <w:adjustRightInd w:val="0"/>
              <w:spacing w:line="0" w:lineRule="atLeast"/>
              <w:ind w:firstLine="360" w:firstLineChars="200"/>
              <w:jc w:val="center"/>
              <w:textAlignment w:val="auto"/>
              <w:rPr>
                <w:rFonts w:hint="default"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项目概况</w:t>
            </w:r>
          </w:p>
        </w:tc>
        <w:tc>
          <w:tcPr>
            <w:tcW w:w="622" w:type="pct"/>
            <w:vAlign w:val="center"/>
          </w:tcPr>
          <w:p w14:paraId="53CD5B48">
            <w:pPr>
              <w:keepNext/>
              <w:keepLines/>
              <w:spacing w:line="400" w:lineRule="exact"/>
              <w:jc w:val="center"/>
              <w:outlineLvl w:val="2"/>
              <w:rPr>
                <w:rFonts w:ascii="宋体" w:hAnsi="宋体" w:eastAsia="宋体" w:cs="宋体"/>
                <w:b w:val="0"/>
                <w:bCs w:val="0"/>
                <w:color w:val="auto"/>
                <w:kern w:val="0"/>
                <w:sz w:val="18"/>
                <w:szCs w:val="18"/>
                <w:highlight w:val="none"/>
              </w:rPr>
            </w:pPr>
          </w:p>
        </w:tc>
        <w:tc>
          <w:tcPr>
            <w:tcW w:w="1281" w:type="pct"/>
            <w:vAlign w:val="center"/>
          </w:tcPr>
          <w:p w14:paraId="43569C9D">
            <w:pPr>
              <w:keepNext/>
              <w:keepLines/>
              <w:spacing w:line="400" w:lineRule="exact"/>
              <w:jc w:val="center"/>
              <w:outlineLvl w:val="2"/>
              <w:rPr>
                <w:rFonts w:ascii="宋体" w:hAnsi="宋体" w:eastAsia="宋体" w:cs="宋体"/>
                <w:b w:val="0"/>
                <w:bCs w:val="0"/>
                <w:color w:val="auto"/>
                <w:kern w:val="0"/>
                <w:sz w:val="18"/>
                <w:szCs w:val="18"/>
                <w:highlight w:val="none"/>
              </w:rPr>
            </w:pPr>
          </w:p>
        </w:tc>
        <w:tc>
          <w:tcPr>
            <w:tcW w:w="571" w:type="pct"/>
            <w:vAlign w:val="center"/>
          </w:tcPr>
          <w:p w14:paraId="5B07C8CC">
            <w:pPr>
              <w:keepNext/>
              <w:keepLines/>
              <w:spacing w:line="400" w:lineRule="exact"/>
              <w:jc w:val="center"/>
              <w:outlineLvl w:val="2"/>
              <w:rPr>
                <w:rFonts w:ascii="宋体" w:hAnsi="宋体" w:eastAsia="宋体" w:cs="宋体"/>
                <w:b w:val="0"/>
                <w:bCs w:val="0"/>
                <w:color w:val="auto"/>
                <w:kern w:val="0"/>
                <w:sz w:val="18"/>
                <w:szCs w:val="18"/>
                <w:highlight w:val="none"/>
              </w:rPr>
            </w:pPr>
          </w:p>
        </w:tc>
      </w:tr>
      <w:tr w14:paraId="4E22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0" w:type="pct"/>
            <w:vAlign w:val="center"/>
          </w:tcPr>
          <w:p w14:paraId="4E00A518">
            <w:pPr>
              <w:spacing w:line="400" w:lineRule="exact"/>
              <w:jc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2</w:t>
            </w:r>
          </w:p>
        </w:tc>
        <w:tc>
          <w:tcPr>
            <w:tcW w:w="484" w:type="pct"/>
            <w:vAlign w:val="center"/>
          </w:tcPr>
          <w:p w14:paraId="44F3A6CF">
            <w:pPr>
              <w:spacing w:line="400" w:lineRule="exact"/>
              <w:jc w:val="center"/>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二</w:t>
            </w:r>
          </w:p>
        </w:tc>
        <w:tc>
          <w:tcPr>
            <w:tcW w:w="1740" w:type="pct"/>
            <w:vAlign w:val="center"/>
          </w:tcPr>
          <w:p w14:paraId="00DD7C16">
            <w:pPr>
              <w:pageBreakBefore w:val="0"/>
              <w:widowControl w:val="0"/>
              <w:kinsoku/>
              <w:wordWrap/>
              <w:overflowPunct/>
              <w:topLinePunct w:val="0"/>
              <w:bidi w:val="0"/>
              <w:adjustRightInd w:val="0"/>
              <w:snapToGrid w:val="0"/>
              <w:spacing w:line="0" w:lineRule="atLeast"/>
              <w:ind w:firstLine="360" w:firstLineChars="200"/>
              <w:jc w:val="center"/>
              <w:textAlignment w:val="auto"/>
              <w:rPr>
                <w:rFonts w:hint="default" w:ascii="宋体" w:hAnsi="宋体" w:eastAsia="宋体" w:cs="Times New Roman"/>
                <w:b w:val="0"/>
                <w:bCs w:val="0"/>
                <w:color w:val="auto"/>
                <w:sz w:val="18"/>
                <w:szCs w:val="18"/>
                <w:highlight w:val="none"/>
                <w:lang w:val="en-US" w:eastAsia="zh-CN"/>
              </w:rPr>
            </w:pPr>
            <w:r>
              <w:rPr>
                <w:rFonts w:hint="eastAsia" w:ascii="宋体" w:hAnsi="宋体" w:eastAsia="宋体" w:cs="Times New Roman"/>
                <w:b w:val="0"/>
                <w:bCs w:val="0"/>
                <w:color w:val="auto"/>
                <w:sz w:val="18"/>
                <w:szCs w:val="18"/>
                <w:highlight w:val="none"/>
                <w:lang w:val="en-US" w:eastAsia="zh-CN"/>
              </w:rPr>
              <w:t>项目背景</w:t>
            </w:r>
          </w:p>
        </w:tc>
        <w:tc>
          <w:tcPr>
            <w:tcW w:w="622" w:type="pct"/>
            <w:vAlign w:val="center"/>
          </w:tcPr>
          <w:p w14:paraId="4E62EAC2">
            <w:pPr>
              <w:keepNext/>
              <w:keepLines/>
              <w:spacing w:line="400" w:lineRule="exact"/>
              <w:jc w:val="center"/>
              <w:outlineLvl w:val="2"/>
              <w:rPr>
                <w:rFonts w:ascii="宋体" w:hAnsi="宋体" w:eastAsia="宋体" w:cs="宋体"/>
                <w:b w:val="0"/>
                <w:bCs w:val="0"/>
                <w:color w:val="auto"/>
                <w:kern w:val="0"/>
                <w:sz w:val="18"/>
                <w:szCs w:val="18"/>
                <w:highlight w:val="none"/>
              </w:rPr>
            </w:pPr>
          </w:p>
        </w:tc>
        <w:tc>
          <w:tcPr>
            <w:tcW w:w="1281" w:type="pct"/>
            <w:vAlign w:val="center"/>
          </w:tcPr>
          <w:p w14:paraId="6201D72B">
            <w:pPr>
              <w:keepNext/>
              <w:keepLines/>
              <w:spacing w:line="400" w:lineRule="exact"/>
              <w:jc w:val="center"/>
              <w:outlineLvl w:val="2"/>
              <w:rPr>
                <w:rFonts w:ascii="宋体" w:hAnsi="宋体" w:eastAsia="宋体" w:cs="宋体"/>
                <w:b w:val="0"/>
                <w:bCs w:val="0"/>
                <w:color w:val="auto"/>
                <w:kern w:val="0"/>
                <w:sz w:val="18"/>
                <w:szCs w:val="18"/>
                <w:highlight w:val="none"/>
              </w:rPr>
            </w:pPr>
          </w:p>
        </w:tc>
        <w:tc>
          <w:tcPr>
            <w:tcW w:w="571" w:type="pct"/>
            <w:vAlign w:val="center"/>
          </w:tcPr>
          <w:p w14:paraId="6C38AF74">
            <w:pPr>
              <w:keepNext/>
              <w:keepLines/>
              <w:spacing w:line="400" w:lineRule="exact"/>
              <w:jc w:val="center"/>
              <w:outlineLvl w:val="2"/>
              <w:rPr>
                <w:rFonts w:ascii="宋体" w:hAnsi="宋体" w:eastAsia="宋体" w:cs="宋体"/>
                <w:b w:val="0"/>
                <w:bCs w:val="0"/>
                <w:color w:val="auto"/>
                <w:kern w:val="0"/>
                <w:sz w:val="18"/>
                <w:szCs w:val="18"/>
                <w:highlight w:val="none"/>
              </w:rPr>
            </w:pPr>
          </w:p>
        </w:tc>
      </w:tr>
      <w:tr w14:paraId="10ED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0" w:type="pct"/>
            <w:vAlign w:val="center"/>
          </w:tcPr>
          <w:p w14:paraId="37F209FB">
            <w:pPr>
              <w:spacing w:line="400" w:lineRule="exact"/>
              <w:jc w:val="center"/>
              <w:rPr>
                <w:rFonts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3</w:t>
            </w:r>
          </w:p>
        </w:tc>
        <w:tc>
          <w:tcPr>
            <w:tcW w:w="484" w:type="pct"/>
            <w:vAlign w:val="center"/>
          </w:tcPr>
          <w:p w14:paraId="2B1E2293">
            <w:pPr>
              <w:spacing w:line="400" w:lineRule="exact"/>
              <w:jc w:val="center"/>
              <w:rPr>
                <w:rFonts w:hint="eastAsia" w:ascii="宋体" w:hAnsi="宋体" w:eastAsia="宋体"/>
                <w:b w:val="0"/>
                <w:bCs w:val="0"/>
                <w:color w:val="auto"/>
                <w:sz w:val="18"/>
                <w:szCs w:val="18"/>
                <w:highlight w:val="none"/>
                <w:lang w:val="en-US" w:eastAsia="zh-CN"/>
              </w:rPr>
            </w:pPr>
            <w:r>
              <w:rPr>
                <w:rFonts w:hint="eastAsia" w:ascii="宋体" w:hAnsi="宋体" w:eastAsia="宋体"/>
                <w:b w:val="0"/>
                <w:bCs w:val="0"/>
                <w:color w:val="auto"/>
                <w:sz w:val="18"/>
                <w:szCs w:val="18"/>
                <w:highlight w:val="none"/>
                <w:lang w:val="en-US" w:eastAsia="zh-CN"/>
              </w:rPr>
              <w:t>三</w:t>
            </w:r>
          </w:p>
        </w:tc>
        <w:tc>
          <w:tcPr>
            <w:tcW w:w="1740" w:type="pct"/>
            <w:vAlign w:val="center"/>
          </w:tcPr>
          <w:p w14:paraId="41186162">
            <w:pPr>
              <w:pageBreakBefore w:val="0"/>
              <w:widowControl w:val="0"/>
              <w:kinsoku/>
              <w:wordWrap/>
              <w:overflowPunct/>
              <w:topLinePunct w:val="0"/>
              <w:bidi w:val="0"/>
              <w:spacing w:line="0" w:lineRule="atLeast"/>
              <w:ind w:firstLine="360" w:firstLineChars="200"/>
              <w:jc w:val="center"/>
              <w:textAlignment w:val="auto"/>
              <w:rPr>
                <w:rFonts w:ascii="宋体" w:hAnsi="宋体" w:eastAsia="宋体"/>
                <w:b w:val="0"/>
                <w:bCs w:val="0"/>
                <w:color w:val="auto"/>
                <w:sz w:val="18"/>
                <w:szCs w:val="18"/>
                <w:highlight w:val="none"/>
              </w:rPr>
            </w:pPr>
            <w:r>
              <w:rPr>
                <w:rFonts w:hint="eastAsia" w:ascii="宋体" w:hAnsi="宋体" w:eastAsia="宋体"/>
                <w:b w:val="0"/>
                <w:bCs w:val="0"/>
                <w:color w:val="auto"/>
                <w:sz w:val="18"/>
                <w:szCs w:val="18"/>
                <w:highlight w:val="none"/>
              </w:rPr>
              <w:t>项目研究目标</w:t>
            </w:r>
          </w:p>
        </w:tc>
        <w:tc>
          <w:tcPr>
            <w:tcW w:w="622" w:type="pct"/>
            <w:vAlign w:val="center"/>
          </w:tcPr>
          <w:p w14:paraId="50F18C61">
            <w:pPr>
              <w:keepNext/>
              <w:keepLines/>
              <w:spacing w:line="400" w:lineRule="exact"/>
              <w:jc w:val="center"/>
              <w:outlineLvl w:val="2"/>
              <w:rPr>
                <w:rFonts w:ascii="宋体" w:hAnsi="宋体" w:eastAsia="宋体" w:cs="宋体"/>
                <w:b w:val="0"/>
                <w:bCs w:val="0"/>
                <w:color w:val="auto"/>
                <w:kern w:val="0"/>
                <w:sz w:val="18"/>
                <w:szCs w:val="18"/>
                <w:highlight w:val="none"/>
              </w:rPr>
            </w:pPr>
          </w:p>
        </w:tc>
        <w:tc>
          <w:tcPr>
            <w:tcW w:w="1281" w:type="pct"/>
            <w:vAlign w:val="center"/>
          </w:tcPr>
          <w:p w14:paraId="14E4E5E7">
            <w:pPr>
              <w:keepNext/>
              <w:keepLines/>
              <w:spacing w:line="400" w:lineRule="exact"/>
              <w:jc w:val="center"/>
              <w:outlineLvl w:val="2"/>
              <w:rPr>
                <w:rFonts w:ascii="宋体" w:hAnsi="宋体" w:eastAsia="宋体" w:cs="宋体"/>
                <w:b w:val="0"/>
                <w:bCs w:val="0"/>
                <w:color w:val="auto"/>
                <w:kern w:val="0"/>
                <w:sz w:val="18"/>
                <w:szCs w:val="18"/>
                <w:highlight w:val="none"/>
              </w:rPr>
            </w:pPr>
          </w:p>
        </w:tc>
        <w:tc>
          <w:tcPr>
            <w:tcW w:w="571" w:type="pct"/>
            <w:vAlign w:val="center"/>
          </w:tcPr>
          <w:p w14:paraId="3AFCB913">
            <w:pPr>
              <w:keepNext/>
              <w:keepLines/>
              <w:spacing w:line="400" w:lineRule="exact"/>
              <w:jc w:val="center"/>
              <w:outlineLvl w:val="2"/>
              <w:rPr>
                <w:rFonts w:ascii="宋体" w:hAnsi="宋体" w:eastAsia="宋体" w:cs="宋体"/>
                <w:b w:val="0"/>
                <w:bCs w:val="0"/>
                <w:color w:val="auto"/>
                <w:kern w:val="0"/>
                <w:sz w:val="18"/>
                <w:szCs w:val="18"/>
                <w:highlight w:val="none"/>
              </w:rPr>
            </w:pPr>
          </w:p>
        </w:tc>
      </w:tr>
      <w:tr w14:paraId="1A3DB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0" w:type="pct"/>
            <w:vAlign w:val="center"/>
          </w:tcPr>
          <w:p w14:paraId="23C3CB43">
            <w:pPr>
              <w:spacing w:line="400" w:lineRule="exact"/>
              <w:jc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4</w:t>
            </w:r>
          </w:p>
        </w:tc>
        <w:tc>
          <w:tcPr>
            <w:tcW w:w="484" w:type="pct"/>
            <w:vAlign w:val="center"/>
          </w:tcPr>
          <w:p w14:paraId="71604719">
            <w:pPr>
              <w:spacing w:line="400" w:lineRule="exact"/>
              <w:jc w:val="center"/>
              <w:rPr>
                <w:rFonts w:hint="eastAsia" w:ascii="宋体" w:hAnsi="宋体" w:eastAsia="宋体"/>
                <w:b w:val="0"/>
                <w:bCs w:val="0"/>
                <w:color w:val="auto"/>
                <w:sz w:val="18"/>
                <w:szCs w:val="18"/>
                <w:highlight w:val="none"/>
                <w:lang w:val="en-US" w:eastAsia="zh-CN"/>
              </w:rPr>
            </w:pPr>
            <w:r>
              <w:rPr>
                <w:rFonts w:hint="eastAsia" w:ascii="宋体" w:hAnsi="宋体" w:eastAsia="宋体"/>
                <w:b w:val="0"/>
                <w:bCs w:val="0"/>
                <w:color w:val="auto"/>
                <w:sz w:val="18"/>
                <w:szCs w:val="18"/>
                <w:highlight w:val="none"/>
                <w:lang w:val="en-US" w:eastAsia="zh-CN"/>
              </w:rPr>
              <w:t>四</w:t>
            </w:r>
          </w:p>
        </w:tc>
        <w:tc>
          <w:tcPr>
            <w:tcW w:w="1740" w:type="pct"/>
            <w:vAlign w:val="center"/>
          </w:tcPr>
          <w:p w14:paraId="5E5E271B">
            <w:pPr>
              <w:pageBreakBefore w:val="0"/>
              <w:widowControl w:val="0"/>
              <w:kinsoku/>
              <w:wordWrap/>
              <w:overflowPunct/>
              <w:topLinePunct w:val="0"/>
              <w:bidi w:val="0"/>
              <w:spacing w:line="0" w:lineRule="atLeast"/>
              <w:ind w:firstLine="360" w:firstLineChars="200"/>
              <w:jc w:val="center"/>
              <w:textAlignment w:val="auto"/>
              <w:rPr>
                <w:rFonts w:ascii="宋体" w:hAnsi="宋体" w:eastAsia="宋体"/>
                <w:b w:val="0"/>
                <w:bCs w:val="0"/>
                <w:color w:val="auto"/>
                <w:sz w:val="18"/>
                <w:szCs w:val="18"/>
                <w:highlight w:val="none"/>
              </w:rPr>
            </w:pPr>
            <w:r>
              <w:rPr>
                <w:rFonts w:hint="eastAsia" w:ascii="宋体" w:hAnsi="宋体" w:eastAsia="宋体"/>
                <w:b w:val="0"/>
                <w:bCs w:val="0"/>
                <w:color w:val="auto"/>
                <w:sz w:val="18"/>
                <w:szCs w:val="18"/>
                <w:highlight w:val="none"/>
              </w:rPr>
              <w:t>项目拟解决的问题</w:t>
            </w:r>
          </w:p>
        </w:tc>
        <w:tc>
          <w:tcPr>
            <w:tcW w:w="622" w:type="pct"/>
            <w:vAlign w:val="center"/>
          </w:tcPr>
          <w:p w14:paraId="71FF3837">
            <w:pPr>
              <w:keepNext/>
              <w:keepLines/>
              <w:spacing w:line="400" w:lineRule="exact"/>
              <w:jc w:val="center"/>
              <w:outlineLvl w:val="2"/>
              <w:rPr>
                <w:rFonts w:ascii="宋体" w:hAnsi="宋体" w:eastAsia="宋体" w:cs="宋体"/>
                <w:b w:val="0"/>
                <w:bCs w:val="0"/>
                <w:color w:val="auto"/>
                <w:kern w:val="0"/>
                <w:sz w:val="18"/>
                <w:szCs w:val="18"/>
                <w:highlight w:val="none"/>
              </w:rPr>
            </w:pPr>
          </w:p>
        </w:tc>
        <w:tc>
          <w:tcPr>
            <w:tcW w:w="1281" w:type="pct"/>
            <w:vAlign w:val="center"/>
          </w:tcPr>
          <w:p w14:paraId="5B219FD9">
            <w:pPr>
              <w:keepNext/>
              <w:keepLines/>
              <w:spacing w:line="400" w:lineRule="exact"/>
              <w:jc w:val="center"/>
              <w:outlineLvl w:val="2"/>
              <w:rPr>
                <w:rFonts w:ascii="宋体" w:hAnsi="宋体" w:eastAsia="宋体" w:cs="宋体"/>
                <w:b w:val="0"/>
                <w:bCs w:val="0"/>
                <w:color w:val="auto"/>
                <w:kern w:val="0"/>
                <w:sz w:val="18"/>
                <w:szCs w:val="18"/>
                <w:highlight w:val="none"/>
              </w:rPr>
            </w:pPr>
          </w:p>
        </w:tc>
        <w:tc>
          <w:tcPr>
            <w:tcW w:w="571" w:type="pct"/>
            <w:vAlign w:val="center"/>
          </w:tcPr>
          <w:p w14:paraId="052F577B">
            <w:pPr>
              <w:keepNext/>
              <w:keepLines/>
              <w:spacing w:line="400" w:lineRule="exact"/>
              <w:jc w:val="center"/>
              <w:outlineLvl w:val="2"/>
              <w:rPr>
                <w:rFonts w:ascii="宋体" w:hAnsi="宋体" w:eastAsia="宋体" w:cs="宋体"/>
                <w:b w:val="0"/>
                <w:bCs w:val="0"/>
                <w:color w:val="auto"/>
                <w:kern w:val="0"/>
                <w:sz w:val="18"/>
                <w:szCs w:val="18"/>
                <w:highlight w:val="none"/>
              </w:rPr>
            </w:pPr>
          </w:p>
        </w:tc>
      </w:tr>
      <w:tr w14:paraId="4CD4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0" w:type="pct"/>
            <w:vAlign w:val="center"/>
          </w:tcPr>
          <w:p w14:paraId="733D3FD6">
            <w:pPr>
              <w:spacing w:line="400" w:lineRule="exact"/>
              <w:jc w:val="center"/>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kern w:val="0"/>
                <w:sz w:val="18"/>
                <w:szCs w:val="18"/>
                <w:highlight w:val="none"/>
                <w:lang w:val="en-US" w:eastAsia="zh-CN"/>
              </w:rPr>
              <w:t>5</w:t>
            </w:r>
          </w:p>
        </w:tc>
        <w:tc>
          <w:tcPr>
            <w:tcW w:w="484" w:type="pct"/>
            <w:vAlign w:val="center"/>
          </w:tcPr>
          <w:p w14:paraId="00C1BFAF">
            <w:pPr>
              <w:spacing w:line="400" w:lineRule="exact"/>
              <w:jc w:val="center"/>
              <w:rPr>
                <w:rFonts w:hint="eastAsia" w:ascii="宋体" w:hAnsi="宋体" w:eastAsia="宋体"/>
                <w:b w:val="0"/>
                <w:bCs w:val="0"/>
                <w:color w:val="auto"/>
                <w:sz w:val="18"/>
                <w:szCs w:val="18"/>
                <w:highlight w:val="none"/>
                <w:lang w:val="en-US" w:eastAsia="zh-CN"/>
              </w:rPr>
            </w:pPr>
            <w:r>
              <w:rPr>
                <w:rFonts w:hint="eastAsia" w:ascii="宋体" w:hAnsi="宋体" w:eastAsia="宋体"/>
                <w:b w:val="0"/>
                <w:bCs w:val="0"/>
                <w:color w:val="auto"/>
                <w:sz w:val="18"/>
                <w:szCs w:val="18"/>
                <w:highlight w:val="none"/>
                <w:lang w:val="en-US" w:eastAsia="zh-CN"/>
              </w:rPr>
              <w:t>五</w:t>
            </w:r>
          </w:p>
        </w:tc>
        <w:tc>
          <w:tcPr>
            <w:tcW w:w="1740" w:type="pct"/>
            <w:vAlign w:val="center"/>
          </w:tcPr>
          <w:p w14:paraId="50CDB717">
            <w:pPr>
              <w:pageBreakBefore w:val="0"/>
              <w:widowControl w:val="0"/>
              <w:kinsoku/>
              <w:wordWrap/>
              <w:overflowPunct/>
              <w:topLinePunct w:val="0"/>
              <w:bidi w:val="0"/>
              <w:spacing w:line="0" w:lineRule="atLeast"/>
              <w:ind w:firstLine="360" w:firstLineChars="200"/>
              <w:jc w:val="center"/>
              <w:textAlignment w:val="auto"/>
              <w:rPr>
                <w:rFonts w:hint="default" w:ascii="宋体" w:hAnsi="宋体" w:eastAsia="宋体"/>
                <w:b w:val="0"/>
                <w:bCs w:val="0"/>
                <w:color w:val="auto"/>
                <w:sz w:val="18"/>
                <w:szCs w:val="18"/>
                <w:highlight w:val="none"/>
                <w:lang w:val="en-US" w:eastAsia="zh-CN"/>
              </w:rPr>
            </w:pPr>
            <w:r>
              <w:rPr>
                <w:rFonts w:hint="eastAsia" w:ascii="宋体" w:hAnsi="宋体" w:eastAsia="宋体"/>
                <w:b w:val="0"/>
                <w:bCs w:val="0"/>
                <w:color w:val="auto"/>
                <w:sz w:val="18"/>
                <w:szCs w:val="18"/>
                <w:highlight w:val="none"/>
                <w:lang w:val="en-US" w:eastAsia="zh-CN"/>
              </w:rPr>
              <w:t>服务期限</w:t>
            </w:r>
          </w:p>
        </w:tc>
        <w:tc>
          <w:tcPr>
            <w:tcW w:w="622" w:type="pct"/>
            <w:vAlign w:val="center"/>
          </w:tcPr>
          <w:p w14:paraId="43F88A5D">
            <w:pPr>
              <w:keepNext/>
              <w:keepLines/>
              <w:spacing w:line="400" w:lineRule="exact"/>
              <w:jc w:val="center"/>
              <w:outlineLvl w:val="2"/>
              <w:rPr>
                <w:rFonts w:ascii="宋体" w:hAnsi="宋体" w:eastAsia="宋体" w:cs="宋体"/>
                <w:b w:val="0"/>
                <w:bCs w:val="0"/>
                <w:color w:val="auto"/>
                <w:kern w:val="0"/>
                <w:sz w:val="18"/>
                <w:szCs w:val="18"/>
                <w:highlight w:val="none"/>
              </w:rPr>
            </w:pPr>
          </w:p>
        </w:tc>
        <w:tc>
          <w:tcPr>
            <w:tcW w:w="1281" w:type="pct"/>
            <w:vAlign w:val="center"/>
          </w:tcPr>
          <w:p w14:paraId="52D1EB20">
            <w:pPr>
              <w:keepNext/>
              <w:keepLines/>
              <w:spacing w:line="400" w:lineRule="exact"/>
              <w:jc w:val="center"/>
              <w:outlineLvl w:val="2"/>
              <w:rPr>
                <w:rFonts w:ascii="宋体" w:hAnsi="宋体" w:eastAsia="宋体" w:cs="宋体"/>
                <w:b w:val="0"/>
                <w:bCs w:val="0"/>
                <w:color w:val="auto"/>
                <w:kern w:val="0"/>
                <w:sz w:val="18"/>
                <w:szCs w:val="18"/>
                <w:highlight w:val="none"/>
              </w:rPr>
            </w:pPr>
          </w:p>
        </w:tc>
        <w:tc>
          <w:tcPr>
            <w:tcW w:w="571" w:type="pct"/>
            <w:vAlign w:val="center"/>
          </w:tcPr>
          <w:p w14:paraId="0D06D9B1">
            <w:pPr>
              <w:keepNext/>
              <w:keepLines/>
              <w:spacing w:line="400" w:lineRule="exact"/>
              <w:jc w:val="center"/>
              <w:outlineLvl w:val="2"/>
              <w:rPr>
                <w:rFonts w:ascii="宋体" w:hAnsi="宋体" w:eastAsia="宋体" w:cs="宋体"/>
                <w:b w:val="0"/>
                <w:bCs w:val="0"/>
                <w:color w:val="auto"/>
                <w:kern w:val="0"/>
                <w:sz w:val="18"/>
                <w:szCs w:val="18"/>
                <w:highlight w:val="none"/>
              </w:rPr>
            </w:pPr>
          </w:p>
        </w:tc>
      </w:tr>
      <w:tr w14:paraId="4DC2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0" w:type="pct"/>
            <w:vAlign w:val="center"/>
          </w:tcPr>
          <w:p w14:paraId="1307152E">
            <w:pPr>
              <w:spacing w:line="400" w:lineRule="exact"/>
              <w:jc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6</w:t>
            </w:r>
          </w:p>
        </w:tc>
        <w:tc>
          <w:tcPr>
            <w:tcW w:w="484" w:type="pct"/>
            <w:vAlign w:val="center"/>
          </w:tcPr>
          <w:p w14:paraId="7E799CF4">
            <w:pPr>
              <w:spacing w:line="400" w:lineRule="exact"/>
              <w:jc w:val="center"/>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六</w:t>
            </w:r>
          </w:p>
        </w:tc>
        <w:tc>
          <w:tcPr>
            <w:tcW w:w="1740" w:type="pct"/>
            <w:vAlign w:val="center"/>
          </w:tcPr>
          <w:p w14:paraId="6D7A3C84">
            <w:pPr>
              <w:pageBreakBefore w:val="0"/>
              <w:widowControl w:val="0"/>
              <w:kinsoku/>
              <w:wordWrap/>
              <w:overflowPunct/>
              <w:topLinePunct w:val="0"/>
              <w:bidi w:val="0"/>
              <w:spacing w:line="0" w:lineRule="atLeast"/>
              <w:ind w:firstLine="360" w:firstLineChars="200"/>
              <w:jc w:val="center"/>
              <w:textAlignment w:val="auto"/>
              <w:rPr>
                <w:rFonts w:hint="default" w:ascii="宋体" w:hAnsi="宋体" w:eastAsia="宋体"/>
                <w:b w:val="0"/>
                <w:bCs w:val="0"/>
                <w:color w:val="auto"/>
                <w:sz w:val="18"/>
                <w:szCs w:val="18"/>
                <w:highlight w:val="none"/>
                <w:lang w:val="en-US" w:eastAsia="zh-CN"/>
              </w:rPr>
            </w:pPr>
            <w:r>
              <w:rPr>
                <w:rFonts w:hint="eastAsia" w:ascii="宋体" w:hAnsi="宋体" w:eastAsia="宋体"/>
                <w:b w:val="0"/>
                <w:bCs w:val="0"/>
                <w:color w:val="auto"/>
                <w:sz w:val="18"/>
                <w:szCs w:val="18"/>
                <w:highlight w:val="none"/>
                <w:lang w:val="en-US" w:eastAsia="zh-CN"/>
              </w:rPr>
              <w:t>项目成果要求</w:t>
            </w:r>
          </w:p>
        </w:tc>
        <w:tc>
          <w:tcPr>
            <w:tcW w:w="622" w:type="pct"/>
            <w:vAlign w:val="center"/>
          </w:tcPr>
          <w:p w14:paraId="47A68EB9">
            <w:pPr>
              <w:keepNext/>
              <w:keepLines/>
              <w:spacing w:line="400" w:lineRule="exact"/>
              <w:jc w:val="center"/>
              <w:outlineLvl w:val="2"/>
              <w:rPr>
                <w:rFonts w:ascii="宋体" w:hAnsi="宋体" w:eastAsia="宋体" w:cs="宋体"/>
                <w:b w:val="0"/>
                <w:bCs w:val="0"/>
                <w:color w:val="auto"/>
                <w:kern w:val="0"/>
                <w:sz w:val="18"/>
                <w:szCs w:val="18"/>
                <w:highlight w:val="none"/>
              </w:rPr>
            </w:pPr>
          </w:p>
        </w:tc>
        <w:tc>
          <w:tcPr>
            <w:tcW w:w="1281" w:type="pct"/>
            <w:vAlign w:val="center"/>
          </w:tcPr>
          <w:p w14:paraId="6F6E7EF5">
            <w:pPr>
              <w:keepNext/>
              <w:keepLines/>
              <w:spacing w:line="400" w:lineRule="exact"/>
              <w:jc w:val="center"/>
              <w:outlineLvl w:val="2"/>
              <w:rPr>
                <w:rFonts w:ascii="宋体" w:hAnsi="宋体" w:eastAsia="宋体" w:cs="宋体"/>
                <w:b w:val="0"/>
                <w:bCs w:val="0"/>
                <w:color w:val="auto"/>
                <w:kern w:val="0"/>
                <w:sz w:val="18"/>
                <w:szCs w:val="18"/>
                <w:highlight w:val="none"/>
              </w:rPr>
            </w:pPr>
          </w:p>
        </w:tc>
        <w:tc>
          <w:tcPr>
            <w:tcW w:w="571" w:type="pct"/>
            <w:vAlign w:val="center"/>
          </w:tcPr>
          <w:p w14:paraId="16E82A24">
            <w:pPr>
              <w:keepNext/>
              <w:keepLines/>
              <w:spacing w:line="400" w:lineRule="exact"/>
              <w:jc w:val="center"/>
              <w:outlineLvl w:val="2"/>
              <w:rPr>
                <w:rFonts w:ascii="宋体" w:hAnsi="宋体" w:eastAsia="宋体" w:cs="宋体"/>
                <w:b w:val="0"/>
                <w:bCs w:val="0"/>
                <w:color w:val="auto"/>
                <w:kern w:val="0"/>
                <w:sz w:val="18"/>
                <w:szCs w:val="18"/>
                <w:highlight w:val="none"/>
              </w:rPr>
            </w:pPr>
          </w:p>
        </w:tc>
      </w:tr>
      <w:tr w14:paraId="6CA3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0" w:type="pct"/>
            <w:vAlign w:val="center"/>
          </w:tcPr>
          <w:p w14:paraId="6BC5BF73">
            <w:pPr>
              <w:spacing w:line="400" w:lineRule="exact"/>
              <w:jc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7</w:t>
            </w:r>
          </w:p>
        </w:tc>
        <w:tc>
          <w:tcPr>
            <w:tcW w:w="484" w:type="pct"/>
            <w:vAlign w:val="center"/>
          </w:tcPr>
          <w:p w14:paraId="4E3C34FE">
            <w:pPr>
              <w:spacing w:line="400" w:lineRule="exact"/>
              <w:jc w:val="center"/>
              <w:rPr>
                <w:rFonts w:hint="eastAsia"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七</w:t>
            </w:r>
          </w:p>
        </w:tc>
        <w:tc>
          <w:tcPr>
            <w:tcW w:w="1740" w:type="pct"/>
            <w:vAlign w:val="center"/>
          </w:tcPr>
          <w:p w14:paraId="79016171">
            <w:pPr>
              <w:pageBreakBefore w:val="0"/>
              <w:widowControl w:val="0"/>
              <w:kinsoku/>
              <w:wordWrap/>
              <w:overflowPunct/>
              <w:topLinePunct w:val="0"/>
              <w:bidi w:val="0"/>
              <w:spacing w:line="0" w:lineRule="atLeast"/>
              <w:ind w:firstLine="360" w:firstLineChars="200"/>
              <w:jc w:val="center"/>
              <w:textAlignment w:val="auto"/>
              <w:rPr>
                <w:rFonts w:hint="default" w:ascii="宋体" w:hAnsi="宋体" w:eastAsia="宋体"/>
                <w:b w:val="0"/>
                <w:bCs w:val="0"/>
                <w:color w:val="auto"/>
                <w:sz w:val="18"/>
                <w:szCs w:val="18"/>
                <w:highlight w:val="none"/>
                <w:lang w:val="en-US" w:eastAsia="zh-CN"/>
              </w:rPr>
            </w:pPr>
            <w:r>
              <w:rPr>
                <w:rFonts w:hint="eastAsia" w:ascii="宋体" w:hAnsi="宋体" w:eastAsia="宋体"/>
                <w:b w:val="0"/>
                <w:bCs w:val="0"/>
                <w:color w:val="auto"/>
                <w:sz w:val="18"/>
                <w:szCs w:val="18"/>
                <w:highlight w:val="none"/>
                <w:lang w:val="en-US" w:eastAsia="zh-CN"/>
              </w:rPr>
              <w:t>项目进度要求</w:t>
            </w:r>
          </w:p>
        </w:tc>
        <w:tc>
          <w:tcPr>
            <w:tcW w:w="622" w:type="pct"/>
            <w:vAlign w:val="center"/>
          </w:tcPr>
          <w:p w14:paraId="67F6716C">
            <w:pPr>
              <w:keepNext/>
              <w:keepLines/>
              <w:spacing w:line="400" w:lineRule="exact"/>
              <w:jc w:val="center"/>
              <w:outlineLvl w:val="2"/>
              <w:rPr>
                <w:rFonts w:ascii="宋体" w:hAnsi="宋体" w:eastAsia="宋体" w:cs="宋体"/>
                <w:b w:val="0"/>
                <w:bCs w:val="0"/>
                <w:color w:val="auto"/>
                <w:kern w:val="0"/>
                <w:sz w:val="18"/>
                <w:szCs w:val="18"/>
                <w:highlight w:val="none"/>
              </w:rPr>
            </w:pPr>
          </w:p>
        </w:tc>
        <w:tc>
          <w:tcPr>
            <w:tcW w:w="1281" w:type="pct"/>
            <w:vAlign w:val="center"/>
          </w:tcPr>
          <w:p w14:paraId="3DE8084C">
            <w:pPr>
              <w:keepNext/>
              <w:keepLines/>
              <w:spacing w:line="400" w:lineRule="exact"/>
              <w:jc w:val="center"/>
              <w:outlineLvl w:val="2"/>
              <w:rPr>
                <w:rFonts w:ascii="宋体" w:hAnsi="宋体" w:eastAsia="宋体" w:cs="宋体"/>
                <w:b w:val="0"/>
                <w:bCs w:val="0"/>
                <w:color w:val="auto"/>
                <w:kern w:val="0"/>
                <w:sz w:val="18"/>
                <w:szCs w:val="18"/>
                <w:highlight w:val="none"/>
              </w:rPr>
            </w:pPr>
          </w:p>
        </w:tc>
        <w:tc>
          <w:tcPr>
            <w:tcW w:w="571" w:type="pct"/>
            <w:vAlign w:val="center"/>
          </w:tcPr>
          <w:p w14:paraId="6CD1BD85">
            <w:pPr>
              <w:keepNext/>
              <w:keepLines/>
              <w:spacing w:line="400" w:lineRule="exact"/>
              <w:jc w:val="center"/>
              <w:outlineLvl w:val="2"/>
              <w:rPr>
                <w:rFonts w:ascii="宋体" w:hAnsi="宋体" w:eastAsia="宋体" w:cs="宋体"/>
                <w:b w:val="0"/>
                <w:bCs w:val="0"/>
                <w:color w:val="auto"/>
                <w:kern w:val="0"/>
                <w:sz w:val="18"/>
                <w:szCs w:val="18"/>
                <w:highlight w:val="none"/>
              </w:rPr>
            </w:pPr>
          </w:p>
        </w:tc>
      </w:tr>
      <w:tr w14:paraId="11D0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0" w:type="pct"/>
            <w:vAlign w:val="center"/>
          </w:tcPr>
          <w:p w14:paraId="1E56988C">
            <w:pPr>
              <w:spacing w:line="400" w:lineRule="exact"/>
              <w:jc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8</w:t>
            </w:r>
          </w:p>
        </w:tc>
        <w:tc>
          <w:tcPr>
            <w:tcW w:w="484" w:type="pct"/>
            <w:vAlign w:val="center"/>
          </w:tcPr>
          <w:p w14:paraId="2F095FBA">
            <w:pPr>
              <w:spacing w:line="400" w:lineRule="exact"/>
              <w:jc w:val="center"/>
              <w:rPr>
                <w:rFonts w:hint="default"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八</w:t>
            </w:r>
          </w:p>
        </w:tc>
        <w:tc>
          <w:tcPr>
            <w:tcW w:w="1740" w:type="pct"/>
            <w:vAlign w:val="center"/>
          </w:tcPr>
          <w:p w14:paraId="04F5708E">
            <w:pPr>
              <w:pageBreakBefore w:val="0"/>
              <w:widowControl w:val="0"/>
              <w:kinsoku/>
              <w:wordWrap/>
              <w:overflowPunct/>
              <w:topLinePunct w:val="0"/>
              <w:bidi w:val="0"/>
              <w:spacing w:line="0" w:lineRule="atLeast"/>
              <w:ind w:firstLine="360" w:firstLineChars="200"/>
              <w:jc w:val="center"/>
              <w:textAlignment w:val="auto"/>
              <w:rPr>
                <w:rFonts w:hint="default" w:ascii="宋体" w:hAnsi="宋体" w:eastAsia="宋体"/>
                <w:b w:val="0"/>
                <w:bCs w:val="0"/>
                <w:color w:val="auto"/>
                <w:sz w:val="18"/>
                <w:szCs w:val="18"/>
                <w:highlight w:val="none"/>
                <w:lang w:val="en-US" w:eastAsia="zh-CN"/>
              </w:rPr>
            </w:pPr>
            <w:r>
              <w:rPr>
                <w:rFonts w:hint="eastAsia" w:ascii="宋体" w:hAnsi="宋体" w:eastAsia="宋体"/>
                <w:b w:val="0"/>
                <w:bCs w:val="0"/>
                <w:color w:val="auto"/>
                <w:sz w:val="18"/>
                <w:szCs w:val="18"/>
                <w:highlight w:val="none"/>
                <w:lang w:val="en-US" w:eastAsia="zh-CN"/>
              </w:rPr>
              <w:t>成果和验收标准</w:t>
            </w:r>
          </w:p>
        </w:tc>
        <w:tc>
          <w:tcPr>
            <w:tcW w:w="622" w:type="pct"/>
            <w:vAlign w:val="center"/>
          </w:tcPr>
          <w:p w14:paraId="15DEC9AE">
            <w:pPr>
              <w:keepNext/>
              <w:keepLines/>
              <w:spacing w:line="400" w:lineRule="exact"/>
              <w:jc w:val="center"/>
              <w:outlineLvl w:val="2"/>
              <w:rPr>
                <w:rFonts w:ascii="宋体" w:hAnsi="宋体" w:eastAsia="宋体" w:cs="宋体"/>
                <w:b w:val="0"/>
                <w:bCs w:val="0"/>
                <w:color w:val="auto"/>
                <w:kern w:val="0"/>
                <w:sz w:val="18"/>
                <w:szCs w:val="18"/>
                <w:highlight w:val="none"/>
              </w:rPr>
            </w:pPr>
          </w:p>
        </w:tc>
        <w:tc>
          <w:tcPr>
            <w:tcW w:w="1281" w:type="pct"/>
            <w:vAlign w:val="center"/>
          </w:tcPr>
          <w:p w14:paraId="3A0B2EDE">
            <w:pPr>
              <w:keepNext/>
              <w:keepLines/>
              <w:spacing w:line="400" w:lineRule="exact"/>
              <w:jc w:val="center"/>
              <w:outlineLvl w:val="2"/>
              <w:rPr>
                <w:rFonts w:ascii="宋体" w:hAnsi="宋体" w:eastAsia="宋体" w:cs="宋体"/>
                <w:b w:val="0"/>
                <w:bCs w:val="0"/>
                <w:color w:val="auto"/>
                <w:kern w:val="0"/>
                <w:sz w:val="18"/>
                <w:szCs w:val="18"/>
                <w:highlight w:val="none"/>
              </w:rPr>
            </w:pPr>
          </w:p>
        </w:tc>
        <w:tc>
          <w:tcPr>
            <w:tcW w:w="571" w:type="pct"/>
            <w:vAlign w:val="center"/>
          </w:tcPr>
          <w:p w14:paraId="2029A7C9">
            <w:pPr>
              <w:keepNext/>
              <w:keepLines/>
              <w:spacing w:line="400" w:lineRule="exact"/>
              <w:jc w:val="center"/>
              <w:outlineLvl w:val="2"/>
              <w:rPr>
                <w:rFonts w:ascii="宋体" w:hAnsi="宋体" w:eastAsia="宋体" w:cs="宋体"/>
                <w:b w:val="0"/>
                <w:bCs w:val="0"/>
                <w:color w:val="auto"/>
                <w:kern w:val="0"/>
                <w:sz w:val="18"/>
                <w:szCs w:val="18"/>
                <w:highlight w:val="none"/>
              </w:rPr>
            </w:pPr>
          </w:p>
        </w:tc>
      </w:tr>
      <w:tr w14:paraId="147F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50441795">
            <w:pPr>
              <w:keepNext/>
              <w:keepLines/>
              <w:pageBreakBefore w:val="0"/>
              <w:widowControl w:val="0"/>
              <w:kinsoku/>
              <w:wordWrap/>
              <w:overflowPunct/>
              <w:topLinePunct w:val="0"/>
              <w:bidi w:val="0"/>
              <w:spacing w:line="0" w:lineRule="atLeast"/>
              <w:jc w:val="left"/>
              <w:textAlignment w:val="auto"/>
              <w:outlineLvl w:val="2"/>
              <w:rPr>
                <w:rFonts w:ascii="宋体" w:hAnsi="宋体" w:eastAsia="宋体" w:cs="宋体"/>
                <w:b w:val="0"/>
                <w:bCs w:val="0"/>
                <w:color w:val="auto"/>
                <w:kern w:val="0"/>
                <w:sz w:val="18"/>
                <w:szCs w:val="18"/>
                <w:highlight w:val="none"/>
              </w:rPr>
            </w:pPr>
            <w:r>
              <w:rPr>
                <w:rFonts w:hint="eastAsia" w:ascii="宋体" w:hAnsi="宋体" w:eastAsia="宋体" w:cs="宋体"/>
                <w:color w:val="auto"/>
                <w:kern w:val="0"/>
                <w:sz w:val="18"/>
                <w:szCs w:val="18"/>
                <w:highlight w:val="none"/>
              </w:rPr>
              <w:t>用户需求书“★”条款汇总：</w:t>
            </w:r>
          </w:p>
        </w:tc>
      </w:tr>
      <w:tr w14:paraId="6F47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0" w:type="pct"/>
            <w:vAlign w:val="center"/>
          </w:tcPr>
          <w:p w14:paraId="43D4D436">
            <w:pPr>
              <w:spacing w:line="400" w:lineRule="exact"/>
              <w:jc w:val="center"/>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w:t>
            </w:r>
          </w:p>
        </w:tc>
        <w:tc>
          <w:tcPr>
            <w:tcW w:w="484" w:type="pct"/>
            <w:vAlign w:val="center"/>
          </w:tcPr>
          <w:p w14:paraId="21B2C8FF">
            <w:pPr>
              <w:spacing w:line="400" w:lineRule="exact"/>
              <w:jc w:val="center"/>
              <w:rPr>
                <w:rFonts w:hint="default" w:ascii="宋体" w:hAnsi="宋体" w:eastAsia="宋体" w:cs="Times New Roman"/>
                <w:b w:val="0"/>
                <w:bCs w:val="0"/>
                <w:color w:val="auto"/>
                <w:kern w:val="0"/>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w:t>
            </w:r>
          </w:p>
        </w:tc>
        <w:tc>
          <w:tcPr>
            <w:tcW w:w="1740" w:type="pct"/>
            <w:vAlign w:val="center"/>
          </w:tcPr>
          <w:p w14:paraId="5B7E06E8">
            <w:pPr>
              <w:pageBreakBefore w:val="0"/>
              <w:widowControl w:val="0"/>
              <w:kinsoku/>
              <w:wordWrap/>
              <w:overflowPunct/>
              <w:topLinePunct w:val="0"/>
              <w:bidi w:val="0"/>
              <w:spacing w:line="0" w:lineRule="atLeast"/>
              <w:ind w:firstLine="360" w:firstLineChars="200"/>
              <w:jc w:val="center"/>
              <w:textAlignment w:val="auto"/>
              <w:rPr>
                <w:rFonts w:hint="default" w:ascii="宋体" w:hAnsi="宋体" w:eastAsia="宋体"/>
                <w:b w:val="0"/>
                <w:bCs w:val="0"/>
                <w:color w:val="auto"/>
                <w:sz w:val="18"/>
                <w:szCs w:val="18"/>
                <w:highlight w:val="none"/>
                <w:lang w:val="en-US" w:eastAsia="zh-CN"/>
              </w:rPr>
            </w:pPr>
            <w:r>
              <w:rPr>
                <w:rFonts w:hint="eastAsia" w:ascii="宋体" w:hAnsi="宋体" w:eastAsia="宋体" w:cs="Times New Roman"/>
                <w:b w:val="0"/>
                <w:bCs w:val="0"/>
                <w:color w:val="auto"/>
                <w:kern w:val="0"/>
                <w:sz w:val="18"/>
                <w:szCs w:val="18"/>
                <w:highlight w:val="none"/>
                <w:lang w:val="en-US" w:eastAsia="zh-CN"/>
              </w:rPr>
              <w:t>/</w:t>
            </w:r>
          </w:p>
        </w:tc>
        <w:tc>
          <w:tcPr>
            <w:tcW w:w="622" w:type="pct"/>
            <w:vAlign w:val="center"/>
          </w:tcPr>
          <w:p w14:paraId="3C93C70A">
            <w:pPr>
              <w:keepNext/>
              <w:keepLines/>
              <w:spacing w:line="400" w:lineRule="exact"/>
              <w:jc w:val="center"/>
              <w:outlineLvl w:val="2"/>
              <w:rPr>
                <w:rFonts w:ascii="宋体" w:hAnsi="宋体" w:eastAsia="宋体" w:cs="宋体"/>
                <w:b w:val="0"/>
                <w:bCs w:val="0"/>
                <w:color w:val="auto"/>
                <w:kern w:val="0"/>
                <w:sz w:val="18"/>
                <w:szCs w:val="18"/>
                <w:highlight w:val="none"/>
              </w:rPr>
            </w:pPr>
          </w:p>
        </w:tc>
        <w:tc>
          <w:tcPr>
            <w:tcW w:w="1281" w:type="pct"/>
            <w:vAlign w:val="center"/>
          </w:tcPr>
          <w:p w14:paraId="76ED5F2C">
            <w:pPr>
              <w:keepNext/>
              <w:keepLines/>
              <w:spacing w:line="400" w:lineRule="exact"/>
              <w:jc w:val="center"/>
              <w:outlineLvl w:val="2"/>
              <w:rPr>
                <w:rFonts w:ascii="宋体" w:hAnsi="宋体" w:eastAsia="宋体" w:cs="宋体"/>
                <w:b w:val="0"/>
                <w:bCs w:val="0"/>
                <w:color w:val="auto"/>
                <w:kern w:val="0"/>
                <w:sz w:val="18"/>
                <w:szCs w:val="18"/>
                <w:highlight w:val="none"/>
              </w:rPr>
            </w:pPr>
          </w:p>
        </w:tc>
        <w:tc>
          <w:tcPr>
            <w:tcW w:w="571" w:type="pct"/>
            <w:vAlign w:val="center"/>
          </w:tcPr>
          <w:p w14:paraId="25300161">
            <w:pPr>
              <w:keepNext/>
              <w:keepLines/>
              <w:spacing w:line="400" w:lineRule="exact"/>
              <w:jc w:val="center"/>
              <w:outlineLvl w:val="2"/>
              <w:rPr>
                <w:rFonts w:ascii="宋体" w:hAnsi="宋体" w:eastAsia="宋体" w:cs="宋体"/>
                <w:b w:val="0"/>
                <w:bCs w:val="0"/>
                <w:color w:val="auto"/>
                <w:kern w:val="0"/>
                <w:sz w:val="18"/>
                <w:szCs w:val="18"/>
                <w:highlight w:val="none"/>
              </w:rPr>
            </w:pPr>
          </w:p>
        </w:tc>
      </w:tr>
    </w:tbl>
    <w:p w14:paraId="6AE8BA93">
      <w:pPr>
        <w:spacing w:line="360" w:lineRule="auto"/>
        <w:rPr>
          <w:rFonts w:ascii="宋体" w:hAnsi="宋体" w:eastAsia="宋体" w:cs="宋体"/>
          <w:color w:val="auto"/>
          <w:szCs w:val="21"/>
          <w:highlight w:val="none"/>
        </w:rPr>
      </w:pPr>
    </w:p>
    <w:p w14:paraId="75654EAA">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2D18C4A9">
      <w:pPr>
        <w:spacing w:line="360" w:lineRule="auto"/>
        <w:ind w:left="605" w:leftChars="18" w:hanging="567" w:hangingChars="270"/>
        <w:rPr>
          <w:rFonts w:ascii="宋体" w:hAnsi="宋体" w:eastAsia="宋体" w:cs="宋体"/>
          <w:b/>
          <w:bCs w:val="0"/>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26882590">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5DC4F23A">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eastAsia="宋体" w:cs="Times New Roman"/>
          <w:b/>
          <w:color w:val="auto"/>
          <w:kern w:val="0"/>
          <w:szCs w:val="21"/>
          <w:highlight w:val="none"/>
          <w:u w:val="single"/>
          <w:lang w:val="en-US" w:eastAsia="zh-CN"/>
        </w:rPr>
        <w:t>服务能力</w:t>
      </w:r>
      <w:r>
        <w:rPr>
          <w:rFonts w:hint="eastAsia" w:ascii="宋体" w:hAnsi="宋体" w:eastAsia="宋体" w:cs="Times New Roman"/>
          <w:b/>
          <w:color w:val="auto"/>
          <w:kern w:val="0"/>
          <w:szCs w:val="21"/>
          <w:highlight w:val="none"/>
          <w:u w:val="single"/>
        </w:rPr>
        <w:t>的技术支持资料作为本表的附件，并在本偏离表“对应证明材料页码”项内注明其在投标文件中的具体页码。</w:t>
      </w:r>
    </w:p>
    <w:p w14:paraId="3BF8AA2E">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w:t>
      </w:r>
      <w:r>
        <w:rPr>
          <w:rFonts w:ascii="宋体" w:hAnsi="宋体" w:eastAsia="宋体" w:cs="Times New Roman"/>
          <w:b/>
          <w:bCs w:val="0"/>
          <w:color w:val="auto"/>
          <w:kern w:val="0"/>
          <w:szCs w:val="21"/>
          <w:highlight w:val="none"/>
          <w:u w:val="single"/>
        </w:rPr>
        <w:t>理</w:t>
      </w:r>
      <w:r>
        <w:rPr>
          <w:rFonts w:ascii="宋体" w:hAnsi="宋体" w:eastAsia="宋体" w:cs="Times New Roman"/>
          <w:b/>
          <w:bCs w:val="0"/>
          <w:color w:val="auto"/>
          <w:kern w:val="0"/>
          <w:sz w:val="24"/>
          <w:szCs w:val="21"/>
          <w:highlight w:val="none"/>
          <w:u w:val="single"/>
          <w:lang w:val="zh-CN"/>
        </w:rPr>
        <w:t>。</w:t>
      </w:r>
    </w:p>
    <w:p w14:paraId="3E56CA8B">
      <w:pPr>
        <w:spacing w:line="360" w:lineRule="auto"/>
        <w:rPr>
          <w:rFonts w:ascii="宋体" w:hAnsi="宋体" w:eastAsia="宋体" w:cs="宋体"/>
          <w:color w:val="auto"/>
          <w:szCs w:val="21"/>
          <w:highlight w:val="none"/>
        </w:rPr>
      </w:pPr>
    </w:p>
    <w:p w14:paraId="1CA8F30D">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1E44F007">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14:paraId="788BA1CE">
      <w:pPr>
        <w:widowControl/>
        <w:jc w:val="left"/>
        <w:rPr>
          <w:rFonts w:ascii="宋体" w:hAnsi="宋体" w:eastAsia="宋体" w:cs="Times New Roman"/>
          <w:color w:val="auto"/>
          <w:kern w:val="0"/>
          <w:szCs w:val="21"/>
          <w:highlight w:val="none"/>
        </w:rPr>
      </w:pPr>
      <w:r>
        <w:rPr>
          <w:rFonts w:hint="eastAsia" w:ascii="宋体" w:hAnsi="宋体" w:eastAsia="宋体" w:cs="宋体"/>
          <w:b/>
          <w:color w:val="auto"/>
          <w:kern w:val="0"/>
          <w:sz w:val="30"/>
          <w:szCs w:val="30"/>
          <w:highlight w:val="none"/>
        </w:rPr>
        <w:br w:type="page"/>
      </w:r>
      <w:bookmarkStart w:id="805" w:name="_Toc94107225"/>
    </w:p>
    <w:bookmarkEnd w:id="805"/>
    <w:p w14:paraId="692877EB">
      <w:pPr>
        <w:pageBreakBefore/>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bookmarkStart w:id="806" w:name="_Toc15357"/>
      <w:bookmarkStart w:id="807" w:name="_Toc7820"/>
      <w:bookmarkStart w:id="808" w:name="_Toc24391"/>
      <w:bookmarkStart w:id="809" w:name="_Toc12462"/>
      <w:bookmarkStart w:id="810" w:name="_Toc15485"/>
      <w:bookmarkStart w:id="811" w:name="_Toc11703"/>
      <w:bookmarkStart w:id="812" w:name="_Toc104991896"/>
      <w:bookmarkStart w:id="813" w:name="_Toc142508389"/>
      <w:bookmarkStart w:id="814" w:name="_Toc102860438"/>
      <w:bookmarkStart w:id="815" w:name="_Toc102860094"/>
      <w:bookmarkStart w:id="816" w:name="_Toc140596949"/>
      <w:bookmarkStart w:id="817" w:name="_Toc533708139"/>
      <w:r>
        <w:rPr>
          <w:rFonts w:hint="eastAsia" w:ascii="宋体" w:hAnsi="宋体" w:eastAsia="宋体" w:cs="宋体"/>
          <w:b/>
          <w:color w:val="auto"/>
          <w:kern w:val="0"/>
          <w:sz w:val="30"/>
          <w:szCs w:val="30"/>
          <w:highlight w:val="none"/>
          <w:lang w:val="en-US" w:eastAsia="zh-CN"/>
        </w:rPr>
        <w:t>1</w:t>
      </w:r>
      <w:r>
        <w:rPr>
          <w:rFonts w:hint="default"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lang w:val="en-US" w:eastAsia="zh-CN"/>
        </w:rPr>
        <w:t xml:space="preserve">.1 </w:t>
      </w:r>
      <w:r>
        <w:rPr>
          <w:rFonts w:hint="eastAsia" w:ascii="宋体" w:hAnsi="宋体" w:eastAsia="宋体" w:cs="宋体"/>
          <w:b/>
          <w:color w:val="auto"/>
          <w:kern w:val="0"/>
          <w:sz w:val="30"/>
          <w:szCs w:val="30"/>
          <w:highlight w:val="none"/>
        </w:rPr>
        <w:t>项目总体研究方案</w:t>
      </w:r>
      <w:bookmarkEnd w:id="806"/>
      <w:bookmarkEnd w:id="807"/>
      <w:bookmarkEnd w:id="808"/>
    </w:p>
    <w:p w14:paraId="2EC657DE">
      <w:pPr>
        <w:tabs>
          <w:tab w:val="left" w:pos="567"/>
        </w:tabs>
        <w:autoSpaceDE w:val="0"/>
        <w:autoSpaceDN w:val="0"/>
        <w:adjustRightInd w:val="0"/>
        <w:spacing w:line="360" w:lineRule="auto"/>
        <w:jc w:val="left"/>
        <w:outlineLvl w:val="9"/>
        <w:rPr>
          <w:rFonts w:ascii="宋体" w:hAnsi="宋体" w:eastAsia="宋体" w:cs="Times New Roman"/>
          <w:b/>
          <w:color w:val="auto"/>
          <w:kern w:val="0"/>
          <w:sz w:val="30"/>
          <w:szCs w:val="30"/>
          <w:highlight w:val="none"/>
        </w:rPr>
      </w:pPr>
      <w:bookmarkStart w:id="818" w:name="_Toc20415"/>
      <w:bookmarkStart w:id="819" w:name="_Toc13363"/>
      <w:bookmarkStart w:id="820" w:name="_Toc434"/>
      <w:r>
        <w:rPr>
          <w:rFonts w:hint="eastAsia" w:ascii="宋体" w:hAnsi="宋体" w:eastAsia="宋体" w:cs="宋体"/>
          <w:color w:val="auto"/>
          <w:sz w:val="21"/>
          <w:szCs w:val="21"/>
          <w:highlight w:val="none"/>
        </w:rPr>
        <w:t>说明：投标人自行提供书面说明和资料。</w:t>
      </w:r>
      <w:bookmarkEnd w:id="818"/>
      <w:bookmarkEnd w:id="819"/>
      <w:bookmarkEnd w:id="820"/>
    </w:p>
    <w:p w14:paraId="6F9B988C">
      <w:pPr>
        <w:tabs>
          <w:tab w:val="left" w:pos="567"/>
        </w:tabs>
        <w:autoSpaceDE w:val="0"/>
        <w:autoSpaceDN w:val="0"/>
        <w:adjustRightInd w:val="0"/>
        <w:spacing w:line="360" w:lineRule="auto"/>
        <w:jc w:val="left"/>
        <w:outlineLvl w:val="9"/>
        <w:rPr>
          <w:rFonts w:ascii="宋体" w:hAnsi="宋体" w:eastAsia="宋体" w:cs="Times New Roman"/>
          <w:b/>
          <w:color w:val="auto"/>
          <w:kern w:val="0"/>
          <w:sz w:val="30"/>
          <w:szCs w:val="30"/>
          <w:highlight w:val="none"/>
        </w:rPr>
      </w:pPr>
    </w:p>
    <w:p w14:paraId="6FDB82C0">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7CA1DB99">
      <w:pPr>
        <w:tabs>
          <w:tab w:val="left" w:pos="567"/>
        </w:tabs>
        <w:autoSpaceDE w:val="0"/>
        <w:autoSpaceDN w:val="0"/>
        <w:adjustRightInd w:val="0"/>
        <w:spacing w:line="360" w:lineRule="auto"/>
        <w:jc w:val="left"/>
        <w:outlineLvl w:val="2"/>
        <w:rPr>
          <w:rFonts w:ascii="宋体" w:hAnsi="宋体" w:eastAsia="宋体" w:cs="Times New Roman"/>
          <w:b/>
          <w:color w:val="auto"/>
          <w:kern w:val="0"/>
          <w:sz w:val="30"/>
          <w:szCs w:val="30"/>
          <w:highlight w:val="none"/>
        </w:rPr>
      </w:pPr>
      <w:r>
        <w:rPr>
          <w:rFonts w:hint="eastAsia" w:ascii="宋体" w:hAnsi="宋体" w:eastAsia="宋体" w:cs="宋体"/>
          <w:b/>
          <w:color w:val="auto"/>
          <w:kern w:val="0"/>
          <w:sz w:val="30"/>
          <w:szCs w:val="30"/>
          <w:highlight w:val="none"/>
          <w:lang w:val="en-US" w:eastAsia="zh-CN"/>
        </w:rPr>
        <w:t>1</w:t>
      </w:r>
      <w:r>
        <w:rPr>
          <w:rFonts w:hint="default"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lang w:val="en-US" w:eastAsia="zh-CN"/>
        </w:rPr>
        <w:t>.</w:t>
      </w:r>
      <w:bookmarkEnd w:id="809"/>
      <w:bookmarkEnd w:id="810"/>
      <w:bookmarkEnd w:id="811"/>
      <w:r>
        <w:rPr>
          <w:rFonts w:hint="eastAsia" w:ascii="宋体" w:hAnsi="宋体" w:eastAsia="宋体" w:cs="宋体"/>
          <w:b/>
          <w:color w:val="auto"/>
          <w:kern w:val="0"/>
          <w:sz w:val="30"/>
          <w:szCs w:val="30"/>
          <w:highlight w:val="none"/>
          <w:lang w:val="en-US" w:eastAsia="zh-CN"/>
        </w:rPr>
        <w:t>2 项目重点、难点分析方案</w:t>
      </w:r>
    </w:p>
    <w:p w14:paraId="1B9EB55C">
      <w:pPr>
        <w:tabs>
          <w:tab w:val="left" w:pos="567"/>
        </w:tabs>
        <w:autoSpaceDE w:val="0"/>
        <w:autoSpaceDN w:val="0"/>
        <w:adjustRightInd w:val="0"/>
        <w:spacing w:line="360" w:lineRule="auto"/>
        <w:jc w:val="left"/>
        <w:outlineLvl w:val="2"/>
        <w:rPr>
          <w:rFonts w:ascii="宋体" w:hAnsi="宋体" w:eastAsia="宋体" w:cs="Times New Roman"/>
          <w:b/>
          <w:color w:val="auto"/>
          <w:kern w:val="0"/>
          <w:sz w:val="30"/>
          <w:szCs w:val="30"/>
          <w:highlight w:val="none"/>
        </w:rPr>
      </w:pPr>
      <w:bookmarkStart w:id="821" w:name="_Toc1184"/>
      <w:bookmarkStart w:id="822" w:name="_Toc2085"/>
      <w:bookmarkStart w:id="823" w:name="_Toc19327"/>
      <w:r>
        <w:rPr>
          <w:rFonts w:hint="eastAsia" w:ascii="宋体" w:hAnsi="宋体" w:eastAsia="宋体" w:cs="宋体"/>
          <w:color w:val="auto"/>
          <w:sz w:val="21"/>
          <w:szCs w:val="21"/>
          <w:highlight w:val="none"/>
        </w:rPr>
        <w:t>说明：投标人自行提供书面说明和资料。</w:t>
      </w:r>
      <w:bookmarkEnd w:id="821"/>
      <w:bookmarkEnd w:id="822"/>
      <w:bookmarkEnd w:id="823"/>
    </w:p>
    <w:p w14:paraId="62CD8083">
      <w:pPr>
        <w:tabs>
          <w:tab w:val="left" w:pos="567"/>
        </w:tabs>
        <w:autoSpaceDE w:val="0"/>
        <w:autoSpaceDN w:val="0"/>
        <w:adjustRightInd w:val="0"/>
        <w:spacing w:line="360" w:lineRule="auto"/>
        <w:jc w:val="left"/>
        <w:outlineLvl w:val="2"/>
        <w:rPr>
          <w:rFonts w:ascii="宋体" w:hAnsi="宋体" w:eastAsia="宋体" w:cs="Times New Roman"/>
          <w:b/>
          <w:color w:val="auto"/>
          <w:kern w:val="0"/>
          <w:sz w:val="30"/>
          <w:szCs w:val="30"/>
          <w:highlight w:val="none"/>
        </w:rPr>
      </w:pPr>
    </w:p>
    <w:p w14:paraId="4AA29E5F">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55767CE8">
      <w:pPr>
        <w:tabs>
          <w:tab w:val="left" w:pos="567"/>
        </w:tabs>
        <w:autoSpaceDE w:val="0"/>
        <w:autoSpaceDN w:val="0"/>
        <w:adjustRightInd w:val="0"/>
        <w:spacing w:line="360" w:lineRule="auto"/>
        <w:jc w:val="left"/>
        <w:outlineLvl w:val="2"/>
        <w:rPr>
          <w:rFonts w:ascii="宋体" w:hAnsi="宋体" w:eastAsia="宋体" w:cs="Times New Roman"/>
          <w:b/>
          <w:color w:val="auto"/>
          <w:kern w:val="0"/>
          <w:sz w:val="30"/>
          <w:szCs w:val="30"/>
          <w:highlight w:val="none"/>
        </w:rPr>
      </w:pPr>
      <w:bookmarkStart w:id="824" w:name="_Toc18180"/>
      <w:bookmarkStart w:id="825" w:name="_Toc3750"/>
      <w:bookmarkStart w:id="826" w:name="_Toc10407"/>
      <w:bookmarkStart w:id="827" w:name="_Toc28883"/>
      <w:bookmarkStart w:id="828" w:name="_Toc30545"/>
      <w:bookmarkStart w:id="829" w:name="_Toc17614"/>
      <w:r>
        <w:rPr>
          <w:rFonts w:hint="eastAsia" w:ascii="宋体" w:hAnsi="宋体" w:eastAsia="宋体" w:cs="宋体"/>
          <w:b/>
          <w:color w:val="auto"/>
          <w:kern w:val="0"/>
          <w:sz w:val="30"/>
          <w:szCs w:val="30"/>
          <w:highlight w:val="none"/>
          <w:lang w:val="en-US" w:eastAsia="zh-CN"/>
        </w:rPr>
        <w:t>1</w:t>
      </w:r>
      <w:r>
        <w:rPr>
          <w:rFonts w:hint="default"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lang w:val="en-US" w:eastAsia="zh-CN"/>
        </w:rPr>
        <w:t>.3 人员配置方案格式</w:t>
      </w:r>
    </w:p>
    <w:p w14:paraId="53807A1C">
      <w:pPr>
        <w:spacing w:before="120" w:after="120" w:line="360" w:lineRule="auto"/>
        <w:ind w:left="0" w:firstLine="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1.</w:t>
      </w:r>
      <w:r>
        <w:rPr>
          <w:rFonts w:hint="eastAsia" w:ascii="宋体" w:hAnsi="宋体" w:eastAsia="宋体" w:cs="宋体"/>
          <w:b/>
          <w:color w:val="auto"/>
          <w:sz w:val="30"/>
          <w:szCs w:val="30"/>
          <w:highlight w:val="none"/>
        </w:rPr>
        <w:t>拟投入本项目主要岗位人员汇总表</w:t>
      </w:r>
    </w:p>
    <w:tbl>
      <w:tblPr>
        <w:tblStyle w:val="39"/>
        <w:tblW w:w="9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1569"/>
        <w:gridCol w:w="2518"/>
        <w:gridCol w:w="1894"/>
        <w:gridCol w:w="1198"/>
        <w:gridCol w:w="947"/>
      </w:tblGrid>
      <w:tr w14:paraId="7D23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vMerge w:val="restart"/>
            <w:noWrap w:val="0"/>
            <w:vAlign w:val="center"/>
          </w:tcPr>
          <w:p w14:paraId="0816D36B">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69" w:type="dxa"/>
            <w:vMerge w:val="restart"/>
            <w:noWrap w:val="0"/>
            <w:vAlign w:val="center"/>
          </w:tcPr>
          <w:p w14:paraId="0E4DD145">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569" w:type="dxa"/>
            <w:vMerge w:val="restart"/>
            <w:noWrap w:val="0"/>
            <w:vAlign w:val="center"/>
          </w:tcPr>
          <w:p w14:paraId="4BFA7C49">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r>
              <w:rPr>
                <w:rFonts w:ascii="宋体" w:hAnsi="宋体" w:eastAsia="宋体" w:cs="宋体"/>
                <w:color w:val="auto"/>
                <w:spacing w:val="-1"/>
                <w:sz w:val="21"/>
                <w:szCs w:val="21"/>
                <w:highlight w:val="none"/>
              </w:rPr>
              <w:t>在本项目</w:t>
            </w:r>
            <w:r>
              <w:rPr>
                <w:rFonts w:ascii="宋体" w:hAnsi="宋体" w:eastAsia="宋体" w:cs="宋体"/>
                <w:color w:val="auto"/>
                <w:sz w:val="21"/>
                <w:szCs w:val="21"/>
                <w:highlight w:val="none"/>
              </w:rPr>
              <w:t>拟</w:t>
            </w:r>
            <w:r>
              <w:rPr>
                <w:rFonts w:ascii="宋体" w:hAnsi="宋体" w:eastAsia="宋体" w:cs="宋体"/>
                <w:color w:val="auto"/>
                <w:spacing w:val="-2"/>
                <w:sz w:val="21"/>
                <w:szCs w:val="21"/>
                <w:highlight w:val="none"/>
              </w:rPr>
              <w:t>任</w:t>
            </w:r>
            <w:r>
              <w:rPr>
                <w:rFonts w:ascii="宋体" w:hAnsi="宋体" w:eastAsia="宋体" w:cs="宋体"/>
                <w:color w:val="auto"/>
                <w:spacing w:val="-1"/>
                <w:sz w:val="21"/>
                <w:szCs w:val="21"/>
                <w:highlight w:val="none"/>
              </w:rPr>
              <w:t>职岗位</w:t>
            </w:r>
          </w:p>
        </w:tc>
        <w:tc>
          <w:tcPr>
            <w:tcW w:w="4412" w:type="dxa"/>
            <w:gridSpan w:val="2"/>
            <w:noWrap w:val="0"/>
            <w:vAlign w:val="center"/>
          </w:tcPr>
          <w:p w14:paraId="3F34F8A4">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职业资格或职称证书</w:t>
            </w:r>
          </w:p>
        </w:tc>
        <w:tc>
          <w:tcPr>
            <w:tcW w:w="1198" w:type="dxa"/>
            <w:vMerge w:val="restart"/>
            <w:noWrap w:val="0"/>
            <w:vAlign w:val="center"/>
          </w:tcPr>
          <w:p w14:paraId="42441D85">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r>
              <w:rPr>
                <w:rFonts w:ascii="宋体" w:hAnsi="宋体" w:eastAsia="宋体" w:cs="宋体"/>
                <w:color w:val="auto"/>
                <w:spacing w:val="8"/>
                <w:sz w:val="21"/>
                <w:szCs w:val="21"/>
                <w:highlight w:val="none"/>
              </w:rPr>
              <w:t>从</w:t>
            </w:r>
            <w:r>
              <w:rPr>
                <w:rFonts w:ascii="宋体" w:hAnsi="宋体" w:eastAsia="宋体" w:cs="宋体"/>
                <w:color w:val="auto"/>
                <w:spacing w:val="5"/>
                <w:sz w:val="21"/>
                <w:szCs w:val="21"/>
                <w:highlight w:val="none"/>
              </w:rPr>
              <w:t>事</w:t>
            </w:r>
            <w:r>
              <w:rPr>
                <w:rFonts w:hint="eastAsia" w:ascii="宋体" w:hAnsi="宋体" w:eastAsia="宋体" w:cs="宋体"/>
                <w:color w:val="auto"/>
                <w:szCs w:val="21"/>
                <w:highlight w:val="none"/>
              </w:rPr>
              <w:t>工作年限</w:t>
            </w:r>
          </w:p>
        </w:tc>
        <w:tc>
          <w:tcPr>
            <w:tcW w:w="947" w:type="dxa"/>
            <w:vMerge w:val="restart"/>
            <w:noWrap w:val="0"/>
            <w:vAlign w:val="center"/>
          </w:tcPr>
          <w:p w14:paraId="3784E6ED">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2408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vMerge w:val="continue"/>
            <w:noWrap w:val="0"/>
            <w:vAlign w:val="center"/>
          </w:tcPr>
          <w:p w14:paraId="4F752B9F">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highlight w:val="none"/>
              </w:rPr>
            </w:pPr>
          </w:p>
        </w:tc>
        <w:tc>
          <w:tcPr>
            <w:tcW w:w="1169" w:type="dxa"/>
            <w:vMerge w:val="continue"/>
            <w:noWrap w:val="0"/>
            <w:vAlign w:val="center"/>
          </w:tcPr>
          <w:p w14:paraId="4A2571D9">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highlight w:val="none"/>
              </w:rPr>
            </w:pPr>
          </w:p>
        </w:tc>
        <w:tc>
          <w:tcPr>
            <w:tcW w:w="1569" w:type="dxa"/>
            <w:vMerge w:val="continue"/>
            <w:noWrap w:val="0"/>
            <w:vAlign w:val="center"/>
          </w:tcPr>
          <w:p w14:paraId="4220E21E">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highlight w:val="none"/>
              </w:rPr>
            </w:pPr>
          </w:p>
        </w:tc>
        <w:tc>
          <w:tcPr>
            <w:tcW w:w="2518" w:type="dxa"/>
            <w:noWrap w:val="0"/>
            <w:vAlign w:val="center"/>
          </w:tcPr>
          <w:p w14:paraId="3286BB22">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证书名称及专业</w:t>
            </w:r>
          </w:p>
        </w:tc>
        <w:tc>
          <w:tcPr>
            <w:tcW w:w="1894" w:type="dxa"/>
            <w:noWrap w:val="0"/>
            <w:vAlign w:val="center"/>
          </w:tcPr>
          <w:p w14:paraId="468B6133">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证书编号</w:t>
            </w:r>
          </w:p>
        </w:tc>
        <w:tc>
          <w:tcPr>
            <w:tcW w:w="1198" w:type="dxa"/>
            <w:vMerge w:val="continue"/>
            <w:noWrap w:val="0"/>
            <w:vAlign w:val="center"/>
          </w:tcPr>
          <w:p w14:paraId="2D6EA18E">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Cs w:val="21"/>
                <w:highlight w:val="none"/>
              </w:rPr>
            </w:pPr>
          </w:p>
        </w:tc>
        <w:tc>
          <w:tcPr>
            <w:tcW w:w="947" w:type="dxa"/>
            <w:vMerge w:val="continue"/>
            <w:noWrap w:val="0"/>
            <w:vAlign w:val="center"/>
          </w:tcPr>
          <w:p w14:paraId="123D4BAA">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Cs w:val="21"/>
                <w:highlight w:val="none"/>
              </w:rPr>
            </w:pPr>
          </w:p>
        </w:tc>
      </w:tr>
      <w:tr w14:paraId="186F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48" w:type="dxa"/>
            <w:noWrap w:val="0"/>
            <w:vAlign w:val="center"/>
          </w:tcPr>
          <w:p w14:paraId="1E6124CD">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69" w:type="dxa"/>
            <w:noWrap w:val="0"/>
            <w:vAlign w:val="center"/>
          </w:tcPr>
          <w:p w14:paraId="67901E0E">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c>
          <w:tcPr>
            <w:tcW w:w="1569" w:type="dxa"/>
            <w:noWrap w:val="0"/>
            <w:vAlign w:val="center"/>
          </w:tcPr>
          <w:p w14:paraId="53B0B06E">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c>
          <w:tcPr>
            <w:tcW w:w="2518" w:type="dxa"/>
            <w:noWrap w:val="0"/>
            <w:vAlign w:val="center"/>
          </w:tcPr>
          <w:p w14:paraId="58546577">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c>
          <w:tcPr>
            <w:tcW w:w="1894" w:type="dxa"/>
            <w:noWrap w:val="0"/>
            <w:vAlign w:val="center"/>
          </w:tcPr>
          <w:p w14:paraId="6C5F4BAF">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c>
          <w:tcPr>
            <w:tcW w:w="1198" w:type="dxa"/>
            <w:noWrap w:val="0"/>
            <w:vAlign w:val="center"/>
          </w:tcPr>
          <w:p w14:paraId="3EC244CA">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c>
          <w:tcPr>
            <w:tcW w:w="947" w:type="dxa"/>
            <w:noWrap w:val="0"/>
            <w:vAlign w:val="center"/>
          </w:tcPr>
          <w:p w14:paraId="1AF7E1E3">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r>
      <w:tr w14:paraId="76F0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48" w:type="dxa"/>
            <w:noWrap w:val="0"/>
            <w:vAlign w:val="center"/>
          </w:tcPr>
          <w:p w14:paraId="14DEE3D6">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69" w:type="dxa"/>
            <w:noWrap w:val="0"/>
            <w:vAlign w:val="center"/>
          </w:tcPr>
          <w:p w14:paraId="6E6B0842">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c>
          <w:tcPr>
            <w:tcW w:w="1569" w:type="dxa"/>
            <w:noWrap w:val="0"/>
            <w:vAlign w:val="center"/>
          </w:tcPr>
          <w:p w14:paraId="68BAF5D6">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c>
          <w:tcPr>
            <w:tcW w:w="2518" w:type="dxa"/>
            <w:noWrap w:val="0"/>
            <w:vAlign w:val="center"/>
          </w:tcPr>
          <w:p w14:paraId="58702C4F">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c>
          <w:tcPr>
            <w:tcW w:w="1894" w:type="dxa"/>
            <w:noWrap w:val="0"/>
            <w:vAlign w:val="center"/>
          </w:tcPr>
          <w:p w14:paraId="159077D1">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c>
          <w:tcPr>
            <w:tcW w:w="1198" w:type="dxa"/>
            <w:noWrap w:val="0"/>
            <w:vAlign w:val="center"/>
          </w:tcPr>
          <w:p w14:paraId="74231FB7">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c>
          <w:tcPr>
            <w:tcW w:w="947" w:type="dxa"/>
            <w:noWrap w:val="0"/>
            <w:vAlign w:val="center"/>
          </w:tcPr>
          <w:p w14:paraId="41135BFC">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r>
      <w:tr w14:paraId="5F03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noWrap w:val="0"/>
            <w:vAlign w:val="center"/>
          </w:tcPr>
          <w:p w14:paraId="19EE4330">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69" w:type="dxa"/>
            <w:noWrap w:val="0"/>
            <w:vAlign w:val="center"/>
          </w:tcPr>
          <w:p w14:paraId="3683F34F">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c>
          <w:tcPr>
            <w:tcW w:w="1569" w:type="dxa"/>
            <w:noWrap w:val="0"/>
            <w:vAlign w:val="center"/>
          </w:tcPr>
          <w:p w14:paraId="290E7311">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c>
          <w:tcPr>
            <w:tcW w:w="2518" w:type="dxa"/>
            <w:noWrap w:val="0"/>
            <w:vAlign w:val="center"/>
          </w:tcPr>
          <w:p w14:paraId="4B3A45DE">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c>
          <w:tcPr>
            <w:tcW w:w="1894" w:type="dxa"/>
            <w:noWrap w:val="0"/>
            <w:vAlign w:val="center"/>
          </w:tcPr>
          <w:p w14:paraId="1B31C5DA">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c>
          <w:tcPr>
            <w:tcW w:w="1198" w:type="dxa"/>
            <w:noWrap w:val="0"/>
            <w:vAlign w:val="center"/>
          </w:tcPr>
          <w:p w14:paraId="1D12A74E">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c>
          <w:tcPr>
            <w:tcW w:w="947" w:type="dxa"/>
            <w:noWrap w:val="0"/>
            <w:vAlign w:val="center"/>
          </w:tcPr>
          <w:p w14:paraId="6D6396D6">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r>
      <w:tr w14:paraId="21AF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noWrap w:val="0"/>
            <w:vAlign w:val="center"/>
          </w:tcPr>
          <w:p w14:paraId="748F680B">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169" w:type="dxa"/>
            <w:noWrap w:val="0"/>
            <w:vAlign w:val="center"/>
          </w:tcPr>
          <w:p w14:paraId="21C91DBB">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c>
          <w:tcPr>
            <w:tcW w:w="1569" w:type="dxa"/>
            <w:noWrap w:val="0"/>
            <w:vAlign w:val="center"/>
          </w:tcPr>
          <w:p w14:paraId="28562162">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c>
          <w:tcPr>
            <w:tcW w:w="2518" w:type="dxa"/>
            <w:noWrap w:val="0"/>
            <w:vAlign w:val="center"/>
          </w:tcPr>
          <w:p w14:paraId="739B6DAC">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c>
          <w:tcPr>
            <w:tcW w:w="1894" w:type="dxa"/>
            <w:noWrap w:val="0"/>
            <w:vAlign w:val="center"/>
          </w:tcPr>
          <w:p w14:paraId="38AD7B31">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c>
          <w:tcPr>
            <w:tcW w:w="1198" w:type="dxa"/>
            <w:noWrap w:val="0"/>
            <w:vAlign w:val="center"/>
          </w:tcPr>
          <w:p w14:paraId="0938279C">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c>
          <w:tcPr>
            <w:tcW w:w="947" w:type="dxa"/>
            <w:noWrap w:val="0"/>
            <w:vAlign w:val="center"/>
          </w:tcPr>
          <w:p w14:paraId="159922DE">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r>
      <w:tr w14:paraId="3E1A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noWrap w:val="0"/>
            <w:vAlign w:val="center"/>
          </w:tcPr>
          <w:p w14:paraId="0C33D522">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69" w:type="dxa"/>
            <w:noWrap w:val="0"/>
            <w:vAlign w:val="center"/>
          </w:tcPr>
          <w:p w14:paraId="7C3C867F">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c>
          <w:tcPr>
            <w:tcW w:w="1569" w:type="dxa"/>
            <w:noWrap w:val="0"/>
            <w:vAlign w:val="center"/>
          </w:tcPr>
          <w:p w14:paraId="060A7EE8">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c>
          <w:tcPr>
            <w:tcW w:w="2518" w:type="dxa"/>
            <w:noWrap w:val="0"/>
            <w:vAlign w:val="center"/>
          </w:tcPr>
          <w:p w14:paraId="3B6F2356">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c>
          <w:tcPr>
            <w:tcW w:w="1894" w:type="dxa"/>
            <w:noWrap w:val="0"/>
            <w:vAlign w:val="center"/>
          </w:tcPr>
          <w:p w14:paraId="673B5E2D">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c>
          <w:tcPr>
            <w:tcW w:w="1198" w:type="dxa"/>
            <w:noWrap w:val="0"/>
            <w:vAlign w:val="center"/>
          </w:tcPr>
          <w:p w14:paraId="180FFAE5">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c>
          <w:tcPr>
            <w:tcW w:w="947" w:type="dxa"/>
            <w:noWrap w:val="0"/>
            <w:vAlign w:val="center"/>
          </w:tcPr>
          <w:p w14:paraId="5AFBB28A">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r>
      <w:tr w14:paraId="52D1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48" w:type="dxa"/>
            <w:noWrap w:val="0"/>
            <w:vAlign w:val="center"/>
          </w:tcPr>
          <w:p w14:paraId="4D7DD106">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p>
        </w:tc>
        <w:tc>
          <w:tcPr>
            <w:tcW w:w="1169" w:type="dxa"/>
            <w:noWrap w:val="0"/>
            <w:vAlign w:val="center"/>
          </w:tcPr>
          <w:p w14:paraId="0931665F">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c>
          <w:tcPr>
            <w:tcW w:w="1569" w:type="dxa"/>
            <w:noWrap w:val="0"/>
            <w:vAlign w:val="center"/>
          </w:tcPr>
          <w:p w14:paraId="46478000">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c>
          <w:tcPr>
            <w:tcW w:w="2518" w:type="dxa"/>
            <w:noWrap w:val="0"/>
            <w:vAlign w:val="center"/>
          </w:tcPr>
          <w:p w14:paraId="2C2FAC00">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c>
          <w:tcPr>
            <w:tcW w:w="1894" w:type="dxa"/>
            <w:noWrap w:val="0"/>
            <w:vAlign w:val="center"/>
          </w:tcPr>
          <w:p w14:paraId="6AE3EE7E">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c>
          <w:tcPr>
            <w:tcW w:w="1198" w:type="dxa"/>
            <w:noWrap w:val="0"/>
            <w:vAlign w:val="center"/>
          </w:tcPr>
          <w:p w14:paraId="2ABB8B0F">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c>
          <w:tcPr>
            <w:tcW w:w="947" w:type="dxa"/>
            <w:noWrap w:val="0"/>
            <w:vAlign w:val="center"/>
          </w:tcPr>
          <w:p w14:paraId="472CC519">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rPr>
                <w:rFonts w:hint="eastAsia" w:ascii="宋体" w:hAnsi="宋体" w:eastAsia="宋体" w:cs="宋体"/>
                <w:color w:val="auto"/>
                <w:sz w:val="21"/>
                <w:szCs w:val="21"/>
                <w:highlight w:val="none"/>
              </w:rPr>
            </w:pPr>
          </w:p>
        </w:tc>
      </w:tr>
    </w:tbl>
    <w:p w14:paraId="41083E5D">
      <w:pPr>
        <w:autoSpaceDE/>
        <w:autoSpaceDN/>
        <w:adjustRightInd/>
        <w:spacing w:line="360" w:lineRule="auto"/>
        <w:ind w:right="420" w:firstLine="4935" w:firstLineChars="2350"/>
        <w:rPr>
          <w:rFonts w:hint="eastAsia" w:hAnsi="宋体"/>
          <w:color w:val="auto"/>
          <w:kern w:val="2"/>
          <w:sz w:val="21"/>
          <w:szCs w:val="21"/>
          <w:highlight w:val="none"/>
          <w:lang w:val="zh-CN"/>
        </w:rPr>
      </w:pPr>
    </w:p>
    <w:p w14:paraId="5B12ADAB">
      <w:pPr>
        <w:autoSpaceDE/>
        <w:autoSpaceDN/>
        <w:adjustRightInd/>
        <w:spacing w:line="360" w:lineRule="auto"/>
        <w:ind w:right="420" w:firstLine="4935" w:firstLineChars="235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投标人：</w:t>
      </w:r>
      <w:r>
        <w:rPr>
          <w:rFonts w:hint="eastAsia" w:ascii="宋体" w:hAnsi="宋体" w:eastAsia="宋体" w:cs="宋体"/>
          <w:color w:val="auto"/>
          <w:sz w:val="21"/>
          <w:szCs w:val="21"/>
          <w:highlight w:val="none"/>
          <w:lang w:val="zh-CN"/>
        </w:rPr>
        <w:t>（加盖投标人法人公章）</w:t>
      </w:r>
    </w:p>
    <w:p w14:paraId="3618C3FD">
      <w:pPr>
        <w:spacing w:line="360" w:lineRule="auto"/>
        <w:ind w:firstLine="4935" w:firstLineChars="2350"/>
        <w:jc w:val="both"/>
        <w:rPr>
          <w:rFonts w:hint="eastAsia" w:ascii="宋体" w:hAnsi="宋体" w:eastAsia="宋体" w:cs="宋体"/>
          <w:color w:val="auto"/>
          <w:kern w:val="2"/>
          <w:sz w:val="21"/>
          <w:highlight w:val="none"/>
          <w:lang w:val="zh-CN"/>
        </w:rPr>
      </w:pPr>
      <w:r>
        <w:rPr>
          <w:rFonts w:hint="eastAsia" w:ascii="宋体" w:hAnsi="宋体" w:eastAsia="宋体" w:cs="宋体"/>
          <w:color w:val="auto"/>
          <w:sz w:val="21"/>
          <w:szCs w:val="21"/>
          <w:highlight w:val="none"/>
        </w:rPr>
        <w:t xml:space="preserve">日  期：  </w:t>
      </w:r>
      <w:r>
        <w:rPr>
          <w:rFonts w:hint="eastAsia" w:ascii="宋体" w:hAnsi="宋体" w:eastAsia="宋体" w:cs="宋体"/>
          <w:color w:val="auto"/>
          <w:kern w:val="2"/>
          <w:sz w:val="21"/>
          <w:highlight w:val="none"/>
          <w:lang w:val="zh-CN"/>
        </w:rPr>
        <w:t>年  月  日</w:t>
      </w:r>
    </w:p>
    <w:p w14:paraId="6E9280B4">
      <w:pPr>
        <w:tabs>
          <w:tab w:val="left" w:pos="567"/>
        </w:tabs>
        <w:autoSpaceDE w:val="0"/>
        <w:autoSpaceDN w:val="0"/>
        <w:adjustRightInd w:val="0"/>
        <w:spacing w:line="360" w:lineRule="auto"/>
        <w:jc w:val="left"/>
        <w:outlineLvl w:val="9"/>
        <w:rPr>
          <w:rFonts w:ascii="宋体" w:hAnsi="宋体" w:eastAsia="宋体" w:cs="Times New Roman"/>
          <w:b/>
          <w:color w:val="auto"/>
          <w:kern w:val="0"/>
          <w:sz w:val="30"/>
          <w:szCs w:val="30"/>
          <w:highlight w:val="none"/>
        </w:rPr>
      </w:pPr>
    </w:p>
    <w:p w14:paraId="12CC04DD">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6DE80B0B">
      <w:pPr>
        <w:spacing w:line="360" w:lineRule="auto"/>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.拟投入本项目主要岗位人员简历表</w:t>
      </w:r>
    </w:p>
    <w:tbl>
      <w:tblPr>
        <w:tblStyle w:val="206"/>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66"/>
        <w:gridCol w:w="2101"/>
        <w:gridCol w:w="1449"/>
        <w:gridCol w:w="1782"/>
        <w:gridCol w:w="1499"/>
        <w:gridCol w:w="900"/>
        <w:gridCol w:w="961"/>
      </w:tblGrid>
      <w:tr w14:paraId="0D920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22" w:type="pct"/>
            <w:vAlign w:val="center"/>
          </w:tcPr>
          <w:p w14:paraId="4D7F684D">
            <w:pPr>
              <w:spacing w:before="172" w:line="253" w:lineRule="auto"/>
              <w:ind w:left="0" w:right="196" w:firstLine="0"/>
              <w:jc w:val="center"/>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在本项目</w:t>
            </w:r>
            <w:r>
              <w:rPr>
                <w:rFonts w:ascii="宋体" w:hAnsi="宋体" w:eastAsia="宋体" w:cs="宋体"/>
                <w:color w:val="auto"/>
                <w:sz w:val="21"/>
                <w:szCs w:val="21"/>
                <w:highlight w:val="none"/>
              </w:rPr>
              <w:t>拟</w:t>
            </w:r>
            <w:r>
              <w:rPr>
                <w:rFonts w:ascii="宋体" w:hAnsi="宋体" w:eastAsia="宋体" w:cs="宋体"/>
                <w:color w:val="auto"/>
                <w:spacing w:val="-2"/>
                <w:sz w:val="21"/>
                <w:szCs w:val="21"/>
                <w:highlight w:val="none"/>
              </w:rPr>
              <w:t>任</w:t>
            </w:r>
            <w:r>
              <w:rPr>
                <w:rFonts w:ascii="宋体" w:hAnsi="宋体" w:eastAsia="宋体" w:cs="宋体"/>
                <w:color w:val="auto"/>
                <w:spacing w:val="-1"/>
                <w:sz w:val="21"/>
                <w:szCs w:val="21"/>
                <w:highlight w:val="none"/>
              </w:rPr>
              <w:t>职岗位</w:t>
            </w:r>
          </w:p>
        </w:tc>
        <w:tc>
          <w:tcPr>
            <w:tcW w:w="1746" w:type="pct"/>
            <w:gridSpan w:val="2"/>
            <w:vAlign w:val="center"/>
          </w:tcPr>
          <w:p w14:paraId="4E7DD815">
            <w:pPr>
              <w:jc w:val="center"/>
              <w:rPr>
                <w:rFonts w:ascii="Arial"/>
                <w:color w:val="auto"/>
                <w:sz w:val="21"/>
                <w:highlight w:val="none"/>
              </w:rPr>
            </w:pPr>
          </w:p>
        </w:tc>
        <w:tc>
          <w:tcPr>
            <w:tcW w:w="1615" w:type="pct"/>
            <w:gridSpan w:val="2"/>
            <w:vAlign w:val="center"/>
          </w:tcPr>
          <w:p w14:paraId="2B6756EC">
            <w:pPr>
              <w:spacing w:before="33" w:line="232" w:lineRule="auto"/>
              <w:ind w:left="112" w:right="100" w:firstLine="3"/>
              <w:jc w:val="center"/>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从</w:t>
            </w:r>
            <w:r>
              <w:rPr>
                <w:rFonts w:ascii="宋体" w:hAnsi="宋体" w:eastAsia="宋体" w:cs="宋体"/>
                <w:color w:val="auto"/>
                <w:spacing w:val="5"/>
                <w:sz w:val="21"/>
                <w:szCs w:val="21"/>
                <w:highlight w:val="none"/>
              </w:rPr>
              <w:t>事</w:t>
            </w:r>
            <w:r>
              <w:rPr>
                <w:rFonts w:ascii="宋体" w:hAnsi="宋体" w:eastAsia="宋体" w:cs="宋体"/>
                <w:color w:val="auto"/>
                <w:spacing w:val="-1"/>
                <w:sz w:val="21"/>
                <w:szCs w:val="21"/>
                <w:highlight w:val="none"/>
              </w:rPr>
              <w:t>工作年限</w:t>
            </w:r>
          </w:p>
        </w:tc>
        <w:tc>
          <w:tcPr>
            <w:tcW w:w="915" w:type="pct"/>
            <w:gridSpan w:val="2"/>
            <w:vAlign w:val="center"/>
          </w:tcPr>
          <w:p w14:paraId="05015097">
            <w:pPr>
              <w:jc w:val="center"/>
              <w:rPr>
                <w:rFonts w:ascii="Arial"/>
                <w:color w:val="auto"/>
                <w:sz w:val="21"/>
                <w:highlight w:val="none"/>
              </w:rPr>
            </w:pPr>
          </w:p>
        </w:tc>
      </w:tr>
      <w:tr w14:paraId="4633D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22" w:type="pct"/>
            <w:vAlign w:val="center"/>
          </w:tcPr>
          <w:p w14:paraId="7D0727AB">
            <w:pPr>
              <w:spacing w:before="178" w:line="221" w:lineRule="auto"/>
              <w:ind w:left="0"/>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姓</w:t>
            </w:r>
            <w:r>
              <w:rPr>
                <w:rFonts w:ascii="宋体" w:hAnsi="宋体" w:eastAsia="宋体" w:cs="宋体"/>
                <w:color w:val="auto"/>
                <w:spacing w:val="-1"/>
                <w:sz w:val="21"/>
                <w:szCs w:val="21"/>
                <w:highlight w:val="none"/>
              </w:rPr>
              <w:t>名</w:t>
            </w:r>
          </w:p>
        </w:tc>
        <w:tc>
          <w:tcPr>
            <w:tcW w:w="1033" w:type="pct"/>
            <w:vAlign w:val="center"/>
          </w:tcPr>
          <w:p w14:paraId="50004FAA">
            <w:pPr>
              <w:jc w:val="center"/>
              <w:rPr>
                <w:rFonts w:ascii="Arial"/>
                <w:color w:val="auto"/>
                <w:sz w:val="21"/>
                <w:highlight w:val="none"/>
              </w:rPr>
            </w:pPr>
          </w:p>
        </w:tc>
        <w:tc>
          <w:tcPr>
            <w:tcW w:w="713" w:type="pct"/>
            <w:vAlign w:val="center"/>
          </w:tcPr>
          <w:p w14:paraId="6EBFAFBB">
            <w:pPr>
              <w:spacing w:before="179" w:line="221" w:lineRule="auto"/>
              <w:ind w:left="0"/>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性</w:t>
            </w:r>
            <w:r>
              <w:rPr>
                <w:rFonts w:ascii="宋体" w:hAnsi="宋体" w:eastAsia="宋体" w:cs="宋体"/>
                <w:color w:val="auto"/>
                <w:spacing w:val="-2"/>
                <w:sz w:val="21"/>
                <w:szCs w:val="21"/>
                <w:highlight w:val="none"/>
              </w:rPr>
              <w:t>别</w:t>
            </w:r>
          </w:p>
        </w:tc>
        <w:tc>
          <w:tcPr>
            <w:tcW w:w="877" w:type="pct"/>
            <w:vAlign w:val="center"/>
          </w:tcPr>
          <w:p w14:paraId="5971F38E">
            <w:pPr>
              <w:jc w:val="center"/>
              <w:rPr>
                <w:rFonts w:ascii="Arial"/>
                <w:color w:val="auto"/>
                <w:sz w:val="21"/>
                <w:highlight w:val="none"/>
              </w:rPr>
            </w:pPr>
          </w:p>
        </w:tc>
        <w:tc>
          <w:tcPr>
            <w:tcW w:w="738" w:type="pct"/>
            <w:vAlign w:val="center"/>
          </w:tcPr>
          <w:p w14:paraId="2C203A8B">
            <w:pPr>
              <w:spacing w:before="179" w:line="221" w:lineRule="auto"/>
              <w:ind w:left="0"/>
              <w:jc w:val="center"/>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出</w:t>
            </w:r>
            <w:r>
              <w:rPr>
                <w:rFonts w:ascii="宋体" w:hAnsi="宋体" w:eastAsia="宋体" w:cs="宋体"/>
                <w:color w:val="auto"/>
                <w:spacing w:val="-5"/>
                <w:sz w:val="21"/>
                <w:szCs w:val="21"/>
                <w:highlight w:val="none"/>
              </w:rPr>
              <w:t>生日期</w:t>
            </w:r>
          </w:p>
        </w:tc>
        <w:tc>
          <w:tcPr>
            <w:tcW w:w="915" w:type="pct"/>
            <w:gridSpan w:val="2"/>
            <w:vAlign w:val="center"/>
          </w:tcPr>
          <w:p w14:paraId="21769371">
            <w:pPr>
              <w:spacing w:before="178" w:line="221" w:lineRule="auto"/>
              <w:ind w:left="0" w:firstLine="448" w:firstLineChars="200"/>
              <w:jc w:val="center"/>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年</w:t>
            </w:r>
            <w:r>
              <w:rPr>
                <w:rFonts w:ascii="宋体" w:hAnsi="宋体" w:eastAsia="宋体" w:cs="宋体"/>
                <w:color w:val="auto"/>
                <w:spacing w:val="5"/>
                <w:sz w:val="21"/>
                <w:szCs w:val="21"/>
                <w:highlight w:val="none"/>
              </w:rPr>
              <w:t xml:space="preserve">  月  日</w:t>
            </w:r>
          </w:p>
        </w:tc>
      </w:tr>
      <w:tr w14:paraId="4A65C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722" w:type="pct"/>
            <w:vAlign w:val="center"/>
          </w:tcPr>
          <w:p w14:paraId="74AB5D04">
            <w:pPr>
              <w:spacing w:before="88" w:line="254" w:lineRule="auto"/>
              <w:ind w:left="0" w:right="196" w:firstLine="0"/>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毕业院校</w:t>
            </w:r>
            <w:r>
              <w:rPr>
                <w:rFonts w:ascii="宋体" w:hAnsi="宋体" w:eastAsia="宋体" w:cs="宋体"/>
                <w:color w:val="auto"/>
                <w:spacing w:val="-1"/>
                <w:sz w:val="21"/>
                <w:szCs w:val="21"/>
                <w:highlight w:val="none"/>
              </w:rPr>
              <w:t>及</w:t>
            </w:r>
            <w:r>
              <w:rPr>
                <w:rFonts w:ascii="宋体" w:hAnsi="宋体" w:eastAsia="宋体" w:cs="宋体"/>
                <w:color w:val="auto"/>
                <w:spacing w:val="-2"/>
                <w:sz w:val="21"/>
                <w:szCs w:val="21"/>
                <w:highlight w:val="none"/>
              </w:rPr>
              <w:t>专业</w:t>
            </w:r>
          </w:p>
        </w:tc>
        <w:tc>
          <w:tcPr>
            <w:tcW w:w="1746" w:type="pct"/>
            <w:gridSpan w:val="2"/>
            <w:vAlign w:val="center"/>
          </w:tcPr>
          <w:p w14:paraId="3D4BB1A3">
            <w:pPr>
              <w:jc w:val="center"/>
              <w:rPr>
                <w:rFonts w:ascii="Arial"/>
                <w:color w:val="auto"/>
                <w:sz w:val="21"/>
                <w:highlight w:val="none"/>
              </w:rPr>
            </w:pPr>
          </w:p>
        </w:tc>
        <w:tc>
          <w:tcPr>
            <w:tcW w:w="877" w:type="pct"/>
            <w:vAlign w:val="center"/>
          </w:tcPr>
          <w:p w14:paraId="41F02B22">
            <w:pPr>
              <w:spacing w:before="224" w:line="221" w:lineRule="auto"/>
              <w:ind w:left="0"/>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毕</w:t>
            </w:r>
            <w:r>
              <w:rPr>
                <w:rFonts w:ascii="宋体" w:hAnsi="宋体" w:eastAsia="宋体" w:cs="宋体"/>
                <w:color w:val="auto"/>
                <w:spacing w:val="-2"/>
                <w:sz w:val="21"/>
                <w:szCs w:val="21"/>
                <w:highlight w:val="none"/>
              </w:rPr>
              <w:t>业时间</w:t>
            </w:r>
          </w:p>
        </w:tc>
        <w:tc>
          <w:tcPr>
            <w:tcW w:w="738" w:type="pct"/>
            <w:vAlign w:val="center"/>
          </w:tcPr>
          <w:p w14:paraId="54B65980">
            <w:pPr>
              <w:jc w:val="center"/>
              <w:rPr>
                <w:rFonts w:ascii="Arial"/>
                <w:color w:val="auto"/>
                <w:sz w:val="21"/>
                <w:highlight w:val="none"/>
              </w:rPr>
            </w:pPr>
          </w:p>
        </w:tc>
        <w:tc>
          <w:tcPr>
            <w:tcW w:w="443" w:type="pct"/>
            <w:vAlign w:val="center"/>
          </w:tcPr>
          <w:p w14:paraId="0C3CB0A1">
            <w:pPr>
              <w:spacing w:before="225" w:line="222" w:lineRule="auto"/>
              <w:ind w:left="245"/>
              <w:jc w:val="both"/>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学</w:t>
            </w:r>
            <w:r>
              <w:rPr>
                <w:rFonts w:ascii="宋体" w:hAnsi="宋体" w:eastAsia="宋体" w:cs="宋体"/>
                <w:color w:val="auto"/>
                <w:spacing w:val="-2"/>
                <w:sz w:val="21"/>
                <w:szCs w:val="21"/>
                <w:highlight w:val="none"/>
              </w:rPr>
              <w:t>历</w:t>
            </w:r>
          </w:p>
        </w:tc>
        <w:tc>
          <w:tcPr>
            <w:tcW w:w="471" w:type="pct"/>
            <w:vAlign w:val="center"/>
          </w:tcPr>
          <w:p w14:paraId="5EEA0D22">
            <w:pPr>
              <w:jc w:val="center"/>
              <w:rPr>
                <w:rFonts w:ascii="Arial"/>
                <w:color w:val="auto"/>
                <w:sz w:val="21"/>
                <w:highlight w:val="none"/>
              </w:rPr>
            </w:pPr>
          </w:p>
        </w:tc>
      </w:tr>
      <w:tr w14:paraId="6A095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22" w:type="pct"/>
            <w:vAlign w:val="center"/>
          </w:tcPr>
          <w:p w14:paraId="565B780A">
            <w:pPr>
              <w:spacing w:before="177" w:line="221" w:lineRule="auto"/>
              <w:ind w:left="0"/>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执</w:t>
            </w:r>
            <w:r>
              <w:rPr>
                <w:rFonts w:ascii="宋体" w:hAnsi="宋体" w:eastAsia="宋体" w:cs="宋体"/>
                <w:color w:val="auto"/>
                <w:spacing w:val="-1"/>
                <w:sz w:val="21"/>
                <w:szCs w:val="21"/>
                <w:highlight w:val="none"/>
              </w:rPr>
              <w:t>业注册</w:t>
            </w:r>
          </w:p>
        </w:tc>
        <w:tc>
          <w:tcPr>
            <w:tcW w:w="1033" w:type="pct"/>
            <w:vAlign w:val="center"/>
          </w:tcPr>
          <w:p w14:paraId="2ABCE135">
            <w:pPr>
              <w:jc w:val="center"/>
              <w:rPr>
                <w:rFonts w:ascii="Arial"/>
                <w:color w:val="auto"/>
                <w:sz w:val="21"/>
                <w:highlight w:val="none"/>
              </w:rPr>
            </w:pPr>
          </w:p>
        </w:tc>
        <w:tc>
          <w:tcPr>
            <w:tcW w:w="713" w:type="pct"/>
            <w:vAlign w:val="center"/>
          </w:tcPr>
          <w:p w14:paraId="66D80DA3">
            <w:pPr>
              <w:spacing w:before="177" w:line="223" w:lineRule="auto"/>
              <w:ind w:left="0"/>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职称</w:t>
            </w:r>
          </w:p>
        </w:tc>
        <w:tc>
          <w:tcPr>
            <w:tcW w:w="877" w:type="pct"/>
            <w:vAlign w:val="center"/>
          </w:tcPr>
          <w:p w14:paraId="7243B103">
            <w:pPr>
              <w:jc w:val="center"/>
              <w:rPr>
                <w:rFonts w:ascii="Arial"/>
                <w:color w:val="auto"/>
                <w:sz w:val="21"/>
                <w:highlight w:val="none"/>
              </w:rPr>
            </w:pPr>
          </w:p>
        </w:tc>
        <w:tc>
          <w:tcPr>
            <w:tcW w:w="738" w:type="pct"/>
            <w:vAlign w:val="center"/>
          </w:tcPr>
          <w:p w14:paraId="7D4FCD06">
            <w:pPr>
              <w:spacing w:before="44" w:line="229" w:lineRule="auto"/>
              <w:ind w:left="0" w:right="106" w:firstLine="0"/>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为投标</w:t>
            </w:r>
            <w:r>
              <w:rPr>
                <w:rFonts w:ascii="宋体" w:hAnsi="宋体" w:eastAsia="宋体" w:cs="宋体"/>
                <w:color w:val="auto"/>
                <w:spacing w:val="-1"/>
                <w:sz w:val="21"/>
                <w:szCs w:val="21"/>
                <w:highlight w:val="none"/>
              </w:rPr>
              <w:t>人服务</w:t>
            </w:r>
            <w:r>
              <w:rPr>
                <w:rFonts w:ascii="宋体" w:hAnsi="宋体" w:eastAsia="宋体" w:cs="宋体"/>
                <w:color w:val="auto"/>
                <w:spacing w:val="-2"/>
                <w:sz w:val="21"/>
                <w:szCs w:val="21"/>
                <w:highlight w:val="none"/>
              </w:rPr>
              <w:t>年限</w:t>
            </w:r>
          </w:p>
        </w:tc>
        <w:tc>
          <w:tcPr>
            <w:tcW w:w="915" w:type="pct"/>
            <w:gridSpan w:val="2"/>
            <w:vAlign w:val="center"/>
          </w:tcPr>
          <w:p w14:paraId="2BF238A7">
            <w:pPr>
              <w:jc w:val="center"/>
              <w:rPr>
                <w:rFonts w:ascii="Arial"/>
                <w:color w:val="auto"/>
                <w:sz w:val="21"/>
                <w:highlight w:val="none"/>
              </w:rPr>
            </w:pPr>
          </w:p>
        </w:tc>
      </w:tr>
      <w:tr w14:paraId="7F4CC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000" w:type="pct"/>
            <w:gridSpan w:val="7"/>
            <w:vAlign w:val="center"/>
          </w:tcPr>
          <w:p w14:paraId="7852BDC0">
            <w:pPr>
              <w:spacing w:before="182" w:line="223"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主要经</w:t>
            </w:r>
            <w:r>
              <w:rPr>
                <w:rFonts w:ascii="宋体" w:hAnsi="宋体" w:eastAsia="宋体" w:cs="宋体"/>
                <w:color w:val="auto"/>
                <w:spacing w:val="-1"/>
                <w:sz w:val="21"/>
                <w:szCs w:val="21"/>
                <w:highlight w:val="none"/>
              </w:rPr>
              <w:t>历</w:t>
            </w:r>
          </w:p>
        </w:tc>
      </w:tr>
      <w:tr w14:paraId="01704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trPr>
        <w:tc>
          <w:tcPr>
            <w:tcW w:w="1756" w:type="pct"/>
            <w:gridSpan w:val="2"/>
            <w:vAlign w:val="center"/>
          </w:tcPr>
          <w:p w14:paraId="573F7979">
            <w:pPr>
              <w:spacing w:before="68" w:line="250" w:lineRule="auto"/>
              <w:ind w:left="117" w:right="105"/>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项目名称</w:t>
            </w:r>
          </w:p>
        </w:tc>
        <w:tc>
          <w:tcPr>
            <w:tcW w:w="713" w:type="pct"/>
            <w:vAlign w:val="center"/>
          </w:tcPr>
          <w:p w14:paraId="5547FFF0">
            <w:pPr>
              <w:tabs>
                <w:tab w:val="left" w:pos="222"/>
              </w:tabs>
              <w:spacing w:before="29" w:line="236" w:lineRule="auto"/>
              <w:ind w:left="111" w:right="103" w:firstLine="2"/>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11"/>
                <w:sz w:val="21"/>
                <w:szCs w:val="21"/>
                <w:highlight w:val="none"/>
                <w:lang w:val="en-US" w:eastAsia="zh-CN"/>
              </w:rPr>
              <w:t>服务购买方</w:t>
            </w:r>
          </w:p>
        </w:tc>
        <w:tc>
          <w:tcPr>
            <w:tcW w:w="877" w:type="pct"/>
            <w:vAlign w:val="center"/>
          </w:tcPr>
          <w:p w14:paraId="70655BDA">
            <w:pPr>
              <w:spacing w:before="68" w:line="250" w:lineRule="auto"/>
              <w:ind w:left="113" w:right="106" w:hanging="1"/>
              <w:jc w:val="center"/>
              <w:rPr>
                <w:rFonts w:ascii="宋体" w:hAnsi="宋体" w:eastAsia="宋体" w:cs="宋体"/>
                <w:color w:val="auto"/>
                <w:sz w:val="21"/>
                <w:szCs w:val="21"/>
                <w:highlight w:val="none"/>
              </w:rPr>
            </w:pPr>
            <w:r>
              <w:rPr>
                <w:rFonts w:hint="eastAsia" w:ascii="宋体" w:hAnsi="宋体" w:eastAsia="宋体" w:cs="宋体"/>
                <w:color w:val="auto"/>
                <w:szCs w:val="21"/>
                <w:highlight w:val="none"/>
              </w:rPr>
              <w:t>服务内容</w:t>
            </w:r>
          </w:p>
        </w:tc>
        <w:tc>
          <w:tcPr>
            <w:tcW w:w="738" w:type="pct"/>
            <w:vAlign w:val="center"/>
          </w:tcPr>
          <w:p w14:paraId="374E554B">
            <w:pPr>
              <w:spacing w:before="68" w:line="250" w:lineRule="auto"/>
              <w:ind w:left="111" w:right="101" w:firstLine="4"/>
              <w:jc w:val="center"/>
              <w:rPr>
                <w:rFonts w:ascii="宋体" w:hAnsi="宋体" w:eastAsia="宋体" w:cs="宋体"/>
                <w:color w:val="auto"/>
                <w:sz w:val="21"/>
                <w:szCs w:val="21"/>
                <w:highlight w:val="none"/>
              </w:rPr>
            </w:pPr>
            <w:r>
              <w:rPr>
                <w:rFonts w:hint="eastAsia" w:ascii="宋体" w:hAnsi="宋体" w:eastAsia="宋体" w:cs="宋体"/>
                <w:color w:val="auto"/>
                <w:szCs w:val="21"/>
                <w:highlight w:val="none"/>
              </w:rPr>
              <w:t>本人在该项目中所任职务</w:t>
            </w:r>
          </w:p>
        </w:tc>
        <w:tc>
          <w:tcPr>
            <w:tcW w:w="915" w:type="pct"/>
            <w:gridSpan w:val="2"/>
            <w:vAlign w:val="center"/>
          </w:tcPr>
          <w:p w14:paraId="02189E55">
            <w:pPr>
              <w:spacing w:before="68" w:line="221" w:lineRule="auto"/>
              <w:jc w:val="center"/>
              <w:rPr>
                <w:rFonts w:ascii="宋体" w:hAnsi="宋体" w:eastAsia="宋体" w:cs="宋体"/>
                <w:color w:val="auto"/>
                <w:sz w:val="21"/>
                <w:szCs w:val="21"/>
                <w:highlight w:val="none"/>
              </w:rPr>
            </w:pPr>
            <w:r>
              <w:rPr>
                <w:rFonts w:hint="eastAsia" w:ascii="宋体" w:hAnsi="宋体" w:eastAsia="宋体" w:cs="宋体"/>
                <w:color w:val="auto"/>
                <w:szCs w:val="21"/>
                <w:highlight w:val="none"/>
              </w:rPr>
              <w:t>起止时间</w:t>
            </w:r>
          </w:p>
        </w:tc>
      </w:tr>
      <w:tr w14:paraId="7A059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56" w:type="pct"/>
            <w:gridSpan w:val="2"/>
            <w:vAlign w:val="top"/>
          </w:tcPr>
          <w:p w14:paraId="5CEEFF7A">
            <w:pPr>
              <w:rPr>
                <w:rFonts w:ascii="Arial"/>
                <w:color w:val="auto"/>
                <w:sz w:val="21"/>
                <w:highlight w:val="none"/>
              </w:rPr>
            </w:pPr>
          </w:p>
        </w:tc>
        <w:tc>
          <w:tcPr>
            <w:tcW w:w="713" w:type="pct"/>
            <w:vAlign w:val="top"/>
          </w:tcPr>
          <w:p w14:paraId="1C948247">
            <w:pPr>
              <w:rPr>
                <w:rFonts w:ascii="Arial"/>
                <w:color w:val="auto"/>
                <w:sz w:val="21"/>
                <w:highlight w:val="none"/>
              </w:rPr>
            </w:pPr>
          </w:p>
        </w:tc>
        <w:tc>
          <w:tcPr>
            <w:tcW w:w="877" w:type="pct"/>
            <w:vAlign w:val="top"/>
          </w:tcPr>
          <w:p w14:paraId="0508F282">
            <w:pPr>
              <w:rPr>
                <w:rFonts w:ascii="Arial"/>
                <w:color w:val="auto"/>
                <w:sz w:val="21"/>
                <w:highlight w:val="none"/>
              </w:rPr>
            </w:pPr>
          </w:p>
        </w:tc>
        <w:tc>
          <w:tcPr>
            <w:tcW w:w="738" w:type="pct"/>
            <w:vAlign w:val="top"/>
          </w:tcPr>
          <w:p w14:paraId="05883BA6">
            <w:pPr>
              <w:rPr>
                <w:rFonts w:ascii="Arial"/>
                <w:color w:val="auto"/>
                <w:sz w:val="21"/>
                <w:highlight w:val="none"/>
              </w:rPr>
            </w:pPr>
          </w:p>
        </w:tc>
        <w:tc>
          <w:tcPr>
            <w:tcW w:w="915" w:type="pct"/>
            <w:gridSpan w:val="2"/>
            <w:vAlign w:val="top"/>
          </w:tcPr>
          <w:p w14:paraId="39C208E7">
            <w:pPr>
              <w:rPr>
                <w:rFonts w:ascii="Arial"/>
                <w:color w:val="auto"/>
                <w:sz w:val="21"/>
                <w:highlight w:val="none"/>
              </w:rPr>
            </w:pPr>
          </w:p>
        </w:tc>
      </w:tr>
      <w:tr w14:paraId="025F2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1756" w:type="pct"/>
            <w:gridSpan w:val="2"/>
            <w:vAlign w:val="top"/>
          </w:tcPr>
          <w:p w14:paraId="1014313D">
            <w:pPr>
              <w:rPr>
                <w:rFonts w:ascii="Arial"/>
                <w:color w:val="auto"/>
                <w:sz w:val="21"/>
                <w:highlight w:val="none"/>
              </w:rPr>
            </w:pPr>
          </w:p>
        </w:tc>
        <w:tc>
          <w:tcPr>
            <w:tcW w:w="713" w:type="pct"/>
            <w:vAlign w:val="top"/>
          </w:tcPr>
          <w:p w14:paraId="502A7AE0">
            <w:pPr>
              <w:rPr>
                <w:rFonts w:ascii="Arial"/>
                <w:color w:val="auto"/>
                <w:sz w:val="21"/>
                <w:highlight w:val="none"/>
              </w:rPr>
            </w:pPr>
          </w:p>
        </w:tc>
        <w:tc>
          <w:tcPr>
            <w:tcW w:w="877" w:type="pct"/>
            <w:vAlign w:val="top"/>
          </w:tcPr>
          <w:p w14:paraId="3253EDDD">
            <w:pPr>
              <w:rPr>
                <w:rFonts w:ascii="Arial"/>
                <w:color w:val="auto"/>
                <w:sz w:val="21"/>
                <w:highlight w:val="none"/>
              </w:rPr>
            </w:pPr>
          </w:p>
        </w:tc>
        <w:tc>
          <w:tcPr>
            <w:tcW w:w="738" w:type="pct"/>
            <w:vAlign w:val="top"/>
          </w:tcPr>
          <w:p w14:paraId="019D354B">
            <w:pPr>
              <w:rPr>
                <w:rFonts w:ascii="Arial"/>
                <w:color w:val="auto"/>
                <w:sz w:val="21"/>
                <w:highlight w:val="none"/>
              </w:rPr>
            </w:pPr>
          </w:p>
        </w:tc>
        <w:tc>
          <w:tcPr>
            <w:tcW w:w="915" w:type="pct"/>
            <w:gridSpan w:val="2"/>
            <w:vAlign w:val="top"/>
          </w:tcPr>
          <w:p w14:paraId="50EB5C92">
            <w:pPr>
              <w:rPr>
                <w:rFonts w:ascii="Arial"/>
                <w:color w:val="auto"/>
                <w:sz w:val="21"/>
                <w:highlight w:val="none"/>
              </w:rPr>
            </w:pPr>
          </w:p>
        </w:tc>
      </w:tr>
      <w:tr w14:paraId="5A00C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756" w:type="pct"/>
            <w:gridSpan w:val="2"/>
            <w:vAlign w:val="top"/>
          </w:tcPr>
          <w:p w14:paraId="7E7201EF">
            <w:pPr>
              <w:rPr>
                <w:rFonts w:ascii="Arial"/>
                <w:color w:val="auto"/>
                <w:sz w:val="21"/>
                <w:highlight w:val="none"/>
              </w:rPr>
            </w:pPr>
          </w:p>
        </w:tc>
        <w:tc>
          <w:tcPr>
            <w:tcW w:w="713" w:type="pct"/>
            <w:vAlign w:val="top"/>
          </w:tcPr>
          <w:p w14:paraId="304C4CC2">
            <w:pPr>
              <w:rPr>
                <w:rFonts w:ascii="Arial"/>
                <w:color w:val="auto"/>
                <w:sz w:val="21"/>
                <w:highlight w:val="none"/>
              </w:rPr>
            </w:pPr>
          </w:p>
        </w:tc>
        <w:tc>
          <w:tcPr>
            <w:tcW w:w="877" w:type="pct"/>
            <w:vAlign w:val="top"/>
          </w:tcPr>
          <w:p w14:paraId="62860594">
            <w:pPr>
              <w:rPr>
                <w:rFonts w:ascii="Arial"/>
                <w:color w:val="auto"/>
                <w:sz w:val="21"/>
                <w:highlight w:val="none"/>
              </w:rPr>
            </w:pPr>
          </w:p>
        </w:tc>
        <w:tc>
          <w:tcPr>
            <w:tcW w:w="738" w:type="pct"/>
            <w:vAlign w:val="top"/>
          </w:tcPr>
          <w:p w14:paraId="5061709B">
            <w:pPr>
              <w:rPr>
                <w:rFonts w:ascii="Arial"/>
                <w:color w:val="auto"/>
                <w:sz w:val="21"/>
                <w:highlight w:val="none"/>
              </w:rPr>
            </w:pPr>
          </w:p>
        </w:tc>
        <w:tc>
          <w:tcPr>
            <w:tcW w:w="915" w:type="pct"/>
            <w:gridSpan w:val="2"/>
            <w:vAlign w:val="top"/>
          </w:tcPr>
          <w:p w14:paraId="1E1A8792">
            <w:pPr>
              <w:rPr>
                <w:rFonts w:ascii="Arial"/>
                <w:color w:val="auto"/>
                <w:sz w:val="21"/>
                <w:highlight w:val="none"/>
              </w:rPr>
            </w:pPr>
          </w:p>
        </w:tc>
      </w:tr>
    </w:tbl>
    <w:p w14:paraId="024A0077">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62B46281">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（1）主要岗位人员每人填一表。</w:t>
      </w:r>
    </w:p>
    <w:p w14:paraId="28503E20">
      <w:pPr>
        <w:pStyle w:val="19"/>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（2）须附有身份证、资格证书（或注册/执业/技术职称）以及人力资源和社会保障部门（或税务部门）出具的最近六个月（2024年7月至12月）投标人为其缴纳的社保证明复印件</w:t>
      </w:r>
      <w:r>
        <w:rPr>
          <w:rFonts w:hint="eastAsia" w:ascii="宋体" w:hAnsi="宋体" w:eastAsia="宋体" w:cs="宋体"/>
          <w:color w:val="auto"/>
          <w:szCs w:val="21"/>
          <w:highlight w:val="none"/>
          <w:lang w:eastAsia="zh-CN"/>
        </w:rPr>
        <w:t>。</w:t>
      </w:r>
    </w:p>
    <w:p w14:paraId="5E5BBF27">
      <w:pPr>
        <w:pStyle w:val="19"/>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bCs w:val="0"/>
          <w:color w:val="auto"/>
          <w:szCs w:val="21"/>
          <w:highlight w:val="none"/>
          <w:lang w:val="en-US" w:eastAsia="zh-CN"/>
        </w:rPr>
        <w:t>（3）</w:t>
      </w:r>
      <w:r>
        <w:rPr>
          <w:rFonts w:hint="eastAsia" w:ascii="宋体" w:hAnsi="宋体" w:eastAsia="宋体" w:cs="宋体"/>
          <w:color w:val="auto"/>
          <w:szCs w:val="21"/>
          <w:highlight w:val="none"/>
        </w:rPr>
        <w:t>对应本项目评分标准，</w:t>
      </w:r>
      <w:r>
        <w:rPr>
          <w:rFonts w:hint="eastAsia" w:ascii="宋体" w:hAnsi="宋体" w:eastAsia="宋体" w:cs="宋体"/>
          <w:color w:val="auto"/>
          <w:szCs w:val="21"/>
          <w:highlight w:val="none"/>
          <w:lang w:val="en-US" w:eastAsia="zh-CN"/>
        </w:rPr>
        <w:t>拟投入本项目的项目负责人满足个人业绩得分条件的，还需提供业绩合同复印件，</w:t>
      </w:r>
      <w:r>
        <w:rPr>
          <w:rFonts w:hint="eastAsia" w:ascii="宋体" w:hAnsi="宋体" w:eastAsia="宋体" w:cs="宋体"/>
          <w:color w:val="auto"/>
          <w:szCs w:val="21"/>
          <w:highlight w:val="none"/>
        </w:rPr>
        <w:t>合同中应体现项目相关评审信息，若不能体现还应提供</w:t>
      </w:r>
      <w:r>
        <w:rPr>
          <w:rFonts w:hint="eastAsia" w:ascii="宋体" w:hAnsi="宋体" w:eastAsia="宋体" w:cs="宋体"/>
          <w:color w:val="auto"/>
          <w:szCs w:val="21"/>
          <w:highlight w:val="none"/>
          <w:lang w:val="en-US" w:eastAsia="zh-CN"/>
        </w:rPr>
        <w:t>服务购买方</w:t>
      </w:r>
      <w:r>
        <w:rPr>
          <w:rFonts w:hint="eastAsia" w:ascii="宋体" w:hAnsi="宋体" w:eastAsia="宋体" w:cs="宋体"/>
          <w:color w:val="auto"/>
          <w:szCs w:val="21"/>
          <w:highlight w:val="none"/>
        </w:rPr>
        <w:t>出具的相关证明材料复印件</w:t>
      </w:r>
      <w:r>
        <w:rPr>
          <w:rFonts w:hint="eastAsia" w:ascii="宋体" w:hAnsi="宋体" w:eastAsia="宋体" w:cs="宋体"/>
          <w:color w:val="auto"/>
          <w:szCs w:val="21"/>
          <w:highlight w:val="none"/>
          <w:lang w:eastAsia="zh-CN"/>
        </w:rPr>
        <w:t>。</w:t>
      </w:r>
    </w:p>
    <w:p w14:paraId="25BC476A">
      <w:pPr>
        <w:spacing w:line="360" w:lineRule="auto"/>
        <w:ind w:left="735" w:leftChars="350" w:firstLine="4725" w:firstLineChars="2250"/>
        <w:rPr>
          <w:rFonts w:hint="eastAsia" w:ascii="宋体" w:hAnsi="宋体" w:eastAsia="宋体" w:cs="宋体"/>
          <w:color w:val="auto"/>
          <w:highlight w:val="none"/>
          <w:lang w:val="zh-CN"/>
        </w:rPr>
      </w:pPr>
    </w:p>
    <w:p w14:paraId="1ED5DB3C">
      <w:pPr>
        <w:spacing w:line="360" w:lineRule="auto"/>
        <w:ind w:left="735" w:leftChars="350" w:firstLine="4725" w:firstLineChars="2250"/>
        <w:rPr>
          <w:rFonts w:ascii="宋体" w:hAnsi="宋体" w:eastAsia="宋体" w:cs="宋体"/>
          <w:color w:val="auto"/>
          <w:szCs w:val="21"/>
          <w:highlight w:val="none"/>
        </w:rPr>
      </w:pPr>
      <w:r>
        <w:rPr>
          <w:rFonts w:hint="eastAsia" w:ascii="宋体" w:hAnsi="宋体" w:eastAsia="宋体" w:cs="宋体"/>
          <w:color w:val="auto"/>
          <w:highlight w:val="none"/>
          <w:lang w:val="zh-CN"/>
        </w:rPr>
        <w:t>投标人：（加盖投标人法人公章）</w:t>
      </w:r>
    </w:p>
    <w:p w14:paraId="71D37AB3">
      <w:pPr>
        <w:spacing w:before="120" w:after="120" w:line="360" w:lineRule="auto"/>
        <w:ind w:left="629" w:firstLine="5040"/>
        <w:rPr>
          <w:rFonts w:ascii="宋体" w:hAnsi="宋体" w:eastAsia="宋体" w:cs="宋体"/>
          <w:color w:val="auto"/>
          <w:highlight w:val="none"/>
          <w:lang w:val="zh-CN"/>
        </w:rPr>
      </w:pPr>
      <w:r>
        <w:rPr>
          <w:rFonts w:hint="eastAsia" w:ascii="宋体" w:hAnsi="宋体" w:eastAsia="宋体" w:cs="宋体"/>
          <w:color w:val="auto"/>
          <w:highlight w:val="none"/>
          <w:lang w:val="zh-CN"/>
        </w:rPr>
        <w:t>日期：</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年</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月</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w:t>
      </w:r>
    </w:p>
    <w:p w14:paraId="58834EF8">
      <w:pPr>
        <w:pageBreakBefore/>
        <w:autoSpaceDE w:val="0"/>
        <w:autoSpaceDN w:val="0"/>
        <w:adjustRightInd w:val="0"/>
        <w:spacing w:line="360" w:lineRule="auto"/>
        <w:jc w:val="left"/>
        <w:outlineLvl w:val="2"/>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1</w:t>
      </w:r>
      <w:r>
        <w:rPr>
          <w:rFonts w:hint="default"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lang w:val="en-US" w:eastAsia="zh-CN"/>
        </w:rPr>
        <w:t xml:space="preserve">.5 </w:t>
      </w:r>
      <w:r>
        <w:rPr>
          <w:rFonts w:hint="eastAsia" w:ascii="宋体" w:hAnsi="宋体" w:eastAsia="宋体" w:cs="宋体"/>
          <w:b/>
          <w:color w:val="auto"/>
          <w:kern w:val="0"/>
          <w:sz w:val="30"/>
          <w:szCs w:val="30"/>
          <w:highlight w:val="none"/>
        </w:rPr>
        <w:t>投标人认为有必要提供的其它材料（不做强制要求）</w:t>
      </w:r>
      <w:bookmarkEnd w:id="812"/>
      <w:bookmarkEnd w:id="813"/>
      <w:bookmarkEnd w:id="814"/>
      <w:bookmarkEnd w:id="815"/>
      <w:bookmarkEnd w:id="816"/>
      <w:bookmarkEnd w:id="824"/>
      <w:bookmarkEnd w:id="825"/>
      <w:bookmarkEnd w:id="826"/>
      <w:bookmarkEnd w:id="827"/>
      <w:bookmarkEnd w:id="828"/>
      <w:bookmarkEnd w:id="829"/>
    </w:p>
    <w:p w14:paraId="5A5113FC">
      <w:pPr>
        <w:autoSpaceDE w:val="0"/>
        <w:autoSpaceDN w:val="0"/>
        <w:adjustRightInd w:val="0"/>
        <w:jc w:val="left"/>
        <w:rPr>
          <w:rFonts w:ascii="宋体" w:hAnsi="宋体" w:eastAsia="宋体" w:cs="Times New Roman"/>
          <w:color w:val="auto"/>
          <w:kern w:val="0"/>
          <w:sz w:val="24"/>
          <w:szCs w:val="24"/>
          <w:highlight w:val="none"/>
        </w:rPr>
      </w:pPr>
    </w:p>
    <w:p w14:paraId="48AFAC23">
      <w:pPr>
        <w:autoSpaceDE w:val="0"/>
        <w:autoSpaceDN w:val="0"/>
        <w:adjustRightInd w:val="0"/>
        <w:jc w:val="left"/>
        <w:rPr>
          <w:rFonts w:ascii="宋体" w:hAnsi="宋体" w:eastAsia="宋体" w:cs="Times New Roman"/>
          <w:color w:val="auto"/>
          <w:kern w:val="0"/>
          <w:sz w:val="24"/>
          <w:szCs w:val="24"/>
          <w:highlight w:val="none"/>
        </w:rPr>
      </w:pPr>
    </w:p>
    <w:p w14:paraId="621E0849">
      <w:pPr>
        <w:autoSpaceDE w:val="0"/>
        <w:autoSpaceDN w:val="0"/>
        <w:adjustRightInd w:val="0"/>
        <w:jc w:val="left"/>
        <w:rPr>
          <w:rFonts w:ascii="宋体" w:hAnsi="宋体" w:eastAsia="宋体" w:cs="Times New Roman"/>
          <w:color w:val="auto"/>
          <w:kern w:val="0"/>
          <w:sz w:val="24"/>
          <w:szCs w:val="24"/>
          <w:highlight w:val="none"/>
        </w:rPr>
      </w:pPr>
    </w:p>
    <w:p w14:paraId="1ED6E6CE">
      <w:pPr>
        <w:autoSpaceDE w:val="0"/>
        <w:autoSpaceDN w:val="0"/>
        <w:adjustRightInd w:val="0"/>
        <w:jc w:val="left"/>
        <w:rPr>
          <w:rFonts w:ascii="宋体" w:hAnsi="宋体" w:eastAsia="宋体" w:cs="Times New Roman"/>
          <w:color w:val="auto"/>
          <w:kern w:val="0"/>
          <w:sz w:val="24"/>
          <w:szCs w:val="24"/>
          <w:highlight w:val="none"/>
        </w:rPr>
      </w:pPr>
    </w:p>
    <w:p w14:paraId="768A56DA">
      <w:pPr>
        <w:autoSpaceDE w:val="0"/>
        <w:autoSpaceDN w:val="0"/>
        <w:adjustRightInd w:val="0"/>
        <w:jc w:val="left"/>
        <w:rPr>
          <w:rFonts w:ascii="宋体" w:hAnsi="宋体" w:eastAsia="宋体" w:cs="Times New Roman"/>
          <w:color w:val="auto"/>
          <w:kern w:val="0"/>
          <w:sz w:val="24"/>
          <w:szCs w:val="24"/>
          <w:highlight w:val="none"/>
        </w:rPr>
      </w:pPr>
    </w:p>
    <w:p w14:paraId="0445E750">
      <w:pPr>
        <w:autoSpaceDE w:val="0"/>
        <w:autoSpaceDN w:val="0"/>
        <w:adjustRightInd w:val="0"/>
        <w:jc w:val="left"/>
        <w:rPr>
          <w:rFonts w:ascii="宋体" w:hAnsi="宋体" w:eastAsia="宋体" w:cs="Times New Roman"/>
          <w:color w:val="auto"/>
          <w:kern w:val="0"/>
          <w:sz w:val="24"/>
          <w:szCs w:val="24"/>
          <w:highlight w:val="none"/>
        </w:rPr>
      </w:pPr>
    </w:p>
    <w:p w14:paraId="2B63A4D6">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63B8A394">
      <w:pPr>
        <w:autoSpaceDE w:val="0"/>
        <w:autoSpaceDN w:val="0"/>
        <w:adjustRightInd w:val="0"/>
        <w:jc w:val="left"/>
        <w:rPr>
          <w:rFonts w:ascii="宋体" w:hAnsi="宋体" w:eastAsia="宋体" w:cs="Times New Roman"/>
          <w:color w:val="auto"/>
          <w:kern w:val="0"/>
          <w:sz w:val="24"/>
          <w:szCs w:val="24"/>
          <w:highlight w:val="none"/>
        </w:rPr>
      </w:pPr>
    </w:p>
    <w:p w14:paraId="393EE852">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830" w:name="_Toc17476"/>
      <w:bookmarkStart w:id="831" w:name="_Toc30548"/>
      <w:bookmarkStart w:id="832" w:name="_Toc14977"/>
      <w:bookmarkStart w:id="833" w:name="_Toc142508390"/>
      <w:bookmarkStart w:id="834" w:name="_Toc13194"/>
      <w:bookmarkStart w:id="835" w:name="_Toc21059"/>
      <w:bookmarkStart w:id="836" w:name="_Toc2060"/>
      <w:bookmarkStart w:id="837" w:name="_Toc522047402"/>
      <w:bookmarkStart w:id="838" w:name="_Toc521918141"/>
      <w:bookmarkStart w:id="839" w:name="_Toc22601_WPSOffice_Level1"/>
      <w:r>
        <w:rPr>
          <w:rFonts w:hint="eastAsia" w:ascii="宋体" w:hAnsi="宋体" w:eastAsia="宋体" w:cs="宋体"/>
          <w:b/>
          <w:bCs/>
          <w:color w:val="auto"/>
          <w:kern w:val="44"/>
          <w:sz w:val="32"/>
          <w:szCs w:val="32"/>
          <w:highlight w:val="none"/>
          <w:lang w:val="zh-CN"/>
        </w:rPr>
        <w:t>附件一：评标工作大纲</w:t>
      </w:r>
      <w:bookmarkEnd w:id="830"/>
      <w:bookmarkEnd w:id="831"/>
      <w:bookmarkEnd w:id="832"/>
      <w:bookmarkEnd w:id="833"/>
      <w:bookmarkEnd w:id="834"/>
      <w:bookmarkEnd w:id="835"/>
      <w:bookmarkEnd w:id="836"/>
    </w:p>
    <w:p w14:paraId="3191E55E">
      <w:pPr>
        <w:autoSpaceDE w:val="0"/>
        <w:autoSpaceDN w:val="0"/>
        <w:adjustRightInd w:val="0"/>
        <w:spacing w:line="400" w:lineRule="atLeast"/>
        <w:jc w:val="center"/>
        <w:rPr>
          <w:rFonts w:ascii="宋体" w:hAnsi="宋体" w:eastAsia="宋体" w:cs="宋体"/>
          <w:b/>
          <w:bCs/>
          <w:color w:val="auto"/>
          <w:szCs w:val="21"/>
          <w:highlight w:val="none"/>
        </w:rPr>
      </w:pPr>
    </w:p>
    <w:p w14:paraId="3B575E95">
      <w:pPr>
        <w:autoSpaceDE w:val="0"/>
        <w:autoSpaceDN w:val="0"/>
        <w:adjustRightInd w:val="0"/>
        <w:spacing w:line="400" w:lineRule="atLeast"/>
        <w:jc w:val="center"/>
        <w:rPr>
          <w:rFonts w:ascii="宋体" w:hAnsi="宋体" w:eastAsia="宋体" w:cs="宋体"/>
          <w:b/>
          <w:bCs/>
          <w:color w:val="auto"/>
          <w:szCs w:val="21"/>
          <w:highlight w:val="none"/>
        </w:rPr>
      </w:pPr>
    </w:p>
    <w:p w14:paraId="187C2C58">
      <w:pPr>
        <w:autoSpaceDE w:val="0"/>
        <w:autoSpaceDN w:val="0"/>
        <w:adjustRightInd w:val="0"/>
        <w:spacing w:line="400" w:lineRule="atLeast"/>
        <w:jc w:val="center"/>
        <w:rPr>
          <w:rFonts w:ascii="宋体" w:hAnsi="宋体" w:eastAsia="宋体" w:cs="宋体"/>
          <w:b/>
          <w:bCs/>
          <w:color w:val="auto"/>
          <w:szCs w:val="21"/>
          <w:highlight w:val="none"/>
        </w:rPr>
      </w:pPr>
    </w:p>
    <w:p w14:paraId="7262C357">
      <w:pPr>
        <w:autoSpaceDE w:val="0"/>
        <w:autoSpaceDN w:val="0"/>
        <w:adjustRightInd w:val="0"/>
        <w:spacing w:line="400" w:lineRule="atLeast"/>
        <w:jc w:val="center"/>
        <w:rPr>
          <w:rFonts w:ascii="宋体" w:hAnsi="宋体" w:eastAsia="宋体" w:cs="宋体"/>
          <w:b/>
          <w:bCs/>
          <w:color w:val="auto"/>
          <w:szCs w:val="21"/>
          <w:highlight w:val="none"/>
        </w:rPr>
      </w:pPr>
    </w:p>
    <w:p w14:paraId="2FBAD74C">
      <w:pPr>
        <w:autoSpaceDE w:val="0"/>
        <w:autoSpaceDN w:val="0"/>
        <w:adjustRightInd w:val="0"/>
        <w:spacing w:line="360" w:lineRule="auto"/>
        <w:jc w:val="center"/>
        <w:rPr>
          <w:rFonts w:hint="eastAsia" w:ascii="宋体" w:hAnsi="宋体" w:eastAsia="宋体" w:cs="宋体"/>
          <w:b/>
          <w:bCs/>
          <w:color w:val="auto"/>
          <w:sz w:val="40"/>
          <w:szCs w:val="36"/>
          <w:highlight w:val="none"/>
          <w:lang w:eastAsia="zh-CN"/>
        </w:rPr>
      </w:pPr>
      <w:r>
        <w:rPr>
          <w:rFonts w:hint="eastAsia" w:ascii="宋体" w:hAnsi="宋体" w:eastAsia="宋体" w:cs="宋体"/>
          <w:b/>
          <w:bCs/>
          <w:color w:val="auto"/>
          <w:sz w:val="40"/>
          <w:szCs w:val="36"/>
          <w:highlight w:val="none"/>
          <w:lang w:eastAsia="zh-CN"/>
        </w:rPr>
        <w:t>东莞市众源环境投资有限公司“特大城市市政污泥全过程管理体系”成效评估及提质增效路径研究技术服务</w:t>
      </w:r>
    </w:p>
    <w:p w14:paraId="62434781">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采购项目</w:t>
      </w:r>
    </w:p>
    <w:p w14:paraId="5305FBD1">
      <w:pPr>
        <w:autoSpaceDE w:val="0"/>
        <w:autoSpaceDN w:val="0"/>
        <w:adjustRightInd w:val="0"/>
        <w:spacing w:line="360" w:lineRule="auto"/>
        <w:jc w:val="center"/>
        <w:rPr>
          <w:rFonts w:ascii="宋体" w:hAnsi="宋体" w:eastAsia="宋体" w:cs="宋体"/>
          <w:b/>
          <w:bCs/>
          <w:color w:val="auto"/>
          <w:sz w:val="36"/>
          <w:szCs w:val="36"/>
          <w:highlight w:val="none"/>
        </w:rPr>
      </w:pPr>
      <w:bookmarkStart w:id="840" w:name="_Toc14752_WPSOffice_Level1"/>
      <w:r>
        <w:rPr>
          <w:rFonts w:hint="eastAsia" w:ascii="宋体" w:hAnsi="宋体" w:eastAsia="宋体" w:cs="宋体"/>
          <w:b/>
          <w:bCs/>
          <w:color w:val="auto"/>
          <w:sz w:val="36"/>
          <w:szCs w:val="36"/>
          <w:highlight w:val="none"/>
          <w:lang w:val="zh-CN"/>
        </w:rPr>
        <w:t>（招标编号：广建咨询（东招）2025-0005号）</w:t>
      </w:r>
      <w:bookmarkEnd w:id="840"/>
    </w:p>
    <w:p w14:paraId="4DCC362C">
      <w:pPr>
        <w:autoSpaceDE w:val="0"/>
        <w:autoSpaceDN w:val="0"/>
        <w:adjustRightInd w:val="0"/>
        <w:spacing w:line="400" w:lineRule="atLeast"/>
        <w:jc w:val="center"/>
        <w:rPr>
          <w:rFonts w:ascii="宋体" w:hAnsi="宋体" w:eastAsia="宋体" w:cs="宋体"/>
          <w:b/>
          <w:bCs/>
          <w:color w:val="auto"/>
          <w:sz w:val="36"/>
          <w:szCs w:val="36"/>
          <w:highlight w:val="none"/>
        </w:rPr>
      </w:pPr>
    </w:p>
    <w:p w14:paraId="6CBAF13F">
      <w:pPr>
        <w:autoSpaceDE w:val="0"/>
        <w:autoSpaceDN w:val="0"/>
        <w:adjustRightInd w:val="0"/>
        <w:spacing w:line="400" w:lineRule="atLeast"/>
        <w:jc w:val="center"/>
        <w:rPr>
          <w:rFonts w:ascii="宋体" w:hAnsi="宋体" w:eastAsia="宋体" w:cs="宋体"/>
          <w:b/>
          <w:bCs/>
          <w:color w:val="auto"/>
          <w:sz w:val="36"/>
          <w:szCs w:val="36"/>
          <w:highlight w:val="none"/>
        </w:rPr>
      </w:pPr>
    </w:p>
    <w:p w14:paraId="65FD388E">
      <w:pPr>
        <w:autoSpaceDE w:val="0"/>
        <w:autoSpaceDN w:val="0"/>
        <w:adjustRightInd w:val="0"/>
        <w:spacing w:line="400" w:lineRule="atLeast"/>
        <w:jc w:val="center"/>
        <w:rPr>
          <w:rFonts w:ascii="宋体" w:hAnsi="宋体" w:eastAsia="宋体" w:cs="宋体"/>
          <w:b/>
          <w:bCs/>
          <w:color w:val="auto"/>
          <w:sz w:val="36"/>
          <w:szCs w:val="36"/>
          <w:highlight w:val="none"/>
        </w:rPr>
      </w:pPr>
    </w:p>
    <w:p w14:paraId="690857B4">
      <w:pPr>
        <w:autoSpaceDE w:val="0"/>
        <w:autoSpaceDN w:val="0"/>
        <w:adjustRightInd w:val="0"/>
        <w:spacing w:line="400" w:lineRule="atLeast"/>
        <w:jc w:val="center"/>
        <w:rPr>
          <w:rFonts w:ascii="宋体" w:hAnsi="宋体" w:eastAsia="宋体" w:cs="宋体"/>
          <w:b/>
          <w:bCs/>
          <w:color w:val="auto"/>
          <w:sz w:val="36"/>
          <w:szCs w:val="36"/>
          <w:highlight w:val="none"/>
        </w:rPr>
      </w:pPr>
    </w:p>
    <w:p w14:paraId="60F74299">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841" w:name="_Toc18947_WPSOffice_Level2"/>
      <w:r>
        <w:rPr>
          <w:rFonts w:hint="eastAsia" w:ascii="宋体" w:hAnsi="宋体" w:eastAsia="宋体" w:cs="宋体"/>
          <w:b/>
          <w:bCs/>
          <w:color w:val="auto"/>
          <w:sz w:val="72"/>
          <w:szCs w:val="72"/>
          <w:highlight w:val="none"/>
          <w:lang w:val="zh-CN"/>
        </w:rPr>
        <w:t>评标工作大纲</w:t>
      </w:r>
      <w:bookmarkEnd w:id="841"/>
    </w:p>
    <w:p w14:paraId="1DD98A50">
      <w:pPr>
        <w:autoSpaceDE w:val="0"/>
        <w:autoSpaceDN w:val="0"/>
        <w:adjustRightInd w:val="0"/>
        <w:spacing w:line="400" w:lineRule="atLeast"/>
        <w:jc w:val="center"/>
        <w:rPr>
          <w:rFonts w:ascii="宋体" w:hAnsi="宋体" w:eastAsia="宋体" w:cs="宋体"/>
          <w:b/>
          <w:bCs/>
          <w:color w:val="auto"/>
          <w:sz w:val="36"/>
          <w:szCs w:val="36"/>
          <w:highlight w:val="none"/>
        </w:rPr>
      </w:pPr>
    </w:p>
    <w:p w14:paraId="76E4415B">
      <w:pPr>
        <w:autoSpaceDE w:val="0"/>
        <w:autoSpaceDN w:val="0"/>
        <w:adjustRightInd w:val="0"/>
        <w:spacing w:line="400" w:lineRule="atLeast"/>
        <w:rPr>
          <w:rFonts w:ascii="宋体" w:hAnsi="宋体" w:eastAsia="宋体" w:cs="宋体"/>
          <w:b/>
          <w:bCs/>
          <w:color w:val="auto"/>
          <w:sz w:val="36"/>
          <w:szCs w:val="36"/>
          <w:highlight w:val="none"/>
        </w:rPr>
      </w:pPr>
    </w:p>
    <w:p w14:paraId="76B9A790">
      <w:pPr>
        <w:autoSpaceDE w:val="0"/>
        <w:autoSpaceDN w:val="0"/>
        <w:adjustRightInd w:val="0"/>
        <w:spacing w:line="400" w:lineRule="atLeast"/>
        <w:jc w:val="center"/>
        <w:rPr>
          <w:rFonts w:ascii="宋体" w:hAnsi="宋体" w:eastAsia="宋体" w:cs="宋体"/>
          <w:b/>
          <w:bCs/>
          <w:color w:val="auto"/>
          <w:sz w:val="36"/>
          <w:szCs w:val="36"/>
          <w:highlight w:val="none"/>
        </w:rPr>
      </w:pPr>
    </w:p>
    <w:p w14:paraId="38987414">
      <w:pPr>
        <w:autoSpaceDE w:val="0"/>
        <w:autoSpaceDN w:val="0"/>
        <w:adjustRightInd w:val="0"/>
        <w:spacing w:line="400" w:lineRule="atLeast"/>
        <w:jc w:val="center"/>
        <w:rPr>
          <w:rFonts w:ascii="宋体" w:hAnsi="宋体" w:eastAsia="宋体" w:cs="宋体"/>
          <w:b/>
          <w:bCs/>
          <w:color w:val="auto"/>
          <w:sz w:val="36"/>
          <w:szCs w:val="36"/>
          <w:highlight w:val="none"/>
        </w:rPr>
      </w:pPr>
    </w:p>
    <w:p w14:paraId="2D2BA5CA">
      <w:pPr>
        <w:autoSpaceDE w:val="0"/>
        <w:autoSpaceDN w:val="0"/>
        <w:adjustRightInd w:val="0"/>
        <w:spacing w:line="400" w:lineRule="atLeast"/>
        <w:jc w:val="center"/>
        <w:rPr>
          <w:rFonts w:ascii="宋体" w:hAnsi="宋体" w:eastAsia="宋体" w:cs="宋体"/>
          <w:b/>
          <w:bCs/>
          <w:color w:val="auto"/>
          <w:sz w:val="36"/>
          <w:szCs w:val="36"/>
          <w:highlight w:val="none"/>
        </w:rPr>
      </w:pPr>
    </w:p>
    <w:p w14:paraId="4D5A805C">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建成工程咨询股份有限公司</w:t>
      </w:r>
    </w:p>
    <w:p w14:paraId="29C6FC10">
      <w:pPr>
        <w:autoSpaceDE w:val="0"/>
        <w:autoSpaceDN w:val="0"/>
        <w:adjustRightInd w:val="0"/>
        <w:spacing w:line="400" w:lineRule="atLeast"/>
        <w:jc w:val="center"/>
        <w:rPr>
          <w:rFonts w:ascii="宋体" w:hAnsi="宋体" w:eastAsia="宋体" w:cs="宋体"/>
          <w:b/>
          <w:bCs/>
          <w:color w:val="auto"/>
          <w:sz w:val="36"/>
          <w:szCs w:val="36"/>
          <w:highlight w:val="none"/>
        </w:rPr>
      </w:pPr>
    </w:p>
    <w:p w14:paraId="52517FBA">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842" w:name="_Toc32395_WPSOffice_Level1"/>
      <w:r>
        <w:rPr>
          <w:rFonts w:hint="eastAsia" w:ascii="宋体" w:hAnsi="宋体" w:eastAsia="宋体" w:cs="宋体"/>
          <w:b/>
          <w:bCs/>
          <w:color w:val="auto"/>
          <w:sz w:val="36"/>
          <w:szCs w:val="36"/>
          <w:highlight w:val="none"/>
          <w:lang w:val="zh-CN"/>
        </w:rPr>
        <w:t>目录</w:t>
      </w:r>
      <w:bookmarkEnd w:id="842"/>
    </w:p>
    <w:p w14:paraId="3A377C17">
      <w:pPr>
        <w:autoSpaceDE w:val="0"/>
        <w:autoSpaceDN w:val="0"/>
        <w:adjustRightInd w:val="0"/>
        <w:spacing w:line="400" w:lineRule="atLeast"/>
        <w:jc w:val="center"/>
        <w:rPr>
          <w:rFonts w:ascii="宋体" w:hAnsi="宋体" w:eastAsia="宋体" w:cs="宋体"/>
          <w:color w:val="auto"/>
          <w:sz w:val="44"/>
          <w:szCs w:val="44"/>
          <w:highlight w:val="none"/>
        </w:rPr>
      </w:pPr>
    </w:p>
    <w:p w14:paraId="5284230B">
      <w:pPr>
        <w:autoSpaceDE w:val="0"/>
        <w:autoSpaceDN w:val="0"/>
        <w:adjustRightInd w:val="0"/>
        <w:spacing w:line="360" w:lineRule="auto"/>
        <w:ind w:left="567" w:hanging="567"/>
        <w:rPr>
          <w:rFonts w:ascii="宋体" w:hAnsi="宋体" w:eastAsia="宋体" w:cs="宋体"/>
          <w:color w:val="auto"/>
          <w:szCs w:val="30"/>
          <w:highlight w:val="none"/>
        </w:rPr>
      </w:pPr>
      <w:bookmarkStart w:id="843"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843"/>
    </w:p>
    <w:p w14:paraId="2834EA7F">
      <w:pPr>
        <w:autoSpaceDE w:val="0"/>
        <w:autoSpaceDN w:val="0"/>
        <w:adjustRightInd w:val="0"/>
        <w:spacing w:line="360" w:lineRule="auto"/>
        <w:ind w:left="567" w:hanging="567"/>
        <w:rPr>
          <w:rFonts w:ascii="宋体" w:hAnsi="宋体" w:eastAsia="宋体" w:cs="宋体"/>
          <w:color w:val="auto"/>
          <w:szCs w:val="30"/>
          <w:highlight w:val="none"/>
        </w:rPr>
      </w:pPr>
      <w:bookmarkStart w:id="844"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844"/>
    </w:p>
    <w:p w14:paraId="366C22D6">
      <w:pPr>
        <w:autoSpaceDE w:val="0"/>
        <w:autoSpaceDN w:val="0"/>
        <w:adjustRightInd w:val="0"/>
        <w:spacing w:line="360" w:lineRule="auto"/>
        <w:ind w:left="567" w:hanging="567"/>
        <w:rPr>
          <w:rFonts w:ascii="宋体" w:hAnsi="宋体" w:eastAsia="宋体" w:cs="宋体"/>
          <w:color w:val="auto"/>
          <w:szCs w:val="30"/>
          <w:highlight w:val="none"/>
        </w:rPr>
      </w:pPr>
      <w:bookmarkStart w:id="845"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845"/>
    </w:p>
    <w:p w14:paraId="627120C1">
      <w:pPr>
        <w:autoSpaceDE w:val="0"/>
        <w:autoSpaceDN w:val="0"/>
        <w:adjustRightInd w:val="0"/>
        <w:spacing w:line="360" w:lineRule="auto"/>
        <w:ind w:left="567" w:hanging="567"/>
        <w:rPr>
          <w:rFonts w:ascii="宋体" w:hAnsi="宋体" w:eastAsia="宋体" w:cs="宋体"/>
          <w:color w:val="auto"/>
          <w:szCs w:val="30"/>
          <w:highlight w:val="none"/>
        </w:rPr>
      </w:pPr>
      <w:bookmarkStart w:id="846" w:name="_Toc1206_WPSOffice_Level1"/>
      <w:r>
        <w:rPr>
          <w:rFonts w:hint="eastAsia" w:ascii="宋体" w:hAnsi="宋体" w:eastAsia="宋体" w:cs="宋体"/>
          <w:color w:val="auto"/>
          <w:szCs w:val="30"/>
          <w:highlight w:val="none"/>
        </w:rPr>
        <w:t>四、 比较和评价</w:t>
      </w:r>
      <w:bookmarkEnd w:id="846"/>
    </w:p>
    <w:p w14:paraId="57E6C81D">
      <w:pPr>
        <w:autoSpaceDE w:val="0"/>
        <w:autoSpaceDN w:val="0"/>
        <w:adjustRightInd w:val="0"/>
        <w:spacing w:line="360" w:lineRule="auto"/>
        <w:ind w:left="567" w:hanging="567"/>
        <w:rPr>
          <w:rFonts w:ascii="宋体" w:hAnsi="宋体" w:eastAsia="宋体" w:cs="宋体"/>
          <w:color w:val="auto"/>
          <w:szCs w:val="30"/>
          <w:highlight w:val="none"/>
        </w:rPr>
      </w:pPr>
      <w:bookmarkStart w:id="847"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847"/>
    </w:p>
    <w:p w14:paraId="21C9B42E">
      <w:pPr>
        <w:autoSpaceDE w:val="0"/>
        <w:autoSpaceDN w:val="0"/>
        <w:adjustRightInd w:val="0"/>
        <w:spacing w:line="360" w:lineRule="auto"/>
        <w:ind w:left="567" w:hanging="567"/>
        <w:rPr>
          <w:rFonts w:ascii="宋体" w:hAnsi="宋体" w:eastAsia="宋体" w:cs="宋体"/>
          <w:color w:val="auto"/>
          <w:szCs w:val="30"/>
          <w:highlight w:val="none"/>
        </w:rPr>
      </w:pPr>
      <w:bookmarkStart w:id="848"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848"/>
    </w:p>
    <w:p w14:paraId="2F2DD1F9">
      <w:pPr>
        <w:autoSpaceDE w:val="0"/>
        <w:autoSpaceDN w:val="0"/>
        <w:adjustRightInd w:val="0"/>
        <w:spacing w:line="360" w:lineRule="auto"/>
        <w:ind w:left="567" w:hanging="567"/>
        <w:rPr>
          <w:rFonts w:ascii="宋体" w:hAnsi="宋体" w:eastAsia="宋体" w:cs="宋体"/>
          <w:color w:val="auto"/>
          <w:szCs w:val="30"/>
          <w:highlight w:val="none"/>
        </w:rPr>
      </w:pPr>
      <w:bookmarkStart w:id="849"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849"/>
    </w:p>
    <w:p w14:paraId="7BF78273">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1B2CC214">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2E233CF5">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1D20FF9D">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850"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850"/>
    </w:p>
    <w:p w14:paraId="5A6DCD2C">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5C5F25CD">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东莞市众源环境投资有限公司“特大城市市政污泥全过程管理体系”成效评估及提质增效路径研究技术服务采购项目</w:t>
      </w:r>
      <w:r>
        <w:rPr>
          <w:rFonts w:hint="eastAsia" w:ascii="宋体" w:hAnsi="宋体" w:eastAsia="宋体" w:cs="宋体"/>
          <w:color w:val="auto"/>
          <w:szCs w:val="21"/>
          <w:highlight w:val="none"/>
          <w:lang w:val="zh-CN"/>
        </w:rPr>
        <w:t>(招标编号：广建咨询（东招）2025-0005号</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2036E820">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2C783120">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建成工程咨询股份有限公司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14:paraId="70DC7C05">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6294486D">
      <w:pPr>
        <w:numPr>
          <w:ilvl w:val="1"/>
          <w:numId w:val="2"/>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5FFAD2AF">
      <w:pPr>
        <w:autoSpaceDE w:val="0"/>
        <w:autoSpaceDN w:val="0"/>
        <w:adjustRightInd w:val="0"/>
        <w:spacing w:line="360" w:lineRule="auto"/>
        <w:rPr>
          <w:rFonts w:ascii="宋体" w:hAnsi="宋体" w:eastAsia="宋体" w:cs="宋体"/>
          <w:color w:val="auto"/>
          <w:sz w:val="24"/>
          <w:szCs w:val="24"/>
          <w:highlight w:val="none"/>
          <w:lang w:val="zh-CN"/>
        </w:rPr>
      </w:pPr>
    </w:p>
    <w:p w14:paraId="623ECB18">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02826CDC">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13DD8E95">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7434952E">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75F0000C">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162A35BA">
      <w:pPr>
        <w:autoSpaceDE w:val="0"/>
        <w:autoSpaceDN w:val="0"/>
        <w:adjustRightInd w:val="0"/>
        <w:spacing w:line="360" w:lineRule="auto"/>
        <w:rPr>
          <w:rFonts w:ascii="宋体" w:hAnsi="宋体" w:eastAsia="宋体" w:cs="宋体"/>
          <w:color w:val="auto"/>
          <w:sz w:val="24"/>
          <w:szCs w:val="24"/>
          <w:highlight w:val="none"/>
          <w:lang w:val="zh-CN"/>
        </w:rPr>
      </w:pPr>
    </w:p>
    <w:p w14:paraId="36BD1945">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6F34B10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373B4D4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1F7C5D70">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7F4FCAF1">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3CC1E3CA">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63C9D88D">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3645B8E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113120E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66B0A90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09DD330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7CF6BFD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1A9C8AAE">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21B3580F">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532E1CC1">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14:paraId="39912685">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14:paraId="21C807A6">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14:paraId="723B07D5">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14:paraId="0C93E120">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p>
    <w:p w14:paraId="76B80212">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14:paraId="0783C81D">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14:paraId="298D5C54">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14:paraId="194E6868">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2BC1C9FD">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851" w:name="_Toc19435_WPSOffice_Level1"/>
      <w:r>
        <w:rPr>
          <w:rFonts w:hint="eastAsia" w:ascii="宋体" w:hAnsi="宋体" w:eastAsia="宋体" w:cs="宋体"/>
          <w:b/>
          <w:bCs/>
          <w:color w:val="auto"/>
          <w:sz w:val="28"/>
          <w:szCs w:val="28"/>
          <w:highlight w:val="none"/>
          <w:lang w:val="zh-CN"/>
        </w:rPr>
        <w:t>二、投标文件的初审</w:t>
      </w:r>
      <w:bookmarkEnd w:id="851"/>
    </w:p>
    <w:p w14:paraId="59DD6197">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3DF4EAA7">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508991ED">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3661FA1F">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14:paraId="2A6F24B9">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4EF55DB9">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24CC492D">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14:paraId="26FA1AF1">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14:paraId="597C2173">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kern w:val="0"/>
          <w:szCs w:val="21"/>
          <w:highlight w:val="none"/>
        </w:rPr>
        <w:t>投标文件中的投标报价高于最高投标限价的</w:t>
      </w:r>
      <w:r>
        <w:rPr>
          <w:rFonts w:hint="eastAsia" w:ascii="宋体" w:hAnsi="宋体" w:eastAsia="宋体" w:cs="宋体"/>
          <w:b/>
          <w:bCs/>
          <w:color w:val="auto"/>
          <w:kern w:val="0"/>
          <w:szCs w:val="21"/>
          <w:highlight w:val="none"/>
        </w:rPr>
        <w:t>；</w:t>
      </w:r>
    </w:p>
    <w:p w14:paraId="03CCF70D">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30526263">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13D0E97E">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330470A7">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14:paraId="29BF13E5">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rPr>
        <w:t>7</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14:paraId="6F45D6E2">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30423B53">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9</w:t>
      </w:r>
      <w:r>
        <w:rPr>
          <w:rFonts w:ascii="宋体" w:hAnsi="宋体" w:eastAsia="宋体" w:cs="Times New Roman"/>
          <w:b/>
          <w:color w:val="auto"/>
          <w:kern w:val="0"/>
          <w:szCs w:val="21"/>
          <w:highlight w:val="none"/>
        </w:rPr>
        <w:t xml:space="preserve">  未提供或虚假填写《合同条款偏离表》，或对《合同条款偏离表》有负偏离的；</w:t>
      </w:r>
    </w:p>
    <w:p w14:paraId="3CE1A18D">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10</w:t>
      </w:r>
      <w:r>
        <w:rPr>
          <w:rFonts w:ascii="宋体" w:hAnsi="宋体" w:eastAsia="宋体" w:cs="Times New Roman"/>
          <w:b/>
          <w:color w:val="auto"/>
          <w:kern w:val="0"/>
          <w:szCs w:val="21"/>
          <w:highlight w:val="none"/>
        </w:rPr>
        <w:t xml:space="preserve">  未填写或虚假填写《用户需求偏离表》的；</w:t>
      </w:r>
    </w:p>
    <w:p w14:paraId="36EB9FEB">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11</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lang w:val="en-US" w:eastAsia="zh-CN"/>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14:paraId="2A3EBA9F">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141D8167">
      <w:pPr>
        <w:spacing w:line="360" w:lineRule="auto"/>
        <w:ind w:left="480"/>
        <w:rPr>
          <w:rFonts w:ascii="宋体" w:hAnsi="宋体" w:eastAsia="宋体" w:cs="宋体"/>
          <w:b/>
          <w:color w:val="auto"/>
          <w:kern w:val="0"/>
          <w:szCs w:val="21"/>
          <w:highlight w:val="none"/>
        </w:rPr>
      </w:pPr>
    </w:p>
    <w:p w14:paraId="68C57F63">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852" w:name="_Toc4109_WPSOffice_Level1"/>
      <w:r>
        <w:rPr>
          <w:rFonts w:hint="eastAsia" w:ascii="宋体" w:hAnsi="宋体" w:eastAsia="宋体" w:cs="宋体"/>
          <w:b/>
          <w:bCs/>
          <w:color w:val="auto"/>
          <w:sz w:val="28"/>
          <w:szCs w:val="28"/>
          <w:highlight w:val="none"/>
          <w:lang w:val="zh-CN"/>
        </w:rPr>
        <w:t>三、澄清有关问题</w:t>
      </w:r>
      <w:bookmarkEnd w:id="852"/>
    </w:p>
    <w:p w14:paraId="26834F96">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0A95E306">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2AC34E0B">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66709054">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7AD18DB3">
      <w:pPr>
        <w:spacing w:line="360" w:lineRule="auto"/>
        <w:ind w:left="424" w:hanging="424" w:hanging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14:paraId="4DFFD4E4">
      <w:pPr>
        <w:autoSpaceDE/>
        <w:autoSpaceDN/>
        <w:adjustRightInd/>
        <w:spacing w:line="360" w:lineRule="auto"/>
        <w:ind w:left="567"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0D954825">
      <w:pPr>
        <w:autoSpaceDE/>
        <w:autoSpaceDN/>
        <w:adjustRightInd/>
        <w:spacing w:line="360" w:lineRule="auto"/>
        <w:ind w:left="0"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zh-CN"/>
        </w:rPr>
        <w:t>）投标报价当以数字表示的报价系数与以文字表示的报价系数不一致时，以文字表示的报价系数为准；</w:t>
      </w:r>
    </w:p>
    <w:p w14:paraId="1100C652">
      <w:pPr>
        <w:autoSpaceDE/>
        <w:autoSpaceDN/>
        <w:adjustRightInd/>
        <w:spacing w:line="360" w:lineRule="auto"/>
        <w:ind w:left="0" w:firstLine="420" w:firstLineChars="200"/>
        <w:jc w:val="left"/>
        <w:rPr>
          <w:rFonts w:ascii="宋体" w:hAnsi="宋体" w:eastAsia="宋体" w:cs="Times New Roman"/>
          <w:color w:val="auto"/>
          <w:kern w:val="0"/>
          <w:sz w:val="24"/>
          <w:szCs w:val="24"/>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B</w:t>
      </w:r>
      <w:r>
        <w:rPr>
          <w:rFonts w:hint="eastAsia" w:ascii="宋体" w:hAnsi="宋体" w:eastAsia="宋体" w:cs="宋体"/>
          <w:color w:val="auto"/>
          <w:kern w:val="0"/>
          <w:szCs w:val="21"/>
          <w:highlight w:val="none"/>
          <w:lang w:val="zh-CN"/>
        </w:rPr>
        <w:t>）按前述修正原则排序依次进行修正至唯一值后的报价表经双方确认后，作为合同文件的组成部分。</w:t>
      </w:r>
    </w:p>
    <w:p w14:paraId="5FA96E39">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00138F38">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61E9C156">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853" w:name="_Toc8518_WPSOffice_Level1"/>
    </w:p>
    <w:p w14:paraId="53001BD7">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853"/>
    </w:p>
    <w:p w14:paraId="523C9158">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02981FEC">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6B04ACD0">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14:paraId="44A0470C">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4F62BD60">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792DCDEE">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4ED9BF71">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14:paraId="45E79DCB">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14:paraId="60C49996">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14:paraId="2396C0D6">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14:paraId="03B5AEBF">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7C53DB5B">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71EC645D">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14:paraId="3E8430E5">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74EE6028">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591B9A51">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14:paraId="0A58E62D">
      <w:pPr>
        <w:autoSpaceDE w:val="0"/>
        <w:autoSpaceDN w:val="0"/>
        <w:adjustRightInd w:val="0"/>
        <w:spacing w:line="360" w:lineRule="auto"/>
        <w:rPr>
          <w:rFonts w:ascii="宋体" w:hAnsi="宋体" w:eastAsia="宋体" w:cs="宋体"/>
          <w:color w:val="auto"/>
          <w:szCs w:val="24"/>
          <w:highlight w:val="none"/>
          <w:lang w:val="zh-CN"/>
        </w:rPr>
      </w:pPr>
    </w:p>
    <w:p w14:paraId="74D3A4B5">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2A5CE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5915081D">
            <w:pPr>
              <w:spacing w:line="400" w:lineRule="exact"/>
              <w:jc w:val="center"/>
              <w:rPr>
                <w:rFonts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5441B19A">
            <w:pPr>
              <w:spacing w:line="400" w:lineRule="exact"/>
              <w:jc w:val="center"/>
              <w:rPr>
                <w:rFonts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分值</w:t>
            </w:r>
          </w:p>
        </w:tc>
      </w:tr>
      <w:tr w14:paraId="41772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548F9672">
            <w:pPr>
              <w:spacing w:line="400" w:lineRule="exact"/>
              <w:jc w:val="center"/>
              <w:rPr>
                <w:rFonts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7077215C">
            <w:pPr>
              <w:autoSpaceDE w:val="0"/>
              <w:autoSpaceDN w:val="0"/>
              <w:adjustRightInd w:val="0"/>
              <w:spacing w:line="400" w:lineRule="exact"/>
              <w:jc w:val="center"/>
              <w:rPr>
                <w:rFonts w:ascii="宋体" w:hAnsi="宋体" w:eastAsia="宋体" w:cs="宋体"/>
                <w:bCs/>
                <w:color w:val="auto"/>
                <w:kern w:val="0"/>
                <w:sz w:val="21"/>
                <w:szCs w:val="21"/>
                <w:highlight w:val="none"/>
                <w:lang w:val="zh-CN"/>
              </w:rPr>
            </w:pPr>
            <w:r>
              <w:rPr>
                <w:rFonts w:hint="eastAsia" w:ascii="宋体" w:hAnsi="宋体" w:eastAsia="宋体" w:cs="宋体"/>
                <w:b/>
                <w:color w:val="auto"/>
                <w:sz w:val="21"/>
                <w:szCs w:val="21"/>
                <w:highlight w:val="none"/>
                <w:lang w:val="en-US" w:eastAsia="zh-CN"/>
              </w:rPr>
              <w:t>50</w:t>
            </w:r>
            <w:r>
              <w:rPr>
                <w:rFonts w:hint="eastAsia" w:ascii="宋体" w:hAnsi="宋体" w:eastAsia="宋体" w:cs="宋体"/>
                <w:b/>
                <w:color w:val="auto"/>
                <w:sz w:val="21"/>
                <w:szCs w:val="21"/>
                <w:highlight w:val="none"/>
                <w:lang w:val="zh-CN"/>
              </w:rPr>
              <w:t>分</w:t>
            </w:r>
          </w:p>
        </w:tc>
      </w:tr>
      <w:tr w14:paraId="52C10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70D76AF7">
            <w:pPr>
              <w:spacing w:line="400" w:lineRule="exact"/>
              <w:jc w:val="center"/>
              <w:rPr>
                <w:rFonts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6D078BE9">
            <w:pPr>
              <w:autoSpaceDE w:val="0"/>
              <w:autoSpaceDN w:val="0"/>
              <w:adjustRightInd w:val="0"/>
              <w:spacing w:line="400" w:lineRule="exact"/>
              <w:jc w:val="center"/>
              <w:rPr>
                <w:rFonts w:ascii="宋体" w:hAnsi="宋体" w:eastAsia="宋体" w:cs="宋体"/>
                <w:bCs/>
                <w:color w:val="auto"/>
                <w:kern w:val="0"/>
                <w:sz w:val="21"/>
                <w:szCs w:val="21"/>
                <w:highlight w:val="none"/>
                <w:lang w:val="zh-CN"/>
              </w:rPr>
            </w:pPr>
            <w:r>
              <w:rPr>
                <w:rFonts w:hint="eastAsia" w:ascii="宋体" w:hAnsi="宋体" w:eastAsia="宋体" w:cs="宋体"/>
                <w:b/>
                <w:color w:val="auto"/>
                <w:sz w:val="21"/>
                <w:szCs w:val="21"/>
                <w:highlight w:val="none"/>
                <w:lang w:val="en-US" w:eastAsia="zh-CN"/>
              </w:rPr>
              <w:t>25</w:t>
            </w:r>
            <w:r>
              <w:rPr>
                <w:rFonts w:hint="eastAsia" w:ascii="宋体" w:hAnsi="宋体" w:eastAsia="宋体" w:cs="宋体"/>
                <w:b/>
                <w:color w:val="auto"/>
                <w:sz w:val="21"/>
                <w:szCs w:val="21"/>
                <w:highlight w:val="none"/>
                <w:lang w:val="zh-CN"/>
              </w:rPr>
              <w:t>分</w:t>
            </w:r>
          </w:p>
        </w:tc>
      </w:tr>
      <w:tr w14:paraId="5AE06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6DB35D03">
            <w:pPr>
              <w:spacing w:line="400" w:lineRule="exact"/>
              <w:jc w:val="center"/>
              <w:rPr>
                <w:rFonts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14:paraId="3021A63D">
            <w:pPr>
              <w:autoSpaceDE w:val="0"/>
              <w:autoSpaceDN w:val="0"/>
              <w:adjustRightInd w:val="0"/>
              <w:spacing w:line="400" w:lineRule="exact"/>
              <w:jc w:val="center"/>
              <w:rPr>
                <w:rFonts w:ascii="宋体" w:hAnsi="宋体" w:eastAsia="宋体" w:cs="宋体"/>
                <w:bCs/>
                <w:color w:val="auto"/>
                <w:kern w:val="0"/>
                <w:sz w:val="21"/>
                <w:szCs w:val="21"/>
                <w:highlight w:val="none"/>
                <w:lang w:val="zh-CN"/>
              </w:rPr>
            </w:pPr>
            <w:r>
              <w:rPr>
                <w:rFonts w:hint="eastAsia" w:ascii="宋体" w:hAnsi="宋体" w:eastAsia="宋体" w:cs="宋体"/>
                <w:b/>
                <w:color w:val="auto"/>
                <w:sz w:val="21"/>
                <w:szCs w:val="21"/>
                <w:highlight w:val="none"/>
                <w:lang w:val="en-US" w:eastAsia="zh-CN"/>
              </w:rPr>
              <w:t>25</w:t>
            </w:r>
            <w:r>
              <w:rPr>
                <w:rFonts w:hint="eastAsia" w:ascii="宋体" w:hAnsi="宋体" w:eastAsia="宋体" w:cs="宋体"/>
                <w:b/>
                <w:color w:val="auto"/>
                <w:sz w:val="21"/>
                <w:szCs w:val="21"/>
                <w:highlight w:val="none"/>
                <w:lang w:val="zh-CN"/>
              </w:rPr>
              <w:t>分</w:t>
            </w:r>
          </w:p>
        </w:tc>
      </w:tr>
    </w:tbl>
    <w:p w14:paraId="5DD3151D">
      <w:pPr>
        <w:tabs>
          <w:tab w:val="left" w:pos="585"/>
        </w:tabs>
        <w:autoSpaceDE w:val="0"/>
        <w:autoSpaceDN w:val="0"/>
        <w:adjustRightInd w:val="0"/>
        <w:spacing w:line="360" w:lineRule="auto"/>
        <w:rPr>
          <w:rFonts w:ascii="宋体" w:hAnsi="宋体" w:eastAsia="宋体" w:cs="宋体"/>
          <w:b/>
          <w:color w:val="auto"/>
          <w:szCs w:val="21"/>
          <w:highlight w:val="none"/>
        </w:rPr>
      </w:pPr>
      <w:bookmarkStart w:id="854" w:name="_Toc18349_WPSOffice_Level2"/>
    </w:p>
    <w:p w14:paraId="578142C8">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50</w:t>
      </w:r>
      <w:r>
        <w:rPr>
          <w:rFonts w:hint="eastAsia" w:ascii="宋体" w:hAnsi="宋体" w:eastAsia="宋体" w:cs="宋体"/>
          <w:b/>
          <w:color w:val="auto"/>
          <w:szCs w:val="21"/>
          <w:highlight w:val="none"/>
          <w:lang w:val="zh-CN"/>
        </w:rPr>
        <w:t>分</w:t>
      </w:r>
      <w:bookmarkEnd w:id="854"/>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133"/>
        <w:gridCol w:w="7673"/>
        <w:gridCol w:w="907"/>
      </w:tblGrid>
      <w:tr w14:paraId="0502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17" w:type="pct"/>
            <w:tcBorders>
              <w:top w:val="single" w:color="auto" w:sz="4" w:space="0"/>
              <w:left w:val="single" w:color="auto" w:sz="4" w:space="0"/>
              <w:bottom w:val="single" w:color="auto" w:sz="4" w:space="0"/>
              <w:right w:val="single" w:color="auto" w:sz="4" w:space="0"/>
            </w:tcBorders>
            <w:vAlign w:val="bottom"/>
          </w:tcPr>
          <w:p w14:paraId="6FD8D9C4">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bottom"/>
          </w:tcPr>
          <w:p w14:paraId="5828A9FE">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8" w:type="pct"/>
            <w:tcBorders>
              <w:top w:val="single" w:color="auto" w:sz="4" w:space="0"/>
              <w:left w:val="single" w:color="auto" w:sz="4" w:space="0"/>
              <w:bottom w:val="single" w:color="auto" w:sz="4" w:space="0"/>
              <w:right w:val="single" w:color="auto" w:sz="4" w:space="0"/>
            </w:tcBorders>
            <w:vAlign w:val="bottom"/>
          </w:tcPr>
          <w:p w14:paraId="404AD549">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338AE50E">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1415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14:paraId="08216899">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kern w:val="0"/>
                <w:szCs w:val="21"/>
                <w:highlight w:val="none"/>
                <w:lang w:val="en-US" w:eastAsia="zh-CN"/>
              </w:rPr>
            </w:pPr>
            <w:bookmarkStart w:id="855" w:name="_Hlk104987354"/>
            <w:r>
              <w:rPr>
                <w:rFonts w:hint="eastAsia" w:ascii="宋体" w:hAnsi="宋体" w:eastAsia="宋体" w:cs="宋体"/>
                <w:color w:val="auto"/>
                <w:kern w:val="0"/>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14:paraId="42F23839">
            <w:pPr>
              <w:keepNext w:val="0"/>
              <w:keepLines w:val="0"/>
              <w:pageBreakBefore w:val="0"/>
              <w:widowControl w:val="0"/>
              <w:kinsoku/>
              <w:wordWrap/>
              <w:overflowPunct/>
              <w:topLinePunct w:val="0"/>
              <w:bidi w:val="0"/>
              <w:spacing w:line="400" w:lineRule="exact"/>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业绩</w:t>
            </w:r>
          </w:p>
        </w:tc>
        <w:tc>
          <w:tcPr>
            <w:tcW w:w="3698" w:type="pct"/>
            <w:tcBorders>
              <w:top w:val="single" w:color="auto" w:sz="4" w:space="0"/>
              <w:left w:val="single" w:color="auto" w:sz="4" w:space="0"/>
              <w:bottom w:val="single" w:color="auto" w:sz="4" w:space="0"/>
              <w:right w:val="single" w:color="auto" w:sz="4" w:space="0"/>
            </w:tcBorders>
            <w:vAlign w:val="center"/>
          </w:tcPr>
          <w:p w14:paraId="616F39D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rPr>
              <w:t>投</w:t>
            </w:r>
            <w:r>
              <w:rPr>
                <w:rFonts w:hint="eastAsia" w:ascii="宋体" w:hAnsi="宋体" w:eastAsia="宋体" w:cs="Times New Roman"/>
                <w:b w:val="0"/>
                <w:bCs/>
                <w:color w:val="auto"/>
                <w:kern w:val="0"/>
                <w:sz w:val="21"/>
                <w:szCs w:val="21"/>
                <w:highlight w:val="none"/>
                <w:lang w:val="en-US" w:eastAsia="zh-CN"/>
              </w:rPr>
              <w:t>标人每提供一个2022年1月1日以来（合同签订日期为2022年1月1日或以后）承接过的</w:t>
            </w:r>
            <w:r>
              <w:rPr>
                <w:rFonts w:hint="eastAsia" w:ascii="宋体" w:hAnsi="宋体" w:eastAsia="宋体" w:cs="Times New Roman"/>
                <w:bCs/>
                <w:color w:val="auto"/>
                <w:kern w:val="0"/>
                <w:szCs w:val="21"/>
                <w:highlight w:val="none"/>
              </w:rPr>
              <w:t>生态环境</w:t>
            </w:r>
            <w:r>
              <w:rPr>
                <w:rFonts w:hint="eastAsia" w:ascii="宋体" w:hAnsi="宋体" w:eastAsia="宋体" w:cs="Times New Roman"/>
                <w:b w:val="0"/>
                <w:bCs/>
                <w:color w:val="auto"/>
                <w:kern w:val="0"/>
                <w:sz w:val="21"/>
                <w:szCs w:val="21"/>
                <w:highlight w:val="none"/>
                <w:lang w:val="en-US" w:eastAsia="zh-CN"/>
              </w:rPr>
              <w:t>领域</w:t>
            </w:r>
            <w:r>
              <w:rPr>
                <w:rFonts w:hint="eastAsia" w:ascii="宋体" w:hAnsi="宋体" w:eastAsia="宋体" w:cs="Times New Roman"/>
                <w:bCs/>
                <w:color w:val="auto"/>
                <w:kern w:val="0"/>
                <w:szCs w:val="21"/>
                <w:highlight w:val="none"/>
              </w:rPr>
              <w:t>技术研究服务同类业绩</w:t>
            </w:r>
            <w:r>
              <w:rPr>
                <w:rFonts w:hint="eastAsia" w:ascii="宋体" w:hAnsi="宋体" w:eastAsia="宋体" w:cs="Times New Roman"/>
                <w:b w:val="0"/>
                <w:bCs/>
                <w:color w:val="auto"/>
                <w:kern w:val="0"/>
                <w:sz w:val="21"/>
                <w:szCs w:val="21"/>
                <w:highlight w:val="none"/>
                <w:lang w:val="en-US" w:eastAsia="zh-CN"/>
              </w:rPr>
              <w:t>，得4分，本子项满分16分。</w:t>
            </w:r>
          </w:p>
          <w:p w14:paraId="3B6EB82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val="en-US" w:eastAsia="zh-CN"/>
              </w:rPr>
              <w:t>2</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Cs/>
                <w:color w:val="auto"/>
                <w:kern w:val="0"/>
                <w:szCs w:val="21"/>
                <w:highlight w:val="none"/>
              </w:rPr>
              <w:t>投标人提供的上述第1项业绩中属于固体废物领域技术研究服务同类业绩</w:t>
            </w:r>
            <w:r>
              <w:rPr>
                <w:rFonts w:hint="eastAsia" w:ascii="宋体" w:hAnsi="宋体" w:eastAsia="宋体" w:cs="宋体"/>
                <w:bCs/>
                <w:color w:val="auto"/>
                <w:kern w:val="0"/>
                <w:szCs w:val="21"/>
                <w:highlight w:val="none"/>
                <w:lang w:eastAsia="zh-CN"/>
              </w:rPr>
              <w:t>的，</w:t>
            </w:r>
            <w:r>
              <w:rPr>
                <w:rFonts w:hint="eastAsia" w:ascii="宋体" w:hAnsi="宋体" w:eastAsia="宋体" w:cs="宋体"/>
                <w:bCs/>
                <w:color w:val="auto"/>
                <w:kern w:val="0"/>
                <w:szCs w:val="21"/>
                <w:highlight w:val="none"/>
              </w:rPr>
              <w:t>在上述得分基础上进行加分，</w:t>
            </w:r>
            <w:r>
              <w:rPr>
                <w:rFonts w:hint="eastAsia" w:ascii="宋体" w:hAnsi="宋体" w:eastAsia="宋体" w:cs="宋体"/>
                <w:bCs/>
                <w:color w:val="auto"/>
                <w:kern w:val="0"/>
                <w:szCs w:val="21"/>
                <w:highlight w:val="none"/>
                <w:lang w:val="en-US" w:eastAsia="zh-CN"/>
              </w:rPr>
              <w:t>每项加2分</w:t>
            </w:r>
            <w:r>
              <w:rPr>
                <w:rFonts w:hint="eastAsia" w:ascii="宋体" w:hAnsi="宋体" w:eastAsia="宋体" w:cs="Times New Roman"/>
                <w:b w:val="0"/>
                <w:bCs/>
                <w:color w:val="auto"/>
                <w:kern w:val="0"/>
                <w:sz w:val="21"/>
                <w:szCs w:val="21"/>
                <w:highlight w:val="none"/>
                <w:lang w:val="en-US" w:eastAsia="zh-CN"/>
              </w:rPr>
              <w:t>，本子项满分8分。</w:t>
            </w:r>
          </w:p>
          <w:p w14:paraId="73118E1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b/>
                <w:bCs w:val="0"/>
                <w:color w:val="auto"/>
                <w:kern w:val="0"/>
                <w:sz w:val="21"/>
                <w:szCs w:val="21"/>
                <w:highlight w:val="none"/>
                <w:lang w:val="en-US" w:eastAsia="zh-CN"/>
              </w:rPr>
            </w:pPr>
            <w:r>
              <w:rPr>
                <w:rFonts w:hint="eastAsia" w:ascii="宋体" w:hAnsi="宋体" w:eastAsia="宋体" w:cs="Times New Roman"/>
                <w:b/>
                <w:bCs w:val="0"/>
                <w:color w:val="auto"/>
                <w:kern w:val="0"/>
                <w:sz w:val="21"/>
                <w:szCs w:val="21"/>
                <w:highlight w:val="none"/>
                <w:lang w:val="en-US" w:eastAsia="zh-CN"/>
              </w:rPr>
              <w:t>备注：</w:t>
            </w:r>
          </w:p>
          <w:p w14:paraId="60ED25E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b/>
                <w:color w:val="auto"/>
                <w:kern w:val="0"/>
                <w:szCs w:val="21"/>
                <w:highlight w:val="none"/>
                <w:lang w:eastAsia="zh-CN"/>
              </w:rPr>
            </w:pPr>
            <w:r>
              <w:rPr>
                <w:rFonts w:hint="eastAsia" w:ascii="宋体" w:hAnsi="宋体" w:eastAsia="宋体" w:cs="Times New Roman"/>
                <w:b/>
                <w:bCs w:val="0"/>
                <w:color w:val="auto"/>
                <w:kern w:val="0"/>
                <w:sz w:val="21"/>
                <w:szCs w:val="21"/>
                <w:highlight w:val="none"/>
                <w:lang w:val="en-US" w:eastAsia="zh-CN"/>
              </w:rPr>
              <w:t>①</w:t>
            </w:r>
            <w:r>
              <w:rPr>
                <w:rFonts w:hint="eastAsia" w:ascii="宋体" w:hAnsi="宋体" w:eastAsia="宋体" w:cs="Times New Roman"/>
                <w:b/>
                <w:color w:val="auto"/>
                <w:kern w:val="0"/>
                <w:szCs w:val="21"/>
                <w:highlight w:val="none"/>
              </w:rPr>
              <w:t>业绩中的“生态环境领域”是指包含水污染治理（或大气污染治理，或固体废弃物处理处置，或物理污染治理，或生态修复）范围的领域。“生态环境领域技术研究服务同类业绩”是指该业绩包含生态环境领域的全过程管理（或处理技术，或应用技术）的技术研究（或评估研究，或规范研究，或政策研究）服务内容的业绩；</w:t>
            </w:r>
          </w:p>
          <w:p w14:paraId="55ADA2C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b/>
                <w:bCs w:val="0"/>
                <w:color w:val="auto"/>
                <w:kern w:val="0"/>
                <w:sz w:val="21"/>
                <w:szCs w:val="21"/>
                <w:highlight w:val="none"/>
                <w:lang w:val="en-US" w:eastAsia="zh-CN"/>
              </w:rPr>
            </w:pPr>
            <w:r>
              <w:rPr>
                <w:rFonts w:hint="eastAsia" w:ascii="宋体" w:hAnsi="宋体" w:eastAsia="宋体" w:cs="Times New Roman"/>
                <w:b/>
                <w:bCs w:val="0"/>
                <w:color w:val="auto"/>
                <w:kern w:val="0"/>
                <w:sz w:val="21"/>
                <w:szCs w:val="21"/>
                <w:highlight w:val="none"/>
                <w:lang w:val="en-US" w:eastAsia="zh-CN"/>
              </w:rPr>
              <w:t>②业绩中的“固体废物”是指属于工业固体废物，或生活垃圾，或建筑垃圾、农业固体废物等，或危险废物，或其他固体废物（城镇污水污泥，或清淤疏浚污泥，或实验室固体废物）的固体（或半固体）废弃物质。</w:t>
            </w:r>
            <w:r>
              <w:rPr>
                <w:rFonts w:hint="eastAsia" w:ascii="宋体" w:hAnsi="宋体" w:eastAsia="宋体" w:cs="宋体"/>
                <w:b/>
                <w:bCs w:val="0"/>
                <w:color w:val="auto"/>
                <w:szCs w:val="21"/>
                <w:highlight w:val="none"/>
                <w:lang w:eastAsia="zh-CN"/>
              </w:rPr>
              <w:t>“</w:t>
            </w:r>
            <w:r>
              <w:rPr>
                <w:rFonts w:hint="eastAsia" w:ascii="宋体" w:hAnsi="宋体" w:eastAsia="宋体" w:cs="宋体"/>
                <w:b/>
                <w:bCs w:val="0"/>
                <w:color w:val="auto"/>
                <w:szCs w:val="21"/>
                <w:highlight w:val="none"/>
              </w:rPr>
              <w:t>固体废物领域</w:t>
            </w:r>
            <w:r>
              <w:rPr>
                <w:rFonts w:hint="eastAsia" w:ascii="宋体" w:hAnsi="宋体" w:eastAsia="宋体" w:cs="宋体"/>
                <w:b/>
                <w:bCs w:val="0"/>
                <w:color w:val="auto"/>
                <w:szCs w:val="21"/>
                <w:highlight w:val="none"/>
                <w:lang w:val="en-US" w:eastAsia="zh-CN"/>
              </w:rPr>
              <w:t>技术研究服务同类业绩</w:t>
            </w:r>
            <w:r>
              <w:rPr>
                <w:rFonts w:hint="eastAsia" w:ascii="宋体" w:hAnsi="宋体" w:eastAsia="宋体" w:cs="宋体"/>
                <w:b/>
                <w:bCs w:val="0"/>
                <w:color w:val="auto"/>
                <w:szCs w:val="21"/>
                <w:highlight w:val="none"/>
                <w:lang w:eastAsia="zh-CN"/>
              </w:rPr>
              <w:t>”是</w:t>
            </w:r>
            <w:r>
              <w:rPr>
                <w:rFonts w:hint="eastAsia" w:ascii="宋体" w:hAnsi="宋体" w:eastAsia="宋体" w:cs="宋体"/>
                <w:b/>
                <w:bCs w:val="0"/>
                <w:color w:val="auto"/>
                <w:szCs w:val="21"/>
                <w:highlight w:val="none"/>
                <w:lang w:val="en-US" w:eastAsia="zh-CN"/>
              </w:rPr>
              <w:t>指该业绩包含</w:t>
            </w:r>
            <w:r>
              <w:rPr>
                <w:rFonts w:hint="eastAsia" w:ascii="宋体" w:hAnsi="宋体" w:eastAsia="宋体" w:cs="宋体"/>
                <w:b/>
                <w:bCs w:val="0"/>
                <w:color w:val="auto"/>
                <w:szCs w:val="21"/>
                <w:highlight w:val="none"/>
              </w:rPr>
              <w:t>固体废物领域</w:t>
            </w:r>
            <w:r>
              <w:rPr>
                <w:rFonts w:hint="eastAsia" w:ascii="宋体" w:hAnsi="宋体" w:eastAsia="宋体" w:cs="宋体"/>
                <w:b/>
                <w:bCs w:val="0"/>
                <w:color w:val="auto"/>
                <w:szCs w:val="21"/>
                <w:highlight w:val="none"/>
                <w:lang w:eastAsia="zh-CN"/>
              </w:rPr>
              <w:t>的</w:t>
            </w:r>
            <w:r>
              <w:rPr>
                <w:rFonts w:hint="eastAsia" w:ascii="宋体" w:hAnsi="宋体" w:eastAsia="宋体" w:cs="宋体"/>
                <w:b/>
                <w:bCs w:val="0"/>
                <w:color w:val="auto"/>
                <w:szCs w:val="21"/>
                <w:highlight w:val="none"/>
                <w:lang w:val="en-US" w:eastAsia="zh-CN"/>
              </w:rPr>
              <w:t>全过程管理（或处理技术，</w:t>
            </w:r>
            <w:r>
              <w:rPr>
                <w:rFonts w:hint="eastAsia" w:ascii="宋体" w:hAnsi="宋体" w:eastAsia="宋体" w:cs="Times New Roman"/>
                <w:b/>
                <w:bCs w:val="0"/>
                <w:color w:val="auto"/>
                <w:kern w:val="0"/>
                <w:sz w:val="21"/>
                <w:szCs w:val="21"/>
                <w:highlight w:val="none"/>
                <w:lang w:val="en-US" w:eastAsia="zh-CN"/>
              </w:rPr>
              <w:t>或应用技术</w:t>
            </w:r>
            <w:r>
              <w:rPr>
                <w:rFonts w:hint="eastAsia" w:ascii="宋体" w:hAnsi="宋体" w:eastAsia="宋体" w:cs="宋体"/>
                <w:b/>
                <w:bCs w:val="0"/>
                <w:color w:val="auto"/>
                <w:szCs w:val="21"/>
                <w:highlight w:val="none"/>
                <w:lang w:val="en-US" w:eastAsia="zh-CN"/>
              </w:rPr>
              <w:t>）</w:t>
            </w:r>
            <w:r>
              <w:rPr>
                <w:rFonts w:hint="eastAsia" w:ascii="宋体" w:hAnsi="宋体" w:eastAsia="宋体" w:cs="Times New Roman"/>
                <w:b/>
                <w:bCs w:val="0"/>
                <w:color w:val="auto"/>
                <w:kern w:val="0"/>
                <w:sz w:val="21"/>
                <w:szCs w:val="21"/>
                <w:highlight w:val="none"/>
                <w:lang w:val="en-US" w:eastAsia="zh-CN"/>
              </w:rPr>
              <w:t>的技术研究（或评估研究，或规范研究，或政策研究）</w:t>
            </w:r>
            <w:r>
              <w:rPr>
                <w:rFonts w:hint="eastAsia" w:ascii="宋体" w:hAnsi="宋体" w:eastAsia="宋体" w:cs="宋体"/>
                <w:b/>
                <w:bCs w:val="0"/>
                <w:color w:val="auto"/>
                <w:szCs w:val="21"/>
                <w:highlight w:val="none"/>
                <w:lang w:val="en-US" w:eastAsia="zh-CN"/>
              </w:rPr>
              <w:t>服务内容的业绩</w:t>
            </w:r>
            <w:r>
              <w:rPr>
                <w:rFonts w:hint="eastAsia" w:ascii="宋体" w:hAnsi="宋体" w:eastAsia="宋体" w:cs="Times New Roman"/>
                <w:b/>
                <w:bCs w:val="0"/>
                <w:color w:val="auto"/>
                <w:kern w:val="0"/>
                <w:sz w:val="21"/>
                <w:szCs w:val="21"/>
                <w:highlight w:val="none"/>
                <w:lang w:val="en-US" w:eastAsia="zh-CN"/>
              </w:rPr>
              <w:t>；</w:t>
            </w:r>
          </w:p>
          <w:p w14:paraId="279B967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b/>
                <w:bCs w:val="0"/>
                <w:color w:val="auto"/>
                <w:kern w:val="0"/>
                <w:sz w:val="21"/>
                <w:szCs w:val="21"/>
                <w:highlight w:val="none"/>
                <w:lang w:val="en-US" w:eastAsia="zh-CN"/>
              </w:rPr>
            </w:pPr>
            <w:r>
              <w:rPr>
                <w:rFonts w:hint="eastAsia" w:ascii="宋体" w:hAnsi="宋体" w:eastAsia="宋体" w:cs="Times New Roman"/>
                <w:b/>
                <w:bCs w:val="0"/>
                <w:color w:val="auto"/>
                <w:kern w:val="0"/>
                <w:sz w:val="21"/>
                <w:szCs w:val="21"/>
                <w:highlight w:val="none"/>
                <w:lang w:val="en-US" w:eastAsia="zh-CN"/>
              </w:rPr>
              <w:t>③业绩须附合同复印件（合同服务提供方为投标人）；</w:t>
            </w:r>
          </w:p>
          <w:p w14:paraId="3523CE6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b/>
                <w:bCs w:val="0"/>
                <w:color w:val="auto"/>
                <w:kern w:val="0"/>
                <w:sz w:val="21"/>
                <w:szCs w:val="21"/>
                <w:highlight w:val="none"/>
                <w:lang w:val="en-US" w:eastAsia="zh-CN"/>
              </w:rPr>
            </w:pPr>
            <w:r>
              <w:rPr>
                <w:rFonts w:hint="eastAsia" w:ascii="宋体" w:hAnsi="宋体" w:eastAsia="宋体" w:cs="Times New Roman"/>
                <w:b/>
                <w:bCs w:val="0"/>
                <w:color w:val="auto"/>
                <w:kern w:val="0"/>
                <w:sz w:val="21"/>
                <w:szCs w:val="21"/>
                <w:highlight w:val="none"/>
                <w:lang w:val="en-US" w:eastAsia="zh-CN"/>
              </w:rPr>
              <w:t>④若合同及证明文件无法反映评审条件（合同签订日期为2022年1月1日或以后、</w:t>
            </w:r>
            <w:r>
              <w:rPr>
                <w:rFonts w:hint="eastAsia" w:ascii="宋体" w:hAnsi="宋体" w:eastAsia="宋体" w:cs="宋体"/>
                <w:b/>
                <w:bCs w:val="0"/>
                <w:color w:val="auto"/>
                <w:sz w:val="21"/>
                <w:szCs w:val="21"/>
                <w:highlight w:val="none"/>
                <w:lang w:val="en-US" w:eastAsia="zh-CN"/>
              </w:rPr>
              <w:t>合同服务内容必须包含</w:t>
            </w:r>
            <w:r>
              <w:rPr>
                <w:rFonts w:hint="eastAsia" w:ascii="宋体" w:hAnsi="宋体" w:eastAsia="宋体" w:cs="Times New Roman"/>
                <w:b/>
                <w:color w:val="auto"/>
                <w:kern w:val="0"/>
                <w:szCs w:val="21"/>
                <w:highlight w:val="none"/>
              </w:rPr>
              <w:t>生态环境领域</w:t>
            </w:r>
            <w:r>
              <w:rPr>
                <w:rFonts w:hint="eastAsia" w:ascii="宋体" w:hAnsi="宋体" w:eastAsia="宋体" w:cs="宋体"/>
                <w:b/>
                <w:bCs w:val="0"/>
                <w:color w:val="auto"/>
                <w:szCs w:val="21"/>
                <w:highlight w:val="none"/>
                <w:lang w:val="en-US" w:eastAsia="zh-CN"/>
              </w:rPr>
              <w:t>技术研究服务或</w:t>
            </w:r>
            <w:r>
              <w:rPr>
                <w:rFonts w:hint="eastAsia" w:ascii="宋体" w:hAnsi="宋体" w:eastAsia="宋体" w:cs="宋体"/>
                <w:b/>
                <w:bCs w:val="0"/>
                <w:color w:val="auto"/>
                <w:szCs w:val="21"/>
                <w:highlight w:val="none"/>
              </w:rPr>
              <w:t>固体废物领域</w:t>
            </w:r>
            <w:r>
              <w:rPr>
                <w:rFonts w:hint="eastAsia" w:ascii="宋体" w:hAnsi="宋体" w:eastAsia="宋体" w:cs="宋体"/>
                <w:b/>
                <w:bCs w:val="0"/>
                <w:color w:val="auto"/>
                <w:szCs w:val="21"/>
                <w:highlight w:val="none"/>
                <w:lang w:val="en-US" w:eastAsia="zh-CN"/>
              </w:rPr>
              <w:t>技术研究服务</w:t>
            </w:r>
            <w:r>
              <w:rPr>
                <w:rFonts w:hint="eastAsia" w:ascii="宋体" w:hAnsi="宋体" w:eastAsia="宋体" w:cs="Times New Roman"/>
                <w:b/>
                <w:bCs w:val="0"/>
                <w:color w:val="auto"/>
                <w:kern w:val="0"/>
                <w:sz w:val="21"/>
                <w:szCs w:val="21"/>
                <w:highlight w:val="none"/>
                <w:lang w:val="en-US" w:eastAsia="zh-CN"/>
              </w:rPr>
              <w:t>）的，还需提供服务购买方出具的书面补充说明文件复印件作为辅助证明（复印件能显示服务招标人公章）；</w:t>
            </w:r>
          </w:p>
          <w:p w14:paraId="65F22A19">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eastAsia="宋体" w:cs="Times New Roman"/>
                <w:b/>
                <w:color w:val="auto"/>
                <w:kern w:val="0"/>
                <w:szCs w:val="21"/>
                <w:highlight w:val="none"/>
              </w:rPr>
            </w:pPr>
            <w:r>
              <w:rPr>
                <w:rFonts w:hint="eastAsia" w:ascii="宋体" w:hAnsi="宋体" w:eastAsia="宋体" w:cs="Times New Roman"/>
                <w:b/>
                <w:bCs w:val="0"/>
                <w:color w:val="auto"/>
                <w:kern w:val="0"/>
                <w:sz w:val="21"/>
                <w:szCs w:val="21"/>
                <w:highlight w:val="none"/>
                <w:lang w:val="en-US" w:eastAsia="zh-CN"/>
              </w:rPr>
              <w:t>⑤未按上述要求提供证明材料的业绩，或所附材料无法证明填报项目属于投标人承接的业绩，或所附材料不符合本项评分要求的业绩，在评审时将不予考虑。</w:t>
            </w:r>
          </w:p>
        </w:tc>
        <w:tc>
          <w:tcPr>
            <w:tcW w:w="437" w:type="pct"/>
            <w:tcBorders>
              <w:top w:val="single" w:color="auto" w:sz="4" w:space="0"/>
              <w:left w:val="single" w:color="auto" w:sz="4" w:space="0"/>
              <w:bottom w:val="single" w:color="auto" w:sz="4" w:space="0"/>
              <w:right w:val="single" w:color="auto" w:sz="4" w:space="0"/>
            </w:tcBorders>
            <w:vAlign w:val="center"/>
          </w:tcPr>
          <w:p w14:paraId="61D9BB09">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24分</w:t>
            </w:r>
          </w:p>
        </w:tc>
      </w:tr>
      <w:tr w14:paraId="22D7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7" w:type="pct"/>
            <w:vMerge w:val="restart"/>
            <w:tcBorders>
              <w:top w:val="single" w:color="auto" w:sz="4" w:space="0"/>
              <w:left w:val="single" w:color="auto" w:sz="4" w:space="0"/>
              <w:right w:val="single" w:color="auto" w:sz="4" w:space="0"/>
            </w:tcBorders>
            <w:vAlign w:val="center"/>
          </w:tcPr>
          <w:p w14:paraId="4A61BA12">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kern w:val="0"/>
                <w:szCs w:val="21"/>
                <w:highlight w:val="none"/>
                <w:lang w:val="en-US" w:eastAsia="zh-CN"/>
              </w:rPr>
            </w:pPr>
            <w:bookmarkStart w:id="856" w:name="_Toc11639_WPSOffice_Level2"/>
            <w:r>
              <w:rPr>
                <w:rFonts w:hint="eastAsia" w:ascii="宋体" w:hAnsi="宋体" w:eastAsia="宋体" w:cs="宋体"/>
                <w:color w:val="auto"/>
                <w:kern w:val="0"/>
                <w:szCs w:val="21"/>
                <w:highlight w:val="none"/>
                <w:lang w:val="en-US" w:eastAsia="zh-CN"/>
              </w:rPr>
              <w:t>2</w:t>
            </w:r>
          </w:p>
          <w:p w14:paraId="33FEE3A2">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default" w:ascii="宋体" w:hAnsi="宋体" w:eastAsia="宋体" w:cs="宋体"/>
                <w:color w:val="auto"/>
                <w:kern w:val="0"/>
                <w:szCs w:val="21"/>
                <w:highlight w:val="none"/>
                <w:lang w:val="en-US" w:eastAsia="zh-CN"/>
              </w:rPr>
            </w:pPr>
          </w:p>
        </w:tc>
        <w:tc>
          <w:tcPr>
            <w:tcW w:w="546" w:type="pct"/>
            <w:vMerge w:val="restart"/>
            <w:tcBorders>
              <w:top w:val="single" w:color="auto" w:sz="4" w:space="0"/>
              <w:left w:val="single" w:color="auto" w:sz="4" w:space="0"/>
              <w:right w:val="single" w:color="auto" w:sz="4" w:space="0"/>
            </w:tcBorders>
            <w:vAlign w:val="center"/>
          </w:tcPr>
          <w:p w14:paraId="214131AC">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lang w:val="en-US" w:eastAsia="zh-CN"/>
              </w:rPr>
              <w:t>科研实力</w:t>
            </w:r>
          </w:p>
        </w:tc>
        <w:tc>
          <w:tcPr>
            <w:tcW w:w="3698" w:type="pct"/>
            <w:tcBorders>
              <w:top w:val="single" w:color="auto" w:sz="4" w:space="0"/>
              <w:left w:val="single" w:color="auto" w:sz="4" w:space="0"/>
              <w:bottom w:val="single" w:color="auto" w:sz="4" w:space="0"/>
              <w:right w:val="single" w:color="auto" w:sz="4" w:space="0"/>
            </w:tcBorders>
            <w:vAlign w:val="center"/>
          </w:tcPr>
          <w:p w14:paraId="0717930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Times New Roman"/>
                <w:bCs/>
                <w:color w:val="auto"/>
                <w:kern w:val="0"/>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（1）投标人自2022年1月1日以来，在核心期刊发表的</w:t>
            </w:r>
            <w:r>
              <w:rPr>
                <w:rFonts w:hint="eastAsia" w:ascii="宋体" w:hAnsi="宋体" w:eastAsia="宋体" w:cs="Times New Roman"/>
                <w:bCs/>
                <w:color w:val="auto"/>
                <w:kern w:val="0"/>
                <w:szCs w:val="21"/>
                <w:highlight w:val="none"/>
              </w:rPr>
              <w:t>生态环境领域</w:t>
            </w:r>
            <w:r>
              <w:rPr>
                <w:rFonts w:hint="eastAsia" w:ascii="宋体" w:hAnsi="宋体" w:eastAsia="宋体" w:cs="Times New Roman"/>
                <w:bCs/>
                <w:color w:val="auto"/>
                <w:kern w:val="0"/>
                <w:szCs w:val="21"/>
                <w:highlight w:val="none"/>
                <w:lang w:val="en-US" w:eastAsia="zh-CN"/>
              </w:rPr>
              <w:t>相关论文，每篇得2.5分，本子项满分10分。</w:t>
            </w:r>
          </w:p>
          <w:p w14:paraId="6DC516B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Times New Roman"/>
                <w:b/>
                <w:bCs w:val="0"/>
                <w:color w:val="auto"/>
                <w:kern w:val="0"/>
                <w:szCs w:val="21"/>
                <w:highlight w:val="none"/>
                <w:lang w:val="en-US" w:eastAsia="zh-CN"/>
              </w:rPr>
            </w:pPr>
            <w:r>
              <w:rPr>
                <w:rFonts w:hint="eastAsia" w:ascii="宋体" w:hAnsi="宋体" w:eastAsia="宋体" w:cs="Times New Roman"/>
                <w:b/>
                <w:bCs w:val="0"/>
                <w:color w:val="auto"/>
                <w:kern w:val="0"/>
                <w:szCs w:val="21"/>
                <w:highlight w:val="none"/>
                <w:lang w:val="en-US" w:eastAsia="zh-CN"/>
              </w:rPr>
              <w:t>备注：</w:t>
            </w:r>
          </w:p>
          <w:p w14:paraId="721CDC4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Times New Roman"/>
                <w:b/>
                <w:color w:val="auto"/>
                <w:kern w:val="0"/>
                <w:szCs w:val="21"/>
                <w:highlight w:val="none"/>
                <w:lang w:eastAsia="zh-CN"/>
              </w:rPr>
            </w:pPr>
            <w:r>
              <w:rPr>
                <w:rFonts w:hint="eastAsia" w:ascii="宋体" w:hAnsi="宋体" w:eastAsia="宋体" w:cs="Times New Roman"/>
                <w:b/>
                <w:bCs w:val="0"/>
                <w:color w:val="auto"/>
                <w:kern w:val="0"/>
                <w:szCs w:val="21"/>
                <w:highlight w:val="none"/>
                <w:lang w:val="en-US" w:eastAsia="zh-CN"/>
              </w:rPr>
              <w:t>①</w:t>
            </w:r>
            <w:r>
              <w:rPr>
                <w:rFonts w:hint="eastAsia" w:ascii="宋体" w:hAnsi="宋体" w:eastAsia="宋体" w:cs="Times New Roman"/>
                <w:b/>
                <w:color w:val="auto"/>
                <w:kern w:val="0"/>
                <w:szCs w:val="21"/>
                <w:highlight w:val="none"/>
              </w:rPr>
              <w:t>“生态环境领域”是指包含水污染治理（或大气污染治理，或固体废弃物处理处置，或物理污染治理，或生态修复）范围的领域</w:t>
            </w:r>
            <w:r>
              <w:rPr>
                <w:rFonts w:hint="eastAsia" w:ascii="宋体" w:hAnsi="宋体" w:eastAsia="宋体" w:cs="Times New Roman"/>
                <w:b/>
                <w:color w:val="auto"/>
                <w:kern w:val="0"/>
                <w:szCs w:val="21"/>
                <w:highlight w:val="none"/>
                <w:lang w:eastAsia="zh-CN"/>
              </w:rPr>
              <w:t>；</w:t>
            </w:r>
          </w:p>
          <w:p w14:paraId="62F81C89">
            <w:pPr>
              <w:keepNext w:val="0"/>
              <w:keepLines w:val="0"/>
              <w:pageBreakBefore w:val="0"/>
              <w:widowControl w:val="0"/>
              <w:kinsoku/>
              <w:wordWrap/>
              <w:overflowPunct/>
              <w:topLinePunct w:val="0"/>
              <w:autoSpaceDE/>
              <w:autoSpaceDN/>
              <w:bidi w:val="0"/>
              <w:adjustRightInd/>
              <w:spacing w:line="400" w:lineRule="exact"/>
              <w:textAlignment w:val="auto"/>
              <w:rPr>
                <w:rFonts w:hint="default"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t>②“核心期刊”是指该期刊被列入CSTPCD（</w:t>
            </w:r>
            <w:r>
              <w:rPr>
                <w:rFonts w:hint="eastAsia" w:ascii="宋体" w:hAnsi="宋体" w:eastAsia="宋体" w:cs="Times New Roman"/>
                <w:b/>
                <w:color w:val="auto"/>
                <w:kern w:val="0"/>
                <w:szCs w:val="21"/>
                <w:highlight w:val="none"/>
              </w:rPr>
              <w:t>中国科技核心期刊</w:t>
            </w:r>
            <w:r>
              <w:rPr>
                <w:rFonts w:hint="eastAsia" w:ascii="宋体" w:hAnsi="宋体" w:eastAsia="宋体" w:cs="Times New Roman"/>
                <w:b/>
                <w:color w:val="auto"/>
                <w:kern w:val="0"/>
                <w:szCs w:val="21"/>
                <w:highlight w:val="none"/>
                <w:lang w:val="en-US" w:eastAsia="zh-CN"/>
              </w:rPr>
              <w:t>）【或北大核心（</w:t>
            </w:r>
            <w:r>
              <w:rPr>
                <w:rFonts w:hint="eastAsia" w:ascii="宋体" w:hAnsi="宋体" w:eastAsia="宋体" w:cs="Times New Roman"/>
                <w:b/>
                <w:color w:val="auto"/>
                <w:kern w:val="0"/>
                <w:szCs w:val="21"/>
                <w:highlight w:val="none"/>
              </w:rPr>
              <w:t>北京大学《中文核心期刊要目总览》</w:t>
            </w:r>
            <w:r>
              <w:rPr>
                <w:rFonts w:hint="eastAsia" w:ascii="宋体" w:hAnsi="宋体" w:eastAsia="宋体" w:cs="Times New Roman"/>
                <w:b/>
                <w:color w:val="auto"/>
                <w:kern w:val="0"/>
                <w:szCs w:val="21"/>
                <w:highlight w:val="none"/>
                <w:lang w:val="en-US" w:eastAsia="zh-CN"/>
              </w:rPr>
              <w:t>），或AMI（</w:t>
            </w:r>
            <w:r>
              <w:rPr>
                <w:rFonts w:hint="eastAsia" w:ascii="宋体" w:hAnsi="宋体" w:eastAsia="宋体" w:cs="Times New Roman"/>
                <w:b/>
                <w:color w:val="auto"/>
                <w:kern w:val="0"/>
                <w:szCs w:val="21"/>
                <w:highlight w:val="none"/>
              </w:rPr>
              <w:t>中国人文社会科学期刊</w:t>
            </w:r>
            <w:r>
              <w:rPr>
                <w:rFonts w:hint="eastAsia" w:ascii="宋体" w:hAnsi="宋体" w:eastAsia="宋体" w:cs="Times New Roman"/>
                <w:b/>
                <w:color w:val="auto"/>
                <w:kern w:val="0"/>
                <w:szCs w:val="21"/>
                <w:highlight w:val="none"/>
                <w:lang w:val="en-US" w:eastAsia="zh-CN"/>
              </w:rPr>
              <w:t>），或CSCD（</w:t>
            </w:r>
            <w:r>
              <w:rPr>
                <w:rFonts w:hint="eastAsia" w:ascii="宋体" w:hAnsi="宋体" w:eastAsia="宋体" w:cs="Times New Roman"/>
                <w:b/>
                <w:color w:val="auto"/>
                <w:kern w:val="0"/>
                <w:szCs w:val="21"/>
                <w:highlight w:val="none"/>
              </w:rPr>
              <w:t>中国科学引文数据库</w:t>
            </w:r>
            <w:r>
              <w:rPr>
                <w:rFonts w:hint="eastAsia" w:ascii="宋体" w:hAnsi="宋体" w:eastAsia="宋体" w:cs="Times New Roman"/>
                <w:b/>
                <w:color w:val="auto"/>
                <w:kern w:val="0"/>
                <w:szCs w:val="21"/>
                <w:highlight w:val="none"/>
                <w:lang w:val="en-US" w:eastAsia="zh-CN"/>
              </w:rPr>
              <w:t>），或CSSCI（</w:t>
            </w:r>
            <w:r>
              <w:rPr>
                <w:rFonts w:hint="eastAsia" w:ascii="宋体" w:hAnsi="宋体" w:eastAsia="宋体" w:cs="Times New Roman"/>
                <w:b/>
                <w:color w:val="auto"/>
                <w:kern w:val="0"/>
                <w:szCs w:val="21"/>
                <w:highlight w:val="none"/>
              </w:rPr>
              <w:t>中文社会科学引文索引</w:t>
            </w:r>
            <w:r>
              <w:rPr>
                <w:rFonts w:hint="eastAsia" w:ascii="宋体" w:hAnsi="宋体" w:eastAsia="宋体" w:cs="Times New Roman"/>
                <w:b/>
                <w:color w:val="auto"/>
                <w:kern w:val="0"/>
                <w:szCs w:val="21"/>
                <w:highlight w:val="none"/>
                <w:lang w:val="en-US" w:eastAsia="zh-CN"/>
              </w:rPr>
              <w:t>），或EI（</w:t>
            </w:r>
            <w:r>
              <w:rPr>
                <w:rFonts w:hint="eastAsia" w:ascii="宋体" w:hAnsi="宋体" w:eastAsia="宋体" w:cs="Times New Roman"/>
                <w:b/>
                <w:color w:val="auto"/>
                <w:kern w:val="0"/>
                <w:szCs w:val="21"/>
                <w:highlight w:val="none"/>
              </w:rPr>
              <w:t>工程索引</w:t>
            </w:r>
            <w:r>
              <w:rPr>
                <w:rFonts w:hint="eastAsia" w:ascii="宋体" w:hAnsi="宋体" w:eastAsia="宋体" w:cs="Times New Roman"/>
                <w:b/>
                <w:color w:val="auto"/>
                <w:kern w:val="0"/>
                <w:szCs w:val="21"/>
                <w:highlight w:val="none"/>
                <w:lang w:val="en-US" w:eastAsia="zh-CN"/>
              </w:rPr>
              <w:t>），或SCI（</w:t>
            </w:r>
            <w:r>
              <w:rPr>
                <w:rFonts w:hint="eastAsia" w:ascii="宋体" w:hAnsi="宋体" w:eastAsia="宋体" w:cs="Times New Roman"/>
                <w:b/>
                <w:color w:val="auto"/>
                <w:kern w:val="0"/>
                <w:szCs w:val="21"/>
                <w:highlight w:val="none"/>
              </w:rPr>
              <w:t>科学引文索引</w:t>
            </w:r>
            <w:r>
              <w:rPr>
                <w:rFonts w:hint="eastAsia" w:ascii="宋体" w:hAnsi="宋体" w:eastAsia="宋体" w:cs="Times New Roman"/>
                <w:b/>
                <w:color w:val="auto"/>
                <w:kern w:val="0"/>
                <w:szCs w:val="21"/>
                <w:highlight w:val="none"/>
                <w:lang w:val="en-US" w:eastAsia="zh-CN"/>
              </w:rPr>
              <w:t>）】目录的期刊；</w:t>
            </w:r>
          </w:p>
          <w:p w14:paraId="038DF600">
            <w:pPr>
              <w:keepNext w:val="0"/>
              <w:keepLines w:val="0"/>
              <w:pageBreakBefore w:val="0"/>
              <w:widowControl w:val="0"/>
              <w:kinsoku/>
              <w:wordWrap/>
              <w:overflowPunct/>
              <w:topLinePunct w:val="0"/>
              <w:autoSpaceDE/>
              <w:autoSpaceDN/>
              <w:bidi w:val="0"/>
              <w:adjustRightInd/>
              <w:spacing w:line="400" w:lineRule="exact"/>
              <w:textAlignment w:val="auto"/>
              <w:rPr>
                <w:rFonts w:hint="default"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t>③论文</w:t>
            </w:r>
            <w:r>
              <w:rPr>
                <w:rFonts w:hint="eastAsia" w:ascii="宋体" w:hAnsi="宋体" w:eastAsia="宋体" w:cs="Times New Roman"/>
                <w:b/>
                <w:color w:val="auto"/>
                <w:kern w:val="0"/>
                <w:szCs w:val="21"/>
                <w:highlight w:val="none"/>
              </w:rPr>
              <w:t>证明</w:t>
            </w:r>
            <w:r>
              <w:rPr>
                <w:rFonts w:hint="eastAsia" w:ascii="宋体" w:hAnsi="宋体" w:eastAsia="宋体" w:cs="Times New Roman"/>
                <w:b/>
                <w:color w:val="auto"/>
                <w:kern w:val="0"/>
                <w:szCs w:val="21"/>
                <w:highlight w:val="none"/>
                <w:lang w:val="en-US" w:eastAsia="zh-CN"/>
              </w:rPr>
              <w:t>资料须体现论文研究领域、署名单位、发表时间、</w:t>
            </w:r>
            <w:r>
              <w:rPr>
                <w:rFonts w:hint="eastAsia" w:ascii="宋体" w:hAnsi="宋体" w:eastAsia="宋体" w:cs="Times New Roman"/>
                <w:b/>
                <w:color w:val="auto"/>
                <w:kern w:val="0"/>
                <w:szCs w:val="21"/>
                <w:highlight w:val="none"/>
              </w:rPr>
              <w:t>期刊名称、</w:t>
            </w:r>
            <w:r>
              <w:rPr>
                <w:rFonts w:hint="eastAsia" w:ascii="宋体" w:hAnsi="宋体" w:eastAsia="宋体" w:cs="Times New Roman"/>
                <w:b/>
                <w:color w:val="auto"/>
                <w:kern w:val="0"/>
                <w:szCs w:val="21"/>
                <w:highlight w:val="none"/>
                <w:lang w:val="en-US" w:eastAsia="zh-CN"/>
              </w:rPr>
              <w:t>刊号、刊号对应的期刊被列入“核心期刊”的凭证（如万方数据平台的期刊</w:t>
            </w:r>
            <w:r>
              <w:rPr>
                <w:rFonts w:hint="eastAsia" w:ascii="宋体" w:hAnsi="宋体" w:eastAsia="宋体" w:cs="Times New Roman"/>
                <w:b/>
                <w:color w:val="auto"/>
                <w:kern w:val="0"/>
                <w:szCs w:val="21"/>
                <w:highlight w:val="none"/>
              </w:rPr>
              <w:t>查询结果凭证</w:t>
            </w:r>
            <w:r>
              <w:rPr>
                <w:rFonts w:hint="eastAsia" w:ascii="宋体" w:hAnsi="宋体" w:eastAsia="宋体" w:cs="Times New Roman"/>
                <w:b/>
                <w:color w:val="auto"/>
                <w:kern w:val="0"/>
                <w:szCs w:val="21"/>
                <w:highlight w:val="none"/>
                <w:lang w:val="en-US" w:eastAsia="zh-CN"/>
              </w:rPr>
              <w:t>）等；</w:t>
            </w:r>
          </w:p>
          <w:p w14:paraId="227B719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Times New Roman"/>
                <w:b/>
                <w:bCs w:val="0"/>
                <w:color w:val="auto"/>
                <w:kern w:val="0"/>
                <w:sz w:val="21"/>
                <w:szCs w:val="21"/>
                <w:highlight w:val="none"/>
                <w:lang w:val="en-US" w:eastAsia="zh-CN"/>
              </w:rPr>
            </w:pPr>
            <w:r>
              <w:rPr>
                <w:rFonts w:hint="eastAsia" w:ascii="宋体" w:hAnsi="宋体" w:eastAsia="宋体" w:cs="Times New Roman"/>
                <w:b/>
                <w:bCs w:val="0"/>
                <w:color w:val="auto"/>
                <w:kern w:val="0"/>
                <w:sz w:val="21"/>
                <w:szCs w:val="21"/>
                <w:highlight w:val="none"/>
                <w:lang w:val="en-US" w:eastAsia="zh-CN"/>
              </w:rPr>
              <w:t>④如论文</w:t>
            </w:r>
            <w:r>
              <w:rPr>
                <w:rFonts w:hint="eastAsia" w:ascii="宋体" w:hAnsi="宋体" w:eastAsia="宋体" w:cs="Times New Roman"/>
                <w:b/>
                <w:color w:val="auto"/>
                <w:kern w:val="0"/>
                <w:szCs w:val="21"/>
                <w:highlight w:val="none"/>
              </w:rPr>
              <w:t>采用外文</w:t>
            </w:r>
            <w:r>
              <w:rPr>
                <w:rFonts w:hint="eastAsia" w:ascii="宋体" w:hAnsi="宋体" w:eastAsia="宋体" w:cs="Times New Roman"/>
                <w:b/>
                <w:color w:val="auto"/>
                <w:kern w:val="0"/>
                <w:szCs w:val="21"/>
                <w:highlight w:val="none"/>
                <w:lang w:val="en-US" w:eastAsia="zh-CN"/>
              </w:rPr>
              <w:t>撰写</w:t>
            </w:r>
            <w:r>
              <w:rPr>
                <w:rFonts w:hint="eastAsia" w:ascii="宋体" w:hAnsi="宋体" w:eastAsia="宋体" w:cs="Times New Roman"/>
                <w:b/>
                <w:color w:val="auto"/>
                <w:kern w:val="0"/>
                <w:szCs w:val="21"/>
                <w:highlight w:val="none"/>
              </w:rPr>
              <w:t>的，应附中文译本</w:t>
            </w:r>
            <w:r>
              <w:rPr>
                <w:rFonts w:hint="eastAsia" w:ascii="宋体" w:hAnsi="宋体" w:eastAsia="宋体" w:cs="Times New Roman"/>
                <w:b/>
                <w:color w:val="auto"/>
                <w:kern w:val="0"/>
                <w:szCs w:val="21"/>
                <w:highlight w:val="none"/>
                <w:lang w:eastAsia="zh-CN"/>
              </w:rPr>
              <w:t>；</w:t>
            </w:r>
          </w:p>
          <w:p w14:paraId="63C9AA8E">
            <w:pPr>
              <w:keepNext w:val="0"/>
              <w:keepLines w:val="0"/>
              <w:pageBreakBefore w:val="0"/>
              <w:widowControl w:val="0"/>
              <w:kinsoku/>
              <w:wordWrap/>
              <w:overflowPunct/>
              <w:topLinePunct w:val="0"/>
              <w:autoSpaceDE/>
              <w:autoSpaceDN/>
              <w:bidi w:val="0"/>
              <w:adjustRightInd/>
              <w:spacing w:line="400" w:lineRule="exact"/>
              <w:textAlignment w:val="auto"/>
              <w:rPr>
                <w:rFonts w:hint="default" w:ascii="宋体" w:hAnsi="宋体" w:eastAsia="宋体" w:cs="Times New Roman"/>
                <w:b/>
                <w:bCs w:val="0"/>
                <w:color w:val="auto"/>
                <w:kern w:val="0"/>
                <w:sz w:val="21"/>
                <w:szCs w:val="21"/>
                <w:highlight w:val="none"/>
                <w:lang w:val="en-US" w:eastAsia="zh-CN"/>
              </w:rPr>
            </w:pPr>
            <w:r>
              <w:rPr>
                <w:rFonts w:hint="eastAsia" w:ascii="宋体" w:hAnsi="宋体" w:eastAsia="宋体" w:cs="Times New Roman"/>
                <w:b/>
                <w:bCs w:val="0"/>
                <w:color w:val="auto"/>
                <w:kern w:val="0"/>
                <w:sz w:val="21"/>
                <w:szCs w:val="21"/>
                <w:highlight w:val="none"/>
                <w:lang w:val="en-US" w:eastAsia="zh-CN"/>
              </w:rPr>
              <w:t>⑤未按上述要求提供论文证明材料，或所附材料不符合本项评分要求的论文，在评审时将不予考虑。</w:t>
            </w:r>
          </w:p>
        </w:tc>
        <w:tc>
          <w:tcPr>
            <w:tcW w:w="437" w:type="pct"/>
            <w:tcBorders>
              <w:top w:val="single" w:color="auto" w:sz="4" w:space="0"/>
              <w:left w:val="single" w:color="auto" w:sz="4" w:space="0"/>
              <w:bottom w:val="single" w:color="auto" w:sz="4" w:space="0"/>
              <w:right w:val="single" w:color="auto" w:sz="4" w:space="0"/>
            </w:tcBorders>
            <w:vAlign w:val="center"/>
          </w:tcPr>
          <w:p w14:paraId="43F788F2">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10分</w:t>
            </w:r>
          </w:p>
        </w:tc>
      </w:tr>
      <w:tr w14:paraId="67D4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7" w:type="pct"/>
            <w:vMerge w:val="continue"/>
            <w:tcBorders>
              <w:left w:val="single" w:color="auto" w:sz="4" w:space="0"/>
              <w:right w:val="single" w:color="auto" w:sz="4" w:space="0"/>
            </w:tcBorders>
            <w:vAlign w:val="center"/>
          </w:tcPr>
          <w:p w14:paraId="70550774">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kern w:val="0"/>
                <w:szCs w:val="21"/>
                <w:highlight w:val="none"/>
                <w:lang w:val="en-US" w:eastAsia="zh-CN"/>
              </w:rPr>
            </w:pPr>
          </w:p>
        </w:tc>
        <w:tc>
          <w:tcPr>
            <w:tcW w:w="546" w:type="pct"/>
            <w:vMerge w:val="continue"/>
            <w:tcBorders>
              <w:left w:val="single" w:color="auto" w:sz="4" w:space="0"/>
              <w:right w:val="single" w:color="auto" w:sz="4" w:space="0"/>
            </w:tcBorders>
            <w:vAlign w:val="center"/>
          </w:tcPr>
          <w:p w14:paraId="1FB03ADB">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color w:val="auto"/>
                <w:kern w:val="0"/>
                <w:sz w:val="21"/>
                <w:szCs w:val="21"/>
                <w:highlight w:val="none"/>
              </w:rPr>
            </w:pPr>
          </w:p>
        </w:tc>
        <w:tc>
          <w:tcPr>
            <w:tcW w:w="3698" w:type="pct"/>
            <w:tcBorders>
              <w:top w:val="single" w:color="auto" w:sz="4" w:space="0"/>
              <w:left w:val="single" w:color="auto" w:sz="4" w:space="0"/>
              <w:bottom w:val="single" w:color="auto" w:sz="4" w:space="0"/>
              <w:right w:val="single" w:color="auto" w:sz="4" w:space="0"/>
            </w:tcBorders>
            <w:vAlign w:val="center"/>
          </w:tcPr>
          <w:p w14:paraId="5236F58C">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（2）</w:t>
            </w:r>
            <w:r>
              <w:rPr>
                <w:rFonts w:hint="eastAsia" w:ascii="宋体" w:hAnsi="宋体" w:eastAsia="宋体" w:cs="宋体"/>
                <w:color w:val="auto"/>
                <w:szCs w:val="21"/>
                <w:highlight w:val="none"/>
                <w:lang w:val="zh-CN"/>
              </w:rPr>
              <w:t>投标人承接的生态环境领域技术研究服务同类业绩在2022年1月1日至今获奖情况，按以下标准计分</w:t>
            </w:r>
            <w:r>
              <w:rPr>
                <w:rFonts w:hint="eastAsia" w:ascii="宋体" w:hAnsi="宋体" w:eastAsia="宋体" w:cs="宋体"/>
                <w:color w:val="auto"/>
                <w:sz w:val="21"/>
                <w:szCs w:val="21"/>
                <w:highlight w:val="none"/>
                <w:lang w:val="zh-CN"/>
              </w:rPr>
              <w:t>：</w:t>
            </w:r>
          </w:p>
          <w:p w14:paraId="2BD355D1">
            <w:pPr>
              <w:keepNext w:val="0"/>
              <w:keepLines w:val="0"/>
              <w:pageBreakBefore w:val="0"/>
              <w:widowControl w:val="0"/>
              <w:numPr>
                <w:ilvl w:val="-1"/>
                <w:numId w:val="0"/>
              </w:numPr>
              <w:kinsoku/>
              <w:wordWrap/>
              <w:overflowPunct/>
              <w:topLinePunct w:val="0"/>
              <w:bidi w:val="0"/>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 w:val="21"/>
                <w:szCs w:val="21"/>
                <w:highlight w:val="none"/>
                <w:lang w:val="zh-CN"/>
              </w:rPr>
              <w:t>获得国家级（或部级）</w:t>
            </w:r>
            <w:r>
              <w:rPr>
                <w:rFonts w:hint="eastAsia" w:ascii="宋体" w:hAnsi="宋体" w:eastAsia="宋体" w:cs="宋体"/>
                <w:color w:val="auto"/>
                <w:szCs w:val="21"/>
                <w:highlight w:val="none"/>
                <w:lang w:val="zh-CN"/>
              </w:rPr>
              <w:t>政府行政主管部门、</w:t>
            </w:r>
            <w:r>
              <w:rPr>
                <w:rFonts w:hint="eastAsia" w:ascii="宋体" w:hAnsi="宋体" w:eastAsia="宋体" w:cs="宋体"/>
                <w:color w:val="auto"/>
                <w:sz w:val="21"/>
                <w:szCs w:val="21"/>
                <w:highlight w:val="none"/>
                <w:lang w:val="zh-CN"/>
              </w:rPr>
              <w:t>或国家行业协会（</w:t>
            </w:r>
            <w:r>
              <w:rPr>
                <w:rFonts w:hint="eastAsia" w:ascii="宋体" w:hAnsi="宋体" w:eastAsia="宋体" w:cs="宋体"/>
                <w:color w:val="auto"/>
                <w:sz w:val="21"/>
                <w:szCs w:val="21"/>
                <w:highlight w:val="none"/>
                <w:lang w:val="en-US" w:eastAsia="zh-CN"/>
              </w:rPr>
              <w:t>学会</w:t>
            </w:r>
            <w:r>
              <w:rPr>
                <w:rFonts w:hint="eastAsia" w:ascii="宋体" w:hAnsi="宋体" w:eastAsia="宋体" w:cs="宋体"/>
                <w:color w:val="auto"/>
                <w:sz w:val="21"/>
                <w:szCs w:val="21"/>
                <w:highlight w:val="none"/>
                <w:lang w:val="zh-CN"/>
              </w:rPr>
              <w:t>）颁发</w:t>
            </w:r>
            <w:r>
              <w:rPr>
                <w:rFonts w:hint="eastAsia" w:ascii="宋体" w:hAnsi="宋体" w:eastAsia="宋体" w:cs="宋体"/>
                <w:color w:val="auto"/>
                <w:sz w:val="21"/>
                <w:szCs w:val="21"/>
                <w:highlight w:val="none"/>
                <w:lang w:val="en-US" w:eastAsia="zh-CN"/>
              </w:rPr>
              <w:t>的科学技术奖的，</w:t>
            </w:r>
            <w:r>
              <w:rPr>
                <w:rFonts w:hint="eastAsia" w:ascii="宋体" w:hAnsi="宋体" w:eastAsia="宋体" w:cs="宋体"/>
                <w:color w:val="auto"/>
                <w:szCs w:val="21"/>
                <w:highlight w:val="none"/>
                <w:lang w:val="en-US" w:eastAsia="zh-CN"/>
              </w:rPr>
              <w:t>得6分；</w:t>
            </w:r>
          </w:p>
          <w:p w14:paraId="55768CD9">
            <w:pPr>
              <w:keepNext w:val="0"/>
              <w:keepLines w:val="0"/>
              <w:pageBreakBefore w:val="0"/>
              <w:widowControl w:val="0"/>
              <w:numPr>
                <w:ilvl w:val="-1"/>
                <w:numId w:val="0"/>
              </w:numPr>
              <w:kinsoku/>
              <w:wordWrap/>
              <w:overflowPunct/>
              <w:topLinePunct w:val="0"/>
              <w:bidi w:val="0"/>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 w:val="21"/>
                <w:szCs w:val="21"/>
                <w:highlight w:val="none"/>
                <w:lang w:val="zh-CN"/>
              </w:rPr>
              <w:t>获得省级（</w:t>
            </w:r>
            <w:r>
              <w:rPr>
                <w:rFonts w:hint="eastAsia" w:ascii="宋体" w:hAnsi="宋体" w:eastAsia="宋体" w:cs="宋体"/>
                <w:color w:val="auto"/>
                <w:sz w:val="21"/>
                <w:szCs w:val="21"/>
                <w:highlight w:val="none"/>
                <w:lang w:val="en-US" w:eastAsia="zh-CN"/>
              </w:rPr>
              <w:t>或直辖市）</w:t>
            </w:r>
            <w:r>
              <w:rPr>
                <w:rFonts w:hint="eastAsia" w:ascii="宋体" w:hAnsi="宋体" w:eastAsia="宋体" w:cs="宋体"/>
                <w:color w:val="auto"/>
                <w:szCs w:val="21"/>
                <w:highlight w:val="none"/>
                <w:lang w:val="zh-CN"/>
              </w:rPr>
              <w:t>政府行政主管部门、</w:t>
            </w:r>
            <w:r>
              <w:rPr>
                <w:rFonts w:hint="eastAsia" w:ascii="宋体" w:hAnsi="宋体" w:eastAsia="宋体" w:cs="宋体"/>
                <w:color w:val="auto"/>
                <w:sz w:val="21"/>
                <w:szCs w:val="21"/>
                <w:highlight w:val="none"/>
                <w:lang w:val="zh-CN"/>
              </w:rPr>
              <w:t>或省级（</w:t>
            </w:r>
            <w:r>
              <w:rPr>
                <w:rFonts w:hint="eastAsia" w:ascii="宋体" w:hAnsi="宋体" w:eastAsia="宋体" w:cs="宋体"/>
                <w:color w:val="auto"/>
                <w:sz w:val="21"/>
                <w:szCs w:val="21"/>
                <w:highlight w:val="none"/>
                <w:lang w:val="en-US" w:eastAsia="zh-CN"/>
              </w:rPr>
              <w:t>或直辖市）</w:t>
            </w:r>
            <w:r>
              <w:rPr>
                <w:rFonts w:hint="eastAsia" w:ascii="宋体" w:hAnsi="宋体" w:eastAsia="宋体" w:cs="宋体"/>
                <w:color w:val="auto"/>
                <w:sz w:val="21"/>
                <w:szCs w:val="21"/>
                <w:highlight w:val="none"/>
                <w:lang w:val="zh-CN"/>
              </w:rPr>
              <w:t>行业协会（</w:t>
            </w:r>
            <w:r>
              <w:rPr>
                <w:rFonts w:hint="eastAsia" w:ascii="宋体" w:hAnsi="宋体" w:eastAsia="宋体" w:cs="宋体"/>
                <w:color w:val="auto"/>
                <w:sz w:val="21"/>
                <w:szCs w:val="21"/>
                <w:highlight w:val="none"/>
                <w:lang w:val="en-US" w:eastAsia="zh-CN"/>
              </w:rPr>
              <w:t>学会</w:t>
            </w:r>
            <w:r>
              <w:rPr>
                <w:rFonts w:hint="eastAsia" w:ascii="宋体" w:hAnsi="宋体" w:eastAsia="宋体" w:cs="宋体"/>
                <w:color w:val="auto"/>
                <w:sz w:val="21"/>
                <w:szCs w:val="21"/>
                <w:highlight w:val="none"/>
                <w:lang w:val="zh-CN"/>
              </w:rPr>
              <w:t>）颁发</w:t>
            </w:r>
            <w:r>
              <w:rPr>
                <w:rFonts w:hint="eastAsia" w:ascii="宋体" w:hAnsi="宋体" w:eastAsia="宋体" w:cs="宋体"/>
                <w:color w:val="auto"/>
                <w:sz w:val="21"/>
                <w:szCs w:val="21"/>
                <w:highlight w:val="none"/>
                <w:lang w:val="en-US" w:eastAsia="zh-CN"/>
              </w:rPr>
              <w:t>的科学技术奖的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每项得3分；</w:t>
            </w:r>
          </w:p>
          <w:p w14:paraId="0D550FD5">
            <w:pPr>
              <w:keepNext w:val="0"/>
              <w:keepLines w:val="0"/>
              <w:pageBreakBefore w:val="0"/>
              <w:widowControl w:val="0"/>
              <w:kinsoku/>
              <w:wordWrap/>
              <w:overflowPunct/>
              <w:topLinePunct w:val="0"/>
              <w:bidi w:val="0"/>
              <w:spacing w:line="400" w:lineRule="exact"/>
              <w:ind w:firstLine="0"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 w:val="21"/>
                <w:szCs w:val="21"/>
                <w:highlight w:val="none"/>
                <w:lang w:val="zh-CN"/>
              </w:rPr>
              <w:t>获得</w:t>
            </w:r>
            <w:r>
              <w:rPr>
                <w:rFonts w:hint="eastAsia" w:ascii="宋体" w:hAnsi="宋体" w:eastAsia="宋体" w:cs="宋体"/>
                <w:color w:val="auto"/>
                <w:sz w:val="21"/>
                <w:szCs w:val="21"/>
                <w:highlight w:val="none"/>
                <w:lang w:val="en-US" w:eastAsia="zh-CN"/>
              </w:rPr>
              <w:t>市</w:t>
            </w:r>
            <w:r>
              <w:rPr>
                <w:rFonts w:hint="eastAsia" w:ascii="宋体" w:hAnsi="宋体" w:eastAsia="宋体" w:cs="宋体"/>
                <w:color w:val="auto"/>
                <w:sz w:val="21"/>
                <w:szCs w:val="21"/>
                <w:highlight w:val="none"/>
                <w:lang w:val="zh-CN"/>
              </w:rPr>
              <w:t>级（</w:t>
            </w:r>
            <w:r>
              <w:rPr>
                <w:rFonts w:hint="eastAsia" w:ascii="宋体" w:hAnsi="宋体" w:eastAsia="宋体" w:cs="宋体"/>
                <w:color w:val="auto"/>
                <w:sz w:val="21"/>
                <w:szCs w:val="21"/>
                <w:highlight w:val="none"/>
                <w:lang w:val="en-US" w:eastAsia="zh-CN"/>
              </w:rPr>
              <w:t>不含直辖市）</w:t>
            </w:r>
            <w:r>
              <w:rPr>
                <w:rFonts w:hint="eastAsia" w:ascii="宋体" w:hAnsi="宋体" w:eastAsia="宋体" w:cs="宋体"/>
                <w:color w:val="auto"/>
                <w:szCs w:val="21"/>
                <w:highlight w:val="none"/>
                <w:lang w:val="zh-CN"/>
              </w:rPr>
              <w:t>政府行政主管部门、</w:t>
            </w:r>
            <w:r>
              <w:rPr>
                <w:rFonts w:hint="eastAsia" w:ascii="宋体" w:hAnsi="宋体" w:eastAsia="宋体" w:cs="宋体"/>
                <w:color w:val="auto"/>
                <w:sz w:val="21"/>
                <w:szCs w:val="21"/>
                <w:highlight w:val="none"/>
                <w:lang w:val="zh-CN"/>
              </w:rPr>
              <w:t>或</w:t>
            </w:r>
            <w:r>
              <w:rPr>
                <w:rFonts w:hint="eastAsia" w:ascii="宋体" w:hAnsi="宋体" w:eastAsia="宋体" w:cs="宋体"/>
                <w:color w:val="auto"/>
                <w:sz w:val="21"/>
                <w:szCs w:val="21"/>
                <w:highlight w:val="none"/>
                <w:lang w:val="en-US" w:eastAsia="zh-CN"/>
              </w:rPr>
              <w:t>市</w:t>
            </w:r>
            <w:r>
              <w:rPr>
                <w:rFonts w:hint="eastAsia" w:ascii="宋体" w:hAnsi="宋体" w:eastAsia="宋体" w:cs="宋体"/>
                <w:color w:val="auto"/>
                <w:sz w:val="21"/>
                <w:szCs w:val="21"/>
                <w:highlight w:val="none"/>
                <w:lang w:val="zh-CN"/>
              </w:rPr>
              <w:t>级（</w:t>
            </w:r>
            <w:r>
              <w:rPr>
                <w:rFonts w:hint="eastAsia" w:ascii="宋体" w:hAnsi="宋体" w:eastAsia="宋体" w:cs="宋体"/>
                <w:color w:val="auto"/>
                <w:sz w:val="21"/>
                <w:szCs w:val="21"/>
                <w:highlight w:val="none"/>
                <w:lang w:val="en-US" w:eastAsia="zh-CN"/>
              </w:rPr>
              <w:t>不含直辖市）</w:t>
            </w:r>
            <w:r>
              <w:rPr>
                <w:rFonts w:hint="eastAsia" w:ascii="宋体" w:hAnsi="宋体" w:eastAsia="宋体" w:cs="宋体"/>
                <w:color w:val="auto"/>
                <w:sz w:val="21"/>
                <w:szCs w:val="21"/>
                <w:highlight w:val="none"/>
                <w:lang w:val="zh-CN"/>
              </w:rPr>
              <w:t>行业协会（</w:t>
            </w:r>
            <w:r>
              <w:rPr>
                <w:rFonts w:hint="eastAsia" w:ascii="宋体" w:hAnsi="宋体" w:eastAsia="宋体" w:cs="宋体"/>
                <w:color w:val="auto"/>
                <w:sz w:val="21"/>
                <w:szCs w:val="21"/>
                <w:highlight w:val="none"/>
                <w:lang w:val="en-US" w:eastAsia="zh-CN"/>
              </w:rPr>
              <w:t>学会</w:t>
            </w:r>
            <w:r>
              <w:rPr>
                <w:rFonts w:hint="eastAsia" w:ascii="宋体" w:hAnsi="宋体" w:eastAsia="宋体" w:cs="宋体"/>
                <w:color w:val="auto"/>
                <w:sz w:val="21"/>
                <w:szCs w:val="21"/>
                <w:highlight w:val="none"/>
                <w:lang w:val="zh-CN"/>
              </w:rPr>
              <w:t>）颁发</w:t>
            </w:r>
            <w:r>
              <w:rPr>
                <w:rFonts w:hint="eastAsia" w:ascii="宋体" w:hAnsi="宋体" w:eastAsia="宋体" w:cs="宋体"/>
                <w:color w:val="auto"/>
                <w:sz w:val="21"/>
                <w:szCs w:val="21"/>
                <w:highlight w:val="none"/>
                <w:lang w:val="en-US" w:eastAsia="zh-CN"/>
              </w:rPr>
              <w:t>的科学技术奖的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每项得2分。</w:t>
            </w:r>
          </w:p>
          <w:p w14:paraId="5371B417">
            <w:pPr>
              <w:keepNext w:val="0"/>
              <w:keepLines w:val="0"/>
              <w:pageBreakBefore w:val="0"/>
              <w:widowControl w:val="0"/>
              <w:kinsoku/>
              <w:wordWrap/>
              <w:overflowPunct/>
              <w:topLinePunct w:val="0"/>
              <w:bidi w:val="0"/>
              <w:spacing w:line="400" w:lineRule="exact"/>
              <w:ind w:firstLine="0" w:firstLineChars="0"/>
              <w:textAlignment w:val="auto"/>
              <w:rPr>
                <w:rFonts w:hint="eastAsia" w:ascii="宋体" w:hAnsi="宋体" w:eastAsia="宋体" w:cs="宋体"/>
                <w:b/>
                <w:bCs w:val="0"/>
                <w:color w:val="auto"/>
                <w:sz w:val="21"/>
                <w:szCs w:val="21"/>
                <w:highlight w:val="none"/>
                <w:lang w:val="zh-CN"/>
              </w:rPr>
            </w:pPr>
            <w:r>
              <w:rPr>
                <w:rFonts w:hint="eastAsia" w:ascii="宋体" w:hAnsi="宋体" w:eastAsia="宋体" w:cs="Times New Roman"/>
                <w:b/>
                <w:bCs w:val="0"/>
                <w:color w:val="auto"/>
                <w:kern w:val="0"/>
                <w:szCs w:val="21"/>
                <w:highlight w:val="none"/>
                <w:lang w:val="en-US" w:eastAsia="zh-CN"/>
              </w:rPr>
              <w:t>备注：</w:t>
            </w:r>
          </w:p>
          <w:p w14:paraId="72206EF2">
            <w:pPr>
              <w:keepNext w:val="0"/>
              <w:keepLines w:val="0"/>
              <w:pageBreakBefore w:val="0"/>
              <w:widowControl w:val="0"/>
              <w:kinsoku/>
              <w:wordWrap/>
              <w:overflowPunct/>
              <w:topLinePunct w:val="0"/>
              <w:bidi w:val="0"/>
              <w:spacing w:line="400" w:lineRule="exact"/>
              <w:ind w:firstLine="0" w:firstLineChars="0"/>
              <w:textAlignment w:val="auto"/>
              <w:rPr>
                <w:rFonts w:hint="eastAsia" w:ascii="宋体" w:hAnsi="宋体" w:eastAsia="宋体" w:cs="宋体"/>
                <w:b/>
                <w:bCs w:val="0"/>
                <w:color w:val="auto"/>
                <w:sz w:val="21"/>
                <w:szCs w:val="21"/>
                <w:highlight w:val="none"/>
                <w:lang w:val="zh-CN"/>
              </w:rPr>
            </w:pPr>
            <w:r>
              <w:rPr>
                <w:rFonts w:hint="eastAsia" w:ascii="宋体" w:hAnsi="宋体" w:eastAsia="宋体" w:cs="宋体"/>
                <w:b/>
                <w:bCs w:val="0"/>
                <w:color w:val="auto"/>
                <w:sz w:val="21"/>
                <w:szCs w:val="21"/>
                <w:highlight w:val="none"/>
                <w:lang w:val="en-US" w:eastAsia="zh-CN"/>
              </w:rPr>
              <w:t>①</w:t>
            </w:r>
            <w:r>
              <w:rPr>
                <w:rFonts w:hint="eastAsia" w:ascii="宋体" w:hAnsi="宋体" w:eastAsia="宋体" w:cs="宋体"/>
                <w:b/>
                <w:bCs w:val="0"/>
                <w:color w:val="auto"/>
                <w:sz w:val="21"/>
                <w:szCs w:val="21"/>
                <w:highlight w:val="none"/>
                <w:lang w:val="zh-CN"/>
              </w:rPr>
              <w:t>颁发单位包括</w:t>
            </w:r>
            <w:r>
              <w:rPr>
                <w:rFonts w:hint="eastAsia" w:ascii="宋体" w:hAnsi="宋体" w:eastAsia="宋体" w:cs="宋体"/>
                <w:b/>
                <w:color w:val="auto"/>
                <w:szCs w:val="21"/>
                <w:highlight w:val="none"/>
                <w:lang w:val="zh-CN"/>
              </w:rPr>
              <w:t>政府行政主管部门</w:t>
            </w:r>
            <w:r>
              <w:rPr>
                <w:rFonts w:hint="eastAsia" w:ascii="宋体" w:hAnsi="宋体" w:eastAsia="宋体" w:cs="宋体"/>
                <w:b/>
                <w:bCs w:val="0"/>
                <w:color w:val="auto"/>
                <w:sz w:val="21"/>
                <w:szCs w:val="21"/>
                <w:highlight w:val="none"/>
                <w:lang w:val="zh-CN"/>
              </w:rPr>
              <w:t>或行业协会（学会）；</w:t>
            </w:r>
          </w:p>
          <w:p w14:paraId="1F0EDCAA">
            <w:pPr>
              <w:keepNext w:val="0"/>
              <w:keepLines w:val="0"/>
              <w:pageBreakBefore w:val="0"/>
              <w:widowControl w:val="0"/>
              <w:kinsoku/>
              <w:wordWrap/>
              <w:overflowPunct/>
              <w:topLinePunct w:val="0"/>
              <w:bidi w:val="0"/>
              <w:spacing w:line="400" w:lineRule="exact"/>
              <w:ind w:firstLine="0" w:firstLineChars="0"/>
              <w:textAlignment w:val="auto"/>
              <w:rPr>
                <w:rFonts w:hint="eastAsia" w:ascii="宋体" w:hAnsi="宋体" w:eastAsia="宋体" w:cs="宋体"/>
                <w:b/>
                <w:bCs w:val="0"/>
                <w:color w:val="auto"/>
                <w:sz w:val="21"/>
                <w:szCs w:val="21"/>
                <w:highlight w:val="none"/>
                <w:lang w:val="zh-CN"/>
              </w:rPr>
            </w:pPr>
            <w:r>
              <w:rPr>
                <w:rFonts w:hint="eastAsia" w:ascii="宋体" w:hAnsi="宋体" w:eastAsia="宋体" w:cs="宋体"/>
                <w:b/>
                <w:bCs w:val="0"/>
                <w:color w:val="auto"/>
                <w:sz w:val="21"/>
                <w:szCs w:val="21"/>
                <w:highlight w:val="none"/>
                <w:lang w:val="en-US" w:eastAsia="zh-CN"/>
              </w:rPr>
              <w:t>②</w:t>
            </w:r>
            <w:r>
              <w:rPr>
                <w:rFonts w:hint="eastAsia" w:ascii="宋体" w:hAnsi="宋体" w:eastAsia="宋体" w:cs="宋体"/>
                <w:b/>
                <w:bCs w:val="0"/>
                <w:color w:val="auto"/>
                <w:sz w:val="21"/>
                <w:szCs w:val="21"/>
                <w:highlight w:val="none"/>
                <w:lang w:val="zh-CN"/>
              </w:rPr>
              <w:t>获奖时间以</w:t>
            </w:r>
            <w:r>
              <w:rPr>
                <w:rFonts w:hint="eastAsia" w:ascii="宋体" w:hAnsi="宋体" w:eastAsia="宋体" w:cs="宋体"/>
                <w:b/>
                <w:bCs w:val="0"/>
                <w:color w:val="auto"/>
                <w:szCs w:val="21"/>
                <w:highlight w:val="none"/>
                <w:lang w:val="zh-CN"/>
              </w:rPr>
              <w:t>获奖证书颁发日期</w:t>
            </w:r>
            <w:r>
              <w:rPr>
                <w:rFonts w:hint="eastAsia" w:ascii="宋体" w:hAnsi="宋体" w:eastAsia="宋体" w:cs="宋体"/>
                <w:b/>
                <w:bCs w:val="0"/>
                <w:color w:val="auto"/>
                <w:sz w:val="21"/>
                <w:szCs w:val="21"/>
                <w:highlight w:val="none"/>
                <w:lang w:val="en-US" w:eastAsia="zh-CN"/>
              </w:rPr>
              <w:t>或</w:t>
            </w:r>
            <w:r>
              <w:rPr>
                <w:rFonts w:hint="eastAsia" w:ascii="宋体" w:hAnsi="宋体" w:eastAsia="宋体" w:cs="宋体"/>
                <w:b/>
                <w:bCs w:val="0"/>
                <w:color w:val="auto"/>
                <w:sz w:val="21"/>
                <w:szCs w:val="21"/>
                <w:highlight w:val="none"/>
                <w:lang w:val="zh-CN"/>
              </w:rPr>
              <w:t>获奖公告通知日为准；</w:t>
            </w:r>
          </w:p>
          <w:p w14:paraId="470B916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val="0"/>
                <w:color w:val="auto"/>
                <w:sz w:val="21"/>
                <w:szCs w:val="21"/>
                <w:highlight w:val="none"/>
                <w:lang w:val="zh-CN"/>
              </w:rPr>
            </w:pPr>
            <w:r>
              <w:rPr>
                <w:rFonts w:hint="eastAsia" w:ascii="宋体" w:hAnsi="宋体" w:eastAsia="宋体" w:cs="宋体"/>
                <w:b/>
                <w:bCs w:val="0"/>
                <w:color w:val="auto"/>
                <w:sz w:val="21"/>
                <w:szCs w:val="21"/>
                <w:highlight w:val="none"/>
                <w:lang w:val="en-US" w:eastAsia="zh-CN"/>
              </w:rPr>
              <w:t>③</w:t>
            </w:r>
            <w:r>
              <w:rPr>
                <w:rFonts w:hint="eastAsia" w:ascii="宋体" w:hAnsi="宋体" w:eastAsia="宋体" w:cs="宋体"/>
                <w:b/>
                <w:bCs w:val="0"/>
                <w:color w:val="auto"/>
                <w:sz w:val="21"/>
                <w:szCs w:val="21"/>
                <w:highlight w:val="none"/>
                <w:lang w:val="zh-CN"/>
              </w:rPr>
              <w:t>需提供获奖证书</w:t>
            </w:r>
            <w:r>
              <w:rPr>
                <w:rFonts w:hint="eastAsia" w:ascii="宋体" w:hAnsi="宋体" w:eastAsia="宋体" w:cs="宋体"/>
                <w:b/>
                <w:bCs w:val="0"/>
                <w:color w:val="auto"/>
                <w:sz w:val="21"/>
                <w:szCs w:val="21"/>
                <w:highlight w:val="none"/>
                <w:lang w:val="en-US" w:eastAsia="zh-CN"/>
              </w:rPr>
              <w:t>/获奖公告</w:t>
            </w:r>
            <w:r>
              <w:rPr>
                <w:rFonts w:hint="eastAsia" w:ascii="宋体" w:hAnsi="宋体" w:eastAsia="宋体" w:cs="宋体"/>
                <w:b/>
                <w:bCs w:val="0"/>
                <w:color w:val="auto"/>
                <w:sz w:val="21"/>
                <w:szCs w:val="21"/>
                <w:highlight w:val="none"/>
                <w:lang w:val="zh-CN"/>
              </w:rPr>
              <w:t>复印件或网上公示获奖页面截图凭证（</w:t>
            </w:r>
            <w:r>
              <w:rPr>
                <w:rFonts w:hint="eastAsia" w:ascii="宋体" w:hAnsi="宋体" w:eastAsia="宋体" w:cs="宋体"/>
                <w:b/>
                <w:bCs w:val="0"/>
                <w:color w:val="auto"/>
                <w:sz w:val="21"/>
                <w:szCs w:val="21"/>
                <w:highlight w:val="none"/>
                <w:lang w:val="en-US" w:eastAsia="zh-CN"/>
              </w:rPr>
              <w:t>且证明材料反映获奖单位包含投标人</w:t>
            </w:r>
            <w:r>
              <w:rPr>
                <w:rFonts w:hint="eastAsia" w:ascii="宋体" w:hAnsi="宋体" w:eastAsia="宋体" w:cs="宋体"/>
                <w:b/>
                <w:bCs w:val="0"/>
                <w:color w:val="auto"/>
                <w:sz w:val="21"/>
                <w:szCs w:val="21"/>
                <w:highlight w:val="none"/>
                <w:lang w:val="zh-CN"/>
              </w:rPr>
              <w:t>）；</w:t>
            </w:r>
          </w:p>
          <w:p w14:paraId="65BED048">
            <w:pPr>
              <w:autoSpaceDE/>
              <w:autoSpaceDN/>
              <w:adjustRightInd/>
              <w:spacing w:line="400" w:lineRule="exact"/>
              <w:jc w:val="left"/>
              <w:rPr>
                <w:rFonts w:hint="eastAsia"/>
                <w:b/>
                <w:bCs w:val="0"/>
                <w:color w:val="auto"/>
                <w:highlight w:val="none"/>
                <w:lang w:val="zh-CN"/>
              </w:rPr>
            </w:pPr>
            <w:r>
              <w:rPr>
                <w:rFonts w:hint="eastAsia" w:ascii="宋体" w:hAnsi="宋体" w:eastAsia="宋体" w:cs="Times New Roman"/>
                <w:b/>
                <w:bCs w:val="0"/>
                <w:color w:val="auto"/>
                <w:kern w:val="0"/>
                <w:sz w:val="21"/>
                <w:szCs w:val="21"/>
                <w:highlight w:val="none"/>
                <w:lang w:val="en-US" w:eastAsia="zh-CN"/>
              </w:rPr>
              <w:t>④获奖业绩须附合同复印件（合同服务提供方为投标人）加以证明；</w:t>
            </w:r>
          </w:p>
          <w:p w14:paraId="3567CA88">
            <w:pPr>
              <w:keepNext w:val="0"/>
              <w:keepLines w:val="0"/>
              <w:pageBreakBefore w:val="0"/>
              <w:widowControl w:val="0"/>
              <w:kinsoku/>
              <w:wordWrap/>
              <w:overflowPunct/>
              <w:topLinePunct w:val="0"/>
              <w:autoSpaceDE/>
              <w:autoSpaceDN/>
              <w:bidi w:val="0"/>
              <w:adjustRightInd/>
              <w:spacing w:line="400" w:lineRule="exact"/>
              <w:textAlignment w:val="auto"/>
              <w:rPr>
                <w:rFonts w:hint="default" w:ascii="宋体" w:hAnsi="宋体" w:eastAsia="宋体" w:cs="Times New Roman"/>
                <w:b/>
                <w:bCs w:val="0"/>
                <w:color w:val="auto"/>
                <w:kern w:val="0"/>
                <w:sz w:val="21"/>
                <w:szCs w:val="21"/>
                <w:highlight w:val="none"/>
                <w:lang w:val="en-US" w:eastAsia="zh-CN"/>
              </w:rPr>
            </w:pPr>
            <w:r>
              <w:rPr>
                <w:rFonts w:hint="eastAsia" w:ascii="宋体" w:hAnsi="宋体" w:eastAsia="宋体" w:cs="宋体"/>
                <w:b/>
                <w:bCs w:val="0"/>
                <w:color w:val="auto"/>
                <w:sz w:val="21"/>
                <w:szCs w:val="21"/>
                <w:highlight w:val="none"/>
                <w:lang w:val="en-US" w:eastAsia="zh-CN"/>
              </w:rPr>
              <w:t>⑤</w:t>
            </w:r>
            <w:r>
              <w:rPr>
                <w:rFonts w:hint="eastAsia" w:ascii="宋体" w:hAnsi="宋体" w:eastAsia="宋体" w:cs="宋体"/>
                <w:b/>
                <w:bCs w:val="0"/>
                <w:color w:val="auto"/>
                <w:szCs w:val="21"/>
                <w:highlight w:val="none"/>
              </w:rPr>
              <w:t>得奖项目按高分项只计算一次、不重复计分</w:t>
            </w:r>
            <w:r>
              <w:rPr>
                <w:rFonts w:hint="eastAsia" w:ascii="宋体" w:hAnsi="宋体" w:eastAsia="宋体" w:cs="宋体"/>
                <w:b/>
                <w:bCs w:val="0"/>
                <w:color w:val="auto"/>
                <w:szCs w:val="21"/>
                <w:highlight w:val="none"/>
                <w:lang w:eastAsia="zh-CN"/>
              </w:rPr>
              <w:t>。</w:t>
            </w:r>
          </w:p>
        </w:tc>
        <w:tc>
          <w:tcPr>
            <w:tcW w:w="437" w:type="pct"/>
            <w:tcBorders>
              <w:top w:val="single" w:color="auto" w:sz="4" w:space="0"/>
              <w:left w:val="single" w:color="auto" w:sz="4" w:space="0"/>
              <w:bottom w:val="single" w:color="auto" w:sz="4" w:space="0"/>
              <w:right w:val="single" w:color="auto" w:sz="4" w:space="0"/>
            </w:tcBorders>
            <w:vAlign w:val="center"/>
          </w:tcPr>
          <w:p w14:paraId="0A431A35">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6分</w:t>
            </w:r>
          </w:p>
        </w:tc>
      </w:tr>
      <w:tr w14:paraId="36CD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7" w:type="pct"/>
            <w:vMerge w:val="continue"/>
            <w:tcBorders>
              <w:left w:val="single" w:color="auto" w:sz="4" w:space="0"/>
              <w:right w:val="single" w:color="auto" w:sz="4" w:space="0"/>
            </w:tcBorders>
            <w:vAlign w:val="center"/>
          </w:tcPr>
          <w:p w14:paraId="5DC5E79E">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kern w:val="0"/>
                <w:szCs w:val="21"/>
                <w:highlight w:val="none"/>
                <w:lang w:val="en-US" w:eastAsia="zh-CN"/>
              </w:rPr>
            </w:pPr>
          </w:p>
        </w:tc>
        <w:tc>
          <w:tcPr>
            <w:tcW w:w="546" w:type="pct"/>
            <w:vMerge w:val="continue"/>
            <w:tcBorders>
              <w:left w:val="single" w:color="auto" w:sz="4" w:space="0"/>
              <w:right w:val="single" w:color="auto" w:sz="4" w:space="0"/>
            </w:tcBorders>
            <w:vAlign w:val="center"/>
          </w:tcPr>
          <w:p w14:paraId="5DEE75DD">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color w:val="auto"/>
                <w:kern w:val="0"/>
                <w:sz w:val="21"/>
                <w:szCs w:val="21"/>
                <w:highlight w:val="none"/>
              </w:rPr>
            </w:pPr>
          </w:p>
        </w:tc>
        <w:tc>
          <w:tcPr>
            <w:tcW w:w="3698" w:type="pct"/>
            <w:tcBorders>
              <w:top w:val="single" w:color="auto" w:sz="4" w:space="0"/>
              <w:left w:val="single" w:color="auto" w:sz="4" w:space="0"/>
              <w:bottom w:val="single" w:color="auto" w:sz="4" w:space="0"/>
              <w:right w:val="single" w:color="auto" w:sz="4" w:space="0"/>
            </w:tcBorders>
            <w:vAlign w:val="center"/>
          </w:tcPr>
          <w:p w14:paraId="2699BE3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（3）投标人完成的生态环境领域技术课题在2022年1月1日至今的成果鉴定情况，按以下标准计分：</w:t>
            </w:r>
          </w:p>
          <w:p w14:paraId="39F8C50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1.鉴定结果达到国际领先水平的，得5分；</w:t>
            </w:r>
          </w:p>
          <w:p w14:paraId="39359A3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2.鉴定结果达到国际先进水平的，每项得4分；</w:t>
            </w:r>
          </w:p>
          <w:p w14:paraId="4CA6206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3.鉴定结果达到国内领先水平的，每项得3分；</w:t>
            </w:r>
          </w:p>
          <w:p w14:paraId="7863138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4.鉴定结果达到国内先进水平的，每项得2分。</w:t>
            </w:r>
          </w:p>
          <w:p w14:paraId="4467A22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备注：</w:t>
            </w:r>
          </w:p>
          <w:p w14:paraId="6975AEA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①需提供加盖鉴定单位公章的技术成果鉴定报告（或鉴定证书），鉴定时间以鉴定报告（或鉴定证书）签署日期为准；</w:t>
            </w:r>
          </w:p>
          <w:p w14:paraId="75CDDB6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②成果鉴定报告（或鉴定证书）出具单位包括政府行政主管部门、行业协会（学会）或其他第三方科技成果评价机构；</w:t>
            </w:r>
          </w:p>
          <w:p w14:paraId="1C10F30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③成果鉴定报告（或鉴定证书）需体现课题主要完成单位包含投标人，否则不得分；</w:t>
            </w:r>
          </w:p>
          <w:p w14:paraId="2049B08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④成果鉴定情况按高分项只计算一次、不重复计分。</w:t>
            </w:r>
          </w:p>
        </w:tc>
        <w:tc>
          <w:tcPr>
            <w:tcW w:w="437" w:type="pct"/>
            <w:tcBorders>
              <w:top w:val="single" w:color="auto" w:sz="4" w:space="0"/>
              <w:left w:val="single" w:color="auto" w:sz="4" w:space="0"/>
              <w:bottom w:val="single" w:color="auto" w:sz="4" w:space="0"/>
              <w:right w:val="single" w:color="auto" w:sz="4" w:space="0"/>
            </w:tcBorders>
            <w:vAlign w:val="center"/>
          </w:tcPr>
          <w:p w14:paraId="72B345F7">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5分</w:t>
            </w:r>
          </w:p>
        </w:tc>
      </w:tr>
      <w:tr w14:paraId="2244C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17" w:type="pct"/>
            <w:vMerge w:val="continue"/>
            <w:tcBorders>
              <w:left w:val="single" w:color="auto" w:sz="4" w:space="0"/>
              <w:bottom w:val="single" w:color="auto" w:sz="4" w:space="0"/>
              <w:right w:val="single" w:color="auto" w:sz="4" w:space="0"/>
            </w:tcBorders>
            <w:vAlign w:val="center"/>
          </w:tcPr>
          <w:p w14:paraId="38D58217">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default" w:ascii="宋体" w:hAnsi="宋体" w:eastAsia="宋体" w:cs="宋体"/>
                <w:color w:val="auto"/>
                <w:kern w:val="0"/>
                <w:szCs w:val="21"/>
                <w:highlight w:val="none"/>
                <w:lang w:val="en-US" w:eastAsia="zh-CN"/>
              </w:rPr>
            </w:pPr>
          </w:p>
        </w:tc>
        <w:tc>
          <w:tcPr>
            <w:tcW w:w="546" w:type="pct"/>
            <w:vMerge w:val="continue"/>
            <w:tcBorders>
              <w:left w:val="single" w:color="auto" w:sz="4" w:space="0"/>
              <w:bottom w:val="single" w:color="auto" w:sz="4" w:space="0"/>
              <w:right w:val="single" w:color="auto" w:sz="4" w:space="0"/>
            </w:tcBorders>
            <w:vAlign w:val="center"/>
          </w:tcPr>
          <w:p w14:paraId="2962174D">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color w:val="auto"/>
                <w:kern w:val="0"/>
                <w:szCs w:val="21"/>
                <w:highlight w:val="none"/>
              </w:rPr>
            </w:pPr>
          </w:p>
        </w:tc>
        <w:tc>
          <w:tcPr>
            <w:tcW w:w="3698" w:type="pct"/>
            <w:tcBorders>
              <w:top w:val="single" w:color="auto" w:sz="4" w:space="0"/>
              <w:left w:val="single" w:color="auto" w:sz="4" w:space="0"/>
              <w:bottom w:val="single" w:color="auto" w:sz="4" w:space="0"/>
              <w:right w:val="single" w:color="auto" w:sz="4" w:space="0"/>
            </w:tcBorders>
            <w:vAlign w:val="center"/>
          </w:tcPr>
          <w:p w14:paraId="3B99CBC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Times New Roman"/>
                <w:b w:val="0"/>
                <w:bCs/>
                <w:color w:val="auto"/>
                <w:kern w:val="0"/>
                <w:sz w:val="21"/>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eastAsia="宋体" w:cs="Times New Roman"/>
                <w:b w:val="0"/>
                <w:bCs/>
                <w:color w:val="auto"/>
                <w:kern w:val="0"/>
                <w:sz w:val="21"/>
                <w:szCs w:val="21"/>
                <w:highlight w:val="none"/>
                <w:lang w:val="en-US" w:eastAsia="zh-CN"/>
              </w:rPr>
              <w:t>投标人具有的科研技术平台</w:t>
            </w:r>
            <w:r>
              <w:rPr>
                <w:rFonts w:hint="eastAsia" w:ascii="宋体" w:hAnsi="宋体" w:eastAsia="宋体" w:cs="宋体"/>
                <w:color w:val="auto"/>
                <w:szCs w:val="21"/>
                <w:highlight w:val="none"/>
                <w:lang w:val="zh-CN"/>
              </w:rPr>
              <w:t>，按以下标准计分</w:t>
            </w:r>
            <w:r>
              <w:rPr>
                <w:rFonts w:hint="eastAsia" w:ascii="宋体" w:hAnsi="宋体" w:eastAsia="宋体" w:cs="宋体"/>
                <w:color w:val="auto"/>
                <w:sz w:val="21"/>
                <w:szCs w:val="21"/>
                <w:highlight w:val="none"/>
                <w:lang w:val="zh-CN"/>
              </w:rPr>
              <w:t>：</w:t>
            </w:r>
          </w:p>
          <w:p w14:paraId="287D610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Times New Roman"/>
                <w:bCs/>
                <w:color w:val="auto"/>
                <w:kern w:val="0"/>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1.投标人具有</w:t>
            </w:r>
            <w:r>
              <w:rPr>
                <w:rFonts w:hint="eastAsia" w:ascii="宋体" w:hAnsi="宋体" w:eastAsia="宋体" w:cs="Times New Roman"/>
                <w:bCs/>
                <w:color w:val="auto"/>
                <w:kern w:val="0"/>
                <w:szCs w:val="21"/>
                <w:highlight w:val="none"/>
              </w:rPr>
              <w:t>国家级或部级生态环境领域</w:t>
            </w:r>
            <w:r>
              <w:rPr>
                <w:rFonts w:hint="eastAsia" w:ascii="宋体" w:hAnsi="宋体" w:eastAsia="宋体" w:cs="Times New Roman"/>
                <w:bCs/>
                <w:color w:val="auto"/>
                <w:kern w:val="0"/>
                <w:szCs w:val="21"/>
                <w:highlight w:val="none"/>
                <w:lang w:eastAsia="zh-CN"/>
              </w:rPr>
              <w:t>的</w:t>
            </w:r>
            <w:r>
              <w:rPr>
                <w:rFonts w:hint="eastAsia" w:ascii="宋体" w:hAnsi="宋体" w:eastAsia="宋体" w:cs="Times New Roman"/>
                <w:bCs/>
                <w:color w:val="auto"/>
                <w:kern w:val="0"/>
                <w:szCs w:val="21"/>
                <w:highlight w:val="none"/>
              </w:rPr>
              <w:t>工程技术研究中心</w:t>
            </w:r>
            <w:r>
              <w:rPr>
                <w:rFonts w:hint="eastAsia" w:ascii="宋体" w:hAnsi="宋体" w:eastAsia="宋体" w:cs="Times New Roman"/>
                <w:bCs/>
                <w:color w:val="auto"/>
                <w:kern w:val="0"/>
                <w:szCs w:val="21"/>
                <w:highlight w:val="none"/>
                <w:lang w:eastAsia="zh-CN"/>
              </w:rPr>
              <w:t>（</w:t>
            </w:r>
            <w:r>
              <w:rPr>
                <w:rFonts w:hint="eastAsia" w:ascii="宋体" w:hAnsi="宋体" w:eastAsia="宋体" w:cs="Times New Roman"/>
                <w:bCs/>
                <w:color w:val="auto"/>
                <w:kern w:val="0"/>
                <w:szCs w:val="21"/>
                <w:highlight w:val="none"/>
                <w:lang w:val="en-US" w:eastAsia="zh-CN"/>
              </w:rPr>
              <w:t>或</w:t>
            </w:r>
            <w:r>
              <w:rPr>
                <w:rFonts w:hint="eastAsia" w:ascii="宋体" w:hAnsi="宋体" w:eastAsia="宋体" w:cs="Times New Roman"/>
                <w:bCs/>
                <w:color w:val="auto"/>
                <w:kern w:val="0"/>
                <w:szCs w:val="21"/>
                <w:highlight w:val="none"/>
              </w:rPr>
              <w:t>重点实验室</w:t>
            </w:r>
            <w:r>
              <w:rPr>
                <w:rFonts w:hint="eastAsia" w:ascii="宋体" w:hAnsi="宋体" w:eastAsia="宋体" w:cs="Times New Roman"/>
                <w:bCs/>
                <w:color w:val="auto"/>
                <w:kern w:val="0"/>
                <w:szCs w:val="21"/>
                <w:highlight w:val="none"/>
                <w:lang w:eastAsia="zh-CN"/>
              </w:rPr>
              <w:t>，</w:t>
            </w:r>
            <w:r>
              <w:rPr>
                <w:rFonts w:hint="eastAsia" w:ascii="宋体" w:hAnsi="宋体" w:eastAsia="宋体" w:cs="Times New Roman"/>
                <w:bCs/>
                <w:color w:val="auto"/>
                <w:kern w:val="0"/>
                <w:szCs w:val="21"/>
                <w:highlight w:val="none"/>
                <w:lang w:val="en-US" w:eastAsia="zh-CN"/>
              </w:rPr>
              <w:t>或工程研究中心</w:t>
            </w:r>
            <w:r>
              <w:rPr>
                <w:rFonts w:hint="eastAsia" w:ascii="宋体" w:hAnsi="宋体" w:eastAsia="宋体" w:cs="Times New Roman"/>
                <w:bCs/>
                <w:color w:val="auto"/>
                <w:kern w:val="0"/>
                <w:szCs w:val="21"/>
                <w:highlight w:val="none"/>
                <w:lang w:eastAsia="zh-CN"/>
              </w:rPr>
              <w:t>）的，</w:t>
            </w:r>
            <w:r>
              <w:rPr>
                <w:rFonts w:hint="eastAsia" w:ascii="宋体" w:hAnsi="宋体" w:eastAsia="宋体" w:cs="Times New Roman"/>
                <w:bCs/>
                <w:color w:val="auto"/>
                <w:kern w:val="0"/>
                <w:szCs w:val="21"/>
                <w:highlight w:val="none"/>
                <w:lang w:val="en-US" w:eastAsia="zh-CN"/>
              </w:rPr>
              <w:t>得5分；</w:t>
            </w:r>
          </w:p>
          <w:p w14:paraId="163B38F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Times New Roman"/>
                <w:bCs/>
                <w:color w:val="auto"/>
                <w:kern w:val="0"/>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2.投标人具有</w:t>
            </w:r>
            <w:r>
              <w:rPr>
                <w:rFonts w:hint="eastAsia" w:ascii="宋体" w:hAnsi="宋体" w:eastAsia="宋体" w:cs="Times New Roman"/>
                <w:bCs/>
                <w:color w:val="auto"/>
                <w:kern w:val="0"/>
                <w:szCs w:val="21"/>
                <w:highlight w:val="none"/>
              </w:rPr>
              <w:t>省级（或直辖市）生态环境领域</w:t>
            </w:r>
            <w:r>
              <w:rPr>
                <w:rFonts w:hint="eastAsia" w:ascii="宋体" w:hAnsi="宋体" w:eastAsia="宋体" w:cs="Times New Roman"/>
                <w:bCs/>
                <w:color w:val="auto"/>
                <w:kern w:val="0"/>
                <w:szCs w:val="21"/>
                <w:highlight w:val="none"/>
                <w:lang w:eastAsia="zh-CN"/>
              </w:rPr>
              <w:t>的</w:t>
            </w:r>
            <w:r>
              <w:rPr>
                <w:rFonts w:hint="eastAsia" w:ascii="宋体" w:hAnsi="宋体" w:eastAsia="宋体" w:cs="Times New Roman"/>
                <w:bCs/>
                <w:color w:val="auto"/>
                <w:kern w:val="0"/>
                <w:szCs w:val="21"/>
                <w:highlight w:val="none"/>
              </w:rPr>
              <w:t>工程技术研究中心</w:t>
            </w:r>
            <w:r>
              <w:rPr>
                <w:rFonts w:hint="eastAsia" w:ascii="宋体" w:hAnsi="宋体" w:eastAsia="宋体" w:cs="Times New Roman"/>
                <w:bCs/>
                <w:color w:val="auto"/>
                <w:kern w:val="0"/>
                <w:szCs w:val="21"/>
                <w:highlight w:val="none"/>
                <w:lang w:eastAsia="zh-CN"/>
              </w:rPr>
              <w:t>（</w:t>
            </w:r>
            <w:r>
              <w:rPr>
                <w:rFonts w:hint="eastAsia" w:ascii="宋体" w:hAnsi="宋体" w:eastAsia="宋体" w:cs="Times New Roman"/>
                <w:bCs/>
                <w:color w:val="auto"/>
                <w:kern w:val="0"/>
                <w:szCs w:val="21"/>
                <w:highlight w:val="none"/>
                <w:lang w:val="en-US" w:eastAsia="zh-CN"/>
              </w:rPr>
              <w:t>或</w:t>
            </w:r>
            <w:r>
              <w:rPr>
                <w:rFonts w:hint="eastAsia" w:ascii="宋体" w:hAnsi="宋体" w:eastAsia="宋体" w:cs="Times New Roman"/>
                <w:bCs/>
                <w:color w:val="auto"/>
                <w:kern w:val="0"/>
                <w:szCs w:val="21"/>
                <w:highlight w:val="none"/>
              </w:rPr>
              <w:t>重点实验室</w:t>
            </w:r>
            <w:r>
              <w:rPr>
                <w:rFonts w:hint="eastAsia" w:ascii="宋体" w:hAnsi="宋体" w:eastAsia="宋体" w:cs="Times New Roman"/>
                <w:bCs/>
                <w:color w:val="auto"/>
                <w:kern w:val="0"/>
                <w:szCs w:val="21"/>
                <w:highlight w:val="none"/>
                <w:lang w:eastAsia="zh-CN"/>
              </w:rPr>
              <w:t>，</w:t>
            </w:r>
            <w:r>
              <w:rPr>
                <w:rFonts w:hint="eastAsia" w:ascii="宋体" w:hAnsi="宋体" w:eastAsia="宋体" w:cs="Times New Roman"/>
                <w:bCs/>
                <w:color w:val="auto"/>
                <w:kern w:val="0"/>
                <w:szCs w:val="21"/>
                <w:highlight w:val="none"/>
                <w:lang w:val="en-US" w:eastAsia="zh-CN"/>
              </w:rPr>
              <w:t>或工程研究中心</w:t>
            </w:r>
            <w:r>
              <w:rPr>
                <w:rFonts w:hint="eastAsia" w:ascii="宋体" w:hAnsi="宋体" w:eastAsia="宋体" w:cs="Times New Roman"/>
                <w:bCs/>
                <w:color w:val="auto"/>
                <w:kern w:val="0"/>
                <w:szCs w:val="21"/>
                <w:highlight w:val="none"/>
                <w:lang w:eastAsia="zh-CN"/>
              </w:rPr>
              <w:t>）的，</w:t>
            </w:r>
            <w:r>
              <w:rPr>
                <w:rFonts w:hint="eastAsia" w:ascii="宋体" w:hAnsi="宋体" w:eastAsia="宋体" w:cs="Times New Roman"/>
                <w:bCs/>
                <w:color w:val="auto"/>
                <w:kern w:val="0"/>
                <w:szCs w:val="21"/>
                <w:highlight w:val="none"/>
              </w:rPr>
              <w:t>每项</w:t>
            </w:r>
            <w:r>
              <w:rPr>
                <w:rFonts w:hint="eastAsia" w:ascii="宋体" w:hAnsi="宋体" w:eastAsia="宋体" w:cs="Times New Roman"/>
                <w:bCs/>
                <w:color w:val="auto"/>
                <w:kern w:val="0"/>
                <w:szCs w:val="21"/>
                <w:highlight w:val="none"/>
                <w:lang w:val="en-US" w:eastAsia="zh-CN"/>
              </w:rPr>
              <w:t>得4分；</w:t>
            </w:r>
          </w:p>
          <w:p w14:paraId="28C391D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Times New Roman"/>
                <w:bCs/>
                <w:color w:val="auto"/>
                <w:kern w:val="0"/>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3.投标人具有</w:t>
            </w:r>
            <w:r>
              <w:rPr>
                <w:rFonts w:hint="eastAsia" w:ascii="宋体" w:hAnsi="宋体" w:eastAsia="宋体" w:cs="宋体"/>
                <w:color w:val="auto"/>
                <w:sz w:val="21"/>
                <w:szCs w:val="21"/>
                <w:highlight w:val="none"/>
                <w:lang w:val="en-US" w:eastAsia="zh-CN"/>
              </w:rPr>
              <w:t>市</w:t>
            </w:r>
            <w:r>
              <w:rPr>
                <w:rFonts w:hint="eastAsia" w:ascii="宋体" w:hAnsi="宋体" w:eastAsia="宋体" w:cs="宋体"/>
                <w:color w:val="auto"/>
                <w:sz w:val="21"/>
                <w:szCs w:val="21"/>
                <w:highlight w:val="none"/>
                <w:lang w:val="zh-CN"/>
              </w:rPr>
              <w:t>级（</w:t>
            </w:r>
            <w:r>
              <w:rPr>
                <w:rFonts w:hint="eastAsia" w:ascii="宋体" w:hAnsi="宋体" w:eastAsia="宋体" w:cs="宋体"/>
                <w:color w:val="auto"/>
                <w:sz w:val="21"/>
                <w:szCs w:val="21"/>
                <w:highlight w:val="none"/>
                <w:lang w:val="en-US" w:eastAsia="zh-CN"/>
              </w:rPr>
              <w:t>不含直辖市）</w:t>
            </w:r>
            <w:r>
              <w:rPr>
                <w:rFonts w:hint="eastAsia" w:ascii="宋体" w:hAnsi="宋体" w:eastAsia="宋体" w:cs="Times New Roman"/>
                <w:bCs/>
                <w:color w:val="auto"/>
                <w:kern w:val="0"/>
                <w:szCs w:val="21"/>
                <w:highlight w:val="none"/>
              </w:rPr>
              <w:t>生态环境领域</w:t>
            </w:r>
            <w:r>
              <w:rPr>
                <w:rFonts w:hint="eastAsia" w:ascii="宋体" w:hAnsi="宋体" w:eastAsia="宋体" w:cs="Times New Roman"/>
                <w:bCs/>
                <w:color w:val="auto"/>
                <w:kern w:val="0"/>
                <w:szCs w:val="21"/>
                <w:highlight w:val="none"/>
                <w:lang w:eastAsia="zh-CN"/>
              </w:rPr>
              <w:t>的</w:t>
            </w:r>
            <w:r>
              <w:rPr>
                <w:rFonts w:hint="eastAsia" w:ascii="宋体" w:hAnsi="宋体" w:eastAsia="宋体" w:cs="Times New Roman"/>
                <w:bCs/>
                <w:color w:val="auto"/>
                <w:kern w:val="0"/>
                <w:szCs w:val="21"/>
                <w:highlight w:val="none"/>
              </w:rPr>
              <w:t>工程技术研究中心</w:t>
            </w:r>
            <w:r>
              <w:rPr>
                <w:rFonts w:hint="eastAsia" w:ascii="宋体" w:hAnsi="宋体" w:eastAsia="宋体" w:cs="Times New Roman"/>
                <w:bCs/>
                <w:color w:val="auto"/>
                <w:kern w:val="0"/>
                <w:szCs w:val="21"/>
                <w:highlight w:val="none"/>
                <w:lang w:eastAsia="zh-CN"/>
              </w:rPr>
              <w:t>（</w:t>
            </w:r>
            <w:r>
              <w:rPr>
                <w:rFonts w:hint="eastAsia" w:ascii="宋体" w:hAnsi="宋体" w:eastAsia="宋体" w:cs="Times New Roman"/>
                <w:bCs/>
                <w:color w:val="auto"/>
                <w:kern w:val="0"/>
                <w:szCs w:val="21"/>
                <w:highlight w:val="none"/>
                <w:lang w:val="en-US" w:eastAsia="zh-CN"/>
              </w:rPr>
              <w:t>或</w:t>
            </w:r>
            <w:r>
              <w:rPr>
                <w:rFonts w:hint="eastAsia" w:ascii="宋体" w:hAnsi="宋体" w:eastAsia="宋体" w:cs="Times New Roman"/>
                <w:bCs/>
                <w:color w:val="auto"/>
                <w:kern w:val="0"/>
                <w:szCs w:val="21"/>
                <w:highlight w:val="none"/>
              </w:rPr>
              <w:t>重点实验室</w:t>
            </w:r>
            <w:r>
              <w:rPr>
                <w:rFonts w:hint="eastAsia" w:ascii="宋体" w:hAnsi="宋体" w:eastAsia="宋体" w:cs="Times New Roman"/>
                <w:bCs/>
                <w:color w:val="auto"/>
                <w:kern w:val="0"/>
                <w:szCs w:val="21"/>
                <w:highlight w:val="none"/>
                <w:lang w:eastAsia="zh-CN"/>
              </w:rPr>
              <w:t>，</w:t>
            </w:r>
            <w:r>
              <w:rPr>
                <w:rFonts w:hint="eastAsia" w:ascii="宋体" w:hAnsi="宋体" w:eastAsia="宋体" w:cs="Times New Roman"/>
                <w:bCs/>
                <w:color w:val="auto"/>
                <w:kern w:val="0"/>
                <w:szCs w:val="21"/>
                <w:highlight w:val="none"/>
                <w:lang w:val="en-US" w:eastAsia="zh-CN"/>
              </w:rPr>
              <w:t>或工程研究中心</w:t>
            </w:r>
            <w:r>
              <w:rPr>
                <w:rFonts w:hint="eastAsia" w:ascii="宋体" w:hAnsi="宋体" w:eastAsia="宋体" w:cs="Times New Roman"/>
                <w:bCs/>
                <w:color w:val="auto"/>
                <w:kern w:val="0"/>
                <w:szCs w:val="21"/>
                <w:highlight w:val="none"/>
                <w:lang w:eastAsia="zh-CN"/>
              </w:rPr>
              <w:t>）的，</w:t>
            </w:r>
            <w:r>
              <w:rPr>
                <w:rFonts w:hint="eastAsia" w:ascii="宋体" w:hAnsi="宋体" w:eastAsia="宋体" w:cs="Times New Roman"/>
                <w:bCs/>
                <w:color w:val="auto"/>
                <w:kern w:val="0"/>
                <w:szCs w:val="21"/>
                <w:highlight w:val="none"/>
              </w:rPr>
              <w:t>每项</w:t>
            </w:r>
            <w:r>
              <w:rPr>
                <w:rFonts w:hint="eastAsia" w:ascii="宋体" w:hAnsi="宋体" w:eastAsia="宋体" w:cs="Times New Roman"/>
                <w:bCs/>
                <w:color w:val="auto"/>
                <w:kern w:val="0"/>
                <w:szCs w:val="21"/>
                <w:highlight w:val="none"/>
                <w:lang w:val="en-US" w:eastAsia="zh-CN"/>
              </w:rPr>
              <w:t>得3分。</w:t>
            </w:r>
          </w:p>
          <w:p w14:paraId="3A46264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Times New Roman"/>
                <w:b/>
                <w:bCs w:val="0"/>
                <w:color w:val="auto"/>
                <w:kern w:val="0"/>
                <w:szCs w:val="21"/>
                <w:highlight w:val="none"/>
                <w:lang w:val="en-US" w:eastAsia="zh-CN"/>
              </w:rPr>
            </w:pPr>
            <w:r>
              <w:rPr>
                <w:rFonts w:hint="eastAsia" w:ascii="宋体" w:hAnsi="宋体" w:eastAsia="宋体" w:cs="Times New Roman"/>
                <w:b/>
                <w:bCs w:val="0"/>
                <w:color w:val="auto"/>
                <w:kern w:val="0"/>
                <w:szCs w:val="21"/>
                <w:highlight w:val="none"/>
                <w:lang w:val="en-US" w:eastAsia="zh-CN"/>
              </w:rPr>
              <w:t>备注：</w:t>
            </w:r>
          </w:p>
          <w:p w14:paraId="25A9926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Times New Roman"/>
                <w:b/>
                <w:color w:val="auto"/>
                <w:kern w:val="0"/>
                <w:szCs w:val="21"/>
                <w:highlight w:val="none"/>
                <w:lang w:eastAsia="zh-CN"/>
              </w:rPr>
            </w:pPr>
            <w:r>
              <w:rPr>
                <w:rFonts w:hint="eastAsia" w:ascii="宋体" w:hAnsi="宋体" w:eastAsia="宋体" w:cs="Times New Roman"/>
                <w:b/>
                <w:bCs w:val="0"/>
                <w:color w:val="auto"/>
                <w:kern w:val="0"/>
                <w:szCs w:val="21"/>
                <w:highlight w:val="none"/>
                <w:lang w:val="en-US" w:eastAsia="zh-CN"/>
              </w:rPr>
              <w:t>①</w:t>
            </w:r>
            <w:r>
              <w:rPr>
                <w:rFonts w:hint="eastAsia" w:ascii="宋体" w:hAnsi="宋体" w:eastAsia="宋体" w:cs="Times New Roman"/>
                <w:b/>
                <w:color w:val="auto"/>
                <w:kern w:val="0"/>
                <w:szCs w:val="21"/>
                <w:highlight w:val="none"/>
              </w:rPr>
              <w:t>“生态环境领域”是指包含水污染治理（或大气污染治理，或固体废弃物处理处置，或物理污染治理，或生态修复）范围的领域</w:t>
            </w:r>
            <w:r>
              <w:rPr>
                <w:rFonts w:hint="eastAsia" w:ascii="宋体" w:hAnsi="宋体" w:eastAsia="宋体" w:cs="Times New Roman"/>
                <w:b/>
                <w:color w:val="auto"/>
                <w:kern w:val="0"/>
                <w:szCs w:val="21"/>
                <w:highlight w:val="none"/>
                <w:lang w:eastAsia="zh-CN"/>
              </w:rPr>
              <w:t>；</w:t>
            </w:r>
          </w:p>
          <w:p w14:paraId="0F516A80">
            <w:pPr>
              <w:keepNext w:val="0"/>
              <w:keepLines w:val="0"/>
              <w:pageBreakBefore w:val="0"/>
              <w:widowControl w:val="0"/>
              <w:kinsoku/>
              <w:wordWrap/>
              <w:overflowPunct/>
              <w:topLinePunct w:val="0"/>
              <w:autoSpaceDE/>
              <w:autoSpaceDN/>
              <w:bidi w:val="0"/>
              <w:adjustRightInd/>
              <w:spacing w:line="400" w:lineRule="exact"/>
              <w:textAlignment w:val="auto"/>
              <w:rPr>
                <w:rFonts w:hint="default"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t>②投标人的</w:t>
            </w:r>
            <w:r>
              <w:rPr>
                <w:rFonts w:hint="eastAsia" w:ascii="宋体" w:hAnsi="宋体" w:eastAsia="宋体" w:cs="Times New Roman"/>
                <w:b/>
                <w:color w:val="auto"/>
                <w:kern w:val="0"/>
                <w:szCs w:val="21"/>
                <w:highlight w:val="none"/>
              </w:rPr>
              <w:t>工程技术研究中心（或重点实验室</w:t>
            </w:r>
            <w:r>
              <w:rPr>
                <w:rFonts w:hint="eastAsia" w:ascii="宋体" w:hAnsi="宋体" w:eastAsia="宋体" w:cs="Times New Roman"/>
                <w:b/>
                <w:color w:val="auto"/>
                <w:kern w:val="0"/>
                <w:szCs w:val="21"/>
                <w:highlight w:val="none"/>
                <w:lang w:eastAsia="zh-CN"/>
              </w:rPr>
              <w:t>）</w:t>
            </w:r>
            <w:r>
              <w:rPr>
                <w:rFonts w:hint="eastAsia" w:ascii="宋体" w:hAnsi="宋体" w:eastAsia="宋体" w:cs="Times New Roman"/>
                <w:b/>
                <w:color w:val="auto"/>
                <w:kern w:val="0"/>
                <w:szCs w:val="21"/>
                <w:highlight w:val="none"/>
                <w:lang w:val="en-US" w:eastAsia="zh-CN"/>
              </w:rPr>
              <w:t>须通过科学技术部门认定，</w:t>
            </w:r>
            <w:r>
              <w:rPr>
                <w:rFonts w:hint="eastAsia" w:ascii="宋体" w:hAnsi="宋体" w:eastAsia="宋体" w:cs="Times New Roman"/>
                <w:b/>
                <w:color w:val="auto"/>
                <w:kern w:val="0"/>
                <w:szCs w:val="21"/>
                <w:highlight w:val="none"/>
              </w:rPr>
              <w:t>工程研究中心</w:t>
            </w:r>
            <w:r>
              <w:rPr>
                <w:rFonts w:hint="eastAsia" w:ascii="宋体" w:hAnsi="宋体" w:eastAsia="宋体" w:cs="Times New Roman"/>
                <w:b/>
                <w:color w:val="auto"/>
                <w:kern w:val="0"/>
                <w:szCs w:val="21"/>
                <w:highlight w:val="none"/>
                <w:lang w:val="en-US" w:eastAsia="zh-CN"/>
              </w:rPr>
              <w:t>须通过发展和改革部门认定，并提供科学技术部门（或发展和改革部门）发布的认定通知（拟组建公示）及认定名单（拟组建名单）或其他能够证明投标人具有工程技术研究中心</w:t>
            </w:r>
            <w:r>
              <w:rPr>
                <w:rFonts w:hint="eastAsia" w:ascii="宋体" w:hAnsi="宋体" w:eastAsia="宋体" w:cs="Times New Roman"/>
                <w:b/>
                <w:color w:val="auto"/>
                <w:kern w:val="0"/>
                <w:szCs w:val="21"/>
                <w:highlight w:val="none"/>
              </w:rPr>
              <w:t>（或重点实验室，或工程研究中心）</w:t>
            </w:r>
            <w:r>
              <w:rPr>
                <w:rFonts w:hint="eastAsia" w:ascii="宋体" w:hAnsi="宋体" w:eastAsia="宋体" w:cs="Times New Roman"/>
                <w:b/>
                <w:color w:val="auto"/>
                <w:kern w:val="0"/>
                <w:szCs w:val="21"/>
                <w:highlight w:val="none"/>
                <w:lang w:val="en-US" w:eastAsia="zh-CN"/>
              </w:rPr>
              <w:t>的资料，否则不得分；</w:t>
            </w:r>
          </w:p>
          <w:p w14:paraId="1E25044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Times New Roman"/>
                <w:b/>
                <w:color w:val="auto"/>
                <w:kern w:val="0"/>
                <w:szCs w:val="21"/>
                <w:highlight w:val="none"/>
                <w:lang w:val="en-US" w:eastAsia="zh-CN"/>
              </w:rPr>
              <w:t>③投标人的</w:t>
            </w:r>
            <w:r>
              <w:rPr>
                <w:rFonts w:hint="eastAsia" w:ascii="宋体" w:hAnsi="宋体" w:eastAsia="宋体" w:cs="Times New Roman"/>
                <w:b/>
                <w:color w:val="auto"/>
                <w:kern w:val="0"/>
                <w:szCs w:val="21"/>
                <w:highlight w:val="none"/>
              </w:rPr>
              <w:t>工程技术研究中心（或重点实验室，或工程研究中心）</w:t>
            </w:r>
            <w:r>
              <w:rPr>
                <w:rFonts w:hint="eastAsia" w:ascii="宋体" w:hAnsi="宋体" w:eastAsia="宋体" w:cs="Times New Roman"/>
                <w:b/>
                <w:color w:val="auto"/>
                <w:kern w:val="0"/>
                <w:szCs w:val="21"/>
                <w:highlight w:val="none"/>
                <w:lang w:val="en-US" w:eastAsia="zh-CN"/>
              </w:rPr>
              <w:t>应在有效认定状态（即投标时未被列入撤销名单内），否则不得分。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2D8936F1">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5分</w:t>
            </w:r>
          </w:p>
        </w:tc>
      </w:tr>
      <w:bookmarkEnd w:id="855"/>
    </w:tbl>
    <w:p w14:paraId="1F7BC0FE">
      <w:pPr>
        <w:autoSpaceDE w:val="0"/>
        <w:autoSpaceDN w:val="0"/>
        <w:adjustRightInd w:val="0"/>
        <w:ind w:right="-26" w:firstLine="480"/>
        <w:jc w:val="center"/>
        <w:rPr>
          <w:rFonts w:ascii="宋体" w:hAnsi="宋体" w:eastAsia="宋体" w:cs="Times New Roman"/>
          <w:b/>
          <w:bCs/>
          <w:color w:val="auto"/>
          <w:kern w:val="0"/>
          <w:sz w:val="24"/>
          <w:szCs w:val="24"/>
          <w:highlight w:val="none"/>
        </w:rPr>
      </w:pPr>
    </w:p>
    <w:p w14:paraId="104B23EF">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25</w:t>
      </w:r>
      <w:r>
        <w:rPr>
          <w:rFonts w:hint="eastAsia" w:ascii="宋体" w:hAnsi="宋体" w:eastAsia="宋体" w:cs="宋体"/>
          <w:b/>
          <w:color w:val="auto"/>
          <w:szCs w:val="21"/>
          <w:highlight w:val="none"/>
          <w:lang w:val="zh-CN"/>
        </w:rPr>
        <w:t>分</w:t>
      </w:r>
      <w:bookmarkEnd w:id="856"/>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33"/>
        <w:gridCol w:w="7668"/>
        <w:gridCol w:w="907"/>
      </w:tblGrid>
      <w:tr w14:paraId="3420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14:paraId="4DD153A2">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eastAsia="宋体" w:cs="宋体"/>
                <w:b/>
                <w:color w:val="auto"/>
                <w:kern w:val="0"/>
                <w:szCs w:val="21"/>
                <w:highlight w:val="none"/>
              </w:rPr>
            </w:pPr>
            <w:bookmarkStart w:id="857" w:name="_Hlk104987779"/>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18388FCB">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6" w:type="pct"/>
            <w:tcBorders>
              <w:top w:val="single" w:color="auto" w:sz="4" w:space="0"/>
              <w:left w:val="single" w:color="auto" w:sz="4" w:space="0"/>
              <w:bottom w:val="single" w:color="auto" w:sz="4" w:space="0"/>
              <w:right w:val="single" w:color="auto" w:sz="4" w:space="0"/>
            </w:tcBorders>
            <w:vAlign w:val="center"/>
          </w:tcPr>
          <w:p w14:paraId="02BEC157">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06D98F1D">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4EE7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14:paraId="1BFF3867">
            <w:pPr>
              <w:keepNext w:val="0"/>
              <w:keepLines w:val="0"/>
              <w:pageBreakBefore w:val="0"/>
              <w:widowControl w:val="0"/>
              <w:kinsoku/>
              <w:wordWrap/>
              <w:overflowPunct/>
              <w:topLinePunct w:val="0"/>
              <w:bidi w:val="0"/>
              <w:snapToGrid/>
              <w:spacing w:line="400" w:lineRule="exact"/>
              <w:jc w:val="center"/>
              <w:textAlignment w:val="auto"/>
              <w:rPr>
                <w:rFonts w:ascii="宋体" w:hAnsi="宋体" w:eastAsia="宋体" w:cs="宋体"/>
                <w:color w:val="auto"/>
                <w:kern w:val="0"/>
                <w:szCs w:val="21"/>
                <w:highlight w:val="none"/>
              </w:rPr>
            </w:pPr>
            <w:r>
              <w:rPr>
                <w:rFonts w:hint="eastAsia" w:ascii="宋体" w:hAnsi="宋体" w:eastAsia="宋体" w:cs="宋体"/>
                <w:color w:val="auto"/>
                <w:sz w:val="21"/>
                <w:szCs w:val="21"/>
                <w:highlight w:val="none"/>
              </w:rPr>
              <w:t>1</w:t>
            </w:r>
          </w:p>
        </w:tc>
        <w:tc>
          <w:tcPr>
            <w:tcW w:w="546" w:type="pct"/>
            <w:tcBorders>
              <w:top w:val="single" w:color="auto" w:sz="4" w:space="0"/>
              <w:left w:val="single" w:color="auto" w:sz="4" w:space="0"/>
              <w:bottom w:val="single" w:color="auto" w:sz="4" w:space="0"/>
              <w:right w:val="single" w:color="auto" w:sz="4" w:space="0"/>
            </w:tcBorders>
            <w:vAlign w:val="center"/>
          </w:tcPr>
          <w:p w14:paraId="4F4AE979">
            <w:pPr>
              <w:keepNext w:val="0"/>
              <w:keepLines w:val="0"/>
              <w:pageBreakBefore w:val="0"/>
              <w:widowControl w:val="0"/>
              <w:kinsoku/>
              <w:wordWrap/>
              <w:overflowPunct/>
              <w:topLinePunct w:val="0"/>
              <w:bidi w:val="0"/>
              <w:snapToGrid/>
              <w:spacing w:line="400" w:lineRule="exact"/>
              <w:jc w:val="center"/>
              <w:textAlignment w:val="auto"/>
              <w:rPr>
                <w:rFonts w:ascii="宋体" w:hAnsi="宋体" w:eastAsia="宋体" w:cs="宋体"/>
                <w:color w:val="auto"/>
                <w:kern w:val="0"/>
                <w:szCs w:val="21"/>
                <w:highlight w:val="none"/>
              </w:rPr>
            </w:pPr>
            <w:r>
              <w:rPr>
                <w:rFonts w:hint="eastAsia" w:ascii="宋体" w:hAnsi="宋体" w:eastAsia="宋体" w:cs="宋体"/>
                <w:color w:val="auto"/>
                <w:sz w:val="21"/>
                <w:szCs w:val="21"/>
                <w:highlight w:val="none"/>
              </w:rPr>
              <w:t>用户需求的响应程度</w:t>
            </w:r>
          </w:p>
        </w:tc>
        <w:tc>
          <w:tcPr>
            <w:tcW w:w="3696" w:type="pct"/>
            <w:tcBorders>
              <w:top w:val="single" w:color="auto" w:sz="4" w:space="0"/>
              <w:left w:val="single" w:color="auto" w:sz="4" w:space="0"/>
              <w:bottom w:val="single" w:color="auto" w:sz="4" w:space="0"/>
              <w:right w:val="single" w:color="auto" w:sz="4" w:space="0"/>
            </w:tcBorders>
            <w:vAlign w:val="center"/>
          </w:tcPr>
          <w:p w14:paraId="2BE524BD">
            <w:pPr>
              <w:keepNext w:val="0"/>
              <w:keepLines w:val="0"/>
              <w:pageBreakBefore w:val="0"/>
              <w:widowControl w:val="0"/>
              <w:kinsoku/>
              <w:wordWrap/>
              <w:overflowPunct/>
              <w:topLinePunct w:val="0"/>
              <w:bidi w:val="0"/>
              <w:snapToGrid/>
              <w:spacing w:line="400" w:lineRule="exact"/>
              <w:textAlignment w:val="auto"/>
              <w:rPr>
                <w:rFonts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lang w:val="zh-CN"/>
              </w:rPr>
              <w:t>用户需求偏离表的偏离情况进行评审计分，完全满足用户需求书的要求得满分；每一处负偏离，扣2分；同时参照其投标文件中</w:t>
            </w:r>
            <w:r>
              <w:rPr>
                <w:rFonts w:hint="eastAsia" w:ascii="宋体" w:hAnsi="宋体" w:eastAsia="宋体" w:cs="宋体"/>
                <w:color w:val="auto"/>
                <w:szCs w:val="21"/>
                <w:highlight w:val="none"/>
              </w:rPr>
              <w:t>商务、</w:t>
            </w:r>
            <w:r>
              <w:rPr>
                <w:rFonts w:hint="eastAsia" w:ascii="宋体" w:hAnsi="宋体" w:eastAsia="宋体" w:cs="宋体"/>
                <w:color w:val="auto"/>
                <w:sz w:val="21"/>
                <w:szCs w:val="21"/>
                <w:highlight w:val="none"/>
                <w:lang w:val="zh-CN"/>
              </w:rPr>
              <w:t>技术资料</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内容进行对比，每发现一处投标人填写为无偏离或正偏离，但评标委员会评审认定其为负偏离的，每处扣</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分；本项最低分为0分。</w:t>
            </w:r>
          </w:p>
        </w:tc>
        <w:tc>
          <w:tcPr>
            <w:tcW w:w="437" w:type="pct"/>
            <w:tcBorders>
              <w:top w:val="single" w:color="auto" w:sz="4" w:space="0"/>
              <w:left w:val="single" w:color="auto" w:sz="4" w:space="0"/>
              <w:bottom w:val="single" w:color="auto" w:sz="4" w:space="0"/>
              <w:right w:val="single" w:color="auto" w:sz="4" w:space="0"/>
            </w:tcBorders>
            <w:vAlign w:val="center"/>
          </w:tcPr>
          <w:p w14:paraId="781A0607">
            <w:pPr>
              <w:keepNext w:val="0"/>
              <w:keepLines w:val="0"/>
              <w:pageBreakBefore w:val="0"/>
              <w:widowControl w:val="0"/>
              <w:kinsoku/>
              <w:wordWrap/>
              <w:overflowPunct/>
              <w:topLinePunct w:val="0"/>
              <w:bidi w:val="0"/>
              <w:snapToGrid/>
              <w:spacing w:line="400" w:lineRule="exact"/>
              <w:jc w:val="center"/>
              <w:textAlignment w:val="auto"/>
              <w:rPr>
                <w:rFonts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r>
      <w:tr w14:paraId="02BF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9" w:type="pct"/>
            <w:vMerge w:val="restart"/>
            <w:tcBorders>
              <w:top w:val="single" w:color="auto" w:sz="4" w:space="0"/>
              <w:left w:val="single" w:color="auto" w:sz="4" w:space="0"/>
              <w:bottom w:val="single" w:color="auto" w:sz="4" w:space="0"/>
              <w:right w:val="single" w:color="auto" w:sz="4" w:space="0"/>
            </w:tcBorders>
            <w:vAlign w:val="center"/>
          </w:tcPr>
          <w:p w14:paraId="47F6EF5F">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546" w:type="pct"/>
            <w:vMerge w:val="restart"/>
            <w:tcBorders>
              <w:top w:val="single" w:color="auto" w:sz="4" w:space="0"/>
              <w:left w:val="single" w:color="auto" w:sz="4" w:space="0"/>
              <w:bottom w:val="single" w:color="auto" w:sz="4" w:space="0"/>
              <w:right w:val="single" w:color="auto" w:sz="4" w:space="0"/>
            </w:tcBorders>
            <w:vAlign w:val="center"/>
          </w:tcPr>
          <w:p w14:paraId="6EDCCB6C">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kern w:val="0"/>
                <w:szCs w:val="21"/>
                <w:highlight w:val="none"/>
                <w:lang w:val="en-US" w:eastAsia="zh-CN"/>
              </w:rPr>
              <w:t>拟投入本项目</w:t>
            </w:r>
            <w:r>
              <w:rPr>
                <w:rFonts w:hint="eastAsia" w:ascii="宋体" w:hAnsi="宋体" w:eastAsia="宋体" w:cs="宋体"/>
                <w:color w:val="auto"/>
                <w:kern w:val="0"/>
                <w:szCs w:val="21"/>
                <w:highlight w:val="none"/>
              </w:rPr>
              <w:t>主要岗位人员</w:t>
            </w:r>
          </w:p>
        </w:tc>
        <w:tc>
          <w:tcPr>
            <w:tcW w:w="3696" w:type="pct"/>
            <w:tcBorders>
              <w:top w:val="single" w:color="auto" w:sz="4" w:space="0"/>
              <w:left w:val="single" w:color="auto" w:sz="4" w:space="0"/>
              <w:bottom w:val="single" w:color="auto" w:sz="4" w:space="0"/>
              <w:right w:val="single" w:color="auto" w:sz="4" w:space="0"/>
            </w:tcBorders>
            <w:vAlign w:val="center"/>
          </w:tcPr>
          <w:p w14:paraId="6E93FC38">
            <w:pPr>
              <w:keepNext w:val="0"/>
              <w:keepLines w:val="0"/>
              <w:pageBreakBefore w:val="0"/>
              <w:widowControl/>
              <w:kinsoku/>
              <w:wordWrap/>
              <w:overflowPunct/>
              <w:topLinePunct w:val="0"/>
              <w:bidi w:val="0"/>
              <w:snapToGrid/>
              <w:spacing w:line="40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项目负责人</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，本项最高得</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分：</w:t>
            </w:r>
          </w:p>
          <w:p w14:paraId="6BBF8F51">
            <w:pPr>
              <w:keepNext w:val="0"/>
              <w:keepLines w:val="0"/>
              <w:pageBreakBefore w:val="0"/>
              <w:widowControl/>
              <w:kinsoku/>
              <w:wordWrap/>
              <w:overflowPunct/>
              <w:topLinePunct w:val="0"/>
              <w:bidi w:val="0"/>
              <w:snapToGrid/>
              <w:spacing w:line="40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具有环保</w:t>
            </w:r>
            <w:r>
              <w:rPr>
                <w:rFonts w:hint="eastAsia" w:ascii="宋体" w:hAnsi="宋体" w:eastAsia="宋体" w:cs="宋体"/>
                <w:color w:val="auto"/>
                <w:highlight w:val="none"/>
                <w:lang w:val="en-US" w:eastAsia="zh-CN"/>
              </w:rPr>
              <w:t>类专业高级</w:t>
            </w:r>
            <w:r>
              <w:rPr>
                <w:rFonts w:hint="eastAsia" w:ascii="宋体" w:hAnsi="宋体" w:eastAsia="宋体" w:cs="宋体"/>
                <w:color w:val="auto"/>
                <w:highlight w:val="none"/>
              </w:rPr>
              <w:t>或以上工程师职称的，得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p>
          <w:p w14:paraId="2DB85914">
            <w:pPr>
              <w:keepNext w:val="0"/>
              <w:keepLines w:val="0"/>
              <w:pageBreakBefore w:val="0"/>
              <w:widowControl/>
              <w:kinsoku/>
              <w:wordWrap/>
              <w:overflowPunct/>
              <w:topLinePunct w:val="0"/>
              <w:bidi w:val="0"/>
              <w:snapToGrid/>
              <w:spacing w:line="40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Times New Roman"/>
                <w:b w:val="0"/>
                <w:bCs/>
                <w:color w:val="auto"/>
                <w:kern w:val="0"/>
                <w:sz w:val="21"/>
                <w:szCs w:val="21"/>
                <w:highlight w:val="none"/>
                <w:lang w:val="en-US" w:eastAsia="zh-CN"/>
              </w:rPr>
              <w:t>2022年1月1日以来（合同签订日期为2022年1月1日或以后）作为项目负责人每</w:t>
            </w:r>
            <w:r>
              <w:rPr>
                <w:rFonts w:hint="eastAsia" w:ascii="宋体" w:hAnsi="宋体" w:eastAsia="宋体" w:cs="宋体"/>
                <w:color w:val="auto"/>
                <w:highlight w:val="none"/>
              </w:rPr>
              <w:t>承接过</w:t>
            </w:r>
            <w:r>
              <w:rPr>
                <w:rFonts w:hint="eastAsia" w:ascii="宋体" w:hAnsi="宋体" w:eastAsia="宋体" w:cs="宋体"/>
                <w:color w:val="auto"/>
                <w:highlight w:val="none"/>
                <w:lang w:val="en-US" w:eastAsia="zh-CN"/>
              </w:rPr>
              <w:t>一个</w:t>
            </w:r>
            <w:r>
              <w:rPr>
                <w:rFonts w:hint="eastAsia" w:ascii="宋体" w:hAnsi="宋体" w:eastAsia="宋体" w:cs="宋体"/>
                <w:color w:val="auto"/>
                <w:highlight w:val="none"/>
              </w:rPr>
              <w:t>生态环境领域技术研究服务同类业绩，得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本子项满分6分</w:t>
            </w:r>
            <w:r>
              <w:rPr>
                <w:rFonts w:hint="eastAsia" w:ascii="宋体" w:hAnsi="宋体" w:eastAsia="宋体" w:cs="宋体"/>
                <w:color w:val="auto"/>
                <w:highlight w:val="none"/>
                <w:lang w:eastAsia="zh-CN"/>
              </w:rPr>
              <w:t>；</w:t>
            </w:r>
          </w:p>
          <w:p w14:paraId="657C36A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b w:val="0"/>
                <w:bCs/>
                <w:color w:val="auto"/>
                <w:kern w:val="0"/>
                <w:sz w:val="21"/>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3.项目负责人提供的上述第2项业绩中属于固体废物领域技术研究服务同类业绩的，在上述得分基础上进行加分，每项加2分，本子项满分2分。</w:t>
            </w:r>
          </w:p>
          <w:p w14:paraId="5C9CAD8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b/>
                <w:bCs w:val="0"/>
                <w:color w:val="auto"/>
                <w:kern w:val="0"/>
                <w:sz w:val="21"/>
                <w:szCs w:val="21"/>
                <w:highlight w:val="none"/>
                <w:lang w:val="en-US" w:eastAsia="zh-CN"/>
              </w:rPr>
            </w:pPr>
            <w:r>
              <w:rPr>
                <w:rFonts w:hint="eastAsia" w:ascii="宋体" w:hAnsi="宋体" w:eastAsia="宋体" w:cs="Times New Roman"/>
                <w:b/>
                <w:bCs w:val="0"/>
                <w:color w:val="auto"/>
                <w:kern w:val="0"/>
                <w:sz w:val="21"/>
                <w:szCs w:val="21"/>
                <w:highlight w:val="none"/>
                <w:lang w:val="en-US" w:eastAsia="zh-CN"/>
              </w:rPr>
              <w:t>备注：</w:t>
            </w:r>
          </w:p>
          <w:p w14:paraId="1EF42E7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b/>
                <w:color w:val="auto"/>
                <w:kern w:val="0"/>
                <w:szCs w:val="21"/>
                <w:highlight w:val="none"/>
              </w:rPr>
            </w:pPr>
            <w:r>
              <w:rPr>
                <w:rFonts w:hint="eastAsia" w:ascii="宋体" w:hAnsi="宋体" w:eastAsia="宋体" w:cs="Times New Roman"/>
                <w:b/>
                <w:bCs w:val="0"/>
                <w:color w:val="auto"/>
                <w:kern w:val="0"/>
                <w:sz w:val="21"/>
                <w:szCs w:val="21"/>
                <w:highlight w:val="none"/>
                <w:lang w:val="en-US" w:eastAsia="zh-CN"/>
              </w:rPr>
              <w:t>①</w:t>
            </w:r>
            <w:r>
              <w:rPr>
                <w:rFonts w:hint="eastAsia" w:ascii="宋体" w:hAnsi="宋体" w:eastAsia="宋体" w:cs="Times New Roman"/>
                <w:b/>
                <w:color w:val="auto"/>
                <w:kern w:val="0"/>
                <w:szCs w:val="21"/>
                <w:highlight w:val="none"/>
              </w:rPr>
              <w:t>拟投入本项目主要岗位人员须附有身份证、资格证书（或注册/执业/技术职称）以及人力资源和社会保障部门（或税务部门）出具的最近六个月（2024年7月至12月）投标人为其缴纳的社保证明复印件</w:t>
            </w:r>
            <w:r>
              <w:rPr>
                <w:rFonts w:hint="eastAsia" w:ascii="宋体" w:hAnsi="宋体" w:eastAsia="宋体" w:cs="Times New Roman"/>
                <w:b/>
                <w:bCs w:val="0"/>
                <w:color w:val="auto"/>
                <w:kern w:val="0"/>
                <w:sz w:val="21"/>
                <w:szCs w:val="21"/>
                <w:highlight w:val="none"/>
                <w:lang w:val="en-US" w:eastAsia="zh-CN"/>
              </w:rPr>
              <w:t>；</w:t>
            </w:r>
          </w:p>
          <w:p w14:paraId="430938B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b/>
                <w:bCs w:val="0"/>
                <w:color w:val="auto"/>
                <w:kern w:val="0"/>
                <w:sz w:val="21"/>
                <w:szCs w:val="21"/>
                <w:highlight w:val="none"/>
                <w:lang w:val="en-US" w:eastAsia="zh-CN"/>
              </w:rPr>
            </w:pPr>
            <w:r>
              <w:rPr>
                <w:rFonts w:hint="eastAsia" w:ascii="宋体" w:hAnsi="宋体" w:eastAsia="宋体" w:cs="Times New Roman"/>
                <w:b/>
                <w:bCs w:val="0"/>
                <w:color w:val="auto"/>
                <w:kern w:val="0"/>
                <w:sz w:val="21"/>
                <w:szCs w:val="21"/>
                <w:highlight w:val="none"/>
                <w:lang w:val="en-US" w:eastAsia="zh-CN"/>
              </w:rPr>
              <w:t>②</w:t>
            </w:r>
            <w:r>
              <w:rPr>
                <w:rFonts w:hint="eastAsia" w:ascii="宋体" w:hAnsi="宋体" w:eastAsia="宋体" w:cs="Times New Roman"/>
                <w:b/>
                <w:color w:val="auto"/>
                <w:kern w:val="0"/>
                <w:szCs w:val="21"/>
                <w:highlight w:val="none"/>
              </w:rPr>
              <w:t>业绩中的“生态环境领域技术研究服务同类业绩”是指该业绩包含生态环境领域的全过程管理（或处理技术，或应用技术）的技术研究（或评估研究，或规范研究，或政策研究）服务内容的业绩</w:t>
            </w:r>
            <w:r>
              <w:rPr>
                <w:rFonts w:hint="eastAsia" w:ascii="宋体" w:hAnsi="宋体" w:eastAsia="宋体" w:cs="Times New Roman"/>
                <w:b/>
                <w:bCs w:val="0"/>
                <w:color w:val="auto"/>
                <w:kern w:val="0"/>
                <w:sz w:val="21"/>
                <w:szCs w:val="21"/>
                <w:highlight w:val="none"/>
                <w:lang w:val="en-US" w:eastAsia="zh-CN"/>
              </w:rPr>
              <w:t>；</w:t>
            </w:r>
          </w:p>
          <w:p w14:paraId="4B14DD7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b/>
                <w:bCs w:val="0"/>
                <w:color w:val="auto"/>
                <w:kern w:val="0"/>
                <w:sz w:val="21"/>
                <w:szCs w:val="21"/>
                <w:highlight w:val="none"/>
                <w:lang w:val="en-US" w:eastAsia="zh-CN"/>
              </w:rPr>
            </w:pPr>
            <w:r>
              <w:rPr>
                <w:rFonts w:hint="eastAsia" w:ascii="宋体" w:hAnsi="宋体" w:eastAsia="宋体" w:cs="Times New Roman"/>
                <w:b/>
                <w:bCs w:val="0"/>
                <w:color w:val="auto"/>
                <w:kern w:val="0"/>
                <w:sz w:val="21"/>
                <w:szCs w:val="21"/>
                <w:highlight w:val="none"/>
                <w:lang w:val="en-US" w:eastAsia="zh-CN"/>
              </w:rPr>
              <w:t>③业绩须附合同复印件（合同服务提供方为投标人）；</w:t>
            </w:r>
          </w:p>
          <w:p w14:paraId="10F8E50E">
            <w:pPr>
              <w:spacing w:line="400" w:lineRule="exact"/>
              <w:jc w:val="left"/>
              <w:rPr>
                <w:rFonts w:hint="eastAsia" w:ascii="宋体" w:hAnsi="宋体" w:eastAsia="宋体" w:cs="Times New Roman"/>
                <w:b/>
                <w:bCs w:val="0"/>
                <w:color w:val="auto"/>
                <w:kern w:val="0"/>
                <w:sz w:val="21"/>
                <w:szCs w:val="21"/>
                <w:highlight w:val="none"/>
                <w:lang w:val="en-US" w:eastAsia="zh-CN"/>
              </w:rPr>
            </w:pPr>
            <w:r>
              <w:rPr>
                <w:rFonts w:hint="eastAsia" w:ascii="宋体" w:hAnsi="宋体" w:eastAsia="宋体" w:cs="Times New Roman"/>
                <w:b/>
                <w:bCs w:val="0"/>
                <w:color w:val="auto"/>
                <w:kern w:val="0"/>
                <w:sz w:val="21"/>
                <w:szCs w:val="21"/>
                <w:highlight w:val="none"/>
                <w:lang w:val="en-US" w:eastAsia="zh-CN"/>
              </w:rPr>
              <w:t>④业绩中的“固体废物”是指属于工业固体废物，或生活垃圾，或建筑垃圾、农业固体废物等，或危险废物，或其他固体废物（城镇污水污泥，或清淤疏浚污泥，或实验室固体废物）的固体（或半固体）废弃物质。“固体废物领域技术研究服务同类业绩”是指该业绩包含固体废物领域的全过程管理（或处理技术，或应用技术）的技术研究（或评估研究，或规范研究，或政策研究）服务内容的业绩；⑤若合同及证明文件无法反映评审条件（合同签订日期为2022年1月1日或以后、</w:t>
            </w:r>
            <w:r>
              <w:rPr>
                <w:rFonts w:hint="eastAsia" w:ascii="宋体" w:hAnsi="宋体" w:eastAsia="宋体" w:cs="宋体"/>
                <w:b/>
                <w:bCs w:val="0"/>
                <w:color w:val="auto"/>
                <w:sz w:val="21"/>
                <w:szCs w:val="21"/>
                <w:highlight w:val="none"/>
                <w:lang w:val="en-US" w:eastAsia="zh-CN"/>
              </w:rPr>
              <w:t>合同服务内容必须包含</w:t>
            </w:r>
            <w:r>
              <w:rPr>
                <w:rFonts w:hint="eastAsia" w:ascii="宋体" w:hAnsi="宋体" w:eastAsia="宋体" w:cs="Times New Roman"/>
                <w:b/>
                <w:color w:val="auto"/>
                <w:kern w:val="0"/>
                <w:szCs w:val="21"/>
                <w:highlight w:val="none"/>
              </w:rPr>
              <w:t>生态环境领域</w:t>
            </w:r>
            <w:r>
              <w:rPr>
                <w:rFonts w:hint="eastAsia" w:ascii="宋体" w:hAnsi="宋体" w:eastAsia="宋体" w:cs="宋体"/>
                <w:b/>
                <w:bCs w:val="0"/>
                <w:color w:val="auto"/>
                <w:szCs w:val="21"/>
                <w:highlight w:val="none"/>
                <w:lang w:val="en-US" w:eastAsia="zh-CN"/>
              </w:rPr>
              <w:t>技术研究服务、</w:t>
            </w:r>
            <w:r>
              <w:rPr>
                <w:rFonts w:hint="eastAsia" w:ascii="宋体" w:hAnsi="宋体" w:eastAsia="宋体" w:cs="宋体"/>
                <w:b/>
                <w:bCs/>
                <w:color w:val="auto"/>
                <w:szCs w:val="21"/>
                <w:highlight w:val="none"/>
                <w:lang w:val="en-US" w:eastAsia="zh-CN"/>
              </w:rPr>
              <w:t>项目负责人</w:t>
            </w:r>
            <w:r>
              <w:rPr>
                <w:rFonts w:hint="eastAsia" w:ascii="宋体" w:hAnsi="宋体" w:eastAsia="宋体" w:cs="宋体"/>
                <w:b/>
                <w:bCs/>
                <w:color w:val="auto"/>
                <w:szCs w:val="21"/>
                <w:highlight w:val="none"/>
              </w:rPr>
              <w:t>信息</w:t>
            </w:r>
            <w:r>
              <w:rPr>
                <w:rFonts w:hint="eastAsia" w:ascii="宋体" w:hAnsi="宋体" w:eastAsia="宋体" w:cs="Times New Roman"/>
                <w:b/>
                <w:bCs w:val="0"/>
                <w:color w:val="auto"/>
                <w:kern w:val="0"/>
                <w:sz w:val="21"/>
                <w:szCs w:val="21"/>
                <w:highlight w:val="none"/>
                <w:lang w:val="en-US" w:eastAsia="zh-CN"/>
              </w:rPr>
              <w:t>）的，还需提供服务购买方出具的书面补充说明文件复印件作为辅助证明（复印件能显示服务招标人公章）；</w:t>
            </w:r>
          </w:p>
          <w:p w14:paraId="40936178">
            <w:pPr>
              <w:spacing w:line="400" w:lineRule="exact"/>
              <w:jc w:val="left"/>
              <w:rPr>
                <w:rFonts w:hint="eastAsia" w:ascii="宋体" w:hAnsi="宋体" w:eastAsia="宋体" w:cs="宋体"/>
                <w:b/>
                <w:bCs/>
                <w:color w:val="auto"/>
                <w:sz w:val="21"/>
                <w:szCs w:val="21"/>
                <w:highlight w:val="none"/>
                <w:lang w:val="en-US" w:eastAsia="zh-CN"/>
              </w:rPr>
            </w:pPr>
            <w:r>
              <w:rPr>
                <w:rFonts w:hint="eastAsia" w:ascii="宋体" w:hAnsi="宋体" w:eastAsia="宋体" w:cs="Times New Roman"/>
                <w:b/>
                <w:bCs w:val="0"/>
                <w:color w:val="auto"/>
                <w:kern w:val="0"/>
                <w:sz w:val="21"/>
                <w:szCs w:val="21"/>
                <w:highlight w:val="none"/>
                <w:lang w:val="en-US" w:eastAsia="zh-CN"/>
              </w:rPr>
              <w:t>⑥未按上述要求提供证明材料的业绩，或所附材料无法证明填报项目属于投标人承接的业绩，或所附材料不符合本项评分要求的业绩，在评审时将不予考虑。</w:t>
            </w:r>
          </w:p>
        </w:tc>
        <w:tc>
          <w:tcPr>
            <w:tcW w:w="437" w:type="pct"/>
            <w:vMerge w:val="restart"/>
            <w:tcBorders>
              <w:top w:val="single" w:color="auto" w:sz="4" w:space="0"/>
              <w:left w:val="single" w:color="auto" w:sz="4" w:space="0"/>
              <w:bottom w:val="single" w:color="auto" w:sz="4" w:space="0"/>
              <w:right w:val="single" w:color="auto" w:sz="4" w:space="0"/>
            </w:tcBorders>
            <w:vAlign w:val="center"/>
          </w:tcPr>
          <w:p w14:paraId="50D00B5E">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4"/>
                <w:highlight w:val="none"/>
                <w:lang w:val="en-US" w:eastAsia="zh-CN"/>
              </w:rPr>
              <w:t>15分</w:t>
            </w:r>
          </w:p>
        </w:tc>
      </w:tr>
      <w:tr w14:paraId="2967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9" w:type="pct"/>
            <w:vMerge w:val="continue"/>
            <w:tcBorders>
              <w:top w:val="single" w:color="auto" w:sz="4" w:space="0"/>
              <w:left w:val="single" w:color="auto" w:sz="4" w:space="0"/>
              <w:bottom w:val="single" w:color="auto" w:sz="4" w:space="0"/>
              <w:right w:val="single" w:color="auto" w:sz="4" w:space="0"/>
            </w:tcBorders>
            <w:vAlign w:val="center"/>
          </w:tcPr>
          <w:p w14:paraId="1313918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Cs w:val="21"/>
                <w:highlight w:val="none"/>
                <w:lang w:val="en-US" w:eastAsia="zh-CN"/>
              </w:rPr>
            </w:pPr>
          </w:p>
        </w:tc>
        <w:tc>
          <w:tcPr>
            <w:tcW w:w="546" w:type="pct"/>
            <w:vMerge w:val="continue"/>
            <w:tcBorders>
              <w:top w:val="single" w:color="auto" w:sz="4" w:space="0"/>
              <w:left w:val="single" w:color="auto" w:sz="4" w:space="0"/>
              <w:bottom w:val="single" w:color="auto" w:sz="4" w:space="0"/>
              <w:right w:val="single" w:color="auto" w:sz="4" w:space="0"/>
            </w:tcBorders>
            <w:vAlign w:val="center"/>
          </w:tcPr>
          <w:p w14:paraId="1C22FF52">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highlight w:val="none"/>
              </w:rPr>
            </w:pPr>
          </w:p>
        </w:tc>
        <w:tc>
          <w:tcPr>
            <w:tcW w:w="3696" w:type="pct"/>
            <w:tcBorders>
              <w:top w:val="single" w:color="auto" w:sz="4" w:space="0"/>
              <w:left w:val="single" w:color="auto" w:sz="4" w:space="0"/>
              <w:bottom w:val="single" w:color="auto" w:sz="4" w:space="0"/>
              <w:right w:val="single" w:color="auto" w:sz="4" w:space="0"/>
            </w:tcBorders>
            <w:vAlign w:val="center"/>
          </w:tcPr>
          <w:p w14:paraId="6B357BD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kern w:val="0"/>
                <w:szCs w:val="21"/>
                <w:highlight w:val="none"/>
                <w:lang w:val="en-US" w:eastAsia="zh-CN"/>
              </w:rPr>
              <w:t>其他</w:t>
            </w:r>
            <w:r>
              <w:rPr>
                <w:rFonts w:hint="eastAsia" w:ascii="宋体" w:hAnsi="宋体" w:eastAsia="宋体" w:cs="宋体"/>
                <w:color w:val="auto"/>
                <w:kern w:val="0"/>
                <w:szCs w:val="21"/>
                <w:highlight w:val="none"/>
              </w:rPr>
              <w:t>主要岗位人员（</w:t>
            </w:r>
            <w:r>
              <w:rPr>
                <w:rFonts w:hint="eastAsia" w:ascii="宋体" w:hAnsi="宋体" w:eastAsia="宋体" w:cs="宋体"/>
                <w:color w:val="auto"/>
                <w:highlight w:val="none"/>
              </w:rPr>
              <w:t>项目负责人</w:t>
            </w:r>
            <w:r>
              <w:rPr>
                <w:rFonts w:hint="eastAsia" w:ascii="宋体" w:hAnsi="宋体" w:eastAsia="宋体" w:cs="宋体"/>
                <w:color w:val="auto"/>
                <w:kern w:val="0"/>
                <w:szCs w:val="21"/>
                <w:highlight w:val="none"/>
              </w:rPr>
              <w:t>除外），</w:t>
            </w:r>
            <w:r>
              <w:rPr>
                <w:rFonts w:hint="eastAsia" w:ascii="宋体" w:hAnsi="宋体" w:eastAsia="宋体" w:cs="宋体"/>
                <w:color w:val="auto"/>
                <w:highlight w:val="none"/>
              </w:rPr>
              <w:t>具有环保</w:t>
            </w:r>
            <w:r>
              <w:rPr>
                <w:rFonts w:hint="eastAsia" w:ascii="宋体" w:hAnsi="宋体" w:eastAsia="宋体" w:cs="宋体"/>
                <w:color w:val="auto"/>
                <w:highlight w:val="none"/>
                <w:lang w:val="en-US" w:eastAsia="zh-CN"/>
              </w:rPr>
              <w:t>类专业中级</w:t>
            </w:r>
            <w:r>
              <w:rPr>
                <w:rFonts w:hint="eastAsia" w:ascii="宋体" w:hAnsi="宋体" w:eastAsia="宋体" w:cs="宋体"/>
                <w:color w:val="auto"/>
                <w:highlight w:val="none"/>
              </w:rPr>
              <w:t>或以上工程师职称的</w:t>
            </w:r>
            <w:r>
              <w:rPr>
                <w:rFonts w:hint="eastAsia" w:ascii="宋体" w:hAnsi="宋体" w:eastAsia="宋体" w:cs="宋体"/>
                <w:color w:val="auto"/>
                <w:kern w:val="0"/>
                <w:szCs w:val="21"/>
                <w:highlight w:val="none"/>
              </w:rPr>
              <w:t>，每人得</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r>
              <w:rPr>
                <w:rFonts w:hint="eastAsia" w:ascii="宋体" w:hAnsi="宋体" w:eastAsia="宋体" w:cs="宋体"/>
                <w:color w:val="auto"/>
                <w:highlight w:val="none"/>
                <w:lang w:val="en-US" w:eastAsia="zh-CN"/>
              </w:rPr>
              <w:t>本子项满分4分</w:t>
            </w:r>
            <w:r>
              <w:rPr>
                <w:rFonts w:hint="eastAsia" w:ascii="宋体" w:hAnsi="宋体" w:eastAsia="宋体" w:cs="宋体"/>
                <w:color w:val="auto"/>
                <w:kern w:val="0"/>
                <w:szCs w:val="21"/>
                <w:highlight w:val="none"/>
                <w:lang w:eastAsia="zh-CN"/>
              </w:rPr>
              <w:t>。</w:t>
            </w:r>
          </w:p>
          <w:p w14:paraId="6E707D1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b/>
                <w:bCs w:val="0"/>
                <w:color w:val="auto"/>
                <w:kern w:val="0"/>
                <w:sz w:val="21"/>
                <w:szCs w:val="21"/>
                <w:highlight w:val="none"/>
                <w:lang w:val="en-US" w:eastAsia="zh-CN"/>
              </w:rPr>
            </w:pPr>
            <w:r>
              <w:rPr>
                <w:rFonts w:hint="eastAsia" w:ascii="宋体" w:hAnsi="宋体" w:eastAsia="宋体" w:cs="Times New Roman"/>
                <w:b/>
                <w:bCs w:val="0"/>
                <w:color w:val="auto"/>
                <w:kern w:val="0"/>
                <w:sz w:val="21"/>
                <w:szCs w:val="21"/>
                <w:highlight w:val="none"/>
                <w:lang w:val="en-US" w:eastAsia="zh-CN"/>
              </w:rPr>
              <w:t>备注：</w:t>
            </w:r>
          </w:p>
          <w:p w14:paraId="574A8A4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Times New Roman"/>
                <w:b/>
                <w:color w:val="auto"/>
                <w:kern w:val="0"/>
                <w:szCs w:val="21"/>
                <w:highlight w:val="none"/>
              </w:rPr>
              <w:t>拟投入本项目主要岗位人员须附有身份证、资格证书（或注册/执业/技术职称）以及人力资源和社会保障部门（或税务部门）出具的最近六个月（2024年7月至12月）投标人为其缴纳的社保证明复印件</w:t>
            </w:r>
            <w:r>
              <w:rPr>
                <w:rFonts w:hint="eastAsia" w:ascii="宋体" w:hAnsi="宋体" w:eastAsia="宋体" w:cs="Times New Roman"/>
                <w:b/>
                <w:bCs w:val="0"/>
                <w:color w:val="auto"/>
                <w:kern w:val="0"/>
                <w:sz w:val="21"/>
                <w:szCs w:val="21"/>
                <w:highlight w:val="none"/>
                <w:lang w:val="en-US" w:eastAsia="zh-CN"/>
              </w:rPr>
              <w:t>。</w:t>
            </w:r>
          </w:p>
        </w:tc>
        <w:tc>
          <w:tcPr>
            <w:tcW w:w="437" w:type="pct"/>
            <w:vMerge w:val="continue"/>
            <w:tcBorders>
              <w:top w:val="single" w:color="auto" w:sz="4" w:space="0"/>
              <w:left w:val="single" w:color="auto" w:sz="4" w:space="0"/>
              <w:bottom w:val="single" w:color="auto" w:sz="4" w:space="0"/>
              <w:right w:val="single" w:color="auto" w:sz="4" w:space="0"/>
            </w:tcBorders>
            <w:vAlign w:val="center"/>
          </w:tcPr>
          <w:p w14:paraId="28DCE5CE">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sz w:val="21"/>
                <w:szCs w:val="21"/>
                <w:highlight w:val="none"/>
                <w:lang w:val="en-US" w:eastAsia="zh-CN"/>
              </w:rPr>
            </w:pPr>
          </w:p>
        </w:tc>
      </w:tr>
      <w:bookmarkEnd w:id="857"/>
    </w:tbl>
    <w:p w14:paraId="63F01978">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107D7C3B">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14:paraId="737868D8">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14:paraId="0C09550E">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14:paraId="5790AE34">
      <w:pPr>
        <w:autoSpaceDE w:val="0"/>
        <w:autoSpaceDN w:val="0"/>
        <w:adjustRightInd w:val="0"/>
        <w:spacing w:line="360" w:lineRule="auto"/>
        <w:ind w:left="420" w:leftChars="200" w:firstLine="422" w:firstLineChars="200"/>
        <w:rPr>
          <w:rFonts w:ascii="宋体" w:hAnsi="宋体" w:eastAsia="宋体" w:cs="宋体"/>
          <w:color w:val="auto"/>
          <w:kern w:val="0"/>
          <w:szCs w:val="21"/>
          <w:highlight w:val="none"/>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14:paraId="0F2843ED">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14:paraId="582DDB20">
      <w:pPr>
        <w:spacing w:line="360" w:lineRule="auto"/>
        <w:ind w:left="480" w:firstLine="211" w:firstLineChars="1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14:paraId="6A79CAC2">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1505495F">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4917AC42">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5853FBEC">
      <w:pPr>
        <w:spacing w:line="360" w:lineRule="auto"/>
        <w:ind w:left="420" w:leftChars="200" w:firstLine="420" w:firstLineChars="200"/>
        <w:rPr>
          <w:rFonts w:ascii="宋体" w:hAnsi="宋体" w:eastAsia="宋体" w:cs="宋体"/>
          <w:color w:val="auto"/>
          <w:kern w:val="0"/>
          <w:szCs w:val="21"/>
          <w:highlight w:val="none"/>
          <w:lang w:val="zh-CN"/>
        </w:rPr>
      </w:pPr>
    </w:p>
    <w:p w14:paraId="5CDF39E1">
      <w:pPr>
        <w:spacing w:line="360" w:lineRule="auto"/>
        <w:ind w:left="480" w:firstLine="211" w:firstLineChars="1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25</w:t>
      </w:r>
      <w:r>
        <w:rPr>
          <w:rFonts w:hint="eastAsia" w:ascii="宋体" w:hAnsi="宋体" w:eastAsia="宋体" w:cs="宋体"/>
          <w:b/>
          <w:bCs/>
          <w:color w:val="auto"/>
          <w:kern w:val="0"/>
          <w:szCs w:val="21"/>
          <w:highlight w:val="none"/>
          <w:lang w:val="zh-CN"/>
        </w:rPr>
        <w:t>分</w:t>
      </w:r>
    </w:p>
    <w:p w14:paraId="573AE3FE">
      <w:pPr>
        <w:autoSpaceDN w:val="0"/>
        <w:adjustRightInd w:val="0"/>
        <w:snapToGrid w:val="0"/>
        <w:spacing w:line="360" w:lineRule="auto"/>
        <w:ind w:left="420" w:leftChars="100" w:hanging="210" w:hangingChars="1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eastAsia" w:ascii="宋体" w:hAnsi="宋体" w:eastAsia="宋体" w:cs="宋体"/>
          <w:color w:val="auto"/>
          <w:kern w:val="0"/>
          <w:szCs w:val="21"/>
          <w:highlight w:val="none"/>
          <w:lang w:val="en-US" w:eastAsia="zh-CN"/>
        </w:rPr>
        <w:t>25</w:t>
      </w:r>
      <w:r>
        <w:rPr>
          <w:rFonts w:hint="eastAsia" w:ascii="宋体" w:hAnsi="宋体" w:eastAsia="宋体" w:cs="宋体"/>
          <w:color w:val="auto"/>
          <w:kern w:val="0"/>
          <w:szCs w:val="21"/>
          <w:highlight w:val="none"/>
        </w:rPr>
        <w:t>分，其他投标人的价格得分统一按照下列公式计算：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    价格得分=(基准价／投标报价)×</w:t>
      </w:r>
      <w:r>
        <w:rPr>
          <w:rFonts w:hint="eastAsia" w:ascii="宋体" w:hAnsi="宋体" w:eastAsia="宋体" w:cs="宋体"/>
          <w:color w:val="auto"/>
          <w:kern w:val="0"/>
          <w:szCs w:val="21"/>
          <w:highlight w:val="none"/>
          <w:lang w:val="en-US" w:eastAsia="zh-CN"/>
        </w:rPr>
        <w:t>25</w:t>
      </w:r>
    </w:p>
    <w:p w14:paraId="021B0CCC">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37095799">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14:paraId="3F30ED91">
      <w:pPr>
        <w:spacing w:line="400" w:lineRule="exact"/>
        <w:ind w:firstLine="848" w:firstLineChars="404"/>
        <w:rPr>
          <w:rFonts w:ascii="宋体" w:hAnsi="宋体" w:eastAsia="宋体" w:cs="宋体"/>
          <w:color w:val="auto"/>
          <w:kern w:val="0"/>
          <w:szCs w:val="28"/>
          <w:highlight w:val="none"/>
          <w:lang w:val="zh-CN"/>
        </w:rPr>
      </w:pPr>
      <w:bookmarkStart w:id="858" w:name="_Toc31624_WPSOffice_Level2"/>
      <w:r>
        <w:rPr>
          <w:rFonts w:hint="eastAsia" w:ascii="宋体" w:hAnsi="宋体" w:eastAsia="宋体" w:cs="宋体"/>
          <w:color w:val="auto"/>
          <w:kern w:val="0"/>
          <w:szCs w:val="28"/>
          <w:highlight w:val="none"/>
          <w:lang w:val="zh-CN"/>
        </w:rPr>
        <w:t>评标总得分=F1＋F2＋……+Fn</w:t>
      </w:r>
      <w:bookmarkEnd w:id="858"/>
    </w:p>
    <w:p w14:paraId="40FAA444">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859" w:name="_Toc13236_WPSOffice_Level2"/>
      <w:r>
        <w:rPr>
          <w:rFonts w:hint="eastAsia" w:ascii="宋体" w:hAnsi="宋体" w:eastAsia="宋体" w:cs="宋体"/>
          <w:color w:val="auto"/>
          <w:kern w:val="0"/>
          <w:szCs w:val="21"/>
          <w:highlight w:val="none"/>
        </w:rPr>
        <w:t>F1、F2、……Fn分别为各项评分因素的得分</w:t>
      </w:r>
      <w:bookmarkEnd w:id="859"/>
      <w:r>
        <w:rPr>
          <w:rFonts w:hint="eastAsia" w:ascii="宋体" w:hAnsi="宋体" w:eastAsia="宋体" w:cs="宋体"/>
          <w:color w:val="auto"/>
          <w:kern w:val="0"/>
          <w:szCs w:val="21"/>
          <w:highlight w:val="none"/>
        </w:rPr>
        <w:t>。</w:t>
      </w:r>
    </w:p>
    <w:p w14:paraId="19BB32C9">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588200AA">
      <w:pPr>
        <w:autoSpaceDE w:val="0"/>
        <w:autoSpaceDN w:val="0"/>
        <w:adjustRightInd w:val="0"/>
        <w:spacing w:line="360" w:lineRule="auto"/>
        <w:jc w:val="center"/>
        <w:rPr>
          <w:rFonts w:ascii="宋体" w:hAnsi="宋体" w:eastAsia="宋体" w:cs="宋体"/>
          <w:b/>
          <w:bCs/>
          <w:color w:val="auto"/>
          <w:sz w:val="28"/>
          <w:szCs w:val="28"/>
          <w:highlight w:val="none"/>
        </w:rPr>
      </w:pPr>
      <w:bookmarkStart w:id="860" w:name="_Toc518_WPSOffice_Level1"/>
      <w:r>
        <w:rPr>
          <w:rFonts w:hint="eastAsia" w:ascii="宋体" w:hAnsi="宋体" w:eastAsia="宋体" w:cs="宋体"/>
          <w:b/>
          <w:bCs/>
          <w:color w:val="auto"/>
          <w:sz w:val="28"/>
          <w:szCs w:val="28"/>
          <w:highlight w:val="none"/>
          <w:lang w:val="zh-CN"/>
        </w:rPr>
        <w:t>五、推荐中标人</w:t>
      </w:r>
      <w:bookmarkEnd w:id="860"/>
    </w:p>
    <w:p w14:paraId="00125E76">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051CD64B">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7490BDAD">
      <w:pPr>
        <w:widowControl/>
        <w:spacing w:line="360" w:lineRule="auto"/>
        <w:jc w:val="left"/>
        <w:rPr>
          <w:rFonts w:ascii="宋体" w:hAnsi="宋体" w:eastAsia="宋体" w:cs="宋体"/>
          <w:color w:val="auto"/>
          <w:kern w:val="0"/>
          <w:szCs w:val="21"/>
          <w:highlight w:val="none"/>
        </w:rPr>
      </w:pPr>
    </w:p>
    <w:p w14:paraId="33CF9B2D">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861" w:name="_Toc22724_WPSOffice_Level1"/>
      <w:r>
        <w:rPr>
          <w:rFonts w:hint="eastAsia" w:ascii="宋体" w:hAnsi="宋体" w:eastAsia="宋体" w:cs="宋体"/>
          <w:b/>
          <w:bCs/>
          <w:color w:val="auto"/>
          <w:sz w:val="28"/>
          <w:szCs w:val="28"/>
          <w:highlight w:val="none"/>
          <w:lang w:val="zh-CN"/>
        </w:rPr>
        <w:t>六、编写评标报告</w:t>
      </w:r>
      <w:bookmarkEnd w:id="861"/>
    </w:p>
    <w:p w14:paraId="452C42AB">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1453455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4DECD4E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2FD6010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6A7CD9C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4C1A41B7">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35CA782A">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3D17DE65">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320D8BC5">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862" w:name="_Toc23773_WPSOffice_Level1"/>
      <w:r>
        <w:rPr>
          <w:rFonts w:hint="eastAsia" w:ascii="宋体" w:hAnsi="宋体" w:eastAsia="宋体" w:cs="宋体"/>
          <w:b/>
          <w:bCs/>
          <w:color w:val="auto"/>
          <w:sz w:val="28"/>
          <w:szCs w:val="28"/>
          <w:highlight w:val="none"/>
          <w:lang w:val="zh-CN"/>
        </w:rPr>
        <w:t>七、注意事项</w:t>
      </w:r>
      <w:bookmarkEnd w:id="862"/>
    </w:p>
    <w:p w14:paraId="3B13790B">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2CF7D452">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18398657">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5CDE528B">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230F94D6">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75526B9A">
      <w:pPr>
        <w:widowControl/>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（5）任何评审人员和工作人员不得对外公布评审的一切内容。</w:t>
      </w:r>
      <w:bookmarkEnd w:id="817"/>
      <w:bookmarkEnd w:id="837"/>
      <w:bookmarkEnd w:id="838"/>
      <w:bookmarkEnd w:id="839"/>
    </w:p>
    <w:sectPr>
      <w:pgSz w:w="12240" w:h="15840"/>
      <w:pgMar w:top="1191" w:right="1043" w:bottom="1191" w:left="1043" w:header="720" w:footer="720" w:gutter="0"/>
      <w:pgNumType w:fmt="decimal"/>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1DA10">
    <w:pPr>
      <w:pStyle w:val="2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E86FA0">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BE86FA0">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73CBB">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FA83E9">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BFA83E9">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007B5">
    <w:pPr>
      <w:pStyle w:val="2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D80AC">
                          <w:pPr>
                            <w:pStyle w:val="27"/>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70D80AC">
                    <w:pPr>
                      <w:pStyle w:val="27"/>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08461">
    <w:pPr>
      <w:pStyle w:val="2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F15B0">
                          <w:pPr>
                            <w:pStyle w:val="27"/>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DEF15B0">
                    <w:pPr>
                      <w:pStyle w:val="27"/>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D9A3">
    <w:pPr>
      <w:pStyle w:val="2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4A753">
                          <w:pPr>
                            <w:pStyle w:val="27"/>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704A753">
                    <w:pPr>
                      <w:pStyle w:val="27"/>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12831">
    <w:pPr>
      <w:pStyle w:val="2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7A485">
                          <w:pPr>
                            <w:pStyle w:val="27"/>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A17A485">
                    <w:pPr>
                      <w:pStyle w:val="27"/>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41B04">
    <w:pPr>
      <w:pStyle w:val="27"/>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DC2139">
                          <w:pPr>
                            <w:pStyle w:val="27"/>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2DC2139">
                    <w:pPr>
                      <w:pStyle w:val="27"/>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44839">
    <w:pPr>
      <w:pStyle w:val="27"/>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89396">
                          <w:pPr>
                            <w:pStyle w:val="27"/>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6489396">
                    <w:pPr>
                      <w:pStyle w:val="27"/>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D4693">
    <w:pPr>
      <w:pStyle w:val="27"/>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42151B">
                          <w:pPr>
                            <w:pStyle w:val="27"/>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142151B">
                    <w:pPr>
                      <w:pStyle w:val="27"/>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shape>
          </w:pict>
        </mc:Fallback>
      </mc:AlternateContent>
    </w:r>
  </w:p>
  <w:p w14:paraId="2670A831">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1">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e64fdd41-4563-46d2-8b43-964cc63c9c75"/>
  </w:docVars>
  <w:rsids>
    <w:rsidRoot w:val="001E63B6"/>
    <w:rsid w:val="000011AE"/>
    <w:rsid w:val="00004430"/>
    <w:rsid w:val="00006AEC"/>
    <w:rsid w:val="00015A2E"/>
    <w:rsid w:val="000245A6"/>
    <w:rsid w:val="0002570D"/>
    <w:rsid w:val="00027708"/>
    <w:rsid w:val="00035595"/>
    <w:rsid w:val="00040BE6"/>
    <w:rsid w:val="00040F92"/>
    <w:rsid w:val="00042BC5"/>
    <w:rsid w:val="00043144"/>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2FE"/>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5A1B"/>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2588"/>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1658"/>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12B"/>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1812"/>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20F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36C9"/>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0D6029"/>
    <w:rsid w:val="019B347B"/>
    <w:rsid w:val="01A30D24"/>
    <w:rsid w:val="01A379D7"/>
    <w:rsid w:val="01B36BD0"/>
    <w:rsid w:val="01BA61B0"/>
    <w:rsid w:val="01C539C5"/>
    <w:rsid w:val="01D13FA6"/>
    <w:rsid w:val="01F56ECB"/>
    <w:rsid w:val="02180DF9"/>
    <w:rsid w:val="023A19B0"/>
    <w:rsid w:val="025B6141"/>
    <w:rsid w:val="02941414"/>
    <w:rsid w:val="02B01361"/>
    <w:rsid w:val="02CE3596"/>
    <w:rsid w:val="032558AB"/>
    <w:rsid w:val="03257471"/>
    <w:rsid w:val="033624C6"/>
    <w:rsid w:val="03525F75"/>
    <w:rsid w:val="036F2FCB"/>
    <w:rsid w:val="03802AE2"/>
    <w:rsid w:val="03874A65"/>
    <w:rsid w:val="03BB7FBE"/>
    <w:rsid w:val="03CC1A1D"/>
    <w:rsid w:val="03D573A8"/>
    <w:rsid w:val="03E322AC"/>
    <w:rsid w:val="04071455"/>
    <w:rsid w:val="040B66DE"/>
    <w:rsid w:val="042913CB"/>
    <w:rsid w:val="04842AA6"/>
    <w:rsid w:val="050719CA"/>
    <w:rsid w:val="05080FE1"/>
    <w:rsid w:val="052C17A3"/>
    <w:rsid w:val="052D607B"/>
    <w:rsid w:val="052E509C"/>
    <w:rsid w:val="053A13B6"/>
    <w:rsid w:val="05681A7F"/>
    <w:rsid w:val="058F7720"/>
    <w:rsid w:val="05C50C80"/>
    <w:rsid w:val="05DE7F94"/>
    <w:rsid w:val="05DF58D5"/>
    <w:rsid w:val="05E41A4E"/>
    <w:rsid w:val="06052E39"/>
    <w:rsid w:val="06085010"/>
    <w:rsid w:val="06163BD1"/>
    <w:rsid w:val="064C314F"/>
    <w:rsid w:val="06786A55"/>
    <w:rsid w:val="0696388E"/>
    <w:rsid w:val="069940B2"/>
    <w:rsid w:val="06A116ED"/>
    <w:rsid w:val="06A15565"/>
    <w:rsid w:val="06A75D00"/>
    <w:rsid w:val="07264567"/>
    <w:rsid w:val="07691ADF"/>
    <w:rsid w:val="076D1315"/>
    <w:rsid w:val="08246091"/>
    <w:rsid w:val="08311B3B"/>
    <w:rsid w:val="0839757B"/>
    <w:rsid w:val="087141C3"/>
    <w:rsid w:val="08764FF9"/>
    <w:rsid w:val="08777BCA"/>
    <w:rsid w:val="0882008E"/>
    <w:rsid w:val="089A4646"/>
    <w:rsid w:val="08AC6127"/>
    <w:rsid w:val="08B1373D"/>
    <w:rsid w:val="08C36845"/>
    <w:rsid w:val="08DA0EE6"/>
    <w:rsid w:val="090369F3"/>
    <w:rsid w:val="09097FE0"/>
    <w:rsid w:val="09120680"/>
    <w:rsid w:val="092D54BA"/>
    <w:rsid w:val="09442803"/>
    <w:rsid w:val="095219B0"/>
    <w:rsid w:val="098A290C"/>
    <w:rsid w:val="099C619C"/>
    <w:rsid w:val="09C6146A"/>
    <w:rsid w:val="09C851E3"/>
    <w:rsid w:val="0A083831"/>
    <w:rsid w:val="0A1C33C6"/>
    <w:rsid w:val="0A2979F9"/>
    <w:rsid w:val="0A456833"/>
    <w:rsid w:val="0A6273E5"/>
    <w:rsid w:val="0A780920"/>
    <w:rsid w:val="0A895661"/>
    <w:rsid w:val="0A8C0880"/>
    <w:rsid w:val="0A9144FE"/>
    <w:rsid w:val="0ADC6E54"/>
    <w:rsid w:val="0AF24BB4"/>
    <w:rsid w:val="0B0E131B"/>
    <w:rsid w:val="0B4B1C27"/>
    <w:rsid w:val="0B6A0785"/>
    <w:rsid w:val="0B7369C9"/>
    <w:rsid w:val="0BD31C1D"/>
    <w:rsid w:val="0BE67BA2"/>
    <w:rsid w:val="0BED0F30"/>
    <w:rsid w:val="0C375F99"/>
    <w:rsid w:val="0C4B11C9"/>
    <w:rsid w:val="0C517711"/>
    <w:rsid w:val="0C5A2EA2"/>
    <w:rsid w:val="0C5E046C"/>
    <w:rsid w:val="0C68338A"/>
    <w:rsid w:val="0C8106BD"/>
    <w:rsid w:val="0D1A5D55"/>
    <w:rsid w:val="0D1F15BD"/>
    <w:rsid w:val="0D3F1307"/>
    <w:rsid w:val="0D42705A"/>
    <w:rsid w:val="0D6276FC"/>
    <w:rsid w:val="0D674D12"/>
    <w:rsid w:val="0D6E5C96"/>
    <w:rsid w:val="0D814026"/>
    <w:rsid w:val="0DA27AF9"/>
    <w:rsid w:val="0DD57ECE"/>
    <w:rsid w:val="0DDC20DA"/>
    <w:rsid w:val="0E2A1FC8"/>
    <w:rsid w:val="0E3177FA"/>
    <w:rsid w:val="0E365719"/>
    <w:rsid w:val="0E3F056D"/>
    <w:rsid w:val="0E461AB9"/>
    <w:rsid w:val="0E545297"/>
    <w:rsid w:val="0E807E3A"/>
    <w:rsid w:val="0F000F7B"/>
    <w:rsid w:val="0F241091"/>
    <w:rsid w:val="0F4B58CF"/>
    <w:rsid w:val="0F5502DA"/>
    <w:rsid w:val="0F977B31"/>
    <w:rsid w:val="0FC226D4"/>
    <w:rsid w:val="0FCB1589"/>
    <w:rsid w:val="0FE4264A"/>
    <w:rsid w:val="0FEB5787"/>
    <w:rsid w:val="10134CDE"/>
    <w:rsid w:val="10345380"/>
    <w:rsid w:val="107B2FAF"/>
    <w:rsid w:val="108D1597"/>
    <w:rsid w:val="10914580"/>
    <w:rsid w:val="10991559"/>
    <w:rsid w:val="10B734BB"/>
    <w:rsid w:val="10BB15FD"/>
    <w:rsid w:val="10BC03C7"/>
    <w:rsid w:val="10FF5546"/>
    <w:rsid w:val="11194576"/>
    <w:rsid w:val="11AB1672"/>
    <w:rsid w:val="11D0732A"/>
    <w:rsid w:val="12310FAE"/>
    <w:rsid w:val="124D44D7"/>
    <w:rsid w:val="12617F82"/>
    <w:rsid w:val="12907D3B"/>
    <w:rsid w:val="12C0114D"/>
    <w:rsid w:val="12CF75E2"/>
    <w:rsid w:val="130F4A87"/>
    <w:rsid w:val="131A5D86"/>
    <w:rsid w:val="132D4308"/>
    <w:rsid w:val="13392CAD"/>
    <w:rsid w:val="133D7B22"/>
    <w:rsid w:val="13525B1D"/>
    <w:rsid w:val="136E6DFB"/>
    <w:rsid w:val="13A20852"/>
    <w:rsid w:val="13DB5B12"/>
    <w:rsid w:val="13F217DA"/>
    <w:rsid w:val="14096B23"/>
    <w:rsid w:val="140B0D20"/>
    <w:rsid w:val="141D64B2"/>
    <w:rsid w:val="14237C67"/>
    <w:rsid w:val="144D4C62"/>
    <w:rsid w:val="145853B5"/>
    <w:rsid w:val="146124BC"/>
    <w:rsid w:val="147A220E"/>
    <w:rsid w:val="149B41B6"/>
    <w:rsid w:val="14A95C11"/>
    <w:rsid w:val="14DC5FE6"/>
    <w:rsid w:val="14E629C1"/>
    <w:rsid w:val="15033573"/>
    <w:rsid w:val="15190FE8"/>
    <w:rsid w:val="153B2D0D"/>
    <w:rsid w:val="15673B02"/>
    <w:rsid w:val="15704948"/>
    <w:rsid w:val="15761F97"/>
    <w:rsid w:val="15A13C38"/>
    <w:rsid w:val="15AC6074"/>
    <w:rsid w:val="15F74CE3"/>
    <w:rsid w:val="16223ECC"/>
    <w:rsid w:val="16227A29"/>
    <w:rsid w:val="163D4862"/>
    <w:rsid w:val="169C77DB"/>
    <w:rsid w:val="16B32D77"/>
    <w:rsid w:val="16B60189"/>
    <w:rsid w:val="16D52CED"/>
    <w:rsid w:val="175D7112"/>
    <w:rsid w:val="175E6EB8"/>
    <w:rsid w:val="178766DD"/>
    <w:rsid w:val="17AF1790"/>
    <w:rsid w:val="17C654A1"/>
    <w:rsid w:val="17DC253A"/>
    <w:rsid w:val="183F2B14"/>
    <w:rsid w:val="1840688C"/>
    <w:rsid w:val="18733E84"/>
    <w:rsid w:val="18E60E1F"/>
    <w:rsid w:val="19153875"/>
    <w:rsid w:val="19650358"/>
    <w:rsid w:val="197B401F"/>
    <w:rsid w:val="19BB08C0"/>
    <w:rsid w:val="19CF352B"/>
    <w:rsid w:val="1A192F67"/>
    <w:rsid w:val="1A1D6E85"/>
    <w:rsid w:val="1A230ABD"/>
    <w:rsid w:val="1A3666C3"/>
    <w:rsid w:val="1A740D5C"/>
    <w:rsid w:val="1A9A04D5"/>
    <w:rsid w:val="1ACE1000"/>
    <w:rsid w:val="1AF30830"/>
    <w:rsid w:val="1B0940FF"/>
    <w:rsid w:val="1B636B19"/>
    <w:rsid w:val="1B742AD4"/>
    <w:rsid w:val="1B9C202B"/>
    <w:rsid w:val="1BA57132"/>
    <w:rsid w:val="1BB16193"/>
    <w:rsid w:val="1BB22F13"/>
    <w:rsid w:val="1BD6553D"/>
    <w:rsid w:val="1BE54039"/>
    <w:rsid w:val="1C166281"/>
    <w:rsid w:val="1C302E5D"/>
    <w:rsid w:val="1C4E7529"/>
    <w:rsid w:val="1C661E9C"/>
    <w:rsid w:val="1CB6536F"/>
    <w:rsid w:val="1CBA06A7"/>
    <w:rsid w:val="1CF10D56"/>
    <w:rsid w:val="1D085BCA"/>
    <w:rsid w:val="1D0C4ADF"/>
    <w:rsid w:val="1D2F6BA0"/>
    <w:rsid w:val="1D305121"/>
    <w:rsid w:val="1D5232E9"/>
    <w:rsid w:val="1DAF6046"/>
    <w:rsid w:val="1DBB5CE4"/>
    <w:rsid w:val="1DE657E0"/>
    <w:rsid w:val="1DEF0B38"/>
    <w:rsid w:val="1E0D5462"/>
    <w:rsid w:val="1E124827"/>
    <w:rsid w:val="1E3D5840"/>
    <w:rsid w:val="1E885E55"/>
    <w:rsid w:val="1E8B6A70"/>
    <w:rsid w:val="1EC30CED"/>
    <w:rsid w:val="1EE24347"/>
    <w:rsid w:val="1EF0783D"/>
    <w:rsid w:val="1F1541C9"/>
    <w:rsid w:val="1F37702B"/>
    <w:rsid w:val="1F5275D0"/>
    <w:rsid w:val="1F6E3CDF"/>
    <w:rsid w:val="1F6F6B0B"/>
    <w:rsid w:val="1FB06243"/>
    <w:rsid w:val="1FD2451F"/>
    <w:rsid w:val="1FD81EF8"/>
    <w:rsid w:val="1FE50445"/>
    <w:rsid w:val="202D7F78"/>
    <w:rsid w:val="20670E5A"/>
    <w:rsid w:val="206C5FAC"/>
    <w:rsid w:val="207A1985"/>
    <w:rsid w:val="208E4800"/>
    <w:rsid w:val="211649B3"/>
    <w:rsid w:val="2117191B"/>
    <w:rsid w:val="211D2ED8"/>
    <w:rsid w:val="214A4EB1"/>
    <w:rsid w:val="21771570"/>
    <w:rsid w:val="21C66054"/>
    <w:rsid w:val="21CB366A"/>
    <w:rsid w:val="21CB71C6"/>
    <w:rsid w:val="2230171F"/>
    <w:rsid w:val="22350AE4"/>
    <w:rsid w:val="223B434C"/>
    <w:rsid w:val="227670BF"/>
    <w:rsid w:val="2287325B"/>
    <w:rsid w:val="22873A35"/>
    <w:rsid w:val="22C62CF4"/>
    <w:rsid w:val="22D630A1"/>
    <w:rsid w:val="22E26EBD"/>
    <w:rsid w:val="22E557CA"/>
    <w:rsid w:val="22E61AD1"/>
    <w:rsid w:val="2302156A"/>
    <w:rsid w:val="231E08D1"/>
    <w:rsid w:val="23814DFC"/>
    <w:rsid w:val="23847F75"/>
    <w:rsid w:val="238B4E5F"/>
    <w:rsid w:val="23950580"/>
    <w:rsid w:val="23A06120"/>
    <w:rsid w:val="23AE0B4E"/>
    <w:rsid w:val="23B01DCB"/>
    <w:rsid w:val="23B24AE2"/>
    <w:rsid w:val="23B5012E"/>
    <w:rsid w:val="23C04D83"/>
    <w:rsid w:val="24534DF9"/>
    <w:rsid w:val="24544E0C"/>
    <w:rsid w:val="24967F5F"/>
    <w:rsid w:val="249917FE"/>
    <w:rsid w:val="24A35B28"/>
    <w:rsid w:val="24AD3DD7"/>
    <w:rsid w:val="24DD793C"/>
    <w:rsid w:val="251E1D03"/>
    <w:rsid w:val="25626093"/>
    <w:rsid w:val="257B0F03"/>
    <w:rsid w:val="259F7DD3"/>
    <w:rsid w:val="25E76599"/>
    <w:rsid w:val="25F74A2E"/>
    <w:rsid w:val="2604539D"/>
    <w:rsid w:val="26146B0C"/>
    <w:rsid w:val="261E7E23"/>
    <w:rsid w:val="26797B39"/>
    <w:rsid w:val="267B1649"/>
    <w:rsid w:val="2685203A"/>
    <w:rsid w:val="26D703BB"/>
    <w:rsid w:val="26DE6F69"/>
    <w:rsid w:val="26EC030B"/>
    <w:rsid w:val="274A3739"/>
    <w:rsid w:val="276756B2"/>
    <w:rsid w:val="27781B9E"/>
    <w:rsid w:val="277976C4"/>
    <w:rsid w:val="27AD6260"/>
    <w:rsid w:val="27AE3812"/>
    <w:rsid w:val="27B5694E"/>
    <w:rsid w:val="27B92D35"/>
    <w:rsid w:val="27D36DD5"/>
    <w:rsid w:val="27F8683B"/>
    <w:rsid w:val="2815563F"/>
    <w:rsid w:val="281A0EA7"/>
    <w:rsid w:val="284622EE"/>
    <w:rsid w:val="284C7F3C"/>
    <w:rsid w:val="284E0B51"/>
    <w:rsid w:val="285A74F6"/>
    <w:rsid w:val="286E02B3"/>
    <w:rsid w:val="28AC24C6"/>
    <w:rsid w:val="28CD7B64"/>
    <w:rsid w:val="28DA73F5"/>
    <w:rsid w:val="28F37905"/>
    <w:rsid w:val="2916341D"/>
    <w:rsid w:val="29303A19"/>
    <w:rsid w:val="2939535D"/>
    <w:rsid w:val="294139AF"/>
    <w:rsid w:val="296F3690"/>
    <w:rsid w:val="29AE6B2F"/>
    <w:rsid w:val="29CE03E2"/>
    <w:rsid w:val="29D357B2"/>
    <w:rsid w:val="29E23116"/>
    <w:rsid w:val="2A110088"/>
    <w:rsid w:val="2A44644C"/>
    <w:rsid w:val="2A4B17EC"/>
    <w:rsid w:val="2A6C52BE"/>
    <w:rsid w:val="2A8377EA"/>
    <w:rsid w:val="2A9E191C"/>
    <w:rsid w:val="2A9E4307"/>
    <w:rsid w:val="2AA902C1"/>
    <w:rsid w:val="2B1A3A1A"/>
    <w:rsid w:val="2B4008AA"/>
    <w:rsid w:val="2B5F2D34"/>
    <w:rsid w:val="2B606BD1"/>
    <w:rsid w:val="2B67502E"/>
    <w:rsid w:val="2B677BFF"/>
    <w:rsid w:val="2B807316"/>
    <w:rsid w:val="2B922AE7"/>
    <w:rsid w:val="2B967E93"/>
    <w:rsid w:val="2BAA0794"/>
    <w:rsid w:val="2C04667D"/>
    <w:rsid w:val="2C163734"/>
    <w:rsid w:val="2C1B6F9C"/>
    <w:rsid w:val="2C65711A"/>
    <w:rsid w:val="2C8A781E"/>
    <w:rsid w:val="2C8B7F33"/>
    <w:rsid w:val="2C8C7149"/>
    <w:rsid w:val="2CAA478A"/>
    <w:rsid w:val="2CD33B58"/>
    <w:rsid w:val="2CD90F69"/>
    <w:rsid w:val="2CD94F5A"/>
    <w:rsid w:val="2CF170E1"/>
    <w:rsid w:val="2CFC2BFE"/>
    <w:rsid w:val="2D1F5862"/>
    <w:rsid w:val="2D2307FE"/>
    <w:rsid w:val="2D290DF5"/>
    <w:rsid w:val="2D371BB4"/>
    <w:rsid w:val="2D7E62D5"/>
    <w:rsid w:val="2DA134D1"/>
    <w:rsid w:val="2DAF65B5"/>
    <w:rsid w:val="2DC34563"/>
    <w:rsid w:val="2DC55411"/>
    <w:rsid w:val="2E1343CF"/>
    <w:rsid w:val="2E230F81"/>
    <w:rsid w:val="2E3B3926"/>
    <w:rsid w:val="2E456552"/>
    <w:rsid w:val="2E494294"/>
    <w:rsid w:val="2E4E5407"/>
    <w:rsid w:val="2E556795"/>
    <w:rsid w:val="2E5C5D76"/>
    <w:rsid w:val="2E7A61FC"/>
    <w:rsid w:val="2E7F3812"/>
    <w:rsid w:val="2EAD65D1"/>
    <w:rsid w:val="2F0D0E1E"/>
    <w:rsid w:val="2F172C53"/>
    <w:rsid w:val="2F4E47FC"/>
    <w:rsid w:val="2F61560E"/>
    <w:rsid w:val="2F94153F"/>
    <w:rsid w:val="2FCA4F61"/>
    <w:rsid w:val="2FD95706"/>
    <w:rsid w:val="309D4424"/>
    <w:rsid w:val="30D53BBD"/>
    <w:rsid w:val="31046251"/>
    <w:rsid w:val="31210BB1"/>
    <w:rsid w:val="312608BD"/>
    <w:rsid w:val="31394BC5"/>
    <w:rsid w:val="31454D23"/>
    <w:rsid w:val="314D028A"/>
    <w:rsid w:val="314D7BF8"/>
    <w:rsid w:val="314E0D97"/>
    <w:rsid w:val="31736B48"/>
    <w:rsid w:val="318F2126"/>
    <w:rsid w:val="31B656BB"/>
    <w:rsid w:val="31CC50C4"/>
    <w:rsid w:val="31CF685F"/>
    <w:rsid w:val="31F255AF"/>
    <w:rsid w:val="32690A61"/>
    <w:rsid w:val="326D2E9C"/>
    <w:rsid w:val="328A7949"/>
    <w:rsid w:val="32A0644D"/>
    <w:rsid w:val="32F9006B"/>
    <w:rsid w:val="32FD73FC"/>
    <w:rsid w:val="33072028"/>
    <w:rsid w:val="3310712F"/>
    <w:rsid w:val="33185FE3"/>
    <w:rsid w:val="339E473B"/>
    <w:rsid w:val="33B1681F"/>
    <w:rsid w:val="33C43924"/>
    <w:rsid w:val="33C7653D"/>
    <w:rsid w:val="33DC5263"/>
    <w:rsid w:val="33DD6483"/>
    <w:rsid w:val="34024334"/>
    <w:rsid w:val="341850B2"/>
    <w:rsid w:val="342B1D46"/>
    <w:rsid w:val="34586FDF"/>
    <w:rsid w:val="34BB131C"/>
    <w:rsid w:val="34D06958"/>
    <w:rsid w:val="34FE36A0"/>
    <w:rsid w:val="350D601C"/>
    <w:rsid w:val="35185792"/>
    <w:rsid w:val="355530AA"/>
    <w:rsid w:val="355A1520"/>
    <w:rsid w:val="356A54DE"/>
    <w:rsid w:val="35B96959"/>
    <w:rsid w:val="35CB558F"/>
    <w:rsid w:val="35DA410B"/>
    <w:rsid w:val="35F51CAB"/>
    <w:rsid w:val="362A056A"/>
    <w:rsid w:val="363870C8"/>
    <w:rsid w:val="36435A6D"/>
    <w:rsid w:val="364631D7"/>
    <w:rsid w:val="365E28A7"/>
    <w:rsid w:val="367A75A2"/>
    <w:rsid w:val="368928C2"/>
    <w:rsid w:val="368A369C"/>
    <w:rsid w:val="36BB1AA7"/>
    <w:rsid w:val="36C5247C"/>
    <w:rsid w:val="36CD632E"/>
    <w:rsid w:val="36D641AB"/>
    <w:rsid w:val="370C1614"/>
    <w:rsid w:val="371B7C79"/>
    <w:rsid w:val="372C2A21"/>
    <w:rsid w:val="377A54BF"/>
    <w:rsid w:val="37850378"/>
    <w:rsid w:val="37FE753F"/>
    <w:rsid w:val="383B2EA0"/>
    <w:rsid w:val="38504F55"/>
    <w:rsid w:val="385E093C"/>
    <w:rsid w:val="38C16934"/>
    <w:rsid w:val="38D46734"/>
    <w:rsid w:val="38E2331B"/>
    <w:rsid w:val="38EC5F48"/>
    <w:rsid w:val="38F00B77"/>
    <w:rsid w:val="390C0398"/>
    <w:rsid w:val="39235CD0"/>
    <w:rsid w:val="39903E56"/>
    <w:rsid w:val="39A700C1"/>
    <w:rsid w:val="39A95BE7"/>
    <w:rsid w:val="39BD78E5"/>
    <w:rsid w:val="39D23390"/>
    <w:rsid w:val="3A1A4D37"/>
    <w:rsid w:val="3A8328DC"/>
    <w:rsid w:val="3AA339B6"/>
    <w:rsid w:val="3AD924FC"/>
    <w:rsid w:val="3B1F29B6"/>
    <w:rsid w:val="3B2714BA"/>
    <w:rsid w:val="3B457B92"/>
    <w:rsid w:val="3B7D732B"/>
    <w:rsid w:val="3C0D6E7A"/>
    <w:rsid w:val="3C0F436B"/>
    <w:rsid w:val="3C284D45"/>
    <w:rsid w:val="3C291261"/>
    <w:rsid w:val="3C66681A"/>
    <w:rsid w:val="3C6D114E"/>
    <w:rsid w:val="3CFB3E14"/>
    <w:rsid w:val="3D122796"/>
    <w:rsid w:val="3D197528"/>
    <w:rsid w:val="3D1C31D0"/>
    <w:rsid w:val="3D3103CE"/>
    <w:rsid w:val="3D330D4B"/>
    <w:rsid w:val="3D355414"/>
    <w:rsid w:val="3D567E34"/>
    <w:rsid w:val="3D634061"/>
    <w:rsid w:val="3DB20B38"/>
    <w:rsid w:val="3DBF784F"/>
    <w:rsid w:val="3DE21C94"/>
    <w:rsid w:val="3E1B735B"/>
    <w:rsid w:val="3E1E5F84"/>
    <w:rsid w:val="3E38578C"/>
    <w:rsid w:val="3E5B4400"/>
    <w:rsid w:val="3E5D51F2"/>
    <w:rsid w:val="3E8573CD"/>
    <w:rsid w:val="3E94528A"/>
    <w:rsid w:val="3E974BA8"/>
    <w:rsid w:val="3E99447C"/>
    <w:rsid w:val="3EA01CAF"/>
    <w:rsid w:val="3EAB0654"/>
    <w:rsid w:val="3EC05EAD"/>
    <w:rsid w:val="3EC31834"/>
    <w:rsid w:val="3EE01D9D"/>
    <w:rsid w:val="3EE55913"/>
    <w:rsid w:val="3F5B255F"/>
    <w:rsid w:val="3FE43E1D"/>
    <w:rsid w:val="3FE727C0"/>
    <w:rsid w:val="400C5C6E"/>
    <w:rsid w:val="403F72A5"/>
    <w:rsid w:val="408178BE"/>
    <w:rsid w:val="409F7D44"/>
    <w:rsid w:val="40D43E92"/>
    <w:rsid w:val="40DC5A18"/>
    <w:rsid w:val="40EA35F0"/>
    <w:rsid w:val="40FA4A80"/>
    <w:rsid w:val="41076015"/>
    <w:rsid w:val="41197AF6"/>
    <w:rsid w:val="412D5350"/>
    <w:rsid w:val="414A6E99"/>
    <w:rsid w:val="41790595"/>
    <w:rsid w:val="41830C78"/>
    <w:rsid w:val="4188562C"/>
    <w:rsid w:val="41BB295C"/>
    <w:rsid w:val="42014C57"/>
    <w:rsid w:val="423D46F9"/>
    <w:rsid w:val="42611755"/>
    <w:rsid w:val="42784173"/>
    <w:rsid w:val="42C13A57"/>
    <w:rsid w:val="42CB3152"/>
    <w:rsid w:val="42FA6161"/>
    <w:rsid w:val="43234C5C"/>
    <w:rsid w:val="43352BA2"/>
    <w:rsid w:val="43415646"/>
    <w:rsid w:val="43527B09"/>
    <w:rsid w:val="43607C5E"/>
    <w:rsid w:val="43696B3B"/>
    <w:rsid w:val="439613CD"/>
    <w:rsid w:val="43B458B4"/>
    <w:rsid w:val="43B50E83"/>
    <w:rsid w:val="43CF26F8"/>
    <w:rsid w:val="43D1290A"/>
    <w:rsid w:val="43F959BD"/>
    <w:rsid w:val="441C751C"/>
    <w:rsid w:val="442411A9"/>
    <w:rsid w:val="44354C47"/>
    <w:rsid w:val="44403BC7"/>
    <w:rsid w:val="445B31C8"/>
    <w:rsid w:val="44705C7F"/>
    <w:rsid w:val="44937B73"/>
    <w:rsid w:val="44B00772"/>
    <w:rsid w:val="44B55D88"/>
    <w:rsid w:val="44BF7AC3"/>
    <w:rsid w:val="450705BE"/>
    <w:rsid w:val="45132AAF"/>
    <w:rsid w:val="457052B2"/>
    <w:rsid w:val="45705FB4"/>
    <w:rsid w:val="459C7046"/>
    <w:rsid w:val="45AE3EEF"/>
    <w:rsid w:val="45B84ED7"/>
    <w:rsid w:val="45FE550D"/>
    <w:rsid w:val="461D1E37"/>
    <w:rsid w:val="463158E2"/>
    <w:rsid w:val="465669B8"/>
    <w:rsid w:val="465D33FD"/>
    <w:rsid w:val="466730B2"/>
    <w:rsid w:val="466E4440"/>
    <w:rsid w:val="46780E1B"/>
    <w:rsid w:val="468E3161"/>
    <w:rsid w:val="46FE3A16"/>
    <w:rsid w:val="471274C2"/>
    <w:rsid w:val="47282841"/>
    <w:rsid w:val="476F2A57"/>
    <w:rsid w:val="47D76015"/>
    <w:rsid w:val="47DA3A96"/>
    <w:rsid w:val="47E10C42"/>
    <w:rsid w:val="480044B7"/>
    <w:rsid w:val="48075A9A"/>
    <w:rsid w:val="48345216"/>
    <w:rsid w:val="48407663"/>
    <w:rsid w:val="48671147"/>
    <w:rsid w:val="486C2C02"/>
    <w:rsid w:val="486F44A0"/>
    <w:rsid w:val="489E7916"/>
    <w:rsid w:val="48E35611"/>
    <w:rsid w:val="48E7672C"/>
    <w:rsid w:val="49006F78"/>
    <w:rsid w:val="495A0CAC"/>
    <w:rsid w:val="49641B2B"/>
    <w:rsid w:val="49830203"/>
    <w:rsid w:val="49834552"/>
    <w:rsid w:val="4998799A"/>
    <w:rsid w:val="49A11F60"/>
    <w:rsid w:val="49C820BA"/>
    <w:rsid w:val="49CC6D07"/>
    <w:rsid w:val="49DE18DD"/>
    <w:rsid w:val="49DF11B1"/>
    <w:rsid w:val="49E67045"/>
    <w:rsid w:val="4A011472"/>
    <w:rsid w:val="4A05460B"/>
    <w:rsid w:val="4A341372"/>
    <w:rsid w:val="4A497872"/>
    <w:rsid w:val="4A6209BE"/>
    <w:rsid w:val="4A730277"/>
    <w:rsid w:val="4A743FEF"/>
    <w:rsid w:val="4A873D23"/>
    <w:rsid w:val="4A8E6457"/>
    <w:rsid w:val="4AFD5D93"/>
    <w:rsid w:val="4B02784D"/>
    <w:rsid w:val="4B0D394E"/>
    <w:rsid w:val="4B455725"/>
    <w:rsid w:val="4B6E4EE3"/>
    <w:rsid w:val="4B7324F9"/>
    <w:rsid w:val="4B8B7843"/>
    <w:rsid w:val="4BC8467F"/>
    <w:rsid w:val="4BC919AF"/>
    <w:rsid w:val="4BDC3BFA"/>
    <w:rsid w:val="4C03562B"/>
    <w:rsid w:val="4C0F3FD0"/>
    <w:rsid w:val="4C1B7C71"/>
    <w:rsid w:val="4C286E40"/>
    <w:rsid w:val="4C5A51A7"/>
    <w:rsid w:val="4C62171E"/>
    <w:rsid w:val="4C8A062B"/>
    <w:rsid w:val="4CA961D2"/>
    <w:rsid w:val="4CC96874"/>
    <w:rsid w:val="4CD34FFD"/>
    <w:rsid w:val="4CE932A7"/>
    <w:rsid w:val="4CFE53E3"/>
    <w:rsid w:val="4D551EB6"/>
    <w:rsid w:val="4D5618DC"/>
    <w:rsid w:val="4D5A1562"/>
    <w:rsid w:val="4D6C1DBF"/>
    <w:rsid w:val="4DA05BE3"/>
    <w:rsid w:val="4DA303A7"/>
    <w:rsid w:val="4DA60964"/>
    <w:rsid w:val="4DAF797F"/>
    <w:rsid w:val="4DCB03CA"/>
    <w:rsid w:val="4DD86807"/>
    <w:rsid w:val="4DDE110F"/>
    <w:rsid w:val="4DE8080A"/>
    <w:rsid w:val="4DF40E69"/>
    <w:rsid w:val="4E142AAF"/>
    <w:rsid w:val="4E946BAA"/>
    <w:rsid w:val="4EB64BD7"/>
    <w:rsid w:val="4EBD41B7"/>
    <w:rsid w:val="4F0A4599"/>
    <w:rsid w:val="4F135B85"/>
    <w:rsid w:val="4F185FE0"/>
    <w:rsid w:val="4F561D44"/>
    <w:rsid w:val="4F58389A"/>
    <w:rsid w:val="4F6208BA"/>
    <w:rsid w:val="4F69060C"/>
    <w:rsid w:val="4FA669F9"/>
    <w:rsid w:val="4FAD422B"/>
    <w:rsid w:val="4FC41B3A"/>
    <w:rsid w:val="4FE63648"/>
    <w:rsid w:val="50210776"/>
    <w:rsid w:val="50235A38"/>
    <w:rsid w:val="50553602"/>
    <w:rsid w:val="5069615D"/>
    <w:rsid w:val="508605D9"/>
    <w:rsid w:val="50C56976"/>
    <w:rsid w:val="50DC2C87"/>
    <w:rsid w:val="50DE39E2"/>
    <w:rsid w:val="50E07940"/>
    <w:rsid w:val="50E21CB3"/>
    <w:rsid w:val="50FE2865"/>
    <w:rsid w:val="517448D5"/>
    <w:rsid w:val="51850890"/>
    <w:rsid w:val="519240F3"/>
    <w:rsid w:val="51B818FD"/>
    <w:rsid w:val="51DD691E"/>
    <w:rsid w:val="51EF7344"/>
    <w:rsid w:val="52065E75"/>
    <w:rsid w:val="520F6DE4"/>
    <w:rsid w:val="52412A09"/>
    <w:rsid w:val="529671F9"/>
    <w:rsid w:val="52A772D3"/>
    <w:rsid w:val="52AA2CA4"/>
    <w:rsid w:val="52BC4786"/>
    <w:rsid w:val="52E435DA"/>
    <w:rsid w:val="530D6D8F"/>
    <w:rsid w:val="53566988"/>
    <w:rsid w:val="53642E53"/>
    <w:rsid w:val="537312E8"/>
    <w:rsid w:val="53734A39"/>
    <w:rsid w:val="53961129"/>
    <w:rsid w:val="53A019B1"/>
    <w:rsid w:val="53DB6E8D"/>
    <w:rsid w:val="53E1595C"/>
    <w:rsid w:val="53E775E0"/>
    <w:rsid w:val="5411465D"/>
    <w:rsid w:val="541D04BA"/>
    <w:rsid w:val="54293073"/>
    <w:rsid w:val="545C7FCE"/>
    <w:rsid w:val="54752E3E"/>
    <w:rsid w:val="548E5CAE"/>
    <w:rsid w:val="549A0AF6"/>
    <w:rsid w:val="54AA6F8B"/>
    <w:rsid w:val="54C6369A"/>
    <w:rsid w:val="54E67898"/>
    <w:rsid w:val="54F06565"/>
    <w:rsid w:val="55012924"/>
    <w:rsid w:val="55230AEC"/>
    <w:rsid w:val="553625CD"/>
    <w:rsid w:val="55377FD3"/>
    <w:rsid w:val="554A3878"/>
    <w:rsid w:val="55546EF7"/>
    <w:rsid w:val="55837C0A"/>
    <w:rsid w:val="55907098"/>
    <w:rsid w:val="55DC539C"/>
    <w:rsid w:val="55E95892"/>
    <w:rsid w:val="55FB670D"/>
    <w:rsid w:val="56196BE8"/>
    <w:rsid w:val="562614A3"/>
    <w:rsid w:val="56625644"/>
    <w:rsid w:val="568E5A7A"/>
    <w:rsid w:val="56B12842"/>
    <w:rsid w:val="56B37004"/>
    <w:rsid w:val="572F23DD"/>
    <w:rsid w:val="57566F57"/>
    <w:rsid w:val="578E4942"/>
    <w:rsid w:val="579B2BBB"/>
    <w:rsid w:val="57F55B48"/>
    <w:rsid w:val="581806B0"/>
    <w:rsid w:val="583A0626"/>
    <w:rsid w:val="589D0BB5"/>
    <w:rsid w:val="58AB5080"/>
    <w:rsid w:val="58B63D67"/>
    <w:rsid w:val="58BD150F"/>
    <w:rsid w:val="58D00F8B"/>
    <w:rsid w:val="58D70DB0"/>
    <w:rsid w:val="595D7738"/>
    <w:rsid w:val="59630190"/>
    <w:rsid w:val="59633BAD"/>
    <w:rsid w:val="598269D2"/>
    <w:rsid w:val="59CD7278"/>
    <w:rsid w:val="59F47506"/>
    <w:rsid w:val="59FB128F"/>
    <w:rsid w:val="5A545B21"/>
    <w:rsid w:val="5A925980"/>
    <w:rsid w:val="5AAC3332"/>
    <w:rsid w:val="5ABC17C7"/>
    <w:rsid w:val="5ACE0C44"/>
    <w:rsid w:val="5B024938"/>
    <w:rsid w:val="5B046CCA"/>
    <w:rsid w:val="5B2348F0"/>
    <w:rsid w:val="5B3303B6"/>
    <w:rsid w:val="5B5E63DA"/>
    <w:rsid w:val="5B67083D"/>
    <w:rsid w:val="5B8C4C75"/>
    <w:rsid w:val="5B945A60"/>
    <w:rsid w:val="5B984B49"/>
    <w:rsid w:val="5B9B13DC"/>
    <w:rsid w:val="5BC84D67"/>
    <w:rsid w:val="5BD20B76"/>
    <w:rsid w:val="5BE12FA3"/>
    <w:rsid w:val="5BF907F8"/>
    <w:rsid w:val="5C3E620B"/>
    <w:rsid w:val="5C4D6613"/>
    <w:rsid w:val="5C6F5177"/>
    <w:rsid w:val="5C735EB5"/>
    <w:rsid w:val="5C9564D5"/>
    <w:rsid w:val="5C9A5B38"/>
    <w:rsid w:val="5CA60006"/>
    <w:rsid w:val="5CA66901"/>
    <w:rsid w:val="5CB00EB7"/>
    <w:rsid w:val="5CB52971"/>
    <w:rsid w:val="5CB87D6C"/>
    <w:rsid w:val="5D014763"/>
    <w:rsid w:val="5D2B0FDC"/>
    <w:rsid w:val="5D373386"/>
    <w:rsid w:val="5D706898"/>
    <w:rsid w:val="5D741A0F"/>
    <w:rsid w:val="5D7D733E"/>
    <w:rsid w:val="5D8866EC"/>
    <w:rsid w:val="5DE352BC"/>
    <w:rsid w:val="5DF474C9"/>
    <w:rsid w:val="5E0067A1"/>
    <w:rsid w:val="5E0D1758"/>
    <w:rsid w:val="5E0E44EB"/>
    <w:rsid w:val="5E2E29DB"/>
    <w:rsid w:val="5E373CA1"/>
    <w:rsid w:val="5E824AD5"/>
    <w:rsid w:val="5E9860A7"/>
    <w:rsid w:val="5EAA781E"/>
    <w:rsid w:val="5EB32EE1"/>
    <w:rsid w:val="5EBF421E"/>
    <w:rsid w:val="5EC7698C"/>
    <w:rsid w:val="5EC96260"/>
    <w:rsid w:val="5F2E07B9"/>
    <w:rsid w:val="5F5A1AA7"/>
    <w:rsid w:val="5F5F2ED4"/>
    <w:rsid w:val="5F6D308F"/>
    <w:rsid w:val="5F7A53C5"/>
    <w:rsid w:val="5F904FD0"/>
    <w:rsid w:val="5FB17ABC"/>
    <w:rsid w:val="5FC93D7A"/>
    <w:rsid w:val="5FDB26EF"/>
    <w:rsid w:val="5FF4730D"/>
    <w:rsid w:val="5FF612D7"/>
    <w:rsid w:val="6028345A"/>
    <w:rsid w:val="60365B77"/>
    <w:rsid w:val="604A2B40"/>
    <w:rsid w:val="606721D5"/>
    <w:rsid w:val="608C5797"/>
    <w:rsid w:val="60A26D69"/>
    <w:rsid w:val="60BE4E23"/>
    <w:rsid w:val="60E237B5"/>
    <w:rsid w:val="60E24CE0"/>
    <w:rsid w:val="60E6759D"/>
    <w:rsid w:val="611F436F"/>
    <w:rsid w:val="613876CD"/>
    <w:rsid w:val="61A22D98"/>
    <w:rsid w:val="61B01959"/>
    <w:rsid w:val="61C26C6A"/>
    <w:rsid w:val="61CD42B9"/>
    <w:rsid w:val="620D12A2"/>
    <w:rsid w:val="620D46B6"/>
    <w:rsid w:val="622E6349"/>
    <w:rsid w:val="623954AB"/>
    <w:rsid w:val="62612C54"/>
    <w:rsid w:val="6262181A"/>
    <w:rsid w:val="629C012D"/>
    <w:rsid w:val="62A32E82"/>
    <w:rsid w:val="62A717AA"/>
    <w:rsid w:val="62B13874"/>
    <w:rsid w:val="62B94AF6"/>
    <w:rsid w:val="62E83B63"/>
    <w:rsid w:val="62FA7924"/>
    <w:rsid w:val="63043D0B"/>
    <w:rsid w:val="631E4199"/>
    <w:rsid w:val="632F62F8"/>
    <w:rsid w:val="633063D8"/>
    <w:rsid w:val="63672753"/>
    <w:rsid w:val="6377272F"/>
    <w:rsid w:val="638C3D00"/>
    <w:rsid w:val="639332E1"/>
    <w:rsid w:val="63A94DAB"/>
    <w:rsid w:val="63D812B9"/>
    <w:rsid w:val="63DA2CBD"/>
    <w:rsid w:val="63F804BB"/>
    <w:rsid w:val="64032214"/>
    <w:rsid w:val="6429154F"/>
    <w:rsid w:val="64330783"/>
    <w:rsid w:val="644F5459"/>
    <w:rsid w:val="646C19F5"/>
    <w:rsid w:val="646F486F"/>
    <w:rsid w:val="64721148"/>
    <w:rsid w:val="649F103C"/>
    <w:rsid w:val="64B74DAD"/>
    <w:rsid w:val="64D84937"/>
    <w:rsid w:val="64E61286"/>
    <w:rsid w:val="65071890"/>
    <w:rsid w:val="653308D7"/>
    <w:rsid w:val="656A1E1F"/>
    <w:rsid w:val="656C5B97"/>
    <w:rsid w:val="657A6506"/>
    <w:rsid w:val="658E1FB1"/>
    <w:rsid w:val="65B55790"/>
    <w:rsid w:val="65BC6B1F"/>
    <w:rsid w:val="65D5198E"/>
    <w:rsid w:val="65DD0843"/>
    <w:rsid w:val="65E14B73"/>
    <w:rsid w:val="65E62E7A"/>
    <w:rsid w:val="66080D5A"/>
    <w:rsid w:val="6639016F"/>
    <w:rsid w:val="66430FEE"/>
    <w:rsid w:val="665E1984"/>
    <w:rsid w:val="66A86C9C"/>
    <w:rsid w:val="66DF047B"/>
    <w:rsid w:val="66EC7F6C"/>
    <w:rsid w:val="66F145A6"/>
    <w:rsid w:val="670E0E72"/>
    <w:rsid w:val="67144738"/>
    <w:rsid w:val="67424E02"/>
    <w:rsid w:val="67BB5990"/>
    <w:rsid w:val="67C12384"/>
    <w:rsid w:val="67FF2CF3"/>
    <w:rsid w:val="68116593"/>
    <w:rsid w:val="6814050E"/>
    <w:rsid w:val="682824FA"/>
    <w:rsid w:val="682D4420"/>
    <w:rsid w:val="682E63BC"/>
    <w:rsid w:val="68347BD1"/>
    <w:rsid w:val="683C5CF5"/>
    <w:rsid w:val="6841195C"/>
    <w:rsid w:val="684D54BF"/>
    <w:rsid w:val="68582403"/>
    <w:rsid w:val="68694610"/>
    <w:rsid w:val="68BF2482"/>
    <w:rsid w:val="68C65505"/>
    <w:rsid w:val="68D94C8D"/>
    <w:rsid w:val="68E14888"/>
    <w:rsid w:val="68E81FEC"/>
    <w:rsid w:val="68FB5BB0"/>
    <w:rsid w:val="69303738"/>
    <w:rsid w:val="696F20FA"/>
    <w:rsid w:val="69801C11"/>
    <w:rsid w:val="698A2A90"/>
    <w:rsid w:val="69F452BC"/>
    <w:rsid w:val="69F525FF"/>
    <w:rsid w:val="6A072332"/>
    <w:rsid w:val="6A122386"/>
    <w:rsid w:val="6A2518DB"/>
    <w:rsid w:val="6A3271D4"/>
    <w:rsid w:val="6A7A48B2"/>
    <w:rsid w:val="6A955B90"/>
    <w:rsid w:val="6A9A31A7"/>
    <w:rsid w:val="6AA43105"/>
    <w:rsid w:val="6AA656A7"/>
    <w:rsid w:val="6AAD178D"/>
    <w:rsid w:val="6AED1528"/>
    <w:rsid w:val="6AFB1E97"/>
    <w:rsid w:val="6B120F8F"/>
    <w:rsid w:val="6B7D2CFA"/>
    <w:rsid w:val="6BA81B16"/>
    <w:rsid w:val="6BA918F3"/>
    <w:rsid w:val="6BAC3EA4"/>
    <w:rsid w:val="6BB17E19"/>
    <w:rsid w:val="6BF95E33"/>
    <w:rsid w:val="6BF97D99"/>
    <w:rsid w:val="6C262F44"/>
    <w:rsid w:val="6C425C56"/>
    <w:rsid w:val="6CA0324F"/>
    <w:rsid w:val="6CAE7E6D"/>
    <w:rsid w:val="6CB309CA"/>
    <w:rsid w:val="6CBA15CC"/>
    <w:rsid w:val="6CC649E7"/>
    <w:rsid w:val="6CC8224D"/>
    <w:rsid w:val="6CF05300"/>
    <w:rsid w:val="6CF92406"/>
    <w:rsid w:val="6D013776"/>
    <w:rsid w:val="6D2C27DC"/>
    <w:rsid w:val="6D3C6797"/>
    <w:rsid w:val="6D521B17"/>
    <w:rsid w:val="6D6326C2"/>
    <w:rsid w:val="6D7361B0"/>
    <w:rsid w:val="6D9C27E4"/>
    <w:rsid w:val="6DAF0D17"/>
    <w:rsid w:val="6DDA5CDD"/>
    <w:rsid w:val="6E1177EE"/>
    <w:rsid w:val="6E1F5DC6"/>
    <w:rsid w:val="6E8543F8"/>
    <w:rsid w:val="6E95615F"/>
    <w:rsid w:val="6E9E269F"/>
    <w:rsid w:val="6EB55EC5"/>
    <w:rsid w:val="6EE35100"/>
    <w:rsid w:val="6EE669BA"/>
    <w:rsid w:val="6EE90259"/>
    <w:rsid w:val="6F4D4C8B"/>
    <w:rsid w:val="6F4D6A39"/>
    <w:rsid w:val="6F54601A"/>
    <w:rsid w:val="6F5F71DE"/>
    <w:rsid w:val="6F963B26"/>
    <w:rsid w:val="6FAA5C3A"/>
    <w:rsid w:val="6FB2689C"/>
    <w:rsid w:val="6FB51820"/>
    <w:rsid w:val="6FE7345F"/>
    <w:rsid w:val="6FE80510"/>
    <w:rsid w:val="703D6AAE"/>
    <w:rsid w:val="70550D0E"/>
    <w:rsid w:val="709F6AF2"/>
    <w:rsid w:val="70AD373E"/>
    <w:rsid w:val="70EC5DDE"/>
    <w:rsid w:val="71145A61"/>
    <w:rsid w:val="711D41EA"/>
    <w:rsid w:val="717E112C"/>
    <w:rsid w:val="71AD7C63"/>
    <w:rsid w:val="71AF5789"/>
    <w:rsid w:val="71B608C6"/>
    <w:rsid w:val="71CD3E62"/>
    <w:rsid w:val="71E371E1"/>
    <w:rsid w:val="726F7916"/>
    <w:rsid w:val="72783DCD"/>
    <w:rsid w:val="7298446F"/>
    <w:rsid w:val="731358A4"/>
    <w:rsid w:val="733F6CC8"/>
    <w:rsid w:val="737049AE"/>
    <w:rsid w:val="73942E89"/>
    <w:rsid w:val="73B0773B"/>
    <w:rsid w:val="73BF3BE6"/>
    <w:rsid w:val="74B44D47"/>
    <w:rsid w:val="74B53C0F"/>
    <w:rsid w:val="74EE481B"/>
    <w:rsid w:val="74F811F5"/>
    <w:rsid w:val="74FE028A"/>
    <w:rsid w:val="75023E22"/>
    <w:rsid w:val="751D3132"/>
    <w:rsid w:val="753A6D9B"/>
    <w:rsid w:val="753D4E5A"/>
    <w:rsid w:val="755521A4"/>
    <w:rsid w:val="7556464B"/>
    <w:rsid w:val="757D09AA"/>
    <w:rsid w:val="75CD4430"/>
    <w:rsid w:val="75EA4FE2"/>
    <w:rsid w:val="75ED44EA"/>
    <w:rsid w:val="75F25C45"/>
    <w:rsid w:val="76472434"/>
    <w:rsid w:val="768F0D80"/>
    <w:rsid w:val="769D02A6"/>
    <w:rsid w:val="76B178AE"/>
    <w:rsid w:val="76EC6B38"/>
    <w:rsid w:val="76F37EC6"/>
    <w:rsid w:val="771D4F43"/>
    <w:rsid w:val="772518E5"/>
    <w:rsid w:val="77281627"/>
    <w:rsid w:val="774E2A43"/>
    <w:rsid w:val="77613082"/>
    <w:rsid w:val="776B5BC6"/>
    <w:rsid w:val="77701517"/>
    <w:rsid w:val="77846CDF"/>
    <w:rsid w:val="779A3DE9"/>
    <w:rsid w:val="77ED7C0B"/>
    <w:rsid w:val="780D31E0"/>
    <w:rsid w:val="780F5216"/>
    <w:rsid w:val="78591FAB"/>
    <w:rsid w:val="787E39C8"/>
    <w:rsid w:val="78923168"/>
    <w:rsid w:val="78A7292D"/>
    <w:rsid w:val="78B11DE7"/>
    <w:rsid w:val="78C94F9D"/>
    <w:rsid w:val="790D22C6"/>
    <w:rsid w:val="791E4FA3"/>
    <w:rsid w:val="79464C25"/>
    <w:rsid w:val="794B3FEA"/>
    <w:rsid w:val="794C090E"/>
    <w:rsid w:val="799D1625"/>
    <w:rsid w:val="79D00993"/>
    <w:rsid w:val="7A102B3D"/>
    <w:rsid w:val="7A2B4B0D"/>
    <w:rsid w:val="7A2F6F00"/>
    <w:rsid w:val="7A6510DB"/>
    <w:rsid w:val="7A6954DF"/>
    <w:rsid w:val="7A6A04A0"/>
    <w:rsid w:val="7B1049C6"/>
    <w:rsid w:val="7B1A7BFE"/>
    <w:rsid w:val="7B360B25"/>
    <w:rsid w:val="7B6B19E9"/>
    <w:rsid w:val="7B710B8F"/>
    <w:rsid w:val="7B8F3F36"/>
    <w:rsid w:val="7B9D2AF7"/>
    <w:rsid w:val="7BBF0CBF"/>
    <w:rsid w:val="7BFA1CF7"/>
    <w:rsid w:val="7BFC781D"/>
    <w:rsid w:val="7C38637B"/>
    <w:rsid w:val="7C3C47A7"/>
    <w:rsid w:val="7CA13F21"/>
    <w:rsid w:val="7CA57EB5"/>
    <w:rsid w:val="7CAB4D9F"/>
    <w:rsid w:val="7D0270B5"/>
    <w:rsid w:val="7D0D2944"/>
    <w:rsid w:val="7D1E5C9A"/>
    <w:rsid w:val="7D630A43"/>
    <w:rsid w:val="7D6457E7"/>
    <w:rsid w:val="7D807FDA"/>
    <w:rsid w:val="7DA0067C"/>
    <w:rsid w:val="7DA270F0"/>
    <w:rsid w:val="7DC97BD3"/>
    <w:rsid w:val="7DF764EE"/>
    <w:rsid w:val="7E0C1BA8"/>
    <w:rsid w:val="7E3C48AF"/>
    <w:rsid w:val="7E7278BD"/>
    <w:rsid w:val="7E8F4979"/>
    <w:rsid w:val="7EA146AC"/>
    <w:rsid w:val="7EA71F32"/>
    <w:rsid w:val="7EBE525E"/>
    <w:rsid w:val="7EDA196C"/>
    <w:rsid w:val="7F376DBE"/>
    <w:rsid w:val="7F47040C"/>
    <w:rsid w:val="7F8818A0"/>
    <w:rsid w:val="7FAD7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52"/>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5">
    <w:name w:val="heading 2"/>
    <w:basedOn w:val="1"/>
    <w:next w:val="1"/>
    <w:link w:val="50"/>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6">
    <w:name w:val="heading 3"/>
    <w:basedOn w:val="1"/>
    <w:next w:val="1"/>
    <w:link w:val="146"/>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7">
    <w:name w:val="heading 4"/>
    <w:basedOn w:val="1"/>
    <w:next w:val="1"/>
    <w:link w:val="52"/>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8">
    <w:name w:val="heading 5"/>
    <w:basedOn w:val="1"/>
    <w:next w:val="1"/>
    <w:link w:val="134"/>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9">
    <w:name w:val="heading 6"/>
    <w:basedOn w:val="1"/>
    <w:next w:val="10"/>
    <w:link w:val="144"/>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1">
    <w:name w:val="heading 7"/>
    <w:basedOn w:val="1"/>
    <w:next w:val="10"/>
    <w:link w:val="55"/>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2">
    <w:name w:val="heading 8"/>
    <w:basedOn w:val="1"/>
    <w:next w:val="10"/>
    <w:link w:val="56"/>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3">
    <w:name w:val="heading 9"/>
    <w:basedOn w:val="1"/>
    <w:next w:val="10"/>
    <w:link w:val="57"/>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0"/>
    <w:qFormat/>
    <w:uiPriority w:val="99"/>
    <w:pPr>
      <w:autoSpaceDE w:val="0"/>
      <w:autoSpaceDN w:val="0"/>
      <w:adjustRightInd w:val="0"/>
      <w:ind w:right="-26"/>
      <w:jc w:val="center"/>
    </w:pPr>
    <w:rPr>
      <w:rFonts w:ascii="宋体" w:eastAsia="宋体"/>
      <w:b/>
      <w:bCs/>
      <w:sz w:val="84"/>
      <w:szCs w:val="84"/>
      <w:lang w:val="zh-CN"/>
    </w:rPr>
  </w:style>
  <w:style w:type="paragraph" w:styleId="3">
    <w:name w:val="Body Text First Indent"/>
    <w:basedOn w:val="2"/>
    <w:link w:val="203"/>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customStyle="1" w:styleId="10">
    <w:name w:val="模板正文"/>
    <w:basedOn w:val="1"/>
    <w:link w:val="96"/>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4">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5">
    <w:name w:val="caption"/>
    <w:basedOn w:val="1"/>
    <w:next w:val="1"/>
    <w:link w:val="85"/>
    <w:qFormat/>
    <w:uiPriority w:val="0"/>
    <w:pPr>
      <w:autoSpaceDE w:val="0"/>
      <w:autoSpaceDN w:val="0"/>
      <w:adjustRightInd w:val="0"/>
      <w:spacing w:before="152" w:after="160"/>
      <w:jc w:val="left"/>
    </w:pPr>
    <w:rPr>
      <w:rFonts w:ascii="Arial" w:hAnsi="Arial" w:eastAsia="黑体" w:cs="Arial"/>
    </w:rPr>
  </w:style>
  <w:style w:type="paragraph" w:styleId="16">
    <w:name w:val="index 5"/>
    <w:basedOn w:val="1"/>
    <w:next w:val="1"/>
    <w:unhideWhenUsed/>
    <w:qFormat/>
    <w:uiPriority w:val="99"/>
    <w:pPr>
      <w:ind w:left="1680"/>
    </w:pPr>
  </w:style>
  <w:style w:type="paragraph" w:styleId="17">
    <w:name w:val="Document Map"/>
    <w:basedOn w:val="1"/>
    <w:link w:val="118"/>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8">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9">
    <w:name w:val="annotation text"/>
    <w:basedOn w:val="1"/>
    <w:link w:val="165"/>
    <w:unhideWhenUsed/>
    <w:qFormat/>
    <w:uiPriority w:val="99"/>
    <w:pPr>
      <w:jc w:val="left"/>
    </w:pPr>
  </w:style>
  <w:style w:type="paragraph" w:styleId="20">
    <w:name w:val="Body Text 3"/>
    <w:basedOn w:val="1"/>
    <w:link w:val="158"/>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21">
    <w:name w:val="Body Text Indent"/>
    <w:basedOn w:val="1"/>
    <w:link w:val="94"/>
    <w:qFormat/>
    <w:uiPriority w:val="0"/>
    <w:pPr>
      <w:ind w:left="567" w:leftChars="270"/>
    </w:pPr>
    <w:rPr>
      <w:rFonts w:ascii="Times New Roman" w:hAnsi="Times New Roman" w:eastAsia="宋体" w:cs="Times New Roman"/>
      <w:szCs w:val="20"/>
    </w:rPr>
  </w:style>
  <w:style w:type="paragraph" w:styleId="22">
    <w:name w:val="toc 3"/>
    <w:basedOn w:val="1"/>
    <w:next w:val="1"/>
    <w:unhideWhenUsed/>
    <w:qFormat/>
    <w:uiPriority w:val="39"/>
    <w:pPr>
      <w:tabs>
        <w:tab w:val="right" w:leader="dot" w:pos="10144"/>
      </w:tabs>
      <w:ind w:left="840" w:leftChars="400"/>
    </w:pPr>
  </w:style>
  <w:style w:type="paragraph" w:styleId="23">
    <w:name w:val="Plain Text"/>
    <w:basedOn w:val="1"/>
    <w:link w:val="102"/>
    <w:qFormat/>
    <w:uiPriority w:val="0"/>
    <w:rPr>
      <w:rFonts w:ascii="宋体" w:hAnsi="Courier New" w:eastAsia="宋体"/>
    </w:rPr>
  </w:style>
  <w:style w:type="paragraph" w:styleId="24">
    <w:name w:val="Date"/>
    <w:basedOn w:val="1"/>
    <w:next w:val="1"/>
    <w:link w:val="110"/>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5">
    <w:name w:val="Body Text Indent 2"/>
    <w:basedOn w:val="1"/>
    <w:link w:val="103"/>
    <w:qFormat/>
    <w:uiPriority w:val="0"/>
    <w:pPr>
      <w:tabs>
        <w:tab w:val="left" w:pos="8640"/>
      </w:tabs>
      <w:ind w:left="1260"/>
    </w:pPr>
    <w:rPr>
      <w:rFonts w:ascii="宋体" w:hAnsi="Times New Roman" w:eastAsia="宋体" w:cs="Times New Roman"/>
      <w:szCs w:val="20"/>
    </w:rPr>
  </w:style>
  <w:style w:type="paragraph" w:styleId="26">
    <w:name w:val="Balloon Text"/>
    <w:basedOn w:val="1"/>
    <w:link w:val="76"/>
    <w:qFormat/>
    <w:uiPriority w:val="0"/>
    <w:rPr>
      <w:rFonts w:ascii="Times New Roman" w:hAnsi="Times New Roman" w:eastAsia="宋体" w:cs="Times New Roman"/>
      <w:sz w:val="18"/>
      <w:szCs w:val="18"/>
    </w:rPr>
  </w:style>
  <w:style w:type="paragraph" w:styleId="27">
    <w:name w:val="footer"/>
    <w:basedOn w:val="1"/>
    <w:link w:val="80"/>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8">
    <w:name w:val="header"/>
    <w:basedOn w:val="1"/>
    <w:link w:val="122"/>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9">
    <w:name w:val="toc 1"/>
    <w:basedOn w:val="1"/>
    <w:next w:val="1"/>
    <w:unhideWhenUsed/>
    <w:qFormat/>
    <w:uiPriority w:val="39"/>
  </w:style>
  <w:style w:type="paragraph" w:styleId="30">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1">
    <w:name w:val="footnote text"/>
    <w:basedOn w:val="1"/>
    <w:next w:val="16"/>
    <w:unhideWhenUsed/>
    <w:qFormat/>
    <w:uiPriority w:val="99"/>
    <w:pPr>
      <w:snapToGrid w:val="0"/>
      <w:jc w:val="left"/>
    </w:pPr>
    <w:rPr>
      <w:sz w:val="18"/>
    </w:rPr>
  </w:style>
  <w:style w:type="paragraph" w:styleId="32">
    <w:name w:val="Body Text Indent 3"/>
    <w:basedOn w:val="1"/>
    <w:link w:val="156"/>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3">
    <w:name w:val="Body Text 2"/>
    <w:basedOn w:val="1"/>
    <w:link w:val="145"/>
    <w:qFormat/>
    <w:uiPriority w:val="0"/>
    <w:pPr>
      <w:tabs>
        <w:tab w:val="left" w:pos="0"/>
      </w:tabs>
      <w:spacing w:line="400" w:lineRule="atLeast"/>
    </w:pPr>
    <w:rPr>
      <w:rFonts w:ascii="Arial" w:hAnsi="Arial" w:eastAsia="宋体" w:cs="Times New Roman"/>
      <w:color w:val="000000"/>
      <w:szCs w:val="24"/>
    </w:rPr>
  </w:style>
  <w:style w:type="paragraph" w:styleId="34">
    <w:name w:val="HTML Preformatted"/>
    <w:basedOn w:val="1"/>
    <w:link w:val="8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5">
    <w:name w:val="Normal (Web)"/>
    <w:basedOn w:val="1"/>
    <w:link w:val="95"/>
    <w:qFormat/>
    <w:uiPriority w:val="0"/>
    <w:pPr>
      <w:widowControl/>
      <w:spacing w:before="100" w:beforeAutospacing="1" w:after="100" w:afterAutospacing="1"/>
      <w:jc w:val="left"/>
    </w:pPr>
    <w:rPr>
      <w:rFonts w:ascii="宋体" w:hAnsi="宋体"/>
      <w:sz w:val="15"/>
      <w:szCs w:val="15"/>
    </w:rPr>
  </w:style>
  <w:style w:type="paragraph" w:styleId="36">
    <w:name w:val="Title"/>
    <w:basedOn w:val="1"/>
    <w:next w:val="1"/>
    <w:link w:val="60"/>
    <w:qFormat/>
    <w:uiPriority w:val="10"/>
    <w:pPr>
      <w:spacing w:before="120" w:after="60" w:line="300" w:lineRule="auto"/>
      <w:jc w:val="left"/>
      <w:outlineLvl w:val="0"/>
    </w:pPr>
    <w:rPr>
      <w:rFonts w:ascii="等线 Light" w:hAnsi="等线 Light" w:eastAsia="仿宋"/>
      <w:b/>
      <w:bCs/>
      <w:sz w:val="28"/>
      <w:szCs w:val="32"/>
    </w:rPr>
  </w:style>
  <w:style w:type="paragraph" w:styleId="37">
    <w:name w:val="annotation subject"/>
    <w:basedOn w:val="19"/>
    <w:next w:val="19"/>
    <w:link w:val="112"/>
    <w:qFormat/>
    <w:uiPriority w:val="99"/>
    <w:pPr>
      <w:autoSpaceDE w:val="0"/>
      <w:autoSpaceDN w:val="0"/>
      <w:adjustRightInd w:val="0"/>
    </w:pPr>
    <w:rPr>
      <w:rFonts w:ascii="宋体" w:hAnsi="Times New Roman" w:eastAsia="宋体" w:cs="Times New Roman"/>
      <w:b/>
      <w:bCs/>
      <w:kern w:val="0"/>
      <w:sz w:val="24"/>
      <w:szCs w:val="24"/>
    </w:rPr>
  </w:style>
  <w:style w:type="paragraph" w:styleId="38">
    <w:name w:val="Body Text First Indent 2"/>
    <w:basedOn w:val="21"/>
    <w:qFormat/>
    <w:uiPriority w:val="0"/>
    <w:pPr>
      <w:spacing w:after="0"/>
      <w:ind w:left="0" w:leftChars="0" w:firstLine="420" w:firstLineChars="200"/>
    </w:pPr>
    <w:rPr>
      <w:rFonts w:ascii="Times New Roman" w:hAnsi="Times New Roman" w:eastAsia="宋体" w:cs="Times New Roman"/>
      <w:sz w:val="24"/>
      <w:szCs w:val="24"/>
    </w:rPr>
  </w:style>
  <w:style w:type="table" w:styleId="40">
    <w:name w:val="Table Grid"/>
    <w:basedOn w:val="3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FollowedHyperlink"/>
    <w:unhideWhenUsed/>
    <w:qFormat/>
    <w:uiPriority w:val="99"/>
    <w:rPr>
      <w:color w:val="954F72"/>
      <w:u w:val="single"/>
    </w:rPr>
  </w:style>
  <w:style w:type="character" w:styleId="44">
    <w:name w:val="Emphasis"/>
    <w:qFormat/>
    <w:uiPriority w:val="0"/>
    <w:rPr>
      <w:i/>
      <w:iCs/>
    </w:rPr>
  </w:style>
  <w:style w:type="character" w:styleId="45">
    <w:name w:val="Hyperlink"/>
    <w:qFormat/>
    <w:uiPriority w:val="99"/>
    <w:rPr>
      <w:rFonts w:hint="default" w:ascii="Arial" w:hAnsi="Arial" w:cs="Arial"/>
      <w:color w:val="000000"/>
      <w:sz w:val="20"/>
      <w:szCs w:val="20"/>
      <w:u w:val="none"/>
    </w:rPr>
  </w:style>
  <w:style w:type="character" w:styleId="46">
    <w:name w:val="annotation reference"/>
    <w:qFormat/>
    <w:uiPriority w:val="99"/>
    <w:rPr>
      <w:sz w:val="21"/>
      <w:szCs w:val="21"/>
    </w:rPr>
  </w:style>
  <w:style w:type="paragraph" w:customStyle="1" w:styleId="47">
    <w:name w:val="样式 宋体 行距: 1.5 倍行距"/>
    <w:basedOn w:val="1"/>
    <w:qFormat/>
    <w:uiPriority w:val="0"/>
    <w:pPr>
      <w:jc w:val="center"/>
    </w:pPr>
    <w:rPr>
      <w:rFonts w:ascii="Times New Roman" w:hAnsi="Times New Roman"/>
      <w:b/>
    </w:rPr>
  </w:style>
  <w:style w:type="paragraph" w:customStyle="1" w:styleId="48">
    <w:name w:val="首行缩进"/>
    <w:basedOn w:val="1"/>
    <w:qFormat/>
    <w:uiPriority w:val="0"/>
    <w:pPr>
      <w:ind w:firstLine="480" w:firstLineChars="200"/>
    </w:pPr>
    <w:rPr>
      <w:lang w:val="zh-CN"/>
    </w:rPr>
  </w:style>
  <w:style w:type="character" w:customStyle="1" w:styleId="49">
    <w:name w:val="标题 1 字符"/>
    <w:basedOn w:val="41"/>
    <w:qFormat/>
    <w:uiPriority w:val="0"/>
    <w:rPr>
      <w:b/>
      <w:bCs/>
      <w:kern w:val="44"/>
      <w:sz w:val="44"/>
      <w:szCs w:val="44"/>
    </w:rPr>
  </w:style>
  <w:style w:type="character" w:customStyle="1" w:styleId="50">
    <w:name w:val="标题 2 Char"/>
    <w:basedOn w:val="41"/>
    <w:link w:val="5"/>
    <w:qFormat/>
    <w:uiPriority w:val="0"/>
    <w:rPr>
      <w:rFonts w:ascii="宋体" w:hAnsi="Calibri" w:eastAsia="宋体" w:cs="Times New Roman"/>
      <w:kern w:val="0"/>
      <w:sz w:val="24"/>
      <w:szCs w:val="24"/>
    </w:rPr>
  </w:style>
  <w:style w:type="character" w:customStyle="1" w:styleId="51">
    <w:name w:val="标题 3 字符"/>
    <w:basedOn w:val="41"/>
    <w:qFormat/>
    <w:uiPriority w:val="0"/>
    <w:rPr>
      <w:b/>
      <w:bCs/>
      <w:sz w:val="32"/>
      <w:szCs w:val="32"/>
    </w:rPr>
  </w:style>
  <w:style w:type="character" w:customStyle="1" w:styleId="52">
    <w:name w:val="标题 4 Char1"/>
    <w:basedOn w:val="41"/>
    <w:link w:val="7"/>
    <w:qFormat/>
    <w:uiPriority w:val="9"/>
    <w:rPr>
      <w:rFonts w:ascii="Arial" w:hAnsi="Arial" w:eastAsia="黑体" w:cs="Times New Roman"/>
      <w:b/>
      <w:bCs/>
      <w:kern w:val="0"/>
      <w:sz w:val="28"/>
      <w:szCs w:val="28"/>
    </w:rPr>
  </w:style>
  <w:style w:type="character" w:customStyle="1" w:styleId="53">
    <w:name w:val="标题 5 字符"/>
    <w:basedOn w:val="41"/>
    <w:qFormat/>
    <w:uiPriority w:val="9"/>
    <w:rPr>
      <w:b/>
      <w:bCs/>
      <w:sz w:val="28"/>
      <w:szCs w:val="28"/>
    </w:rPr>
  </w:style>
  <w:style w:type="character" w:customStyle="1" w:styleId="54">
    <w:name w:val="标题 6 字符"/>
    <w:basedOn w:val="41"/>
    <w:qFormat/>
    <w:uiPriority w:val="0"/>
    <w:rPr>
      <w:rFonts w:asciiTheme="majorHAnsi" w:hAnsiTheme="majorHAnsi" w:eastAsiaTheme="majorEastAsia" w:cstheme="majorBidi"/>
      <w:b/>
      <w:bCs/>
      <w:sz w:val="24"/>
      <w:szCs w:val="24"/>
    </w:rPr>
  </w:style>
  <w:style w:type="character" w:customStyle="1" w:styleId="55">
    <w:name w:val="标题 7 Char"/>
    <w:basedOn w:val="41"/>
    <w:link w:val="11"/>
    <w:qFormat/>
    <w:uiPriority w:val="9"/>
    <w:rPr>
      <w:rFonts w:ascii="Times New Roman" w:hAnsi="Calibri" w:eastAsia="黑体" w:cs="Times New Roman"/>
      <w:b/>
      <w:bCs/>
      <w:kern w:val="0"/>
      <w:sz w:val="28"/>
      <w:szCs w:val="24"/>
    </w:rPr>
  </w:style>
  <w:style w:type="character" w:customStyle="1" w:styleId="56">
    <w:name w:val="标题 8 Char"/>
    <w:basedOn w:val="41"/>
    <w:link w:val="12"/>
    <w:qFormat/>
    <w:uiPriority w:val="9"/>
    <w:rPr>
      <w:rFonts w:ascii="Times New Roman" w:hAnsi="Calibri" w:eastAsia="黑体" w:cs="Times New Roman"/>
      <w:b/>
      <w:kern w:val="0"/>
      <w:sz w:val="28"/>
      <w:szCs w:val="24"/>
    </w:rPr>
  </w:style>
  <w:style w:type="character" w:customStyle="1" w:styleId="57">
    <w:name w:val="标题 9 Char"/>
    <w:basedOn w:val="41"/>
    <w:link w:val="13"/>
    <w:qFormat/>
    <w:uiPriority w:val="9"/>
    <w:rPr>
      <w:rFonts w:ascii="Times New Roman" w:hAnsi="Calibri" w:eastAsia="黑体" w:cs="Times New Roman"/>
      <w:b/>
      <w:kern w:val="0"/>
      <w:sz w:val="28"/>
      <w:szCs w:val="24"/>
    </w:rPr>
  </w:style>
  <w:style w:type="character" w:customStyle="1" w:styleId="58">
    <w:name w:val="正文文本缩进 字符"/>
    <w:qFormat/>
    <w:uiPriority w:val="0"/>
    <w:rPr>
      <w:rFonts w:ascii="Times New Roman" w:hAnsi="Times New Roman" w:eastAsia="宋体" w:cs="Times New Roman"/>
      <w:szCs w:val="20"/>
    </w:rPr>
  </w:style>
  <w:style w:type="character" w:customStyle="1" w:styleId="59">
    <w:name w:val="普通(网站) Char"/>
    <w:qFormat/>
    <w:locked/>
    <w:uiPriority w:val="0"/>
    <w:rPr>
      <w:rFonts w:ascii="宋体" w:hAnsi="宋体"/>
      <w:sz w:val="15"/>
      <w:szCs w:val="15"/>
    </w:rPr>
  </w:style>
  <w:style w:type="character" w:customStyle="1" w:styleId="60">
    <w:name w:val="标题 Char"/>
    <w:link w:val="36"/>
    <w:qFormat/>
    <w:uiPriority w:val="10"/>
    <w:rPr>
      <w:rFonts w:ascii="等线 Light" w:hAnsi="等线 Light" w:eastAsia="仿宋"/>
      <w:b/>
      <w:bCs/>
      <w:sz w:val="28"/>
      <w:szCs w:val="32"/>
    </w:rPr>
  </w:style>
  <w:style w:type="character" w:customStyle="1" w:styleId="61">
    <w:name w:val="日期 Char"/>
    <w:semiHidden/>
    <w:qFormat/>
    <w:uiPriority w:val="99"/>
    <w:rPr>
      <w:kern w:val="2"/>
      <w:sz w:val="21"/>
    </w:rPr>
  </w:style>
  <w:style w:type="character" w:customStyle="1" w:styleId="62">
    <w:name w:val="文档结构图 字符1"/>
    <w:semiHidden/>
    <w:qFormat/>
    <w:uiPriority w:val="99"/>
    <w:rPr>
      <w:rFonts w:ascii="Microsoft YaHei UI" w:hAnsi="Calibri" w:eastAsia="Microsoft YaHei UI" w:cs="Times New Roman"/>
      <w:kern w:val="0"/>
      <w:sz w:val="18"/>
      <w:szCs w:val="18"/>
    </w:rPr>
  </w:style>
  <w:style w:type="character" w:customStyle="1" w:styleId="63">
    <w:name w:val="批注文字 Char"/>
    <w:semiHidden/>
    <w:qFormat/>
    <w:uiPriority w:val="99"/>
    <w:rPr>
      <w:kern w:val="2"/>
      <w:sz w:val="21"/>
    </w:rPr>
  </w:style>
  <w:style w:type="character" w:customStyle="1" w:styleId="64">
    <w:name w:val="正文缩进2格 Char"/>
    <w:link w:val="65"/>
    <w:qFormat/>
    <w:uiPriority w:val="0"/>
    <w:rPr>
      <w:rFonts w:ascii="仿宋_GB2312" w:hAnsi="宋体" w:eastAsia="仿宋_GB2312"/>
      <w:sz w:val="31"/>
      <w:szCs w:val="28"/>
    </w:rPr>
  </w:style>
  <w:style w:type="paragraph" w:customStyle="1" w:styleId="65">
    <w:name w:val="正文缩进2格"/>
    <w:basedOn w:val="1"/>
    <w:link w:val="64"/>
    <w:qFormat/>
    <w:uiPriority w:val="0"/>
    <w:pPr>
      <w:spacing w:line="600" w:lineRule="exact"/>
      <w:ind w:firstLine="639" w:firstLineChars="206"/>
    </w:pPr>
    <w:rPr>
      <w:rFonts w:ascii="仿宋_GB2312" w:hAnsi="宋体" w:eastAsia="仿宋_GB2312"/>
      <w:sz w:val="31"/>
      <w:szCs w:val="28"/>
    </w:rPr>
  </w:style>
  <w:style w:type="character" w:customStyle="1" w:styleId="66">
    <w:name w:val="批注文字 字符"/>
    <w:semiHidden/>
    <w:qFormat/>
    <w:uiPriority w:val="99"/>
    <w:rPr>
      <w:rFonts w:ascii="Times New Roman" w:hAnsi="Times New Roman"/>
      <w:kern w:val="2"/>
      <w:sz w:val="24"/>
      <w:szCs w:val="24"/>
    </w:rPr>
  </w:style>
  <w:style w:type="character" w:customStyle="1" w:styleId="67">
    <w:name w:val="正文文本缩进 Char"/>
    <w:qFormat/>
    <w:uiPriority w:val="0"/>
    <w:rPr>
      <w:rFonts w:ascii="Times New Roman" w:hAnsi="Times New Roman" w:eastAsia="宋体" w:cs="Times New Roman"/>
      <w:szCs w:val="20"/>
      <w:lang w:val="en-US" w:eastAsia="zh-CN"/>
    </w:rPr>
  </w:style>
  <w:style w:type="character" w:customStyle="1" w:styleId="68">
    <w:name w:val="批注框文本 字符1"/>
    <w:semiHidden/>
    <w:qFormat/>
    <w:uiPriority w:val="99"/>
    <w:rPr>
      <w:rFonts w:ascii="宋体" w:hAnsi="Calibri" w:eastAsia="宋体" w:cs="Times New Roman"/>
      <w:kern w:val="0"/>
      <w:sz w:val="18"/>
      <w:szCs w:val="18"/>
    </w:rPr>
  </w:style>
  <w:style w:type="character" w:customStyle="1" w:styleId="69">
    <w:name w:val="List Paragraph Char"/>
    <w:link w:val="70"/>
    <w:qFormat/>
    <w:uiPriority w:val="34"/>
    <w:rPr>
      <w:rFonts w:ascii="Calibri" w:hAnsi="Calibri"/>
    </w:rPr>
  </w:style>
  <w:style w:type="paragraph" w:customStyle="1" w:styleId="70">
    <w:name w:val="列出段落1"/>
    <w:basedOn w:val="1"/>
    <w:link w:val="69"/>
    <w:qFormat/>
    <w:uiPriority w:val="34"/>
    <w:pPr>
      <w:ind w:firstLine="420" w:firstLineChars="200"/>
    </w:pPr>
    <w:rPr>
      <w:rFonts w:ascii="Calibri" w:hAnsi="Calibri"/>
    </w:rPr>
  </w:style>
  <w:style w:type="character" w:customStyle="1" w:styleId="71">
    <w:name w:val="标书正文 字符"/>
    <w:link w:val="72"/>
    <w:qFormat/>
    <w:uiPriority w:val="0"/>
    <w:rPr>
      <w:rFonts w:ascii="Calibri" w:hAnsi="Calibri" w:eastAsia="仿宋"/>
      <w:sz w:val="24"/>
      <w:szCs w:val="21"/>
    </w:rPr>
  </w:style>
  <w:style w:type="paragraph" w:customStyle="1" w:styleId="72">
    <w:name w:val="标书正文"/>
    <w:basedOn w:val="1"/>
    <w:link w:val="71"/>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3">
    <w:name w:val="正文文本 字符"/>
    <w:semiHidden/>
    <w:qFormat/>
    <w:uiPriority w:val="99"/>
    <w:rPr>
      <w:rFonts w:ascii="Times New Roman" w:hAnsi="Times New Roman"/>
      <w:kern w:val="2"/>
      <w:sz w:val="24"/>
      <w:szCs w:val="24"/>
    </w:rPr>
  </w:style>
  <w:style w:type="character" w:customStyle="1" w:styleId="74">
    <w:name w:val="页脚 Char"/>
    <w:qFormat/>
    <w:uiPriority w:val="0"/>
    <w:rPr>
      <w:kern w:val="2"/>
      <w:sz w:val="18"/>
      <w:szCs w:val="18"/>
    </w:rPr>
  </w:style>
  <w:style w:type="character" w:customStyle="1" w:styleId="75">
    <w:name w:val="neir1"/>
    <w:qFormat/>
    <w:uiPriority w:val="0"/>
    <w:rPr>
      <w:rFonts w:hint="default" w:ascii="ˎ̥" w:hAnsi="ˎ̥"/>
      <w:color w:val="333333"/>
      <w:sz w:val="21"/>
      <w:szCs w:val="21"/>
      <w:u w:val="none"/>
    </w:rPr>
  </w:style>
  <w:style w:type="character" w:customStyle="1" w:styleId="76">
    <w:name w:val="批注框文本 Char1"/>
    <w:link w:val="26"/>
    <w:qFormat/>
    <w:uiPriority w:val="0"/>
    <w:rPr>
      <w:rFonts w:ascii="Times New Roman" w:hAnsi="Times New Roman" w:eastAsia="宋体" w:cs="Times New Roman"/>
      <w:sz w:val="18"/>
      <w:szCs w:val="18"/>
    </w:rPr>
  </w:style>
  <w:style w:type="character" w:customStyle="1" w:styleId="77">
    <w:name w:val="正文文本 3 字符1"/>
    <w:semiHidden/>
    <w:qFormat/>
    <w:uiPriority w:val="99"/>
    <w:rPr>
      <w:rFonts w:ascii="宋体" w:hAnsi="Calibri" w:eastAsia="宋体" w:cs="Times New Roman"/>
      <w:kern w:val="0"/>
      <w:sz w:val="16"/>
      <w:szCs w:val="16"/>
    </w:rPr>
  </w:style>
  <w:style w:type="character" w:customStyle="1" w:styleId="78">
    <w:name w:val="正文文本 字符3"/>
    <w:semiHidden/>
    <w:qFormat/>
    <w:uiPriority w:val="99"/>
    <w:rPr>
      <w:rFonts w:ascii="宋体" w:hAnsi="Calibri" w:eastAsia="宋体" w:cs="Times New Roman"/>
      <w:kern w:val="0"/>
      <w:sz w:val="24"/>
      <w:szCs w:val="24"/>
    </w:rPr>
  </w:style>
  <w:style w:type="character" w:customStyle="1" w:styleId="79">
    <w:name w:val="日期 字符1"/>
    <w:semiHidden/>
    <w:qFormat/>
    <w:uiPriority w:val="99"/>
    <w:rPr>
      <w:rFonts w:ascii="宋体" w:hAnsi="Calibri" w:eastAsia="宋体" w:cs="Times New Roman"/>
      <w:kern w:val="0"/>
      <w:sz w:val="24"/>
      <w:szCs w:val="24"/>
    </w:rPr>
  </w:style>
  <w:style w:type="character" w:customStyle="1" w:styleId="80">
    <w:name w:val="页脚 Char2"/>
    <w:link w:val="27"/>
    <w:qFormat/>
    <w:uiPriority w:val="99"/>
    <w:rPr>
      <w:rFonts w:ascii="宋体" w:eastAsia="宋体"/>
      <w:sz w:val="18"/>
      <w:szCs w:val="18"/>
    </w:rPr>
  </w:style>
  <w:style w:type="character" w:customStyle="1" w:styleId="81">
    <w:name w:val="吉奥正文 Char"/>
    <w:link w:val="82"/>
    <w:qFormat/>
    <w:locked/>
    <w:uiPriority w:val="0"/>
    <w:rPr>
      <w:rFonts w:eastAsia="仿宋_GB2312"/>
      <w:sz w:val="28"/>
    </w:rPr>
  </w:style>
  <w:style w:type="paragraph" w:customStyle="1" w:styleId="82">
    <w:name w:val="吉奥正文"/>
    <w:basedOn w:val="1"/>
    <w:link w:val="81"/>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3">
    <w:name w:val="页脚 Char1"/>
    <w:qFormat/>
    <w:uiPriority w:val="99"/>
    <w:rPr>
      <w:rFonts w:ascii="宋体" w:hAnsi="Times New Roman" w:eastAsia="宋体" w:cs="Times New Roman"/>
      <w:kern w:val="0"/>
      <w:sz w:val="18"/>
      <w:szCs w:val="18"/>
    </w:rPr>
  </w:style>
  <w:style w:type="character" w:customStyle="1" w:styleId="84">
    <w:name w:val="标题 字符"/>
    <w:qFormat/>
    <w:uiPriority w:val="10"/>
    <w:rPr>
      <w:rFonts w:ascii="Cambria" w:hAnsi="Cambria" w:eastAsia="宋体" w:cs="Times New Roman"/>
      <w:b/>
      <w:bCs/>
      <w:kern w:val="0"/>
      <w:sz w:val="32"/>
      <w:szCs w:val="32"/>
      <w:lang w:val="en-US" w:eastAsia="zh-CN"/>
    </w:rPr>
  </w:style>
  <w:style w:type="character" w:customStyle="1" w:styleId="85">
    <w:name w:val="题注 Char"/>
    <w:link w:val="15"/>
    <w:qFormat/>
    <w:uiPriority w:val="0"/>
    <w:rPr>
      <w:rFonts w:ascii="Arial" w:hAnsi="Arial" w:eastAsia="黑体" w:cs="Arial"/>
    </w:rPr>
  </w:style>
  <w:style w:type="character" w:customStyle="1" w:styleId="86">
    <w:name w:val="批注文字 字符2"/>
    <w:qFormat/>
    <w:uiPriority w:val="99"/>
    <w:rPr>
      <w:rFonts w:ascii="宋体" w:hAnsi="Times New Roman" w:eastAsia="宋体" w:cs="Times New Roman"/>
      <w:kern w:val="0"/>
      <w:sz w:val="24"/>
      <w:szCs w:val="24"/>
    </w:rPr>
  </w:style>
  <w:style w:type="character" w:customStyle="1" w:styleId="87">
    <w:name w:val="批注主题 字符1"/>
    <w:semiHidden/>
    <w:qFormat/>
    <w:uiPriority w:val="99"/>
    <w:rPr>
      <w:rFonts w:ascii="宋体" w:hAnsi="Calibri" w:eastAsia="宋体" w:cs="Times New Roman"/>
      <w:b/>
      <w:bCs/>
      <w:kern w:val="0"/>
      <w:sz w:val="24"/>
      <w:szCs w:val="24"/>
    </w:rPr>
  </w:style>
  <w:style w:type="character" w:customStyle="1" w:styleId="88">
    <w:name w:val="HTML 预设格式 Char"/>
    <w:link w:val="34"/>
    <w:qFormat/>
    <w:uiPriority w:val="99"/>
    <w:rPr>
      <w:rFonts w:ascii="Arial" w:hAnsi="Arial" w:eastAsia="宋体" w:cs="Arial"/>
      <w:szCs w:val="21"/>
    </w:rPr>
  </w:style>
  <w:style w:type="character" w:customStyle="1" w:styleId="89">
    <w:name w:val="标题 3.1 Char"/>
    <w:link w:val="90"/>
    <w:qFormat/>
    <w:uiPriority w:val="0"/>
    <w:rPr>
      <w:rFonts w:ascii="宋体" w:hAnsi="宋体"/>
      <w:b/>
      <w:bCs/>
      <w:sz w:val="32"/>
      <w:szCs w:val="32"/>
    </w:rPr>
  </w:style>
  <w:style w:type="paragraph" w:customStyle="1" w:styleId="90">
    <w:name w:val="标题 3.1"/>
    <w:basedOn w:val="6"/>
    <w:link w:val="89"/>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91">
    <w:name w:val="HTML 预设格式 Char1"/>
    <w:semiHidden/>
    <w:qFormat/>
    <w:uiPriority w:val="99"/>
    <w:rPr>
      <w:rFonts w:ascii="Courier New" w:hAnsi="Courier New" w:eastAsia="宋体" w:cs="Courier New"/>
      <w:kern w:val="0"/>
      <w:sz w:val="20"/>
      <w:szCs w:val="20"/>
    </w:rPr>
  </w:style>
  <w:style w:type="character" w:customStyle="1" w:styleId="92">
    <w:name w:val="批注文字 字符1"/>
    <w:qFormat/>
    <w:uiPriority w:val="0"/>
    <w:rPr>
      <w:rFonts w:eastAsia="宋体"/>
      <w:kern w:val="2"/>
      <w:sz w:val="24"/>
      <w:szCs w:val="24"/>
      <w:lang w:val="en-US" w:eastAsia="zh-CN" w:bidi="ar-SA"/>
    </w:rPr>
  </w:style>
  <w:style w:type="character" w:customStyle="1" w:styleId="93">
    <w:name w:val="正文文本缩进 字符2"/>
    <w:semiHidden/>
    <w:qFormat/>
    <w:uiPriority w:val="99"/>
    <w:rPr>
      <w:rFonts w:ascii="宋体" w:hAnsi="Calibri" w:eastAsia="宋体" w:cs="Times New Roman"/>
      <w:kern w:val="0"/>
      <w:sz w:val="24"/>
      <w:szCs w:val="24"/>
    </w:rPr>
  </w:style>
  <w:style w:type="character" w:customStyle="1" w:styleId="94">
    <w:name w:val="正文文本缩进 Char1"/>
    <w:link w:val="21"/>
    <w:qFormat/>
    <w:uiPriority w:val="0"/>
    <w:rPr>
      <w:rFonts w:ascii="Times New Roman" w:hAnsi="Times New Roman" w:eastAsia="宋体" w:cs="Times New Roman"/>
      <w:szCs w:val="20"/>
    </w:rPr>
  </w:style>
  <w:style w:type="character" w:customStyle="1" w:styleId="95">
    <w:name w:val="普通(网站) Char1"/>
    <w:link w:val="35"/>
    <w:qFormat/>
    <w:locked/>
    <w:uiPriority w:val="0"/>
    <w:rPr>
      <w:rFonts w:ascii="宋体" w:hAnsi="宋体"/>
      <w:sz w:val="15"/>
      <w:szCs w:val="15"/>
    </w:rPr>
  </w:style>
  <w:style w:type="character" w:customStyle="1" w:styleId="96">
    <w:name w:val="模板正文 Char"/>
    <w:link w:val="10"/>
    <w:qFormat/>
    <w:uiPriority w:val="0"/>
    <w:rPr>
      <w:rFonts w:ascii="宋体" w:eastAsia="仿宋"/>
      <w:sz w:val="24"/>
      <w:szCs w:val="21"/>
    </w:rPr>
  </w:style>
  <w:style w:type="character" w:customStyle="1" w:styleId="97">
    <w:name w:val="批注主题 Char"/>
    <w:semiHidden/>
    <w:qFormat/>
    <w:uiPriority w:val="99"/>
    <w:rPr>
      <w:b/>
      <w:bCs/>
      <w:kern w:val="2"/>
      <w:sz w:val="21"/>
    </w:rPr>
  </w:style>
  <w:style w:type="character" w:customStyle="1" w:styleId="98">
    <w:name w:val="正文文本 Char1"/>
    <w:qFormat/>
    <w:uiPriority w:val="0"/>
    <w:rPr>
      <w:rFonts w:ascii="宋体" w:hAnsi="Times New Roman" w:eastAsia="宋体" w:cs="Times New Roman"/>
      <w:kern w:val="0"/>
      <w:sz w:val="24"/>
      <w:szCs w:val="24"/>
    </w:rPr>
  </w:style>
  <w:style w:type="character" w:customStyle="1" w:styleId="99">
    <w:name w:val="正文文本 字符1"/>
    <w:qFormat/>
    <w:uiPriority w:val="99"/>
    <w:rPr>
      <w:rFonts w:ascii="宋体" w:eastAsia="宋体"/>
      <w:b/>
      <w:bCs/>
      <w:sz w:val="84"/>
      <w:szCs w:val="84"/>
      <w:lang w:val="zh-CN"/>
    </w:rPr>
  </w:style>
  <w:style w:type="character" w:customStyle="1" w:styleId="100">
    <w:name w:val="标题 1 Char"/>
    <w:qFormat/>
    <w:uiPriority w:val="9"/>
    <w:rPr>
      <w:rFonts w:ascii="宋体" w:hAnsi="Times New Roman" w:eastAsia="宋体" w:cs="Times New Roman"/>
      <w:kern w:val="0"/>
      <w:sz w:val="24"/>
      <w:szCs w:val="24"/>
    </w:rPr>
  </w:style>
  <w:style w:type="character" w:customStyle="1" w:styleId="101">
    <w:name w:val="正文文本 Char2"/>
    <w:qFormat/>
    <w:uiPriority w:val="99"/>
    <w:rPr>
      <w:rFonts w:ascii="宋体" w:eastAsia="宋体"/>
      <w:b/>
      <w:bCs/>
      <w:sz w:val="84"/>
      <w:szCs w:val="84"/>
      <w:lang w:val="zh-CN"/>
    </w:rPr>
  </w:style>
  <w:style w:type="character" w:customStyle="1" w:styleId="102">
    <w:name w:val="纯文本 Char2"/>
    <w:link w:val="23"/>
    <w:qFormat/>
    <w:uiPriority w:val="0"/>
    <w:rPr>
      <w:rFonts w:ascii="宋体" w:hAnsi="Courier New" w:eastAsia="宋体"/>
    </w:rPr>
  </w:style>
  <w:style w:type="character" w:customStyle="1" w:styleId="103">
    <w:name w:val="正文文本缩进 2 Char"/>
    <w:link w:val="25"/>
    <w:qFormat/>
    <w:uiPriority w:val="0"/>
    <w:rPr>
      <w:rFonts w:ascii="宋体" w:hAnsi="Times New Roman" w:eastAsia="宋体" w:cs="Times New Roman"/>
      <w:szCs w:val="20"/>
    </w:rPr>
  </w:style>
  <w:style w:type="character" w:customStyle="1" w:styleId="104">
    <w:name w:val="HTML Markup"/>
    <w:qFormat/>
    <w:uiPriority w:val="0"/>
    <w:rPr>
      <w:vanish/>
      <w:color w:val="FF0000"/>
    </w:rPr>
  </w:style>
  <w:style w:type="character" w:customStyle="1" w:styleId="105">
    <w:name w:val="页眉 Char1"/>
    <w:qFormat/>
    <w:uiPriority w:val="0"/>
    <w:rPr>
      <w:rFonts w:ascii="宋体" w:hAnsi="Times New Roman" w:eastAsia="宋体" w:cs="Times New Roman"/>
      <w:kern w:val="0"/>
      <w:sz w:val="18"/>
      <w:szCs w:val="18"/>
    </w:rPr>
  </w:style>
  <w:style w:type="character" w:customStyle="1" w:styleId="106">
    <w:name w:val="font11"/>
    <w:qFormat/>
    <w:uiPriority w:val="0"/>
    <w:rPr>
      <w:rFonts w:hint="eastAsia" w:ascii="宋体" w:hAnsi="宋体" w:eastAsia="宋体" w:cs="宋体"/>
      <w:color w:val="FF0000"/>
      <w:sz w:val="22"/>
      <w:szCs w:val="22"/>
      <w:u w:val="none"/>
    </w:rPr>
  </w:style>
  <w:style w:type="character" w:customStyle="1" w:styleId="107">
    <w:name w:val="style61"/>
    <w:qFormat/>
    <w:uiPriority w:val="0"/>
    <w:rPr>
      <w:b/>
      <w:bCs/>
    </w:rPr>
  </w:style>
  <w:style w:type="character" w:customStyle="1" w:styleId="108">
    <w:name w:val="表头文字 Char"/>
    <w:link w:val="109"/>
    <w:qFormat/>
    <w:uiPriority w:val="0"/>
    <w:rPr>
      <w:rFonts w:eastAsia="仿宋_GB2312"/>
      <w:b/>
      <w:sz w:val="28"/>
      <w:szCs w:val="21"/>
    </w:rPr>
  </w:style>
  <w:style w:type="paragraph" w:customStyle="1" w:styleId="109">
    <w:name w:val="表头文字"/>
    <w:basedOn w:val="1"/>
    <w:link w:val="108"/>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10">
    <w:name w:val="日期 Char1"/>
    <w:link w:val="24"/>
    <w:qFormat/>
    <w:uiPriority w:val="99"/>
    <w:rPr>
      <w:rFonts w:ascii="宋体" w:hAnsi="Times New Roman" w:eastAsia="宋体" w:cs="Times New Roman"/>
      <w:b/>
      <w:bCs/>
      <w:szCs w:val="21"/>
      <w:lang w:val="zh-CN"/>
    </w:rPr>
  </w:style>
  <w:style w:type="character" w:customStyle="1" w:styleId="111">
    <w:name w:val="纯文本 Char1"/>
    <w:qFormat/>
    <w:uiPriority w:val="0"/>
    <w:rPr>
      <w:rFonts w:ascii="宋体" w:hAnsi="Courier New" w:eastAsia="宋体" w:cs="Courier New"/>
      <w:kern w:val="0"/>
      <w:szCs w:val="21"/>
    </w:rPr>
  </w:style>
  <w:style w:type="character" w:customStyle="1" w:styleId="112">
    <w:name w:val="批注主题 Char1"/>
    <w:link w:val="37"/>
    <w:qFormat/>
    <w:uiPriority w:val="99"/>
    <w:rPr>
      <w:rFonts w:ascii="宋体" w:hAnsi="Times New Roman" w:eastAsia="宋体" w:cs="Times New Roman"/>
      <w:b/>
      <w:bCs/>
      <w:kern w:val="0"/>
      <w:sz w:val="24"/>
      <w:szCs w:val="24"/>
    </w:rPr>
  </w:style>
  <w:style w:type="character" w:customStyle="1" w:styleId="113">
    <w:name w:val="纯文本 字符"/>
    <w:qFormat/>
    <w:uiPriority w:val="99"/>
    <w:rPr>
      <w:rFonts w:ascii="宋体" w:hAnsi="Courier New" w:eastAsia="宋体" w:cs="Times New Roman"/>
      <w:szCs w:val="20"/>
      <w:lang w:val="en-US" w:eastAsia="zh-CN"/>
    </w:rPr>
  </w:style>
  <w:style w:type="character" w:customStyle="1" w:styleId="114">
    <w:name w:val="font71"/>
    <w:qFormat/>
    <w:uiPriority w:val="0"/>
    <w:rPr>
      <w:rFonts w:hint="eastAsia" w:ascii="宋体" w:hAnsi="宋体" w:eastAsia="宋体" w:cs="宋体"/>
      <w:color w:val="FF0000"/>
      <w:sz w:val="18"/>
      <w:szCs w:val="18"/>
      <w:u w:val="none"/>
    </w:rPr>
  </w:style>
  <w:style w:type="character" w:customStyle="1" w:styleId="115">
    <w:name w:val="font21"/>
    <w:qFormat/>
    <w:uiPriority w:val="0"/>
    <w:rPr>
      <w:rFonts w:hint="eastAsia" w:ascii="宋体" w:hAnsi="宋体" w:eastAsia="宋体" w:cs="宋体"/>
      <w:b/>
      <w:color w:val="000000"/>
      <w:sz w:val="21"/>
      <w:szCs w:val="21"/>
      <w:u w:val="none"/>
    </w:rPr>
  </w:style>
  <w:style w:type="character" w:customStyle="1" w:styleId="116">
    <w:name w:val="纯文本 字符3"/>
    <w:semiHidden/>
    <w:qFormat/>
    <w:uiPriority w:val="99"/>
    <w:rPr>
      <w:rFonts w:ascii="等线" w:hAnsi="Courier New" w:cs="Courier New"/>
      <w:kern w:val="0"/>
      <w:sz w:val="24"/>
      <w:szCs w:val="24"/>
    </w:rPr>
  </w:style>
  <w:style w:type="character" w:customStyle="1" w:styleId="117">
    <w:name w:val="font31"/>
    <w:qFormat/>
    <w:uiPriority w:val="0"/>
    <w:rPr>
      <w:rFonts w:hint="eastAsia" w:ascii="宋体" w:hAnsi="宋体" w:eastAsia="宋体" w:cs="宋体"/>
      <w:color w:val="000000"/>
      <w:sz w:val="18"/>
      <w:szCs w:val="18"/>
      <w:u w:val="none"/>
    </w:rPr>
  </w:style>
  <w:style w:type="character" w:customStyle="1" w:styleId="118">
    <w:name w:val="文档结构图 Char"/>
    <w:link w:val="17"/>
    <w:semiHidden/>
    <w:qFormat/>
    <w:uiPriority w:val="99"/>
    <w:rPr>
      <w:rFonts w:ascii="宋体" w:hAnsi="Times New Roman" w:eastAsia="宋体" w:cs="Times New Roman"/>
      <w:kern w:val="0"/>
      <w:sz w:val="24"/>
      <w:szCs w:val="24"/>
      <w:shd w:val="clear" w:color="auto" w:fill="000080"/>
    </w:rPr>
  </w:style>
  <w:style w:type="character" w:customStyle="1" w:styleId="119">
    <w:name w:val="普通(网站) 字符1"/>
    <w:qFormat/>
    <w:locked/>
    <w:uiPriority w:val="0"/>
    <w:rPr>
      <w:rFonts w:ascii="宋体" w:hAnsi="宋体"/>
      <w:sz w:val="15"/>
      <w:szCs w:val="15"/>
    </w:rPr>
  </w:style>
  <w:style w:type="character" w:customStyle="1" w:styleId="120">
    <w:name w:val="正文文本 Char3"/>
    <w:link w:val="2"/>
    <w:qFormat/>
    <w:uiPriority w:val="99"/>
    <w:rPr>
      <w:rFonts w:ascii="宋体" w:eastAsia="宋体"/>
      <w:b/>
      <w:bCs/>
      <w:sz w:val="84"/>
      <w:szCs w:val="84"/>
      <w:lang w:val="zh-CN"/>
    </w:rPr>
  </w:style>
  <w:style w:type="character" w:customStyle="1" w:styleId="121">
    <w:name w:val="标题 5 Char"/>
    <w:semiHidden/>
    <w:qFormat/>
    <w:uiPriority w:val="9"/>
    <w:rPr>
      <w:b/>
      <w:bCs/>
      <w:kern w:val="2"/>
      <w:sz w:val="28"/>
      <w:szCs w:val="28"/>
    </w:rPr>
  </w:style>
  <w:style w:type="character" w:customStyle="1" w:styleId="122">
    <w:name w:val="页眉 Char2"/>
    <w:link w:val="28"/>
    <w:qFormat/>
    <w:uiPriority w:val="99"/>
    <w:rPr>
      <w:rFonts w:ascii="宋体" w:eastAsia="宋体"/>
      <w:sz w:val="18"/>
      <w:szCs w:val="18"/>
    </w:rPr>
  </w:style>
  <w:style w:type="character" w:customStyle="1" w:styleId="123">
    <w:name w:val="表格文字 Char"/>
    <w:link w:val="124"/>
    <w:qFormat/>
    <w:uiPriority w:val="0"/>
    <w:rPr>
      <w:rFonts w:eastAsia="仿宋_GB2312"/>
      <w:sz w:val="28"/>
      <w:szCs w:val="24"/>
    </w:rPr>
  </w:style>
  <w:style w:type="paragraph" w:customStyle="1" w:styleId="124">
    <w:name w:val="表格文字"/>
    <w:basedOn w:val="1"/>
    <w:link w:val="123"/>
    <w:qFormat/>
    <w:uiPriority w:val="0"/>
    <w:rPr>
      <w:rFonts w:eastAsia="仿宋_GB2312"/>
      <w:sz w:val="28"/>
      <w:szCs w:val="24"/>
    </w:rPr>
  </w:style>
  <w:style w:type="character" w:customStyle="1" w:styleId="125">
    <w:name w:val="标题 字符2"/>
    <w:qFormat/>
    <w:uiPriority w:val="10"/>
    <w:rPr>
      <w:rFonts w:ascii="等线 Light" w:hAnsi="等线 Light" w:eastAsia="等线 Light" w:cs="Times New Roman"/>
      <w:b/>
      <w:bCs/>
      <w:kern w:val="0"/>
      <w:sz w:val="32"/>
      <w:szCs w:val="32"/>
    </w:rPr>
  </w:style>
  <w:style w:type="character" w:customStyle="1" w:styleId="126">
    <w:name w:val="正文缩进2格 Char Char"/>
    <w:qFormat/>
    <w:uiPriority w:val="0"/>
    <w:rPr>
      <w:rFonts w:ascii="仿宋_GB2312" w:hAnsi="宋体" w:eastAsia="仿宋_GB2312"/>
      <w:kern w:val="2"/>
      <w:sz w:val="31"/>
      <w:szCs w:val="28"/>
      <w:lang w:val="en-US" w:eastAsia="zh-CN" w:bidi="ar-SA"/>
    </w:rPr>
  </w:style>
  <w:style w:type="character" w:customStyle="1" w:styleId="127">
    <w:name w:val="小 Char"/>
    <w:qFormat/>
    <w:uiPriority w:val="0"/>
    <w:rPr>
      <w:rFonts w:ascii="宋体" w:hAnsi="Courier New" w:eastAsia="宋体"/>
      <w:kern w:val="2"/>
      <w:sz w:val="21"/>
      <w:lang w:val="en-US" w:eastAsia="zh-CN" w:bidi="ar-SA"/>
    </w:rPr>
  </w:style>
  <w:style w:type="character" w:customStyle="1" w:styleId="128">
    <w:name w:val="themebody1"/>
    <w:qFormat/>
    <w:uiPriority w:val="0"/>
    <w:rPr>
      <w:color w:val="FFFFFF"/>
    </w:rPr>
  </w:style>
  <w:style w:type="character" w:customStyle="1" w:styleId="129">
    <w:name w:val="页脚 字符1"/>
    <w:semiHidden/>
    <w:qFormat/>
    <w:uiPriority w:val="99"/>
    <w:rPr>
      <w:rFonts w:ascii="宋体" w:hAnsi="Calibri" w:eastAsia="宋体" w:cs="Times New Roman"/>
      <w:kern w:val="0"/>
      <w:sz w:val="18"/>
      <w:szCs w:val="18"/>
    </w:rPr>
  </w:style>
  <w:style w:type="character" w:customStyle="1" w:styleId="130">
    <w:name w:val="列出段落 Char"/>
    <w:link w:val="131"/>
    <w:qFormat/>
    <w:uiPriority w:val="34"/>
    <w:rPr>
      <w:kern w:val="2"/>
      <w:sz w:val="21"/>
      <w:szCs w:val="22"/>
    </w:rPr>
  </w:style>
  <w:style w:type="paragraph" w:styleId="131">
    <w:name w:val="List Paragraph"/>
    <w:basedOn w:val="1"/>
    <w:link w:val="130"/>
    <w:qFormat/>
    <w:uiPriority w:val="34"/>
    <w:pPr>
      <w:ind w:firstLine="420" w:firstLineChars="200"/>
    </w:pPr>
  </w:style>
  <w:style w:type="character" w:customStyle="1" w:styleId="132">
    <w:name w:val="正文文本 Char"/>
    <w:qFormat/>
    <w:uiPriority w:val="99"/>
    <w:rPr>
      <w:rFonts w:ascii="宋体" w:eastAsia="宋体"/>
      <w:b/>
      <w:bCs/>
      <w:sz w:val="84"/>
      <w:szCs w:val="84"/>
      <w:lang w:val="zh-CN"/>
    </w:rPr>
  </w:style>
  <w:style w:type="character" w:customStyle="1" w:styleId="133">
    <w:name w:val="页眉 字符1"/>
    <w:semiHidden/>
    <w:qFormat/>
    <w:uiPriority w:val="99"/>
    <w:rPr>
      <w:rFonts w:ascii="宋体" w:hAnsi="Calibri" w:eastAsia="宋体" w:cs="Times New Roman"/>
      <w:kern w:val="0"/>
      <w:sz w:val="18"/>
      <w:szCs w:val="18"/>
    </w:rPr>
  </w:style>
  <w:style w:type="character" w:customStyle="1" w:styleId="134">
    <w:name w:val="标题 5 Char1"/>
    <w:link w:val="8"/>
    <w:qFormat/>
    <w:uiPriority w:val="9"/>
    <w:rPr>
      <w:rFonts w:ascii="宋体" w:hAnsi="Calibri" w:eastAsia="宋体" w:cs="Times New Roman"/>
      <w:b/>
      <w:bCs/>
      <w:kern w:val="0"/>
      <w:sz w:val="28"/>
      <w:szCs w:val="28"/>
    </w:rPr>
  </w:style>
  <w:style w:type="character" w:customStyle="1" w:styleId="135">
    <w:name w:val="keyfeatures1"/>
    <w:qFormat/>
    <w:uiPriority w:val="0"/>
    <w:rPr>
      <w:rFonts w:hint="default" w:ascii="Arial" w:hAnsi="Arial" w:cs="Arial"/>
      <w:color w:val="003366"/>
      <w:sz w:val="17"/>
      <w:szCs w:val="17"/>
      <w:u w:val="none"/>
    </w:rPr>
  </w:style>
  <w:style w:type="character" w:customStyle="1" w:styleId="136">
    <w:name w:val="题注 字符"/>
    <w:qFormat/>
    <w:uiPriority w:val="0"/>
    <w:rPr>
      <w:rFonts w:ascii="宋体" w:hAnsi="宋体" w:eastAsia="黑体" w:cs="Times New Roman"/>
      <w:b/>
      <w:szCs w:val="21"/>
    </w:rPr>
  </w:style>
  <w:style w:type="character" w:customStyle="1" w:styleId="137">
    <w:name w:val="标题 4 Char"/>
    <w:qFormat/>
    <w:uiPriority w:val="0"/>
    <w:rPr>
      <w:rFonts w:ascii="宋体" w:hAnsi="宋体" w:eastAsia="宋体"/>
      <w:b/>
      <w:kern w:val="2"/>
      <w:sz w:val="21"/>
      <w:szCs w:val="24"/>
      <w:lang w:val="en-US" w:eastAsia="zh-CN" w:bidi="ar-SA"/>
    </w:rPr>
  </w:style>
  <w:style w:type="character" w:customStyle="1" w:styleId="138">
    <w:name w:val="批注文字 字符3"/>
    <w:semiHidden/>
    <w:qFormat/>
    <w:uiPriority w:val="99"/>
    <w:rPr>
      <w:rFonts w:ascii="宋体" w:hAnsi="Calibri" w:eastAsia="宋体" w:cs="Times New Roman"/>
      <w:kern w:val="0"/>
      <w:sz w:val="24"/>
      <w:szCs w:val="24"/>
    </w:rPr>
  </w:style>
  <w:style w:type="character" w:customStyle="1" w:styleId="139">
    <w:name w:val="纯文本 字符1"/>
    <w:qFormat/>
    <w:uiPriority w:val="0"/>
    <w:rPr>
      <w:rFonts w:ascii="宋体" w:hAnsi="Courier New" w:eastAsia="宋体"/>
      <w:kern w:val="2"/>
      <w:sz w:val="21"/>
      <w:szCs w:val="24"/>
      <w:lang w:val="en-US" w:eastAsia="zh-CN" w:bidi="ar-SA"/>
    </w:rPr>
  </w:style>
  <w:style w:type="character" w:customStyle="1" w:styleId="140">
    <w:name w:val="列出段落 Char1"/>
    <w:qFormat/>
    <w:uiPriority w:val="34"/>
    <w:rPr>
      <w:rFonts w:ascii="宋体"/>
      <w:sz w:val="24"/>
      <w:szCs w:val="24"/>
    </w:rPr>
  </w:style>
  <w:style w:type="character" w:customStyle="1" w:styleId="141">
    <w:name w:val="彩色列表 - 着色 1 字符"/>
    <w:link w:val="142"/>
    <w:qFormat/>
    <w:uiPriority w:val="0"/>
    <w:rPr>
      <w:rFonts w:ascii="Calibri" w:hAnsi="Calibri"/>
    </w:rPr>
  </w:style>
  <w:style w:type="paragraph" w:customStyle="1" w:styleId="142">
    <w:name w:val="彩色列表 - 着色 11"/>
    <w:basedOn w:val="1"/>
    <w:link w:val="141"/>
    <w:qFormat/>
    <w:uiPriority w:val="0"/>
    <w:pPr>
      <w:ind w:firstLine="420" w:firstLineChars="200"/>
    </w:pPr>
    <w:rPr>
      <w:rFonts w:ascii="Calibri" w:hAnsi="Calibri"/>
    </w:rPr>
  </w:style>
  <w:style w:type="character" w:customStyle="1" w:styleId="143">
    <w:name w:val="纯文本 Char"/>
    <w:qFormat/>
    <w:uiPriority w:val="0"/>
    <w:rPr>
      <w:rFonts w:ascii="宋体" w:hAnsi="Courier New" w:eastAsia="宋体" w:cs="Times New Roman"/>
      <w:szCs w:val="20"/>
    </w:rPr>
  </w:style>
  <w:style w:type="character" w:customStyle="1" w:styleId="144">
    <w:name w:val="标题 6 Char"/>
    <w:link w:val="9"/>
    <w:qFormat/>
    <w:uiPriority w:val="9"/>
    <w:rPr>
      <w:rFonts w:ascii="Times New Roman" w:hAnsi="Calibri" w:eastAsia="黑体" w:cs="Times New Roman"/>
      <w:b/>
      <w:bCs/>
      <w:kern w:val="0"/>
      <w:sz w:val="28"/>
      <w:szCs w:val="24"/>
    </w:rPr>
  </w:style>
  <w:style w:type="character" w:customStyle="1" w:styleId="145">
    <w:name w:val="正文文本 2 Char"/>
    <w:link w:val="33"/>
    <w:qFormat/>
    <w:uiPriority w:val="0"/>
    <w:rPr>
      <w:rFonts w:ascii="Arial" w:hAnsi="Arial" w:eastAsia="宋体" w:cs="Times New Roman"/>
      <w:color w:val="000000"/>
      <w:szCs w:val="24"/>
    </w:rPr>
  </w:style>
  <w:style w:type="character" w:customStyle="1" w:styleId="146">
    <w:name w:val="标题 3 Char"/>
    <w:link w:val="6"/>
    <w:qFormat/>
    <w:uiPriority w:val="0"/>
    <w:rPr>
      <w:rFonts w:ascii="宋体" w:hAnsi="Calibri" w:eastAsia="宋体" w:cs="Times New Roman"/>
      <w:kern w:val="0"/>
      <w:sz w:val="24"/>
      <w:szCs w:val="24"/>
    </w:rPr>
  </w:style>
  <w:style w:type="character" w:customStyle="1" w:styleId="147">
    <w:name w:val="正文文本缩进 2 字符1"/>
    <w:semiHidden/>
    <w:qFormat/>
    <w:uiPriority w:val="99"/>
    <w:rPr>
      <w:rFonts w:ascii="宋体" w:hAnsi="Calibri" w:eastAsia="宋体" w:cs="Times New Roman"/>
      <w:kern w:val="0"/>
      <w:sz w:val="24"/>
      <w:szCs w:val="24"/>
    </w:rPr>
  </w:style>
  <w:style w:type="character" w:customStyle="1" w:styleId="148">
    <w:name w:val="正文文本缩进 3 字符1"/>
    <w:semiHidden/>
    <w:qFormat/>
    <w:uiPriority w:val="99"/>
    <w:rPr>
      <w:rFonts w:ascii="宋体" w:hAnsi="Calibri" w:eastAsia="宋体" w:cs="Times New Roman"/>
      <w:kern w:val="0"/>
      <w:sz w:val="16"/>
      <w:szCs w:val="16"/>
    </w:rPr>
  </w:style>
  <w:style w:type="character" w:customStyle="1" w:styleId="149">
    <w:name w:val="正文文本 2 字符1"/>
    <w:semiHidden/>
    <w:qFormat/>
    <w:uiPriority w:val="99"/>
    <w:rPr>
      <w:rFonts w:ascii="宋体" w:hAnsi="Calibri" w:eastAsia="宋体" w:cs="Times New Roman"/>
      <w:kern w:val="0"/>
      <w:sz w:val="24"/>
      <w:szCs w:val="24"/>
    </w:rPr>
  </w:style>
  <w:style w:type="character" w:customStyle="1" w:styleId="150">
    <w:name w:val="eschoolnr"/>
    <w:qFormat/>
    <w:uiPriority w:val="0"/>
    <w:rPr>
      <w:sz w:val="23"/>
      <w:szCs w:val="23"/>
    </w:rPr>
  </w:style>
  <w:style w:type="character" w:customStyle="1" w:styleId="151">
    <w:name w:val="访问过的超链接1"/>
    <w:qFormat/>
    <w:uiPriority w:val="0"/>
    <w:rPr>
      <w:rFonts w:ascii="Arial" w:hAnsi="Arial" w:cs="Arial"/>
      <w:color w:val="000000"/>
      <w:sz w:val="20"/>
      <w:szCs w:val="20"/>
      <w:u w:val="none"/>
    </w:rPr>
  </w:style>
  <w:style w:type="character" w:customStyle="1" w:styleId="152">
    <w:name w:val="标题 1 Char1"/>
    <w:link w:val="4"/>
    <w:qFormat/>
    <w:uiPriority w:val="0"/>
    <w:rPr>
      <w:rFonts w:ascii="宋体" w:hAnsi="Calibri" w:eastAsia="宋体" w:cs="Times New Roman"/>
      <w:kern w:val="0"/>
      <w:sz w:val="24"/>
      <w:szCs w:val="24"/>
    </w:rPr>
  </w:style>
  <w:style w:type="character" w:customStyle="1" w:styleId="153">
    <w:name w:val="批注文字 Char1"/>
    <w:qFormat/>
    <w:uiPriority w:val="0"/>
    <w:rPr>
      <w:kern w:val="2"/>
      <w:sz w:val="21"/>
      <w:szCs w:val="24"/>
    </w:rPr>
  </w:style>
  <w:style w:type="character" w:customStyle="1" w:styleId="154">
    <w:name w:val="批注框文本 Char"/>
    <w:semiHidden/>
    <w:qFormat/>
    <w:uiPriority w:val="99"/>
    <w:rPr>
      <w:kern w:val="2"/>
      <w:sz w:val="18"/>
      <w:szCs w:val="18"/>
    </w:rPr>
  </w:style>
  <w:style w:type="character" w:customStyle="1" w:styleId="155">
    <w:name w:val="DAS正文 Char"/>
    <w:qFormat/>
    <w:uiPriority w:val="0"/>
    <w:rPr>
      <w:rFonts w:ascii="Verdana" w:hAnsi="Verdana" w:eastAsia="宋体"/>
      <w:kern w:val="2"/>
      <w:sz w:val="21"/>
      <w:szCs w:val="21"/>
      <w:lang w:val="en-US" w:eastAsia="zh-CN" w:bidi="ar-SA"/>
    </w:rPr>
  </w:style>
  <w:style w:type="character" w:customStyle="1" w:styleId="156">
    <w:name w:val="正文文本缩进 3 Char"/>
    <w:link w:val="32"/>
    <w:qFormat/>
    <w:uiPriority w:val="0"/>
    <w:rPr>
      <w:rFonts w:ascii="宋体" w:hAnsi="Times New Roman" w:eastAsia="宋体" w:cs="Times New Roman"/>
      <w:kern w:val="0"/>
      <w:sz w:val="24"/>
      <w:szCs w:val="24"/>
    </w:rPr>
  </w:style>
  <w:style w:type="character" w:customStyle="1" w:styleId="157">
    <w:name w:val="页眉 Char"/>
    <w:qFormat/>
    <w:uiPriority w:val="99"/>
    <w:rPr>
      <w:kern w:val="2"/>
      <w:sz w:val="18"/>
      <w:szCs w:val="18"/>
    </w:rPr>
  </w:style>
  <w:style w:type="character" w:customStyle="1" w:styleId="158">
    <w:name w:val="正文文本 3 Char"/>
    <w:link w:val="20"/>
    <w:qFormat/>
    <w:uiPriority w:val="0"/>
    <w:rPr>
      <w:rFonts w:ascii="宋体" w:hAnsi="Times New Roman" w:eastAsia="宋体" w:cs="Times New Roman"/>
      <w:b/>
      <w:bCs/>
      <w:color w:val="3366FF"/>
      <w:sz w:val="52"/>
      <w:szCs w:val="52"/>
      <w:lang w:val="zh-CN"/>
    </w:rPr>
  </w:style>
  <w:style w:type="character" w:customStyle="1" w:styleId="159">
    <w:name w:val="HTML 预设格式 字符1"/>
    <w:semiHidden/>
    <w:qFormat/>
    <w:uiPriority w:val="99"/>
    <w:rPr>
      <w:rFonts w:ascii="Courier New" w:hAnsi="Courier New" w:eastAsia="宋体" w:cs="Courier New"/>
      <w:kern w:val="0"/>
      <w:sz w:val="20"/>
      <w:szCs w:val="20"/>
    </w:rPr>
  </w:style>
  <w:style w:type="character" w:customStyle="1" w:styleId="160">
    <w:name w:val="彩色列表 - 强调文字颜色 1 Char"/>
    <w:link w:val="161"/>
    <w:qFormat/>
    <w:uiPriority w:val="0"/>
    <w:rPr>
      <w:rFonts w:ascii="宋体"/>
      <w:sz w:val="24"/>
      <w:szCs w:val="24"/>
    </w:rPr>
  </w:style>
  <w:style w:type="paragraph" w:customStyle="1" w:styleId="161">
    <w:name w:val="彩色列表 - 强调文字颜色 11"/>
    <w:basedOn w:val="1"/>
    <w:link w:val="160"/>
    <w:qFormat/>
    <w:uiPriority w:val="0"/>
    <w:pPr>
      <w:autoSpaceDE w:val="0"/>
      <w:autoSpaceDN w:val="0"/>
      <w:adjustRightInd w:val="0"/>
      <w:ind w:firstLine="420" w:firstLineChars="200"/>
      <w:jc w:val="left"/>
    </w:pPr>
    <w:rPr>
      <w:rFonts w:ascii="宋体"/>
      <w:sz w:val="24"/>
      <w:szCs w:val="24"/>
    </w:rPr>
  </w:style>
  <w:style w:type="character" w:customStyle="1" w:styleId="162">
    <w:name w:val="普通(网站) 字符"/>
    <w:qFormat/>
    <w:locked/>
    <w:uiPriority w:val="99"/>
    <w:rPr>
      <w:rFonts w:ascii="宋体" w:hAnsi="宋体" w:eastAsia="宋体" w:cs="Times New Roman"/>
      <w:kern w:val="0"/>
      <w:sz w:val="15"/>
      <w:szCs w:val="15"/>
      <w:lang w:val="en-US" w:eastAsia="zh-CN"/>
    </w:rPr>
  </w:style>
  <w:style w:type="paragraph" w:customStyle="1" w:styleId="163">
    <w:name w:val="_Style 123"/>
    <w:basedOn w:val="1"/>
    <w:next w:val="131"/>
    <w:qFormat/>
    <w:uiPriority w:val="34"/>
    <w:pPr>
      <w:spacing w:line="360" w:lineRule="auto"/>
      <w:ind w:firstLine="420" w:firstLineChars="200"/>
    </w:pPr>
    <w:rPr>
      <w:rFonts w:ascii="Calibri" w:hAnsi="Calibri" w:eastAsia="宋体" w:cs="Times New Roman"/>
    </w:rPr>
  </w:style>
  <w:style w:type="character" w:customStyle="1" w:styleId="164">
    <w:name w:val="纯文本 字符4"/>
    <w:basedOn w:val="41"/>
    <w:semiHidden/>
    <w:qFormat/>
    <w:uiPriority w:val="99"/>
    <w:rPr>
      <w:rFonts w:hAnsi="Courier New" w:cs="Courier New" w:asciiTheme="minorEastAsia"/>
    </w:rPr>
  </w:style>
  <w:style w:type="character" w:customStyle="1" w:styleId="165">
    <w:name w:val="批注文字 Char2"/>
    <w:basedOn w:val="41"/>
    <w:link w:val="19"/>
    <w:semiHidden/>
    <w:qFormat/>
    <w:uiPriority w:val="99"/>
  </w:style>
  <w:style w:type="character" w:customStyle="1" w:styleId="166">
    <w:name w:val="批注主题 字符2"/>
    <w:basedOn w:val="165"/>
    <w:semiHidden/>
    <w:qFormat/>
    <w:uiPriority w:val="99"/>
    <w:rPr>
      <w:b/>
      <w:bCs/>
    </w:rPr>
  </w:style>
  <w:style w:type="character" w:customStyle="1" w:styleId="167">
    <w:name w:val="标题 字符3"/>
    <w:basedOn w:val="41"/>
    <w:qFormat/>
    <w:uiPriority w:val="10"/>
    <w:rPr>
      <w:rFonts w:asciiTheme="majorHAnsi" w:hAnsiTheme="majorHAnsi" w:eastAsiaTheme="majorEastAsia" w:cstheme="majorBidi"/>
      <w:b/>
      <w:bCs/>
      <w:sz w:val="32"/>
      <w:szCs w:val="32"/>
    </w:rPr>
  </w:style>
  <w:style w:type="character" w:customStyle="1" w:styleId="168">
    <w:name w:val="正文文本缩进 字符3"/>
    <w:basedOn w:val="41"/>
    <w:semiHidden/>
    <w:qFormat/>
    <w:uiPriority w:val="99"/>
  </w:style>
  <w:style w:type="character" w:customStyle="1" w:styleId="169">
    <w:name w:val="正文文本 字符4"/>
    <w:basedOn w:val="41"/>
    <w:semiHidden/>
    <w:qFormat/>
    <w:uiPriority w:val="99"/>
  </w:style>
  <w:style w:type="character" w:customStyle="1" w:styleId="170">
    <w:name w:val="正文文本缩进 3 字符2"/>
    <w:basedOn w:val="41"/>
    <w:semiHidden/>
    <w:qFormat/>
    <w:uiPriority w:val="99"/>
    <w:rPr>
      <w:sz w:val="16"/>
      <w:szCs w:val="16"/>
    </w:rPr>
  </w:style>
  <w:style w:type="character" w:customStyle="1" w:styleId="171">
    <w:name w:val="页眉 字符2"/>
    <w:basedOn w:val="41"/>
    <w:semiHidden/>
    <w:qFormat/>
    <w:uiPriority w:val="99"/>
    <w:rPr>
      <w:sz w:val="18"/>
      <w:szCs w:val="18"/>
    </w:rPr>
  </w:style>
  <w:style w:type="character" w:customStyle="1" w:styleId="172">
    <w:name w:val="批注框文本 字符2"/>
    <w:basedOn w:val="41"/>
    <w:semiHidden/>
    <w:qFormat/>
    <w:uiPriority w:val="99"/>
    <w:rPr>
      <w:sz w:val="18"/>
      <w:szCs w:val="18"/>
    </w:rPr>
  </w:style>
  <w:style w:type="character" w:customStyle="1" w:styleId="173">
    <w:name w:val="HTML 预设格式 字符2"/>
    <w:basedOn w:val="41"/>
    <w:semiHidden/>
    <w:qFormat/>
    <w:uiPriority w:val="99"/>
    <w:rPr>
      <w:rFonts w:ascii="Courier New" w:hAnsi="Courier New" w:cs="Courier New"/>
      <w:sz w:val="20"/>
      <w:szCs w:val="20"/>
    </w:rPr>
  </w:style>
  <w:style w:type="character" w:customStyle="1" w:styleId="174">
    <w:name w:val="页脚 字符2"/>
    <w:basedOn w:val="41"/>
    <w:semiHidden/>
    <w:qFormat/>
    <w:uiPriority w:val="99"/>
    <w:rPr>
      <w:sz w:val="18"/>
      <w:szCs w:val="18"/>
    </w:rPr>
  </w:style>
  <w:style w:type="character" w:customStyle="1" w:styleId="175">
    <w:name w:val="正文文本缩进 2 字符2"/>
    <w:basedOn w:val="41"/>
    <w:semiHidden/>
    <w:qFormat/>
    <w:uiPriority w:val="99"/>
  </w:style>
  <w:style w:type="character" w:customStyle="1" w:styleId="176">
    <w:name w:val="正文文本 3 字符2"/>
    <w:basedOn w:val="41"/>
    <w:semiHidden/>
    <w:qFormat/>
    <w:uiPriority w:val="99"/>
    <w:rPr>
      <w:sz w:val="16"/>
      <w:szCs w:val="16"/>
    </w:rPr>
  </w:style>
  <w:style w:type="character" w:customStyle="1" w:styleId="177">
    <w:name w:val="正文文本 2 字符2"/>
    <w:basedOn w:val="41"/>
    <w:semiHidden/>
    <w:qFormat/>
    <w:uiPriority w:val="99"/>
  </w:style>
  <w:style w:type="paragraph" w:customStyle="1" w:styleId="178">
    <w:name w:val="WPSOffice手动目录 3"/>
    <w:qFormat/>
    <w:uiPriority w:val="0"/>
    <w:pPr>
      <w:ind w:left="400" w:leftChars="400"/>
    </w:pPr>
    <w:rPr>
      <w:rFonts w:ascii="Calibri" w:hAnsi="Calibri" w:eastAsia="宋体" w:cs="Times New Roman"/>
      <w:lang w:val="en-US" w:eastAsia="zh-CN" w:bidi="ar-SA"/>
    </w:rPr>
  </w:style>
  <w:style w:type="paragraph" w:customStyle="1" w:styleId="179">
    <w:name w:val="列表段落1"/>
    <w:basedOn w:val="1"/>
    <w:qFormat/>
    <w:uiPriority w:val="0"/>
    <w:pPr>
      <w:ind w:firstLine="420" w:firstLineChars="200"/>
    </w:pPr>
    <w:rPr>
      <w:rFonts w:ascii="Times New Roman" w:hAnsi="Times New Roman" w:eastAsia="宋体" w:cs="Times New Roman"/>
      <w:szCs w:val="20"/>
    </w:rPr>
  </w:style>
  <w:style w:type="character" w:customStyle="1" w:styleId="180">
    <w:name w:val="文档结构图 字符2"/>
    <w:basedOn w:val="41"/>
    <w:semiHidden/>
    <w:qFormat/>
    <w:uiPriority w:val="99"/>
    <w:rPr>
      <w:rFonts w:ascii="Microsoft YaHei UI" w:eastAsia="Microsoft YaHei UI"/>
      <w:sz w:val="18"/>
      <w:szCs w:val="18"/>
    </w:rPr>
  </w:style>
  <w:style w:type="character" w:customStyle="1" w:styleId="181">
    <w:name w:val="日期 字符2"/>
    <w:basedOn w:val="41"/>
    <w:semiHidden/>
    <w:qFormat/>
    <w:uiPriority w:val="99"/>
  </w:style>
  <w:style w:type="paragraph" w:customStyle="1" w:styleId="182">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3">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4">
    <w:name w:val="修订1"/>
    <w:semiHidden/>
    <w:qFormat/>
    <w:uiPriority w:val="99"/>
    <w:rPr>
      <w:rFonts w:ascii="宋体" w:hAnsi="Calibri" w:eastAsia="宋体" w:cs="Times New Roman"/>
      <w:sz w:val="24"/>
      <w:szCs w:val="24"/>
      <w:lang w:val="en-US" w:eastAsia="zh-CN" w:bidi="ar-SA"/>
    </w:rPr>
  </w:style>
  <w:style w:type="paragraph" w:customStyle="1" w:styleId="185">
    <w:name w:val="图/图注"/>
    <w:basedOn w:val="10"/>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7">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8">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9">
    <w:name w:val="p0"/>
    <w:basedOn w:val="1"/>
    <w:qFormat/>
    <w:uiPriority w:val="0"/>
    <w:pPr>
      <w:widowControl/>
    </w:pPr>
    <w:rPr>
      <w:rFonts w:ascii="Times New Roman" w:hAnsi="Calibri" w:eastAsia="宋体" w:cs="Times New Roman"/>
      <w:kern w:val="0"/>
      <w:szCs w:val="20"/>
    </w:rPr>
  </w:style>
  <w:style w:type="paragraph" w:customStyle="1" w:styleId="190">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1">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92">
    <w:name w:val="网格表 32"/>
    <w:basedOn w:val="4"/>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3">
    <w:name w:val="WPSOffice手动目录 1"/>
    <w:qFormat/>
    <w:uiPriority w:val="0"/>
    <w:rPr>
      <w:rFonts w:ascii="Calibri" w:hAnsi="Calibri" w:eastAsia="宋体" w:cs="Times New Roman"/>
      <w:lang w:val="en-US" w:eastAsia="zh-CN" w:bidi="ar-SA"/>
    </w:rPr>
  </w:style>
  <w:style w:type="paragraph" w:customStyle="1" w:styleId="194">
    <w:name w:val="_Style 69"/>
    <w:basedOn w:val="1"/>
    <w:next w:val="131"/>
    <w:qFormat/>
    <w:uiPriority w:val="34"/>
    <w:pPr>
      <w:spacing w:line="360" w:lineRule="auto"/>
      <w:ind w:firstLine="420" w:firstLineChars="200"/>
    </w:pPr>
    <w:rPr>
      <w:rFonts w:ascii="Calibri" w:hAnsi="Calibri" w:eastAsia="宋体" w:cs="Times New Roman"/>
    </w:rPr>
  </w:style>
  <w:style w:type="paragraph" w:customStyle="1" w:styleId="195">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6">
    <w:name w:val="保留正文"/>
    <w:basedOn w:val="2"/>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7">
    <w:name w:val="彩色底纹 - 着色 11"/>
    <w:semiHidden/>
    <w:qFormat/>
    <w:uiPriority w:val="99"/>
    <w:rPr>
      <w:rFonts w:ascii="宋体" w:hAnsi="Calibri" w:eastAsia="宋体" w:cs="Times New Roman"/>
      <w:sz w:val="24"/>
      <w:szCs w:val="24"/>
      <w:lang w:val="en-US" w:eastAsia="zh-CN" w:bidi="ar-SA"/>
    </w:rPr>
  </w:style>
  <w:style w:type="paragraph" w:customStyle="1" w:styleId="198">
    <w:name w:val="WPSOffice手动目录 2"/>
    <w:qFormat/>
    <w:uiPriority w:val="0"/>
    <w:pPr>
      <w:ind w:left="200" w:leftChars="200"/>
    </w:pPr>
    <w:rPr>
      <w:rFonts w:ascii="Calibri" w:hAnsi="Calibri" w:eastAsia="宋体" w:cs="Times New Roman"/>
      <w:lang w:val="en-US" w:eastAsia="zh-CN" w:bidi="ar-SA"/>
    </w:rPr>
  </w:style>
  <w:style w:type="paragraph" w:customStyle="1" w:styleId="199">
    <w:name w:val="网格表 31"/>
    <w:basedOn w:val="4"/>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200">
    <w:name w:val="表格文字居中"/>
    <w:basedOn w:val="124"/>
    <w:qFormat/>
    <w:uiPriority w:val="0"/>
    <w:pPr>
      <w:jc w:val="center"/>
    </w:pPr>
    <w:rPr>
      <w:rFonts w:cs="宋体"/>
      <w:szCs w:val="20"/>
    </w:rPr>
  </w:style>
  <w:style w:type="paragraph" w:customStyle="1" w:styleId="201">
    <w:name w:val="正文缩进4格"/>
    <w:basedOn w:val="65"/>
    <w:qFormat/>
    <w:uiPriority w:val="0"/>
    <w:pPr>
      <w:spacing w:line="360" w:lineRule="auto"/>
      <w:ind w:left="964" w:leftChars="314" w:hanging="210" w:hangingChars="100"/>
    </w:pPr>
    <w:rPr>
      <w:rFonts w:ascii="宋体" w:eastAsia="宋体"/>
      <w:sz w:val="21"/>
      <w:szCs w:val="21"/>
      <w:lang w:val="zh-CN"/>
    </w:rPr>
  </w:style>
  <w:style w:type="paragraph" w:customStyle="1" w:styleId="202">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3">
    <w:name w:val="正文首行缩进 Char"/>
    <w:basedOn w:val="120"/>
    <w:link w:val="3"/>
    <w:semiHidden/>
    <w:qFormat/>
    <w:uiPriority w:val="99"/>
    <w:rPr>
      <w:rFonts w:ascii="宋体" w:eastAsia="宋体"/>
      <w:b w:val="0"/>
      <w:bCs w:val="0"/>
      <w:sz w:val="84"/>
      <w:szCs w:val="84"/>
      <w:lang w:val="zh-CN"/>
    </w:rPr>
  </w:style>
  <w:style w:type="paragraph" w:customStyle="1" w:styleId="204">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5">
    <w:name w:val="缺省文本"/>
    <w:basedOn w:val="1"/>
    <w:qFormat/>
    <w:uiPriority w:val="0"/>
    <w:rPr>
      <w:rFonts w:ascii="Times New Roman"/>
    </w:rPr>
  </w:style>
  <w:style w:type="table" w:customStyle="1" w:styleId="20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17210</Words>
  <Characters>18080</Characters>
  <Lines>314</Lines>
  <Paragraphs>88</Paragraphs>
  <TotalTime>61</TotalTime>
  <ScaleCrop>false</ScaleCrop>
  <LinksUpToDate>false</LinksUpToDate>
  <CharactersWithSpaces>18473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梁广财</cp:lastModifiedBy>
  <cp:lastPrinted>2025-04-02T08:48:08Z</cp:lastPrinted>
  <dcterms:modified xsi:type="dcterms:W3CDTF">2025-04-02T09:02:47Z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972B012D37A146318323AAADC7402FCE_13</vt:lpwstr>
  </property>
  <property fmtid="{D5CDD505-2E9C-101B-9397-08002B2CF9AE}" pid="4" name="KSOTemplateDocerSaveRecord">
    <vt:lpwstr>eyJoZGlkIjoiZjcwYWQ1YmNjYWY2NDc4M2QzMDNlY2YyYjJiZTgzM2EiLCJ1c2VySWQiOiIyODc3NjkyMjkifQ==</vt:lpwstr>
  </property>
</Properties>
</file>