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color w:val="auto"/>
          <w:sz w:val="28"/>
          <w:highlight w:val="none"/>
        </w:rPr>
      </w:pPr>
    </w:p>
    <w:p>
      <w:pPr>
        <w:pStyle w:val="619"/>
        <w:rPr>
          <w:rFonts w:hint="eastAsia" w:ascii="宋体" w:hAnsi="宋体" w:eastAsia="宋体" w:cs="宋体"/>
          <w:color w:val="auto"/>
          <w:highlight w:val="none"/>
        </w:rPr>
      </w:pPr>
    </w:p>
    <w:p>
      <w:pPr>
        <w:pStyle w:val="619"/>
        <w:rPr>
          <w:rFonts w:hint="eastAsia" w:ascii="宋体" w:hAnsi="宋体" w:eastAsia="宋体" w:cs="宋体"/>
          <w:color w:val="auto"/>
          <w:highlight w:val="none"/>
        </w:rPr>
      </w:pPr>
    </w:p>
    <w:p>
      <w:pPr>
        <w:jc w:val="center"/>
        <w:rPr>
          <w:rFonts w:hint="eastAsia" w:ascii="宋体" w:hAnsi="宋体" w:eastAsia="宋体" w:cs="宋体"/>
          <w:b/>
          <w:color w:val="auto"/>
          <w:sz w:val="28"/>
          <w:highlight w:val="none"/>
          <w:lang w:eastAsia="zh-CN"/>
        </w:rPr>
      </w:pPr>
      <w:r>
        <w:rPr>
          <w:rFonts w:hint="eastAsia" w:ascii="宋体" w:hAnsi="宋体" w:cs="宋体"/>
          <w:b/>
          <w:bCs/>
          <w:color w:val="auto"/>
          <w:kern w:val="2"/>
          <w:sz w:val="60"/>
          <w:szCs w:val="60"/>
          <w:highlight w:val="none"/>
          <w:lang w:eastAsia="zh-CN"/>
        </w:rPr>
        <w:t>东莞市水务集团实业发展有限公司审计及财税服务采购项目</w:t>
      </w:r>
    </w:p>
    <w:p>
      <w:pPr>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pStyle w:val="619"/>
        <w:ind w:left="0" w:leftChars="0" w:firstLine="0" w:firstLineChars="0"/>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ind w:right="-26"/>
        <w:jc w:val="center"/>
        <w:rPr>
          <w:rFonts w:hint="eastAsia" w:ascii="宋体" w:hAnsi="宋体" w:eastAsia="宋体" w:cs="宋体"/>
          <w:b/>
          <w:bCs/>
          <w:color w:val="auto"/>
          <w:kern w:val="2"/>
          <w:sz w:val="72"/>
          <w:szCs w:val="72"/>
          <w:highlight w:val="none"/>
          <w:lang w:val="zh-CN"/>
        </w:rPr>
      </w:pPr>
      <w:r>
        <w:rPr>
          <w:rFonts w:hint="eastAsia" w:ascii="宋体" w:hAnsi="宋体" w:eastAsia="宋体" w:cs="宋体"/>
          <w:b/>
          <w:bCs/>
          <w:color w:val="auto"/>
          <w:kern w:val="2"/>
          <w:sz w:val="72"/>
          <w:szCs w:val="72"/>
          <w:highlight w:val="none"/>
        </w:rPr>
        <w:t>竞争性磋商文件</w:t>
      </w:r>
    </w:p>
    <w:p>
      <w:pPr>
        <w:rPr>
          <w:rFonts w:hint="eastAsia" w:ascii="宋体" w:hAnsi="宋体" w:eastAsia="宋体" w:cs="宋体"/>
          <w:b/>
          <w:bCs/>
          <w:color w:val="auto"/>
          <w:kern w:val="2"/>
          <w:sz w:val="44"/>
          <w:szCs w:val="44"/>
          <w:highlight w:val="none"/>
          <w:lang w:val="zh-CN"/>
        </w:rPr>
      </w:pPr>
    </w:p>
    <w:p>
      <w:pPr>
        <w:rPr>
          <w:rFonts w:hint="eastAsia" w:ascii="宋体" w:hAnsi="宋体" w:eastAsia="宋体" w:cs="宋体"/>
          <w:b/>
          <w:bCs/>
          <w:color w:val="auto"/>
          <w:kern w:val="2"/>
          <w:sz w:val="44"/>
          <w:szCs w:val="44"/>
          <w:highlight w:val="none"/>
          <w:lang w:val="zh-CN"/>
        </w:rPr>
      </w:pPr>
    </w:p>
    <w:p>
      <w:pPr>
        <w:rPr>
          <w:rFonts w:hint="eastAsia" w:ascii="宋体" w:hAnsi="宋体" w:eastAsia="宋体" w:cs="宋体"/>
          <w:b/>
          <w:bCs/>
          <w:color w:val="auto"/>
          <w:kern w:val="2"/>
          <w:sz w:val="44"/>
          <w:szCs w:val="44"/>
          <w:highlight w:val="none"/>
          <w:lang w:val="zh-CN"/>
        </w:rPr>
      </w:pPr>
    </w:p>
    <w:p>
      <w:pPr>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spacing w:line="360" w:lineRule="auto"/>
        <w:ind w:left="2350" w:leftChars="800" w:hanging="430" w:hangingChars="134"/>
        <w:rPr>
          <w:rFonts w:hint="eastAsia" w:ascii="宋体" w:hAnsi="宋体" w:eastAsia="宋体" w:cs="宋体"/>
          <w:b/>
          <w:bCs/>
          <w:color w:val="auto"/>
          <w:kern w:val="2"/>
          <w:sz w:val="32"/>
          <w:szCs w:val="32"/>
          <w:highlight w:val="none"/>
          <w:lang w:val="en-US" w:eastAsia="zh-CN"/>
        </w:rPr>
      </w:pPr>
      <w:r>
        <w:rPr>
          <w:rFonts w:hint="eastAsia" w:ascii="宋体" w:hAnsi="宋体" w:eastAsia="宋体" w:cs="宋体"/>
          <w:b/>
          <w:bCs/>
          <w:color w:val="auto"/>
          <w:kern w:val="2"/>
          <w:sz w:val="32"/>
          <w:szCs w:val="32"/>
          <w:highlight w:val="none"/>
          <w:lang w:val="zh-CN"/>
        </w:rPr>
        <w:t>采购编号：</w:t>
      </w:r>
      <w:r>
        <w:rPr>
          <w:rFonts w:hint="eastAsia" w:ascii="宋体" w:hAnsi="宋体" w:cs="宋体"/>
          <w:b/>
          <w:bCs/>
          <w:color w:val="auto"/>
          <w:kern w:val="2"/>
          <w:sz w:val="32"/>
          <w:szCs w:val="32"/>
          <w:highlight w:val="none"/>
          <w:lang w:val="zh-CN"/>
        </w:rPr>
        <w:t>0832-SFCX25DG115C</w:t>
      </w:r>
    </w:p>
    <w:p>
      <w:pPr>
        <w:spacing w:line="360" w:lineRule="auto"/>
        <w:ind w:left="2350" w:leftChars="800" w:hanging="430" w:hangingChars="134"/>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kern w:val="2"/>
          <w:sz w:val="32"/>
          <w:szCs w:val="32"/>
          <w:highlight w:val="none"/>
        </w:rPr>
        <w:t>采购人</w:t>
      </w:r>
      <w:r>
        <w:rPr>
          <w:rFonts w:hint="eastAsia" w:ascii="宋体" w:hAnsi="宋体" w:eastAsia="宋体" w:cs="宋体"/>
          <w:b/>
          <w:bCs/>
          <w:color w:val="auto"/>
          <w:sz w:val="32"/>
          <w:szCs w:val="32"/>
          <w:highlight w:val="none"/>
        </w:rPr>
        <w:t>：</w:t>
      </w:r>
      <w:r>
        <w:rPr>
          <w:rFonts w:hint="eastAsia" w:ascii="宋体" w:hAnsi="宋体" w:cs="宋体"/>
          <w:b/>
          <w:color w:val="auto"/>
          <w:sz w:val="32"/>
          <w:szCs w:val="32"/>
          <w:highlight w:val="none"/>
          <w:lang w:eastAsia="zh-CN"/>
        </w:rPr>
        <w:t>东莞市水务集团实业发展有限公司</w:t>
      </w:r>
    </w:p>
    <w:p>
      <w:pPr>
        <w:spacing w:line="360" w:lineRule="auto"/>
        <w:ind w:left="2350" w:leftChars="800" w:hanging="430" w:hangingChars="134"/>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采购</w:t>
      </w:r>
      <w:r>
        <w:rPr>
          <w:rFonts w:hint="eastAsia" w:ascii="宋体" w:hAnsi="宋体" w:eastAsia="宋体" w:cs="宋体"/>
          <w:b/>
          <w:bCs/>
          <w:color w:val="auto"/>
          <w:sz w:val="32"/>
          <w:szCs w:val="32"/>
          <w:highlight w:val="none"/>
          <w:lang w:val="zh-CN"/>
        </w:rPr>
        <w:t>代理机构：</w:t>
      </w:r>
      <w:r>
        <w:rPr>
          <w:rFonts w:hint="eastAsia" w:ascii="宋体" w:hAnsi="宋体" w:cs="宋体"/>
          <w:b/>
          <w:bCs/>
          <w:color w:val="auto"/>
          <w:sz w:val="32"/>
          <w:szCs w:val="32"/>
          <w:highlight w:val="none"/>
          <w:lang w:val="zh-CN"/>
        </w:rPr>
        <w:t>三方诚信招标有限公司</w:t>
      </w:r>
    </w:p>
    <w:p>
      <w:pPr>
        <w:rPr>
          <w:rFonts w:hint="eastAsia" w:ascii="宋体" w:hAnsi="宋体" w:eastAsia="宋体" w:cs="宋体"/>
          <w:b/>
          <w:color w:val="auto"/>
          <w:sz w:val="28"/>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eastAsia="zh-CN"/>
        </w:rPr>
        <w:t>2025年</w:t>
      </w:r>
      <w:r>
        <w:rPr>
          <w:rFonts w:hint="eastAsia" w:ascii="宋体" w:hAnsi="宋体" w:cs="宋体"/>
          <w:b/>
          <w:color w:val="auto"/>
          <w:sz w:val="32"/>
          <w:szCs w:val="32"/>
          <w:highlight w:val="none"/>
          <w:lang w:val="en-US" w:eastAsia="zh-CN"/>
        </w:rPr>
        <w:t>8</w:t>
      </w:r>
      <w:r>
        <w:rPr>
          <w:rFonts w:hint="eastAsia" w:ascii="宋体" w:hAnsi="宋体" w:cs="宋体"/>
          <w:b/>
          <w:color w:val="auto"/>
          <w:sz w:val="32"/>
          <w:szCs w:val="32"/>
          <w:highlight w:val="none"/>
          <w:lang w:eastAsia="zh-CN"/>
        </w:rPr>
        <w:t>月</w:t>
      </w:r>
      <w:r>
        <w:rPr>
          <w:rFonts w:hint="eastAsia" w:ascii="宋体" w:hAnsi="宋体" w:cs="宋体"/>
          <w:b/>
          <w:color w:val="auto"/>
          <w:sz w:val="32"/>
          <w:szCs w:val="32"/>
          <w:highlight w:val="none"/>
          <w:lang w:val="en-US" w:eastAsia="zh-CN"/>
        </w:rPr>
        <w:t>13</w:t>
      </w:r>
      <w:r>
        <w:rPr>
          <w:rFonts w:hint="eastAsia" w:ascii="宋体" w:hAnsi="宋体" w:cs="宋体"/>
          <w:b/>
          <w:color w:val="auto"/>
          <w:sz w:val="32"/>
          <w:szCs w:val="32"/>
          <w:highlight w:val="none"/>
          <w:lang w:eastAsia="zh-CN"/>
        </w:rPr>
        <w:t>日</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bCs/>
          <w:color w:val="auto"/>
          <w:sz w:val="32"/>
          <w:szCs w:val="32"/>
          <w:highlight w:val="none"/>
          <w:lang w:val="zh-CN"/>
        </w:rPr>
        <w:t>目 录</w:t>
      </w:r>
    </w:p>
    <w:p>
      <w:pPr>
        <w:pStyle w:val="42"/>
        <w:keepNext w:val="0"/>
        <w:keepLines w:val="0"/>
        <w:pageBreakBefore w:val="0"/>
        <w:widowControl w:val="0"/>
        <w:tabs>
          <w:tab w:val="right" w:leader="dot" w:pos="9070"/>
        </w:tabs>
        <w:kinsoku/>
        <w:wordWrap/>
        <w:overflowPunct/>
        <w:topLinePunct w:val="0"/>
        <w:autoSpaceDE w:val="0"/>
        <w:autoSpaceDN w:val="0"/>
        <w:bidi w:val="0"/>
        <w:spacing w:before="0" w:after="0" w:line="360" w:lineRule="auto"/>
        <w:textAlignment w:val="auto"/>
        <w:rPr>
          <w:rFonts w:hint="eastAsia" w:ascii="宋体" w:hAnsi="宋体" w:eastAsia="宋体" w:cs="宋体"/>
          <w:i w:val="0"/>
          <w:iCs w:val="0"/>
          <w:color w:val="auto"/>
          <w:highlight w:val="none"/>
        </w:rPr>
      </w:pPr>
      <w:r>
        <w:rPr>
          <w:rFonts w:hint="eastAsia" w:ascii="宋体" w:hAnsi="宋体" w:eastAsia="宋体" w:cs="宋体"/>
          <w:b w:val="0"/>
          <w:bCs w:val="0"/>
          <w:i w:val="0"/>
          <w:iCs w:val="0"/>
          <w:color w:val="auto"/>
          <w:sz w:val="21"/>
          <w:szCs w:val="21"/>
          <w:highlight w:val="none"/>
        </w:rPr>
        <w:fldChar w:fldCharType="begin"/>
      </w:r>
      <w:r>
        <w:rPr>
          <w:rFonts w:hint="eastAsia" w:ascii="宋体" w:hAnsi="宋体" w:eastAsia="宋体" w:cs="宋体"/>
          <w:b w:val="0"/>
          <w:bCs w:val="0"/>
          <w:i w:val="0"/>
          <w:iCs w:val="0"/>
          <w:color w:val="auto"/>
          <w:sz w:val="21"/>
          <w:szCs w:val="21"/>
          <w:highlight w:val="none"/>
        </w:rPr>
        <w:instrText xml:space="preserve"> TOC \o "1-3" \h \z \u </w:instrText>
      </w:r>
      <w:r>
        <w:rPr>
          <w:rFonts w:hint="eastAsia" w:ascii="宋体" w:hAnsi="宋体" w:eastAsia="宋体" w:cs="宋体"/>
          <w:b w:val="0"/>
          <w:bCs w:val="0"/>
          <w:i w:val="0"/>
          <w:iCs w:val="0"/>
          <w:color w:val="auto"/>
          <w:sz w:val="21"/>
          <w:szCs w:val="21"/>
          <w:highlight w:val="none"/>
        </w:rPr>
        <w:fldChar w:fldCharType="separate"/>
      </w: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_Toc328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32"/>
          <w:highlight w:val="none"/>
          <w:lang w:val="zh-CN"/>
        </w:rPr>
        <w:t>第一篇</w:t>
      </w:r>
      <w:r>
        <w:rPr>
          <w:rFonts w:hint="eastAsia" w:ascii="宋体" w:hAnsi="宋体" w:eastAsia="宋体" w:cs="宋体"/>
          <w:bCs/>
          <w:i w:val="0"/>
          <w:iCs w:val="0"/>
          <w:color w:val="auto"/>
          <w:kern w:val="44"/>
          <w:szCs w:val="32"/>
          <w:highlight w:val="none"/>
          <w:lang w:val="en-US" w:eastAsia="zh-CN"/>
        </w:rPr>
        <w:t xml:space="preserve"> </w:t>
      </w:r>
      <w:r>
        <w:rPr>
          <w:rFonts w:hint="eastAsia" w:ascii="宋体" w:hAnsi="宋体" w:eastAsia="宋体" w:cs="宋体"/>
          <w:bCs/>
          <w:i w:val="0"/>
          <w:iCs w:val="0"/>
          <w:color w:val="auto"/>
          <w:kern w:val="44"/>
          <w:szCs w:val="32"/>
          <w:highlight w:val="none"/>
          <w:lang w:val="zh-CN"/>
        </w:rPr>
        <w:t>竞争性磋商</w:t>
      </w:r>
      <w:r>
        <w:rPr>
          <w:rFonts w:hint="eastAsia" w:ascii="宋体" w:hAnsi="宋体" w:eastAsia="宋体" w:cs="宋体"/>
          <w:bCs/>
          <w:i w:val="0"/>
          <w:iCs w:val="0"/>
          <w:color w:val="auto"/>
          <w:kern w:val="44"/>
          <w:szCs w:val="32"/>
          <w:highlight w:val="none"/>
          <w:lang w:val="en-US" w:eastAsia="zh-CN"/>
        </w:rPr>
        <w:t>公告</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_Toc328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4</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val="0"/>
        <w:autoSpaceDN w:val="0"/>
        <w:bidi w:val="0"/>
        <w:spacing w:before="0" w:after="0"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_Toc20721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32"/>
          <w:highlight w:val="none"/>
          <w:lang w:val="zh-CN"/>
        </w:rPr>
        <w:t>第二篇</w:t>
      </w:r>
      <w:r>
        <w:rPr>
          <w:rFonts w:hint="eastAsia" w:ascii="宋体" w:hAnsi="宋体" w:eastAsia="宋体" w:cs="宋体"/>
          <w:bCs/>
          <w:i w:val="0"/>
          <w:iCs w:val="0"/>
          <w:color w:val="auto"/>
          <w:kern w:val="44"/>
          <w:szCs w:val="32"/>
          <w:highlight w:val="none"/>
          <w:lang w:val="en-US" w:eastAsia="zh-CN"/>
        </w:rPr>
        <w:t xml:space="preserve"> 磋商</w:t>
      </w:r>
      <w:r>
        <w:rPr>
          <w:rFonts w:hint="eastAsia" w:ascii="宋体" w:hAnsi="宋体" w:eastAsia="宋体" w:cs="宋体"/>
          <w:bCs/>
          <w:i w:val="0"/>
          <w:iCs w:val="0"/>
          <w:color w:val="auto"/>
          <w:kern w:val="44"/>
          <w:szCs w:val="32"/>
          <w:highlight w:val="none"/>
          <w:lang w:val="zh-CN"/>
        </w:rPr>
        <w:t>须知</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_Toc20721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6</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47"/>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_Toc5132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21"/>
          <w:highlight w:val="none"/>
          <w:lang w:val="zh-CN"/>
        </w:rPr>
        <w:t>一、总则</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_Toc5132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6</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_Toc17898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资金来源：企业自筹资金。</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_Toc17898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6</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_Toc19056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2"/>
          <w:szCs w:val="21"/>
          <w:highlight w:val="none"/>
          <w:lang w:val="zh-CN"/>
        </w:rPr>
        <w:t>2</w:t>
      </w:r>
      <w:r>
        <w:rPr>
          <w:rFonts w:hint="eastAsia" w:ascii="宋体" w:hAnsi="宋体" w:eastAsia="宋体" w:cs="宋体"/>
          <w:bCs/>
          <w:i w:val="0"/>
          <w:iCs w:val="0"/>
          <w:color w:val="auto"/>
          <w:kern w:val="2"/>
          <w:szCs w:val="21"/>
          <w:highlight w:val="none"/>
          <w:lang w:val="en-US" w:eastAsia="zh-CN"/>
        </w:rPr>
        <w:t xml:space="preserve">   </w:t>
      </w:r>
      <w:r>
        <w:rPr>
          <w:rFonts w:hint="eastAsia" w:ascii="宋体" w:hAnsi="宋体" w:eastAsia="宋体" w:cs="宋体"/>
          <w:bCs/>
          <w:i w:val="0"/>
          <w:iCs w:val="0"/>
          <w:color w:val="auto"/>
          <w:kern w:val="2"/>
          <w:szCs w:val="21"/>
          <w:highlight w:val="none"/>
          <w:lang w:val="zh-CN"/>
        </w:rPr>
        <w:t>合格的供应商</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_Toc19056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6</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_Toc2919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合格的服务</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_Toc2919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6</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_Toc17946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4</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其它说明</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_Toc17946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7</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47"/>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_Toc8621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21"/>
          <w:highlight w:val="none"/>
          <w:lang w:val="zh-CN"/>
        </w:rPr>
        <w:t>二、竞争性磋商文件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_Toc8621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7</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_Toc7837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5</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竞争性磋商文件的构成</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_Toc7837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7</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_Toc8385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6</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竞争性磋商文件的异议</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_Toc8385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8</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_Toc30633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7</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竞争性磋商文件的澄清及修改</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_Toc30633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9</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47"/>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_Toc16999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21"/>
          <w:highlight w:val="none"/>
          <w:lang w:val="zh-CN"/>
        </w:rPr>
        <w:t>三、响应文件的编制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_Toc16999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9</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_Toc32121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8</w:t>
      </w:r>
      <w:r>
        <w:rPr>
          <w:rFonts w:hint="eastAsia" w:ascii="宋体" w:hAnsi="宋体" w:eastAsia="宋体" w:cs="宋体"/>
          <w:i w:val="0"/>
          <w:iCs w:val="0"/>
          <w:color w:val="auto"/>
          <w:kern w:val="2"/>
          <w:szCs w:val="21"/>
          <w:highlight w:val="none"/>
          <w:lang w:val="en-US" w:eastAsia="zh-CN"/>
        </w:rPr>
        <w:t xml:space="preserve">   响应文件</w:t>
      </w:r>
      <w:r>
        <w:rPr>
          <w:rFonts w:hint="eastAsia" w:ascii="宋体" w:hAnsi="宋体" w:eastAsia="宋体" w:cs="宋体"/>
          <w:i w:val="0"/>
          <w:iCs w:val="0"/>
          <w:color w:val="auto"/>
          <w:kern w:val="2"/>
          <w:szCs w:val="21"/>
          <w:highlight w:val="none"/>
          <w:lang w:val="zh-CN"/>
        </w:rPr>
        <w:t>使用的文字及度量衡单位</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_Toc32121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9</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_Toc7504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eastAsia="zh-CN"/>
        </w:rPr>
        <w:t>9</w:t>
      </w:r>
      <w:r>
        <w:rPr>
          <w:rFonts w:hint="eastAsia" w:ascii="宋体" w:hAnsi="宋体" w:eastAsia="宋体" w:cs="宋体"/>
          <w:i w:val="0"/>
          <w:iCs w:val="0"/>
          <w:color w:val="auto"/>
          <w:kern w:val="2"/>
          <w:szCs w:val="21"/>
          <w:highlight w:val="none"/>
          <w:lang w:val="en-US" w:eastAsia="zh-CN"/>
        </w:rPr>
        <w:t xml:space="preserve">   响应文件</w:t>
      </w:r>
      <w:r>
        <w:rPr>
          <w:rFonts w:hint="eastAsia" w:ascii="宋体" w:hAnsi="宋体" w:eastAsia="宋体" w:cs="宋体"/>
          <w:i w:val="0"/>
          <w:iCs w:val="0"/>
          <w:color w:val="auto"/>
          <w:kern w:val="2"/>
          <w:szCs w:val="21"/>
          <w:highlight w:val="none"/>
          <w:lang w:val="zh-CN" w:eastAsia="zh-CN"/>
        </w:rPr>
        <w:t>的组成</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_Toc7504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9</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_Toc8664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10</w:t>
      </w:r>
      <w:r>
        <w:rPr>
          <w:rFonts w:hint="eastAsia" w:ascii="宋体" w:hAnsi="宋体" w:eastAsia="宋体" w:cs="宋体"/>
          <w:i w:val="0"/>
          <w:iCs w:val="0"/>
          <w:color w:val="auto"/>
          <w:kern w:val="2"/>
          <w:szCs w:val="21"/>
          <w:highlight w:val="none"/>
          <w:lang w:val="en-US" w:eastAsia="zh-CN"/>
        </w:rPr>
        <w:t xml:space="preserve">   磋商</w:t>
      </w:r>
      <w:r>
        <w:rPr>
          <w:rFonts w:hint="eastAsia" w:ascii="宋体" w:hAnsi="宋体" w:eastAsia="宋体" w:cs="宋体"/>
          <w:i w:val="0"/>
          <w:iCs w:val="0"/>
          <w:color w:val="auto"/>
          <w:kern w:val="2"/>
          <w:szCs w:val="21"/>
          <w:highlight w:val="none"/>
          <w:lang w:val="zh-CN"/>
        </w:rPr>
        <w:t>函</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_Toc8664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11</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_Toc8843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2"/>
          <w:szCs w:val="21"/>
          <w:highlight w:val="none"/>
          <w:lang w:val="zh-CN"/>
        </w:rPr>
        <w:t>11</w:t>
      </w:r>
      <w:r>
        <w:rPr>
          <w:rFonts w:hint="eastAsia" w:ascii="宋体" w:hAnsi="宋体" w:eastAsia="宋体" w:cs="宋体"/>
          <w:bCs/>
          <w:i w:val="0"/>
          <w:iCs w:val="0"/>
          <w:color w:val="auto"/>
          <w:kern w:val="2"/>
          <w:szCs w:val="21"/>
          <w:highlight w:val="none"/>
          <w:lang w:val="en-US" w:eastAsia="zh-CN"/>
        </w:rPr>
        <w:t xml:space="preserve">   </w:t>
      </w:r>
      <w:r>
        <w:rPr>
          <w:rFonts w:hint="eastAsia" w:ascii="宋体" w:hAnsi="宋体" w:eastAsia="宋体" w:cs="宋体"/>
          <w:bCs/>
          <w:i w:val="0"/>
          <w:iCs w:val="0"/>
          <w:color w:val="auto"/>
          <w:kern w:val="2"/>
          <w:szCs w:val="21"/>
          <w:highlight w:val="none"/>
          <w:lang w:val="zh-CN"/>
        </w:rPr>
        <w:t>响应报价</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_Toc8843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11</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_Toc1597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2"/>
          <w:szCs w:val="21"/>
          <w:highlight w:val="none"/>
          <w:lang w:val="zh-CN"/>
        </w:rPr>
        <w:t>12</w:t>
      </w:r>
      <w:r>
        <w:rPr>
          <w:rFonts w:hint="eastAsia" w:ascii="宋体" w:hAnsi="宋体" w:eastAsia="宋体" w:cs="宋体"/>
          <w:bCs/>
          <w:i w:val="0"/>
          <w:iCs w:val="0"/>
          <w:color w:val="auto"/>
          <w:kern w:val="2"/>
          <w:szCs w:val="21"/>
          <w:highlight w:val="none"/>
          <w:lang w:val="en-US" w:eastAsia="zh-CN"/>
        </w:rPr>
        <w:t xml:space="preserve">   </w:t>
      </w:r>
      <w:r>
        <w:rPr>
          <w:rFonts w:hint="eastAsia" w:ascii="宋体" w:hAnsi="宋体" w:eastAsia="宋体" w:cs="宋体"/>
          <w:bCs/>
          <w:i w:val="0"/>
          <w:iCs w:val="0"/>
          <w:color w:val="auto"/>
          <w:kern w:val="2"/>
          <w:szCs w:val="21"/>
          <w:highlight w:val="none"/>
          <w:lang w:val="zh-CN"/>
        </w:rPr>
        <w:t>响应报价货币</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_Toc1597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11</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_Toc14264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13</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证明供应商的合格性和资格的声明文件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_Toc14264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12</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_Toc9158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14</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证明服务的合格性并符合竞争性磋商文件规定的声明文件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_Toc9158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12</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_Toc23434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2"/>
          <w:szCs w:val="21"/>
          <w:highlight w:val="none"/>
          <w:lang w:val="zh-CN"/>
        </w:rPr>
        <w:t>15</w:t>
      </w:r>
      <w:r>
        <w:rPr>
          <w:rFonts w:hint="eastAsia" w:ascii="宋体" w:hAnsi="宋体" w:eastAsia="宋体" w:cs="宋体"/>
          <w:bCs/>
          <w:i w:val="0"/>
          <w:iCs w:val="0"/>
          <w:color w:val="auto"/>
          <w:kern w:val="2"/>
          <w:szCs w:val="21"/>
          <w:highlight w:val="none"/>
          <w:lang w:val="en-US" w:eastAsia="zh-CN"/>
        </w:rPr>
        <w:t xml:space="preserve">   </w:t>
      </w:r>
      <w:r>
        <w:rPr>
          <w:rFonts w:hint="eastAsia" w:ascii="宋体" w:hAnsi="宋体" w:eastAsia="宋体" w:cs="宋体"/>
          <w:bCs/>
          <w:i w:val="0"/>
          <w:iCs w:val="0"/>
          <w:color w:val="auto"/>
          <w:kern w:val="2"/>
          <w:szCs w:val="21"/>
          <w:highlight w:val="none"/>
        </w:rPr>
        <w:t>磋商</w:t>
      </w:r>
      <w:r>
        <w:rPr>
          <w:rFonts w:hint="eastAsia" w:ascii="宋体" w:hAnsi="宋体" w:eastAsia="宋体" w:cs="宋体"/>
          <w:bCs/>
          <w:i w:val="0"/>
          <w:iCs w:val="0"/>
          <w:color w:val="auto"/>
          <w:kern w:val="2"/>
          <w:szCs w:val="21"/>
          <w:highlight w:val="none"/>
          <w:lang w:val="zh-CN"/>
        </w:rPr>
        <w:t>保证金</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_Toc23434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12</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_Toc2083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16</w:t>
      </w:r>
      <w:r>
        <w:rPr>
          <w:rFonts w:hint="eastAsia" w:ascii="宋体" w:hAnsi="宋体" w:eastAsia="宋体" w:cs="宋体"/>
          <w:i w:val="0"/>
          <w:iCs w:val="0"/>
          <w:color w:val="auto"/>
          <w:kern w:val="2"/>
          <w:szCs w:val="21"/>
          <w:highlight w:val="none"/>
          <w:lang w:val="en-US" w:eastAsia="zh-CN"/>
        </w:rPr>
        <w:t xml:space="preserve">   响应</w:t>
      </w:r>
      <w:r>
        <w:rPr>
          <w:rFonts w:hint="eastAsia" w:ascii="宋体" w:hAnsi="宋体" w:eastAsia="宋体" w:cs="宋体"/>
          <w:i w:val="0"/>
          <w:iCs w:val="0"/>
          <w:color w:val="auto"/>
          <w:kern w:val="2"/>
          <w:szCs w:val="21"/>
          <w:highlight w:val="none"/>
          <w:lang w:val="zh-CN"/>
        </w:rPr>
        <w:t>有效期</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_Toc2083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12</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_Toc28569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17</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响应文件的式样和签署</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_Toc28569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13</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47"/>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_Toc30375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21"/>
          <w:highlight w:val="none"/>
          <w:lang w:val="zh-CN"/>
        </w:rPr>
        <w:t>四、响应文件的递交</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_Toc30375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13</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_Toc22938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18</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响应文件的密封和标记</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_Toc22938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13</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_Toc30493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19</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递交响应文件的截止日期</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_Toc30493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13</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_Toc32623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20</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迟交的响应文件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_Toc32623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14</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_Toc26647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21</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响应文件的修改和撤回</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_Toc26647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14</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47"/>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_Toc31926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21"/>
          <w:highlight w:val="none"/>
          <w:lang w:val="zh-CN"/>
        </w:rPr>
        <w:t>五、</w:t>
      </w:r>
      <w:r>
        <w:rPr>
          <w:rFonts w:hint="eastAsia" w:ascii="宋体" w:hAnsi="宋体" w:eastAsia="宋体" w:cs="宋体"/>
          <w:bCs/>
          <w:i w:val="0"/>
          <w:iCs w:val="0"/>
          <w:color w:val="auto"/>
          <w:kern w:val="44"/>
          <w:szCs w:val="21"/>
          <w:highlight w:val="none"/>
          <w:lang w:val="en-US" w:eastAsia="zh-CN"/>
        </w:rPr>
        <w:t>竞争性磋商流程</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_Toc31926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14</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_Toc6343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22</w:t>
      </w:r>
      <w:r>
        <w:rPr>
          <w:rFonts w:hint="eastAsia" w:ascii="宋体" w:hAnsi="宋体" w:eastAsia="宋体" w:cs="宋体"/>
          <w:i w:val="0"/>
          <w:iCs w:val="0"/>
          <w:color w:val="auto"/>
          <w:kern w:val="2"/>
          <w:szCs w:val="21"/>
          <w:highlight w:val="none"/>
          <w:lang w:val="en-US" w:eastAsia="zh-CN"/>
        </w:rPr>
        <w:t xml:space="preserve">   开启响应文件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_Toc6343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14</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_Toc9655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w:t>
      </w:r>
      <w:r>
        <w:rPr>
          <w:rFonts w:hint="eastAsia" w:ascii="宋体" w:hAnsi="宋体" w:eastAsia="宋体" w:cs="宋体"/>
          <w:i w:val="0"/>
          <w:iCs w:val="0"/>
          <w:color w:val="auto"/>
          <w:kern w:val="2"/>
          <w:szCs w:val="21"/>
          <w:highlight w:val="none"/>
          <w:lang w:val="en-US" w:eastAsia="zh-CN"/>
        </w:rPr>
        <w:t xml:space="preserve">3   </w:t>
      </w:r>
      <w:r>
        <w:rPr>
          <w:rFonts w:hint="eastAsia" w:ascii="宋体" w:hAnsi="宋体" w:eastAsia="宋体" w:cs="宋体"/>
          <w:i w:val="0"/>
          <w:iCs w:val="0"/>
          <w:color w:val="auto"/>
          <w:highlight w:val="none"/>
          <w:lang w:eastAsia="zh-CN"/>
        </w:rPr>
        <w:t>评审</w:t>
      </w:r>
      <w:r>
        <w:rPr>
          <w:rFonts w:hint="eastAsia" w:ascii="宋体" w:hAnsi="宋体" w:eastAsia="宋体" w:cs="宋体"/>
          <w:i w:val="0"/>
          <w:iCs w:val="0"/>
          <w:color w:val="auto"/>
          <w:highlight w:val="none"/>
        </w:rPr>
        <w:t>过程的保密性</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_Toc9655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14</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_Toc20141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w:t>
      </w:r>
      <w:r>
        <w:rPr>
          <w:rFonts w:hint="eastAsia" w:ascii="宋体" w:hAnsi="宋体" w:eastAsia="宋体" w:cs="宋体"/>
          <w:i w:val="0"/>
          <w:iCs w:val="0"/>
          <w:color w:val="auto"/>
          <w:kern w:val="2"/>
          <w:szCs w:val="21"/>
          <w:highlight w:val="none"/>
          <w:lang w:val="en-US" w:eastAsia="zh-CN"/>
        </w:rPr>
        <w:t>4   磋商小组</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_Toc20141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14</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_Toc19174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w:t>
      </w:r>
      <w:r>
        <w:rPr>
          <w:rFonts w:hint="eastAsia" w:ascii="宋体" w:hAnsi="宋体" w:eastAsia="宋体" w:cs="宋体"/>
          <w:i w:val="0"/>
          <w:iCs w:val="0"/>
          <w:color w:val="auto"/>
          <w:kern w:val="2"/>
          <w:szCs w:val="21"/>
          <w:highlight w:val="none"/>
          <w:lang w:val="en-US" w:eastAsia="zh-CN"/>
        </w:rPr>
        <w:t xml:space="preserve">5   </w:t>
      </w:r>
      <w:r>
        <w:rPr>
          <w:rFonts w:hint="eastAsia" w:ascii="宋体" w:hAnsi="宋体" w:eastAsia="宋体" w:cs="宋体"/>
          <w:i w:val="0"/>
          <w:iCs w:val="0"/>
          <w:color w:val="auto"/>
          <w:kern w:val="2"/>
          <w:szCs w:val="21"/>
          <w:highlight w:val="none"/>
          <w:lang w:val="zh-CN"/>
        </w:rPr>
        <w:t>响应文件的评审</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_Toc19174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14</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_Toc32154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eastAsia="zh-CN"/>
        </w:rPr>
        <w:t>26   响应文件的澄清</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_Toc32154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15</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_Toc2388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 xml:space="preserve">27 </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对</w:t>
      </w:r>
      <w:r>
        <w:rPr>
          <w:rFonts w:hint="eastAsia" w:ascii="宋体" w:hAnsi="宋体" w:eastAsia="宋体" w:cs="宋体"/>
          <w:i w:val="0"/>
          <w:iCs w:val="0"/>
          <w:color w:val="auto"/>
          <w:kern w:val="2"/>
          <w:szCs w:val="21"/>
          <w:highlight w:val="none"/>
          <w:lang w:val="en-US" w:eastAsia="zh-CN"/>
        </w:rPr>
        <w:t>响应</w:t>
      </w:r>
      <w:r>
        <w:rPr>
          <w:rFonts w:hint="eastAsia" w:ascii="宋体" w:hAnsi="宋体" w:eastAsia="宋体" w:cs="宋体"/>
          <w:i w:val="0"/>
          <w:iCs w:val="0"/>
          <w:color w:val="auto"/>
          <w:kern w:val="2"/>
          <w:szCs w:val="21"/>
          <w:highlight w:val="none"/>
          <w:lang w:val="zh-CN"/>
        </w:rPr>
        <w:t>文件的比较和评价</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_Toc2388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15</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_Toc27860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w:t>
      </w:r>
      <w:r>
        <w:rPr>
          <w:rFonts w:hint="eastAsia" w:ascii="宋体" w:hAnsi="宋体" w:eastAsia="宋体" w:cs="宋体"/>
          <w:i w:val="0"/>
          <w:iCs w:val="0"/>
          <w:color w:val="auto"/>
          <w:kern w:val="2"/>
          <w:szCs w:val="21"/>
          <w:highlight w:val="none"/>
          <w:lang w:val="en-US" w:eastAsia="zh-CN"/>
        </w:rPr>
        <w:t>8</w:t>
      </w:r>
      <w:r>
        <w:rPr>
          <w:rFonts w:hint="eastAsia" w:ascii="宋体" w:hAnsi="宋体" w:eastAsia="宋体" w:cs="宋体"/>
          <w:i w:val="0"/>
          <w:iCs w:val="0"/>
          <w:color w:val="auto"/>
          <w:kern w:val="2"/>
          <w:szCs w:val="21"/>
          <w:highlight w:val="none"/>
          <w:lang w:val="zh-CN"/>
        </w:rPr>
        <w:t xml:space="preserve">   评审原则及方法</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_Toc27860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15</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_Toc6080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w:t>
      </w:r>
      <w:r>
        <w:rPr>
          <w:rFonts w:hint="eastAsia" w:ascii="宋体" w:hAnsi="宋体" w:eastAsia="宋体" w:cs="宋体"/>
          <w:i w:val="0"/>
          <w:iCs w:val="0"/>
          <w:color w:val="auto"/>
          <w:kern w:val="2"/>
          <w:szCs w:val="21"/>
          <w:highlight w:val="none"/>
          <w:lang w:val="en-US" w:eastAsia="zh-CN"/>
        </w:rPr>
        <w:t>9</w:t>
      </w:r>
      <w:r>
        <w:rPr>
          <w:rFonts w:hint="eastAsia" w:ascii="宋体" w:hAnsi="宋体" w:eastAsia="宋体" w:cs="宋体"/>
          <w:i w:val="0"/>
          <w:iCs w:val="0"/>
          <w:color w:val="auto"/>
          <w:kern w:val="2"/>
          <w:szCs w:val="21"/>
          <w:highlight w:val="none"/>
          <w:lang w:val="zh-CN"/>
        </w:rPr>
        <w:t xml:space="preserve">   </w:t>
      </w:r>
      <w:r>
        <w:rPr>
          <w:rFonts w:hint="eastAsia" w:ascii="宋体" w:hAnsi="宋体" w:eastAsia="宋体" w:cs="宋体"/>
          <w:i w:val="0"/>
          <w:iCs w:val="0"/>
          <w:color w:val="auto"/>
          <w:kern w:val="2"/>
          <w:szCs w:val="21"/>
          <w:highlight w:val="none"/>
          <w:lang w:val="en-US" w:eastAsia="zh-CN"/>
        </w:rPr>
        <w:t>评标结果公示</w:t>
      </w:r>
      <w:r>
        <w:rPr>
          <w:rFonts w:hint="eastAsia" w:ascii="宋体" w:hAnsi="宋体" w:eastAsia="宋体" w:cs="宋体"/>
          <w:i w:val="0"/>
          <w:iCs w:val="0"/>
          <w:color w:val="auto"/>
          <w:kern w:val="2"/>
          <w:szCs w:val="21"/>
          <w:highlight w:val="none"/>
          <w:lang w:val="zh-CN"/>
        </w:rPr>
        <w:t>及异议、投诉</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_Toc6080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15</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_Toc6755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2"/>
          <w:szCs w:val="21"/>
          <w:highlight w:val="none"/>
          <w:lang w:val="en-US" w:eastAsia="zh-CN"/>
        </w:rPr>
        <w:t xml:space="preserve">30   </w:t>
      </w:r>
      <w:r>
        <w:rPr>
          <w:rFonts w:hint="eastAsia" w:ascii="宋体" w:hAnsi="宋体" w:eastAsia="宋体" w:cs="宋体"/>
          <w:bCs/>
          <w:i w:val="0"/>
          <w:iCs w:val="0"/>
          <w:color w:val="auto"/>
          <w:kern w:val="2"/>
          <w:szCs w:val="21"/>
          <w:highlight w:val="none"/>
          <w:lang w:val="zh-CN"/>
        </w:rPr>
        <w:t>真实性审查</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_Toc6755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16</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_Toc15664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1   </w:t>
      </w:r>
      <w:r>
        <w:rPr>
          <w:rFonts w:hint="eastAsia" w:ascii="宋体" w:hAnsi="宋体" w:eastAsia="宋体" w:cs="宋体"/>
          <w:i w:val="0"/>
          <w:iCs w:val="0"/>
          <w:color w:val="auto"/>
          <w:kern w:val="2"/>
          <w:szCs w:val="21"/>
          <w:highlight w:val="none"/>
          <w:lang w:val="zh-CN"/>
        </w:rPr>
        <w:t>磋商小组和采购人接受或拒绝任何报价或所有报价的权利</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_Toc15664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17</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47"/>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_Toc30166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21"/>
          <w:highlight w:val="none"/>
          <w:lang w:val="zh-CN"/>
        </w:rPr>
        <w:t>六、授予合同</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_Toc30166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17</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_Toc17711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2   </w:t>
      </w:r>
      <w:r>
        <w:rPr>
          <w:rFonts w:hint="eastAsia" w:ascii="宋体" w:hAnsi="宋体" w:eastAsia="宋体" w:cs="宋体"/>
          <w:i w:val="0"/>
          <w:iCs w:val="0"/>
          <w:color w:val="auto"/>
          <w:kern w:val="2"/>
          <w:szCs w:val="21"/>
          <w:highlight w:val="none"/>
          <w:lang w:val="zh-CN"/>
        </w:rPr>
        <w:t>授予合同的准则</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_Toc17711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17</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_Toc5620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3  </w:t>
      </w:r>
      <w:r>
        <w:rPr>
          <w:rFonts w:hint="eastAsia" w:ascii="宋体" w:hAnsi="宋体" w:eastAsia="宋体" w:cs="宋体"/>
          <w:i w:val="0"/>
          <w:iCs w:val="0"/>
          <w:color w:val="auto"/>
          <w:kern w:val="2"/>
          <w:szCs w:val="21"/>
          <w:highlight w:val="none"/>
          <w:lang w:val="zh-CN"/>
        </w:rPr>
        <w:t xml:space="preserve"> </w:t>
      </w:r>
      <w:r>
        <w:rPr>
          <w:rFonts w:hint="eastAsia" w:ascii="宋体" w:hAnsi="宋体" w:eastAsia="宋体" w:cs="宋体"/>
          <w:i w:val="0"/>
          <w:iCs w:val="0"/>
          <w:color w:val="auto"/>
          <w:kern w:val="2"/>
          <w:szCs w:val="21"/>
          <w:highlight w:val="none"/>
          <w:lang w:val="en-US" w:eastAsia="zh-CN"/>
        </w:rPr>
        <w:t>成交</w:t>
      </w:r>
      <w:r>
        <w:rPr>
          <w:rFonts w:hint="eastAsia" w:ascii="宋体" w:hAnsi="宋体" w:eastAsia="宋体" w:cs="宋体"/>
          <w:i w:val="0"/>
          <w:iCs w:val="0"/>
          <w:color w:val="auto"/>
          <w:kern w:val="2"/>
          <w:szCs w:val="21"/>
          <w:highlight w:val="none"/>
          <w:lang w:val="zh-CN"/>
        </w:rPr>
        <w:t>通知</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_Toc5620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17</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_Toc10022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4   </w:t>
      </w:r>
      <w:r>
        <w:rPr>
          <w:rFonts w:hint="eastAsia" w:ascii="宋体" w:hAnsi="宋体" w:eastAsia="宋体" w:cs="宋体"/>
          <w:i w:val="0"/>
          <w:iCs w:val="0"/>
          <w:color w:val="auto"/>
          <w:kern w:val="2"/>
          <w:szCs w:val="21"/>
          <w:highlight w:val="none"/>
          <w:lang w:val="zh-CN"/>
        </w:rPr>
        <w:t>签署合同</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_Toc10022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17</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_Toc26938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5</w:t>
      </w:r>
      <w:r>
        <w:rPr>
          <w:rFonts w:hint="eastAsia" w:ascii="宋体" w:hAnsi="宋体" w:eastAsia="宋体" w:cs="宋体"/>
          <w:i w:val="0"/>
          <w:iCs w:val="0"/>
          <w:color w:val="auto"/>
          <w:kern w:val="2"/>
          <w:szCs w:val="21"/>
          <w:highlight w:val="none"/>
        </w:rPr>
        <w:t xml:space="preserve">   </w:t>
      </w:r>
      <w:r>
        <w:rPr>
          <w:rFonts w:hint="eastAsia" w:ascii="宋体" w:hAnsi="宋体" w:eastAsia="宋体" w:cs="宋体"/>
          <w:i w:val="0"/>
          <w:iCs w:val="0"/>
          <w:color w:val="auto"/>
          <w:kern w:val="2"/>
          <w:szCs w:val="21"/>
          <w:highlight w:val="none"/>
          <w:lang w:val="zh-CN"/>
        </w:rPr>
        <w:t>履约担保</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_Toc26938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18</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_Toc371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6   </w:t>
      </w:r>
      <w:r>
        <w:rPr>
          <w:rFonts w:hint="eastAsia" w:ascii="宋体" w:hAnsi="宋体" w:eastAsia="宋体" w:cs="宋体"/>
          <w:i w:val="0"/>
          <w:iCs w:val="0"/>
          <w:color w:val="auto"/>
          <w:kern w:val="2"/>
          <w:szCs w:val="21"/>
          <w:highlight w:val="none"/>
          <w:lang w:val="zh-CN"/>
        </w:rPr>
        <w:t>在合同履行中变更采购范围的权利</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_Toc371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18</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_Toc7962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7   代理</w:t>
      </w:r>
      <w:r>
        <w:rPr>
          <w:rFonts w:hint="eastAsia" w:ascii="宋体" w:hAnsi="宋体" w:eastAsia="宋体" w:cs="宋体"/>
          <w:i w:val="0"/>
          <w:iCs w:val="0"/>
          <w:color w:val="auto"/>
          <w:kern w:val="2"/>
          <w:szCs w:val="21"/>
          <w:highlight w:val="none"/>
          <w:lang w:val="zh-CN"/>
        </w:rPr>
        <w:t>服务费</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_Toc7962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18</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_Toc20000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8   </w:t>
      </w:r>
      <w:r>
        <w:rPr>
          <w:rFonts w:hint="eastAsia" w:ascii="宋体" w:hAnsi="宋体" w:eastAsia="宋体" w:cs="宋体"/>
          <w:i w:val="0"/>
          <w:iCs w:val="0"/>
          <w:color w:val="auto"/>
          <w:kern w:val="2"/>
          <w:szCs w:val="21"/>
          <w:highlight w:val="none"/>
          <w:lang w:val="zh-CN"/>
        </w:rPr>
        <w:t>发票</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_Toc20000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18</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_Toc14416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9</w:t>
      </w:r>
      <w:r>
        <w:rPr>
          <w:rFonts w:hint="eastAsia" w:ascii="宋体" w:hAnsi="宋体" w:eastAsia="宋体" w:cs="宋体"/>
          <w:i w:val="0"/>
          <w:iCs w:val="0"/>
          <w:color w:val="auto"/>
          <w:kern w:val="2"/>
          <w:szCs w:val="21"/>
          <w:highlight w:val="none"/>
          <w:lang w:val="zh-CN"/>
        </w:rPr>
        <w:t xml:space="preserve"> </w:t>
      </w:r>
      <w:r>
        <w:rPr>
          <w:rFonts w:hint="eastAsia" w:ascii="宋体" w:hAnsi="宋体" w:eastAsia="宋体" w:cs="宋体"/>
          <w:i w:val="0"/>
          <w:iCs w:val="0"/>
          <w:color w:val="auto"/>
          <w:kern w:val="2"/>
          <w:szCs w:val="21"/>
          <w:highlight w:val="none"/>
          <w:lang w:val="en-US" w:eastAsia="zh-CN"/>
        </w:rPr>
        <w:t xml:space="preserve">  采购</w:t>
      </w:r>
      <w:r>
        <w:rPr>
          <w:rFonts w:hint="eastAsia" w:ascii="宋体" w:hAnsi="宋体" w:eastAsia="宋体" w:cs="宋体"/>
          <w:i w:val="0"/>
          <w:iCs w:val="0"/>
          <w:color w:val="auto"/>
          <w:kern w:val="2"/>
          <w:szCs w:val="21"/>
          <w:highlight w:val="none"/>
          <w:lang w:val="zh-CN"/>
        </w:rPr>
        <w:t>相关补充约定</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_Toc14416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19</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_Toc9833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en-US" w:eastAsia="zh-CN"/>
        </w:rPr>
        <w:t xml:space="preserve">40   </w:t>
      </w:r>
      <w:r>
        <w:rPr>
          <w:rFonts w:hint="eastAsia" w:ascii="宋体" w:hAnsi="宋体" w:eastAsia="宋体" w:cs="宋体"/>
          <w:i w:val="0"/>
          <w:iCs w:val="0"/>
          <w:color w:val="auto"/>
          <w:kern w:val="2"/>
          <w:szCs w:val="21"/>
          <w:highlight w:val="none"/>
          <w:lang w:val="zh-CN"/>
        </w:rPr>
        <w:t>本次采购活动的最终解释权归采购代理机构及采购人所有。</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_Toc9833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19</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val="0"/>
        <w:autoSpaceDN w:val="0"/>
        <w:bidi w:val="0"/>
        <w:spacing w:before="0" w:after="0"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_Toc24271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32"/>
          <w:highlight w:val="none"/>
          <w:lang w:val="zh-CN"/>
        </w:rPr>
        <w:t>第三篇</w:t>
      </w:r>
      <w:r>
        <w:rPr>
          <w:rFonts w:hint="eastAsia" w:ascii="宋体" w:hAnsi="宋体" w:eastAsia="宋体" w:cs="宋体"/>
          <w:bCs/>
          <w:i w:val="0"/>
          <w:iCs w:val="0"/>
          <w:color w:val="auto"/>
          <w:kern w:val="44"/>
          <w:szCs w:val="32"/>
          <w:highlight w:val="none"/>
          <w:lang w:val="en-US" w:eastAsia="zh-CN"/>
        </w:rPr>
        <w:t xml:space="preserve"> </w:t>
      </w:r>
      <w:r>
        <w:rPr>
          <w:rFonts w:hint="eastAsia" w:ascii="宋体" w:hAnsi="宋体" w:eastAsia="宋体" w:cs="宋体"/>
          <w:bCs/>
          <w:i w:val="0"/>
          <w:iCs w:val="0"/>
          <w:color w:val="auto"/>
          <w:kern w:val="44"/>
          <w:szCs w:val="32"/>
          <w:highlight w:val="none"/>
          <w:lang w:val="zh-CN"/>
        </w:rPr>
        <w:t>用户需求书</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_Toc24271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20</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val="0"/>
        <w:autoSpaceDN w:val="0"/>
        <w:bidi w:val="0"/>
        <w:spacing w:before="0" w:after="0"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_Toc21372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32"/>
          <w:highlight w:val="none"/>
          <w:lang w:val="zh-CN"/>
        </w:rPr>
        <w:t>第四篇</w:t>
      </w:r>
      <w:r>
        <w:rPr>
          <w:rFonts w:hint="eastAsia" w:ascii="宋体" w:hAnsi="宋体" w:eastAsia="宋体" w:cs="宋体"/>
          <w:bCs/>
          <w:i w:val="0"/>
          <w:iCs w:val="0"/>
          <w:color w:val="auto"/>
          <w:kern w:val="44"/>
          <w:szCs w:val="32"/>
          <w:highlight w:val="none"/>
          <w:lang w:val="en-US" w:eastAsia="zh-CN"/>
        </w:rPr>
        <w:t xml:space="preserve"> </w:t>
      </w:r>
      <w:r>
        <w:rPr>
          <w:rFonts w:hint="eastAsia" w:ascii="宋体" w:hAnsi="宋体" w:eastAsia="宋体" w:cs="宋体"/>
          <w:bCs/>
          <w:i w:val="0"/>
          <w:iCs w:val="0"/>
          <w:color w:val="auto"/>
          <w:kern w:val="44"/>
          <w:szCs w:val="32"/>
          <w:highlight w:val="none"/>
          <w:lang w:val="zh-CN"/>
        </w:rPr>
        <w:t>合同条款格式</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_Toc21372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23</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val="0"/>
        <w:autoSpaceDN w:val="0"/>
        <w:bidi w:val="0"/>
        <w:spacing w:before="0" w:after="0"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_Toc10309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32"/>
          <w:highlight w:val="none"/>
          <w:lang w:val="zh-CN"/>
        </w:rPr>
        <w:t>第</w:t>
      </w:r>
      <w:r>
        <w:rPr>
          <w:rFonts w:hint="eastAsia" w:ascii="宋体" w:hAnsi="宋体" w:eastAsia="宋体" w:cs="宋体"/>
          <w:bCs/>
          <w:i w:val="0"/>
          <w:iCs w:val="0"/>
          <w:color w:val="auto"/>
          <w:kern w:val="44"/>
          <w:szCs w:val="32"/>
          <w:highlight w:val="none"/>
          <w:lang w:val="en-US" w:eastAsia="zh-CN"/>
        </w:rPr>
        <w:t>五</w:t>
      </w:r>
      <w:r>
        <w:rPr>
          <w:rFonts w:hint="eastAsia" w:ascii="宋体" w:hAnsi="宋体" w:eastAsia="宋体" w:cs="宋体"/>
          <w:bCs/>
          <w:i w:val="0"/>
          <w:iCs w:val="0"/>
          <w:color w:val="auto"/>
          <w:kern w:val="44"/>
          <w:szCs w:val="32"/>
          <w:highlight w:val="none"/>
          <w:lang w:val="zh-CN"/>
        </w:rPr>
        <w:t>篇</w:t>
      </w:r>
      <w:r>
        <w:rPr>
          <w:rFonts w:hint="eastAsia" w:ascii="宋体" w:hAnsi="宋体" w:eastAsia="宋体" w:cs="宋体"/>
          <w:bCs/>
          <w:i w:val="0"/>
          <w:iCs w:val="0"/>
          <w:color w:val="auto"/>
          <w:kern w:val="44"/>
          <w:szCs w:val="32"/>
          <w:highlight w:val="none"/>
          <w:lang w:val="en-US" w:eastAsia="zh-CN"/>
        </w:rPr>
        <w:t xml:space="preserve"> </w:t>
      </w:r>
      <w:r>
        <w:rPr>
          <w:rFonts w:hint="eastAsia" w:ascii="宋体" w:hAnsi="宋体" w:eastAsia="宋体" w:cs="宋体"/>
          <w:bCs/>
          <w:i w:val="0"/>
          <w:iCs w:val="0"/>
          <w:color w:val="auto"/>
          <w:kern w:val="44"/>
          <w:szCs w:val="32"/>
          <w:highlight w:val="none"/>
          <w:lang w:val="zh-CN"/>
        </w:rPr>
        <w:t>响应文件格式</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_Toc10309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34</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val="0"/>
        <w:autoSpaceDN w:val="0"/>
        <w:bidi w:val="0"/>
        <w:spacing w:before="0" w:after="0"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_Toc19374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32"/>
          <w:highlight w:val="none"/>
          <w:lang w:val="zh-CN"/>
        </w:rPr>
        <w:t>附件一：评审工作大纲</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_Toc19374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77</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ind w:left="0"/>
        <w:textAlignment w:val="auto"/>
        <w:rPr>
          <w:rFonts w:hint="eastAsia" w:ascii="宋体" w:hAnsi="宋体" w:eastAsia="宋体" w:cs="宋体"/>
          <w:color w:val="auto"/>
          <w:highlight w:val="none"/>
        </w:rPr>
      </w:pPr>
    </w:p>
    <w:p>
      <w:pPr>
        <w:pStyle w:val="42"/>
        <w:keepNext w:val="0"/>
        <w:keepLines w:val="0"/>
        <w:pageBreakBefore w:val="0"/>
        <w:widowControl w:val="0"/>
        <w:tabs>
          <w:tab w:val="right" w:leader="dot" w:pos="9394"/>
        </w:tabs>
        <w:kinsoku/>
        <w:wordWrap/>
        <w:overflowPunct/>
        <w:topLinePunct w:val="0"/>
        <w:autoSpaceDE w:val="0"/>
        <w:autoSpaceDN w:val="0"/>
        <w:bidi w:val="0"/>
        <w:adjustRightInd/>
        <w:snapToGrid w:val="0"/>
        <w:spacing w:before="0" w:after="0" w:line="360" w:lineRule="auto"/>
        <w:ind w:left="0" w:firstLine="0" w:firstLineChars="0"/>
        <w:textAlignment w:val="auto"/>
        <w:rPr>
          <w:rFonts w:hint="eastAsia" w:ascii="宋体" w:hAnsi="宋体" w:eastAsia="宋体" w:cs="宋体"/>
          <w:b w:val="0"/>
          <w:bCs w:val="0"/>
          <w:i w:val="0"/>
          <w:iCs w:val="0"/>
          <w:caps w:val="0"/>
          <w:color w:val="auto"/>
          <w:kern w:val="2"/>
          <w:sz w:val="21"/>
          <w:szCs w:val="21"/>
          <w:highlight w:val="none"/>
        </w:rPr>
      </w:pPr>
      <w:r>
        <w:rPr>
          <w:rFonts w:hint="eastAsia" w:ascii="宋体" w:hAnsi="宋体" w:eastAsia="宋体" w:cs="宋体"/>
          <w:bCs w:val="0"/>
          <w:i w:val="0"/>
          <w:iCs w:val="0"/>
          <w:color w:val="auto"/>
          <w:sz w:val="21"/>
          <w:szCs w:val="21"/>
          <w:highlight w:val="none"/>
        </w:rPr>
        <w:fldChar w:fldCharType="end"/>
      </w:r>
      <w:r>
        <w:rPr>
          <w:rFonts w:hint="eastAsia" w:ascii="宋体" w:hAnsi="宋体" w:eastAsia="宋体" w:cs="宋体"/>
          <w:b w:val="0"/>
          <w:bCs w:val="0"/>
          <w:i w:val="0"/>
          <w:iCs w:val="0"/>
          <w:caps w:val="0"/>
          <w:color w:val="auto"/>
          <w:kern w:val="2"/>
          <w:sz w:val="21"/>
          <w:szCs w:val="21"/>
          <w:highlight w:val="none"/>
        </w:rPr>
        <w:t xml:space="preserve"> </w:t>
      </w:r>
    </w:p>
    <w:p>
      <w:pPr>
        <w:pStyle w:val="42"/>
        <w:keepNext w:val="0"/>
        <w:keepLines w:val="0"/>
        <w:pageBreakBefore w:val="0"/>
        <w:widowControl w:val="0"/>
        <w:tabs>
          <w:tab w:val="left" w:pos="851"/>
          <w:tab w:val="right" w:leader="dot" w:pos="8647"/>
          <w:tab w:val="right" w:leader="dot" w:pos="10206"/>
        </w:tabs>
        <w:kinsoku/>
        <w:wordWrap/>
        <w:overflowPunct/>
        <w:topLinePunct w:val="0"/>
        <w:autoSpaceDE w:val="0"/>
        <w:autoSpaceDN w:val="0"/>
        <w:bidi w:val="0"/>
        <w:snapToGrid/>
        <w:spacing w:before="0" w:after="0" w:line="360" w:lineRule="auto"/>
        <w:ind w:right="-50" w:rightChars="-21"/>
        <w:jc w:val="distribute"/>
        <w:textAlignment w:val="auto"/>
        <w:rPr>
          <w:rFonts w:hint="eastAsia" w:ascii="宋体" w:hAnsi="宋体" w:eastAsia="宋体" w:cs="宋体"/>
          <w:color w:val="auto"/>
          <w:sz w:val="21"/>
          <w:szCs w:val="21"/>
          <w:highlight w:val="none"/>
        </w:rPr>
      </w:pPr>
    </w:p>
    <w:p>
      <w:pPr>
        <w:pStyle w:val="2"/>
        <w:keepNext/>
        <w:keepLines/>
        <w:pageBreakBefore/>
        <w:widowControl w:val="0"/>
        <w:tabs>
          <w:tab w:val="left" w:pos="1080"/>
        </w:tabs>
        <w:kinsoku/>
        <w:wordWrap/>
        <w:overflowPunct/>
        <w:topLinePunct w:val="0"/>
        <w:autoSpaceDE w:val="0"/>
        <w:autoSpaceDN w:val="0"/>
        <w:bidi w:val="0"/>
        <w:adjustRightInd w:val="0"/>
        <w:snapToGrid/>
        <w:spacing w:line="360" w:lineRule="auto"/>
        <w:ind w:left="0" w:firstLine="0"/>
        <w:jc w:val="center"/>
        <w:textAlignment w:val="auto"/>
        <w:outlineLvl w:val="0"/>
        <w:rPr>
          <w:rFonts w:hint="eastAsia" w:ascii="宋体" w:hAnsi="宋体" w:eastAsia="宋体" w:cs="宋体"/>
          <w:b/>
          <w:bCs/>
          <w:color w:val="auto"/>
          <w:kern w:val="44"/>
          <w:sz w:val="32"/>
          <w:szCs w:val="32"/>
          <w:highlight w:val="none"/>
          <w:lang w:val="en-US" w:eastAsia="zh-CN"/>
        </w:rPr>
      </w:pPr>
      <w:bookmarkStart w:id="0" w:name="_Toc450662846"/>
      <w:bookmarkStart w:id="1" w:name="_Toc521918064"/>
      <w:bookmarkStart w:id="2" w:name="_Toc7755"/>
      <w:bookmarkStart w:id="3" w:name="_Toc18657"/>
      <w:bookmarkStart w:id="4" w:name="_Toc328"/>
      <w:r>
        <w:rPr>
          <w:rFonts w:hint="eastAsia" w:ascii="宋体" w:hAnsi="宋体" w:eastAsia="宋体" w:cs="宋体"/>
          <w:b/>
          <w:bCs/>
          <w:color w:val="auto"/>
          <w:kern w:val="44"/>
          <w:sz w:val="32"/>
          <w:szCs w:val="32"/>
          <w:highlight w:val="none"/>
          <w:lang w:val="zh-CN"/>
        </w:rPr>
        <w:t>第一篇</w:t>
      </w:r>
      <w:r>
        <w:rPr>
          <w:rFonts w:hint="eastAsia" w:ascii="宋体" w:hAnsi="宋体" w:eastAsia="宋体" w:cs="宋体"/>
          <w:b/>
          <w:bCs/>
          <w:color w:val="auto"/>
          <w:kern w:val="44"/>
          <w:sz w:val="32"/>
          <w:szCs w:val="32"/>
          <w:highlight w:val="none"/>
          <w:lang w:val="en-US" w:eastAsia="zh-CN"/>
        </w:rPr>
        <w:t xml:space="preserve"> </w:t>
      </w:r>
      <w:r>
        <w:rPr>
          <w:rFonts w:hint="eastAsia" w:ascii="宋体" w:hAnsi="宋体" w:eastAsia="宋体" w:cs="宋体"/>
          <w:b/>
          <w:bCs/>
          <w:color w:val="auto"/>
          <w:kern w:val="44"/>
          <w:sz w:val="32"/>
          <w:szCs w:val="32"/>
          <w:highlight w:val="none"/>
          <w:lang w:val="zh-CN"/>
        </w:rPr>
        <w:t>竞争性磋商</w:t>
      </w:r>
      <w:bookmarkEnd w:id="0"/>
      <w:bookmarkEnd w:id="1"/>
      <w:r>
        <w:rPr>
          <w:rFonts w:hint="eastAsia" w:ascii="宋体" w:hAnsi="宋体" w:eastAsia="宋体" w:cs="宋体"/>
          <w:b/>
          <w:bCs/>
          <w:color w:val="auto"/>
          <w:kern w:val="44"/>
          <w:sz w:val="32"/>
          <w:szCs w:val="32"/>
          <w:highlight w:val="none"/>
          <w:lang w:val="en-US" w:eastAsia="zh-CN"/>
        </w:rPr>
        <w:t>公告</w:t>
      </w:r>
      <w:bookmarkEnd w:id="2"/>
      <w:bookmarkEnd w:id="3"/>
      <w:bookmarkEnd w:id="4"/>
    </w:p>
    <w:p>
      <w:pPr>
        <w:keepNext w:val="0"/>
        <w:keepLines w:val="0"/>
        <w:pageBreakBefore w:val="0"/>
        <w:widowControl w:val="0"/>
        <w:tabs>
          <w:tab w:val="left" w:pos="0"/>
          <w:tab w:val="left" w:pos="142"/>
        </w:tabs>
        <w:kinsoku/>
        <w:wordWrap/>
        <w:overflowPunct/>
        <w:topLinePunct w:val="0"/>
        <w:autoSpaceDE w:val="0"/>
        <w:autoSpaceDN w:val="0"/>
        <w:bidi w:val="0"/>
        <w:adjustRightInd w:val="0"/>
        <w:snapToGrid/>
        <w:spacing w:line="360" w:lineRule="auto"/>
        <w:ind w:right="0" w:firstLine="0" w:firstLineChars="0"/>
        <w:jc w:val="both"/>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各潜在供应商：</w:t>
      </w:r>
    </w:p>
    <w:p>
      <w:pPr>
        <w:keepNext w:val="0"/>
        <w:keepLines w:val="0"/>
        <w:pageBreakBefore w:val="0"/>
        <w:widowControl w:val="0"/>
        <w:tabs>
          <w:tab w:val="left" w:pos="0"/>
          <w:tab w:val="left" w:pos="142"/>
        </w:tabs>
        <w:kinsoku/>
        <w:wordWrap/>
        <w:overflowPunct/>
        <w:topLinePunct w:val="0"/>
        <w:autoSpaceDE w:val="0"/>
        <w:autoSpaceDN w:val="0"/>
        <w:bidi w:val="0"/>
        <w:adjustRightInd w:val="0"/>
        <w:snapToGrid/>
        <w:spacing w:line="360" w:lineRule="auto"/>
        <w:ind w:right="0" w:firstLine="420" w:firstLineChars="200"/>
        <w:jc w:val="both"/>
        <w:textAlignment w:val="auto"/>
        <w:outlineLvl w:val="9"/>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en-US" w:eastAsia="zh-CN"/>
        </w:rPr>
        <w:t>三方诚信招标有限公司</w:t>
      </w:r>
      <w:r>
        <w:rPr>
          <w:rFonts w:hint="eastAsia" w:ascii="宋体" w:hAnsi="宋体" w:eastAsia="宋体" w:cs="宋体"/>
          <w:color w:val="auto"/>
          <w:kern w:val="2"/>
          <w:sz w:val="21"/>
          <w:szCs w:val="21"/>
          <w:highlight w:val="none"/>
          <w:lang w:val="zh-CN"/>
        </w:rPr>
        <w:t>（以下简称“采购代理机构”）受</w:t>
      </w:r>
      <w:r>
        <w:rPr>
          <w:rFonts w:hint="eastAsia" w:ascii="宋体" w:hAnsi="宋体" w:cs="宋体"/>
          <w:color w:val="auto"/>
          <w:sz w:val="21"/>
          <w:szCs w:val="21"/>
          <w:highlight w:val="none"/>
          <w:lang w:eastAsia="zh-CN"/>
        </w:rPr>
        <w:t>东莞市水务集团实业发展有限公司</w:t>
      </w:r>
      <w:r>
        <w:rPr>
          <w:rFonts w:hint="eastAsia" w:ascii="宋体" w:hAnsi="宋体" w:eastAsia="宋体" w:cs="宋体"/>
          <w:color w:val="auto"/>
          <w:kern w:val="2"/>
          <w:sz w:val="21"/>
          <w:szCs w:val="21"/>
          <w:highlight w:val="none"/>
          <w:lang w:val="zh-CN"/>
        </w:rPr>
        <w:t>（以下简称“采购人”）的委托</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lang w:val="zh-CN"/>
        </w:rPr>
        <w:t>对</w:t>
      </w:r>
      <w:r>
        <w:rPr>
          <w:rFonts w:hint="eastAsia" w:ascii="宋体" w:hAnsi="宋体" w:cs="宋体"/>
          <w:color w:val="auto"/>
          <w:kern w:val="2"/>
          <w:sz w:val="21"/>
          <w:szCs w:val="21"/>
          <w:highlight w:val="none"/>
          <w:lang w:val="zh-CN"/>
        </w:rPr>
        <w:t>东莞市水务集团实业发展有限公司审计及财税服务采购项目（</w:t>
      </w:r>
      <w:r>
        <w:rPr>
          <w:rFonts w:hint="eastAsia" w:ascii="宋体" w:hAnsi="宋体" w:eastAsia="宋体" w:cs="宋体"/>
          <w:color w:val="auto"/>
          <w:kern w:val="2"/>
          <w:sz w:val="21"/>
          <w:szCs w:val="21"/>
          <w:highlight w:val="none"/>
          <w:lang w:val="zh-CN"/>
        </w:rPr>
        <w:t>采购编号：</w:t>
      </w:r>
      <w:r>
        <w:rPr>
          <w:rFonts w:hint="eastAsia" w:ascii="宋体" w:hAnsi="宋体" w:cs="宋体"/>
          <w:color w:val="auto"/>
          <w:kern w:val="2"/>
          <w:sz w:val="21"/>
          <w:szCs w:val="21"/>
          <w:highlight w:val="none"/>
          <w:lang w:val="zh-CN"/>
        </w:rPr>
        <w:t>0832-SFCX25DG115C）</w:t>
      </w:r>
      <w:r>
        <w:rPr>
          <w:rFonts w:hint="eastAsia" w:ascii="宋体" w:hAnsi="宋体" w:eastAsia="宋体" w:cs="宋体"/>
          <w:color w:val="auto"/>
          <w:kern w:val="2"/>
          <w:sz w:val="21"/>
          <w:szCs w:val="21"/>
          <w:highlight w:val="none"/>
        </w:rPr>
        <w:t>进行竞争性磋商采购</w:t>
      </w:r>
      <w:r>
        <w:rPr>
          <w:rFonts w:hint="eastAsia" w:ascii="宋体" w:hAnsi="宋体" w:eastAsia="宋体" w:cs="宋体"/>
          <w:color w:val="auto"/>
          <w:sz w:val="21"/>
          <w:szCs w:val="32"/>
          <w:highlight w:val="none"/>
        </w:rPr>
        <w:t>，</w:t>
      </w:r>
      <w:r>
        <w:rPr>
          <w:rFonts w:hint="eastAsia" w:ascii="宋体" w:hAnsi="宋体" w:eastAsia="宋体" w:cs="宋体"/>
          <w:color w:val="auto"/>
          <w:kern w:val="2"/>
          <w:sz w:val="21"/>
          <w:szCs w:val="21"/>
          <w:highlight w:val="none"/>
          <w:lang w:val="zh-CN"/>
        </w:rPr>
        <w:t>欢迎合格供应商就本项目提交密封</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w:t>
      </w:r>
    </w:p>
    <w:p>
      <w:pPr>
        <w:tabs>
          <w:tab w:val="left" w:pos="0"/>
          <w:tab w:val="left" w:pos="142"/>
        </w:tabs>
        <w:spacing w:line="360" w:lineRule="auto"/>
        <w:ind w:left="-142" w:right="-34"/>
        <w:jc w:val="both"/>
        <w:outlineLvl w:val="9"/>
        <w:rPr>
          <w:rFonts w:hint="eastAsia" w:ascii="宋体" w:hAnsi="宋体" w:eastAsia="宋体" w:cs="宋体"/>
          <w:color w:val="auto"/>
          <w:kern w:val="2"/>
          <w:sz w:val="21"/>
          <w:szCs w:val="21"/>
          <w:highlight w:val="none"/>
          <w:lang w:val="zh-CN"/>
        </w:rPr>
      </w:pPr>
    </w:p>
    <w:p>
      <w:pPr>
        <w:tabs>
          <w:tab w:val="left" w:pos="0"/>
        </w:tabs>
        <w:spacing w:line="360" w:lineRule="auto"/>
        <w:ind w:left="-2" w:leftChars="-59" w:right="-34" w:hanging="140" w:hangingChars="67"/>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 xml:space="preserve">1  </w:t>
      </w:r>
      <w:r>
        <w:rPr>
          <w:rFonts w:hint="eastAsia" w:ascii="宋体" w:hAnsi="宋体" w:eastAsia="宋体" w:cs="宋体"/>
          <w:color w:val="auto"/>
          <w:kern w:val="2"/>
          <w:sz w:val="21"/>
          <w:szCs w:val="21"/>
          <w:highlight w:val="none"/>
          <w:lang w:val="zh-CN"/>
        </w:rPr>
        <w:t>邀请合格</w:t>
      </w:r>
      <w:r>
        <w:rPr>
          <w:rFonts w:hint="eastAsia" w:ascii="宋体" w:hAnsi="宋体" w:eastAsia="宋体" w:cs="宋体"/>
          <w:bCs/>
          <w:color w:val="auto"/>
          <w:kern w:val="2"/>
          <w:sz w:val="21"/>
          <w:szCs w:val="21"/>
          <w:highlight w:val="none"/>
          <w:lang w:val="zh-CN"/>
        </w:rPr>
        <w:t>供应商</w:t>
      </w:r>
      <w:r>
        <w:rPr>
          <w:rFonts w:hint="eastAsia" w:ascii="宋体" w:hAnsi="宋体" w:eastAsia="宋体" w:cs="宋体"/>
          <w:color w:val="auto"/>
          <w:kern w:val="2"/>
          <w:sz w:val="21"/>
          <w:szCs w:val="21"/>
          <w:highlight w:val="none"/>
          <w:lang w:val="zh-CN"/>
        </w:rPr>
        <w:t>就本次</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范围内容提交</w:t>
      </w:r>
      <w:r>
        <w:rPr>
          <w:rFonts w:hint="eastAsia" w:ascii="宋体" w:hAnsi="宋体" w:eastAsia="宋体" w:cs="宋体"/>
          <w:color w:val="auto"/>
          <w:kern w:val="2"/>
          <w:sz w:val="21"/>
          <w:szCs w:val="21"/>
          <w:highlight w:val="none"/>
        </w:rPr>
        <w:t>响应文件</w:t>
      </w:r>
      <w:r>
        <w:rPr>
          <w:rFonts w:hint="eastAsia" w:ascii="宋体" w:hAnsi="宋体" w:eastAsia="宋体" w:cs="宋体"/>
          <w:color w:val="auto"/>
          <w:sz w:val="21"/>
          <w:szCs w:val="21"/>
          <w:highlight w:val="none"/>
        </w:rPr>
        <w:t>：</w:t>
      </w:r>
    </w:p>
    <w:p>
      <w:pPr>
        <w:tabs>
          <w:tab w:val="left" w:pos="0"/>
        </w:tabs>
        <w:spacing w:line="360" w:lineRule="auto"/>
        <w:ind w:left="281" w:leftChars="117" w:right="-34"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审计及财税服务采购项目，服务范围包括：根据采购人要求对智汇公司进行</w:t>
      </w:r>
      <w:bookmarkStart w:id="5" w:name="OLE_LINK3"/>
      <w:r>
        <w:rPr>
          <w:rFonts w:hint="eastAsia" w:ascii="宋体" w:hAnsi="宋体" w:eastAsia="宋体" w:cs="宋体"/>
          <w:color w:val="auto"/>
          <w:sz w:val="21"/>
          <w:szCs w:val="21"/>
          <w:highlight w:val="none"/>
        </w:rPr>
        <w:t>净资产审计服务、清算审计服务及财税咨询服务</w:t>
      </w:r>
      <w:bookmarkEnd w:id="5"/>
      <w:r>
        <w:rPr>
          <w:rFonts w:hint="eastAsia" w:ascii="宋体" w:hAnsi="宋体" w:eastAsia="宋体" w:cs="宋体"/>
          <w:color w:val="auto"/>
          <w:sz w:val="21"/>
          <w:szCs w:val="21"/>
          <w:highlight w:val="none"/>
        </w:rPr>
        <w:t>等，并出具专项咨询报告。（详见第三篇用户需求书。）</w:t>
      </w:r>
    </w:p>
    <w:p>
      <w:pPr>
        <w:tabs>
          <w:tab w:val="left" w:pos="0"/>
        </w:tabs>
        <w:spacing w:line="360" w:lineRule="auto"/>
        <w:ind w:left="-2" w:leftChars="-59" w:right="-34" w:hanging="140" w:hangingChars="67"/>
        <w:jc w:val="both"/>
        <w:outlineLvl w:val="9"/>
        <w:rPr>
          <w:rFonts w:hint="eastAsia" w:ascii="宋体" w:hAnsi="宋体" w:eastAsia="宋体" w:cs="宋体"/>
          <w:color w:val="auto"/>
          <w:kern w:val="2"/>
          <w:sz w:val="21"/>
          <w:szCs w:val="21"/>
          <w:highlight w:val="none"/>
        </w:rPr>
      </w:pPr>
    </w:p>
    <w:p>
      <w:pPr>
        <w:tabs>
          <w:tab w:val="left" w:pos="0"/>
        </w:tabs>
        <w:spacing w:line="360" w:lineRule="auto"/>
        <w:ind w:left="-2" w:leftChars="-59" w:right="-34" w:hanging="140" w:hangingChars="67"/>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bCs/>
          <w:color w:val="auto"/>
          <w:kern w:val="2"/>
          <w:sz w:val="21"/>
          <w:szCs w:val="21"/>
          <w:highlight w:val="none"/>
        </w:rPr>
        <w:t>合格供应商资格</w:t>
      </w:r>
      <w:r>
        <w:rPr>
          <w:rFonts w:hint="eastAsia" w:ascii="宋体" w:hAnsi="宋体" w:eastAsia="宋体" w:cs="宋体"/>
          <w:bCs/>
          <w:color w:val="auto"/>
          <w:kern w:val="2"/>
          <w:sz w:val="21"/>
          <w:szCs w:val="21"/>
          <w:highlight w:val="none"/>
          <w:lang w:val="en-US" w:eastAsia="zh-CN"/>
        </w:rPr>
        <w:t>要求</w:t>
      </w:r>
      <w:r>
        <w:rPr>
          <w:rFonts w:hint="eastAsia" w:ascii="宋体" w:hAnsi="宋体" w:eastAsia="宋体" w:cs="宋体"/>
          <w:color w:val="auto"/>
          <w:kern w:val="2"/>
          <w:sz w:val="21"/>
          <w:szCs w:val="21"/>
          <w:highlight w:val="none"/>
          <w:lang w:val="zh-CN"/>
        </w:rPr>
        <w:t>：</w:t>
      </w:r>
    </w:p>
    <w:p>
      <w:pPr>
        <w:tabs>
          <w:tab w:val="left" w:pos="0"/>
        </w:tabs>
        <w:spacing w:line="360" w:lineRule="auto"/>
        <w:ind w:left="280" w:leftChars="-59" w:right="-34" w:hanging="422" w:hangingChars="200"/>
        <w:jc w:val="both"/>
        <w:outlineLvl w:val="9"/>
        <w:rPr>
          <w:rFonts w:hint="eastAsia" w:ascii="宋体" w:hAnsi="宋体" w:eastAsia="宋体" w:cs="宋体"/>
          <w:b/>
          <w:bCs/>
          <w:color w:val="auto"/>
          <w:kern w:val="2"/>
          <w:sz w:val="21"/>
          <w:szCs w:val="21"/>
          <w:highlight w:val="none"/>
          <w:lang w:val="zh-CN" w:eastAsia="zh-CN"/>
        </w:rPr>
      </w:pPr>
      <w:r>
        <w:rPr>
          <w:rFonts w:hint="eastAsia" w:ascii="宋体" w:hAnsi="宋体" w:eastAsia="宋体" w:cs="宋体"/>
          <w:b/>
          <w:bCs/>
          <w:color w:val="auto"/>
          <w:sz w:val="21"/>
          <w:szCs w:val="21"/>
          <w:highlight w:val="none"/>
          <w:lang w:val="zh-CN"/>
        </w:rPr>
        <w:t>2.1</w:t>
      </w:r>
      <w:r>
        <w:rPr>
          <w:rFonts w:hint="eastAsia" w:ascii="宋体" w:hAnsi="宋体" w:eastAsia="宋体" w:cs="宋体"/>
          <w:b/>
          <w:bCs/>
          <w:color w:val="auto"/>
          <w:kern w:val="2"/>
          <w:sz w:val="21"/>
          <w:szCs w:val="21"/>
          <w:highlight w:val="none"/>
          <w:lang w:val="zh-CN"/>
        </w:rPr>
        <w:t xml:space="preserve"> 在中华人民共和国境内</w:t>
      </w:r>
      <w:r>
        <w:rPr>
          <w:rFonts w:hint="eastAsia" w:ascii="宋体" w:hAnsi="宋体" w:eastAsia="宋体" w:cs="宋体"/>
          <w:b/>
          <w:bCs/>
          <w:color w:val="auto"/>
          <w:kern w:val="2"/>
          <w:sz w:val="21"/>
          <w:szCs w:val="21"/>
          <w:highlight w:val="none"/>
          <w:lang w:val="zh-CN" w:eastAsia="zh-CN"/>
        </w:rPr>
        <w:t>登记</w:t>
      </w:r>
      <w:r>
        <w:rPr>
          <w:rFonts w:hint="eastAsia" w:ascii="宋体" w:hAnsi="宋体" w:eastAsia="宋体" w:cs="宋体"/>
          <w:b/>
          <w:bCs/>
          <w:color w:val="auto"/>
          <w:kern w:val="2"/>
          <w:sz w:val="21"/>
          <w:szCs w:val="21"/>
          <w:highlight w:val="none"/>
          <w:lang w:val="zh-CN"/>
        </w:rPr>
        <w:t>注册的、合法存续、正常经营且具有独立承担民事责任能力的法人或其他组织</w:t>
      </w:r>
      <w:r>
        <w:rPr>
          <w:rFonts w:hint="eastAsia" w:ascii="宋体" w:hAnsi="宋体" w:eastAsia="宋体" w:cs="宋体"/>
          <w:b/>
          <w:bCs/>
          <w:color w:val="auto"/>
          <w:kern w:val="2"/>
          <w:sz w:val="21"/>
          <w:szCs w:val="21"/>
          <w:highlight w:val="none"/>
          <w:lang w:val="en-US" w:eastAsia="zh-CN"/>
        </w:rPr>
        <w:t>；</w:t>
      </w:r>
    </w:p>
    <w:p>
      <w:pPr>
        <w:tabs>
          <w:tab w:val="left" w:pos="0"/>
        </w:tabs>
        <w:spacing w:line="360" w:lineRule="auto"/>
        <w:ind w:left="280" w:leftChars="-59" w:right="-34" w:hanging="422" w:hangingChars="200"/>
        <w:jc w:val="both"/>
        <w:outlineLvl w:val="9"/>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sz w:val="21"/>
          <w:szCs w:val="21"/>
          <w:highlight w:val="none"/>
          <w:lang w:val="zh-CN"/>
        </w:rPr>
        <w:t>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kern w:val="2"/>
          <w:sz w:val="21"/>
          <w:szCs w:val="21"/>
          <w:highlight w:val="none"/>
          <w:lang w:val="zh-CN"/>
        </w:rPr>
        <w:t xml:space="preserve"> 供应商须具备行政主管部门颁发有效的会计师事务所执业证书</w:t>
      </w:r>
      <w:r>
        <w:rPr>
          <w:rFonts w:hint="eastAsia" w:ascii="宋体" w:hAnsi="宋体" w:eastAsia="宋体" w:cs="宋体"/>
          <w:color w:val="auto"/>
          <w:highlight w:val="none"/>
          <w:lang w:val="en-US" w:eastAsia="zh-CN"/>
        </w:rPr>
        <w:t>；</w:t>
      </w:r>
    </w:p>
    <w:p>
      <w:pPr>
        <w:tabs>
          <w:tab w:val="left" w:pos="0"/>
        </w:tabs>
        <w:spacing w:line="360" w:lineRule="auto"/>
        <w:ind w:left="280" w:leftChars="-59" w:right="-34" w:hanging="422" w:hangingChars="200"/>
        <w:jc w:val="both"/>
        <w:outlineLvl w:val="9"/>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2.3 供应商2022年1月1日以来具有一份资产审计服务项目业绩</w:t>
      </w:r>
      <w:r>
        <w:rPr>
          <w:rFonts w:hint="eastAsia" w:ascii="宋体" w:hAnsi="宋体" w:cs="宋体"/>
          <w:b/>
          <w:bCs/>
          <w:color w:val="auto"/>
          <w:kern w:val="2"/>
          <w:sz w:val="21"/>
          <w:szCs w:val="21"/>
          <w:highlight w:val="none"/>
          <w:lang w:val="en-US" w:eastAsia="zh-CN"/>
        </w:rPr>
        <w:t>或</w:t>
      </w:r>
      <w:r>
        <w:rPr>
          <w:rFonts w:hint="eastAsia" w:ascii="宋体" w:hAnsi="宋体" w:eastAsia="宋体" w:cs="宋体"/>
          <w:b/>
          <w:bCs/>
          <w:color w:val="auto"/>
          <w:kern w:val="2"/>
          <w:sz w:val="21"/>
          <w:szCs w:val="21"/>
          <w:highlight w:val="none"/>
          <w:lang w:val="en-US" w:eastAsia="zh-CN"/>
        </w:rPr>
        <w:t>一份企业清算审计服务项目业绩</w:t>
      </w:r>
      <w:r>
        <w:rPr>
          <w:rFonts w:hint="eastAsia" w:ascii="宋体" w:hAnsi="宋体" w:cs="宋体"/>
          <w:b/>
          <w:bCs/>
          <w:color w:val="auto"/>
          <w:kern w:val="2"/>
          <w:sz w:val="21"/>
          <w:szCs w:val="21"/>
          <w:highlight w:val="none"/>
          <w:lang w:val="en-US" w:eastAsia="zh-CN"/>
        </w:rPr>
        <w:t>或</w:t>
      </w:r>
      <w:r>
        <w:rPr>
          <w:rFonts w:hint="eastAsia" w:ascii="宋体" w:hAnsi="宋体" w:eastAsia="宋体" w:cs="宋体"/>
          <w:b/>
          <w:bCs/>
          <w:color w:val="auto"/>
          <w:kern w:val="2"/>
          <w:sz w:val="21"/>
          <w:szCs w:val="21"/>
          <w:highlight w:val="none"/>
          <w:lang w:val="en-US" w:eastAsia="zh-CN"/>
        </w:rPr>
        <w:t>一份财税咨询服务项目业绩</w:t>
      </w:r>
      <w:r>
        <w:rPr>
          <w:rFonts w:hint="eastAsia" w:ascii="宋体" w:hAnsi="宋体" w:cs="宋体"/>
          <w:b/>
          <w:bCs/>
          <w:color w:val="auto"/>
          <w:kern w:val="2"/>
          <w:sz w:val="21"/>
          <w:szCs w:val="21"/>
          <w:highlight w:val="none"/>
          <w:lang w:val="en-US" w:eastAsia="zh-CN"/>
        </w:rPr>
        <w:t>（</w:t>
      </w:r>
      <w:r>
        <w:rPr>
          <w:rFonts w:hint="eastAsia" w:ascii="宋体" w:hAnsi="宋体" w:eastAsia="宋体" w:cs="宋体"/>
          <w:b/>
          <w:bCs/>
          <w:color w:val="auto"/>
          <w:kern w:val="2"/>
          <w:sz w:val="21"/>
          <w:szCs w:val="21"/>
          <w:highlight w:val="none"/>
          <w:lang w:val="en-US" w:eastAsia="zh-CN"/>
        </w:rPr>
        <w:t>合同签订时间为2022年1月1日或以后）</w:t>
      </w:r>
      <w:r>
        <w:rPr>
          <w:rFonts w:hint="eastAsia" w:ascii="宋体" w:hAnsi="宋体" w:eastAsia="宋体" w:cs="宋体"/>
          <w:b/>
          <w:bCs/>
          <w:color w:val="auto"/>
          <w:sz w:val="21"/>
          <w:szCs w:val="21"/>
          <w:highlight w:val="none"/>
          <w:lang w:val="en-US" w:eastAsia="zh-CN"/>
        </w:rPr>
        <w:t>；</w:t>
      </w:r>
    </w:p>
    <w:p>
      <w:pPr>
        <w:tabs>
          <w:tab w:val="left" w:pos="0"/>
        </w:tabs>
        <w:spacing w:line="360" w:lineRule="auto"/>
        <w:ind w:left="280" w:leftChars="-59" w:right="-34" w:hanging="422" w:hangingChars="200"/>
        <w:jc w:val="both"/>
        <w:outlineLvl w:val="9"/>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2.</w:t>
      </w:r>
      <w:r>
        <w:rPr>
          <w:rFonts w:hint="eastAsia" w:ascii="宋体" w:hAnsi="宋体" w:eastAsia="宋体" w:cs="宋体"/>
          <w:b/>
          <w:bCs/>
          <w:color w:val="auto"/>
          <w:kern w:val="2"/>
          <w:sz w:val="21"/>
          <w:szCs w:val="21"/>
          <w:highlight w:val="none"/>
          <w:lang w:val="en-US" w:eastAsia="zh-CN"/>
        </w:rPr>
        <w:t>4</w:t>
      </w:r>
      <w:r>
        <w:rPr>
          <w:rFonts w:hint="eastAsia" w:ascii="宋体" w:hAnsi="宋体" w:eastAsia="宋体" w:cs="宋体"/>
          <w:b/>
          <w:bCs/>
          <w:color w:val="auto"/>
          <w:kern w:val="2"/>
          <w:sz w:val="21"/>
          <w:szCs w:val="21"/>
          <w:highlight w:val="none"/>
          <w:lang w:val="zh-CN"/>
        </w:rPr>
        <w:t xml:space="preserve"> 本项目不接受联合体</w:t>
      </w:r>
      <w:r>
        <w:rPr>
          <w:rFonts w:hint="eastAsia" w:ascii="宋体" w:hAnsi="宋体" w:eastAsia="宋体" w:cs="宋体"/>
          <w:b/>
          <w:bCs/>
          <w:color w:val="auto"/>
          <w:kern w:val="2"/>
          <w:sz w:val="21"/>
          <w:szCs w:val="21"/>
          <w:highlight w:val="none"/>
        </w:rPr>
        <w:t>磋商</w:t>
      </w:r>
      <w:r>
        <w:rPr>
          <w:rFonts w:hint="eastAsia" w:ascii="宋体" w:hAnsi="宋体" w:eastAsia="宋体" w:cs="宋体"/>
          <w:b/>
          <w:bCs/>
          <w:color w:val="auto"/>
          <w:kern w:val="2"/>
          <w:sz w:val="21"/>
          <w:szCs w:val="21"/>
          <w:highlight w:val="none"/>
          <w:lang w:val="zh-CN"/>
        </w:rPr>
        <w:t>。</w:t>
      </w:r>
    </w:p>
    <w:p>
      <w:pPr>
        <w:numPr>
          <w:ilvl w:val="0"/>
          <w:numId w:val="0"/>
        </w:numPr>
        <w:tabs>
          <w:tab w:val="left" w:pos="0"/>
          <w:tab w:val="left" w:pos="360"/>
        </w:tabs>
        <w:autoSpaceDE/>
        <w:autoSpaceDN/>
        <w:adjustRightInd/>
        <w:spacing w:line="360" w:lineRule="auto"/>
        <w:ind w:left="278" w:leftChars="-59" w:right="-34" w:hanging="420" w:hangingChars="200"/>
        <w:jc w:val="both"/>
        <w:outlineLvl w:val="9"/>
        <w:rPr>
          <w:rFonts w:hint="eastAsia" w:ascii="宋体" w:hAnsi="宋体" w:eastAsia="宋体" w:cs="宋体"/>
          <w:color w:val="auto"/>
          <w:kern w:val="2"/>
          <w:sz w:val="21"/>
          <w:szCs w:val="21"/>
          <w:highlight w:val="none"/>
          <w:lang w:val="zh-CN"/>
        </w:rPr>
      </w:pPr>
    </w:p>
    <w:p>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173" w:leftChars="-59" w:right="-34" w:hanging="315" w:hangingChars="150"/>
        <w:jc w:val="both"/>
        <w:textAlignment w:val="auto"/>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磋商</w:t>
      </w:r>
      <w:r>
        <w:rPr>
          <w:rFonts w:hint="eastAsia" w:ascii="宋体" w:hAnsi="宋体" w:eastAsia="宋体" w:cs="宋体"/>
          <w:color w:val="auto"/>
          <w:kern w:val="2"/>
          <w:sz w:val="21"/>
          <w:szCs w:val="21"/>
          <w:highlight w:val="none"/>
          <w:lang w:val="zh-CN"/>
        </w:rPr>
        <w:t>文件获取方式：本项目采用“不记名网上下载”的方式发布竞争性磋商文件，有意向的供应商可于本项目递交响应文件截止时间前，在本项目</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信息发布媒介</w:t>
      </w:r>
      <w:r>
        <w:rPr>
          <w:rFonts w:hint="eastAsia" w:ascii="宋体" w:hAnsi="宋体" w:eastAsia="宋体" w:cs="宋体"/>
          <w:color w:val="auto"/>
          <w:kern w:val="2"/>
          <w:sz w:val="21"/>
          <w:szCs w:val="21"/>
          <w:highlight w:val="none"/>
          <w:lang w:val="zh-CN" w:eastAsia="zh-CN"/>
        </w:rPr>
        <w:t>【</w:t>
      </w:r>
      <w:r>
        <w:rPr>
          <w:rFonts w:hint="eastAsia" w:ascii="宋体" w:hAnsi="宋体" w:eastAsia="宋体" w:cs="宋体"/>
          <w:color w:val="auto"/>
          <w:kern w:val="2"/>
          <w:sz w:val="21"/>
          <w:szCs w:val="21"/>
          <w:highlight w:val="none"/>
          <w:lang w:val="zh-CN"/>
        </w:rPr>
        <w:t>详见本竞争性磋商公告第7点（除中国招标投标公共服务平台外）</w:t>
      </w:r>
      <w:r>
        <w:rPr>
          <w:rFonts w:hint="eastAsia" w:ascii="宋体" w:hAnsi="宋体" w:eastAsia="宋体" w:cs="宋体"/>
          <w:color w:val="auto"/>
          <w:kern w:val="2"/>
          <w:sz w:val="21"/>
          <w:szCs w:val="21"/>
          <w:highlight w:val="none"/>
          <w:lang w:val="zh-CN" w:eastAsia="zh-CN"/>
        </w:rPr>
        <w:t>】</w:t>
      </w:r>
      <w:r>
        <w:rPr>
          <w:rFonts w:hint="eastAsia" w:ascii="宋体" w:hAnsi="宋体" w:eastAsia="宋体" w:cs="宋体"/>
          <w:color w:val="auto"/>
          <w:kern w:val="2"/>
          <w:sz w:val="21"/>
          <w:szCs w:val="21"/>
          <w:highlight w:val="none"/>
          <w:lang w:val="zh-CN"/>
        </w:rPr>
        <w:t>下载竞争性磋商文件【</w:t>
      </w:r>
      <w:r>
        <w:rPr>
          <w:rFonts w:hint="eastAsia" w:ascii="宋体" w:hAnsi="宋体" w:eastAsia="宋体" w:cs="宋体"/>
          <w:color w:val="auto"/>
          <w:kern w:val="2"/>
          <w:sz w:val="21"/>
          <w:szCs w:val="21"/>
          <w:highlight w:val="none"/>
          <w:lang w:val="zh-CN" w:eastAsia="zh-CN"/>
        </w:rPr>
        <w:t>本竞争性磋商公告第7点</w:t>
      </w:r>
      <w:r>
        <w:rPr>
          <w:rFonts w:hint="eastAsia" w:ascii="宋体" w:hAnsi="宋体" w:eastAsia="宋体" w:cs="宋体"/>
          <w:color w:val="auto"/>
          <w:kern w:val="2"/>
          <w:sz w:val="21"/>
          <w:szCs w:val="21"/>
          <w:highlight w:val="none"/>
          <w:lang w:val="zh-CN"/>
        </w:rPr>
        <w:t>媒介</w:t>
      </w:r>
      <w:r>
        <w:rPr>
          <w:rFonts w:hint="eastAsia" w:ascii="宋体" w:hAnsi="宋体" w:eastAsia="宋体" w:cs="宋体"/>
          <w:color w:val="auto"/>
          <w:kern w:val="2"/>
          <w:sz w:val="21"/>
          <w:szCs w:val="21"/>
          <w:highlight w:val="none"/>
          <w:lang w:val="zh-CN" w:eastAsia="zh-CN"/>
        </w:rPr>
        <w:t>发布竞争性磋商文件不一致时，以</w:t>
      </w:r>
      <w:r>
        <w:rPr>
          <w:rFonts w:hint="eastAsia" w:ascii="宋体" w:hAnsi="宋体" w:eastAsia="宋体" w:cs="宋体"/>
          <w:color w:val="auto"/>
          <w:kern w:val="2"/>
          <w:sz w:val="21"/>
          <w:szCs w:val="21"/>
          <w:highlight w:val="none"/>
          <w:lang w:val="zh-CN"/>
        </w:rPr>
        <w:t>东莞市水务集团有限公司网（www.dgswjt.cn）</w:t>
      </w:r>
      <w:r>
        <w:rPr>
          <w:rFonts w:hint="eastAsia" w:ascii="宋体" w:hAnsi="宋体" w:eastAsia="宋体" w:cs="宋体"/>
          <w:color w:val="auto"/>
          <w:kern w:val="2"/>
          <w:sz w:val="21"/>
          <w:szCs w:val="21"/>
          <w:highlight w:val="none"/>
          <w:lang w:val="zh-CN" w:eastAsia="zh-CN"/>
        </w:rPr>
        <w:t>发布的竞争性磋商文件为准</w:t>
      </w:r>
      <w:r>
        <w:rPr>
          <w:rFonts w:hint="eastAsia" w:ascii="宋体" w:hAnsi="宋体" w:eastAsia="宋体" w:cs="宋体"/>
          <w:color w:val="auto"/>
          <w:kern w:val="2"/>
          <w:sz w:val="21"/>
          <w:szCs w:val="21"/>
          <w:highlight w:val="none"/>
          <w:lang w:val="zh-CN"/>
        </w:rPr>
        <w:t>】。</w:t>
      </w:r>
    </w:p>
    <w:p>
      <w:pPr>
        <w:tabs>
          <w:tab w:val="left" w:pos="0"/>
        </w:tabs>
        <w:spacing w:line="360" w:lineRule="auto"/>
        <w:ind w:left="-2" w:leftChars="-59" w:right="-34" w:hanging="140" w:hangingChars="67"/>
        <w:jc w:val="both"/>
        <w:outlineLvl w:val="9"/>
        <w:rPr>
          <w:rFonts w:hint="eastAsia" w:ascii="宋体" w:hAnsi="宋体" w:eastAsia="宋体" w:cs="宋体"/>
          <w:color w:val="auto"/>
          <w:kern w:val="2"/>
          <w:sz w:val="21"/>
          <w:szCs w:val="21"/>
          <w:highlight w:val="none"/>
          <w:lang w:val="zh-CN"/>
        </w:rPr>
      </w:pPr>
    </w:p>
    <w:p>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173" w:leftChars="-59" w:right="-34" w:hanging="315" w:hangingChars="150"/>
        <w:jc w:val="both"/>
        <w:textAlignment w:val="auto"/>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采购代理机构在递交响应文件截止时间前通过“信用中国”网站（ www.creditchina.gov.cn）查询供应商（含其不具有独立法人资格的分支机构）信用记录。采购代理机构对供应商信用记录进行甄别，对列入失信被执行人、重大税收违法失信主体、政府采购严重违法失信行为记录名单的供应商，做好相关记录（处罚期限届满的除外）。</w:t>
      </w:r>
    </w:p>
    <w:p>
      <w:pPr>
        <w:tabs>
          <w:tab w:val="left" w:pos="284"/>
        </w:tabs>
        <w:spacing w:line="360" w:lineRule="auto"/>
        <w:ind w:left="139" w:leftChars="-59" w:right="-34" w:hanging="281" w:hangingChars="134"/>
        <w:jc w:val="both"/>
        <w:outlineLvl w:val="9"/>
        <w:rPr>
          <w:rFonts w:hint="eastAsia" w:ascii="宋体" w:hAnsi="宋体" w:eastAsia="宋体" w:cs="宋体"/>
          <w:color w:val="auto"/>
          <w:kern w:val="2"/>
          <w:sz w:val="21"/>
          <w:szCs w:val="21"/>
          <w:highlight w:val="none"/>
          <w:lang w:val="zh-CN"/>
        </w:rPr>
      </w:pPr>
    </w:p>
    <w:p>
      <w:pPr>
        <w:tabs>
          <w:tab w:val="left" w:pos="0"/>
        </w:tabs>
        <w:spacing w:line="360" w:lineRule="auto"/>
        <w:ind w:left="-1" w:leftChars="-59" w:right="-34" w:hanging="141" w:hangingChars="67"/>
        <w:jc w:val="both"/>
        <w:outlineLvl w:val="9"/>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5</w:t>
      </w:r>
      <w:r>
        <w:rPr>
          <w:rFonts w:hint="eastAsia" w:ascii="宋体" w:hAnsi="宋体" w:eastAsia="宋体" w:cs="宋体"/>
          <w:b/>
          <w:bCs/>
          <w:color w:val="auto"/>
          <w:kern w:val="2"/>
          <w:sz w:val="21"/>
          <w:szCs w:val="21"/>
          <w:highlight w:val="none"/>
          <w:lang w:val="en-US" w:eastAsia="zh-CN"/>
        </w:rPr>
        <w:t xml:space="preserve">  磋商</w:t>
      </w:r>
      <w:r>
        <w:rPr>
          <w:rFonts w:hint="eastAsia" w:ascii="宋体" w:hAnsi="宋体" w:eastAsia="宋体" w:cs="宋体"/>
          <w:b/>
          <w:bCs/>
          <w:color w:val="auto"/>
          <w:kern w:val="2"/>
          <w:sz w:val="21"/>
          <w:szCs w:val="21"/>
          <w:highlight w:val="none"/>
          <w:lang w:val="zh-CN"/>
        </w:rPr>
        <w:t>时间及地点：</w:t>
      </w:r>
    </w:p>
    <w:p>
      <w:pPr>
        <w:tabs>
          <w:tab w:val="left" w:pos="0"/>
        </w:tabs>
        <w:spacing w:line="360" w:lineRule="auto"/>
        <w:ind w:left="-1" w:leftChars="-59" w:right="-34" w:hanging="141" w:hangingChars="67"/>
        <w:jc w:val="both"/>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zh-CN"/>
        </w:rPr>
        <w:t>5.1 响应文件递交时间：</w:t>
      </w:r>
      <w:r>
        <w:rPr>
          <w:rFonts w:hint="eastAsia" w:ascii="宋体" w:hAnsi="宋体" w:eastAsia="宋体" w:cs="宋体"/>
          <w:b/>
          <w:bCs/>
          <w:color w:val="auto"/>
          <w:kern w:val="2"/>
          <w:sz w:val="21"/>
          <w:szCs w:val="21"/>
          <w:highlight w:val="none"/>
          <w:u w:val="single"/>
          <w:lang w:val="zh-CN"/>
        </w:rPr>
        <w:t>202</w:t>
      </w:r>
      <w:r>
        <w:rPr>
          <w:rFonts w:hint="eastAsia" w:ascii="宋体" w:hAnsi="宋体" w:eastAsia="宋体" w:cs="宋体"/>
          <w:b/>
          <w:bCs/>
          <w:color w:val="auto"/>
          <w:kern w:val="2"/>
          <w:sz w:val="21"/>
          <w:szCs w:val="21"/>
          <w:highlight w:val="none"/>
          <w:u w:val="single"/>
          <w:lang w:val="en-US" w:eastAsia="zh-CN"/>
        </w:rPr>
        <w:t>5</w:t>
      </w:r>
      <w:r>
        <w:rPr>
          <w:rFonts w:hint="eastAsia" w:ascii="宋体" w:hAnsi="宋体" w:eastAsia="宋体" w:cs="宋体"/>
          <w:b/>
          <w:bCs/>
          <w:color w:val="auto"/>
          <w:kern w:val="2"/>
          <w:sz w:val="21"/>
          <w:szCs w:val="21"/>
          <w:highlight w:val="none"/>
          <w:lang w:val="zh-CN"/>
        </w:rPr>
        <w:t>年</w:t>
      </w:r>
      <w:r>
        <w:rPr>
          <w:rFonts w:hint="eastAsia" w:ascii="宋体" w:hAnsi="宋体" w:cs="宋体"/>
          <w:b/>
          <w:bCs/>
          <w:color w:val="auto"/>
          <w:kern w:val="2"/>
          <w:sz w:val="21"/>
          <w:szCs w:val="21"/>
          <w:highlight w:val="none"/>
          <w:u w:val="single"/>
          <w:lang w:val="en-US" w:eastAsia="zh-CN"/>
        </w:rPr>
        <w:t xml:space="preserve"> 8 </w:t>
      </w:r>
      <w:r>
        <w:rPr>
          <w:rFonts w:hint="eastAsia" w:ascii="宋体" w:hAnsi="宋体" w:eastAsia="宋体" w:cs="宋体"/>
          <w:b/>
          <w:bCs/>
          <w:color w:val="auto"/>
          <w:kern w:val="2"/>
          <w:sz w:val="21"/>
          <w:szCs w:val="21"/>
          <w:highlight w:val="none"/>
          <w:lang w:val="zh-CN"/>
        </w:rPr>
        <w:t>月</w:t>
      </w:r>
      <w:r>
        <w:rPr>
          <w:rFonts w:hint="eastAsia" w:ascii="宋体" w:hAnsi="宋体" w:cs="宋体"/>
          <w:b/>
          <w:bCs/>
          <w:color w:val="auto"/>
          <w:kern w:val="2"/>
          <w:sz w:val="21"/>
          <w:szCs w:val="21"/>
          <w:highlight w:val="none"/>
          <w:u w:val="single"/>
          <w:lang w:val="en-US" w:eastAsia="zh-CN"/>
        </w:rPr>
        <w:t xml:space="preserve"> 25 </w:t>
      </w:r>
      <w:r>
        <w:rPr>
          <w:rFonts w:hint="eastAsia" w:ascii="宋体" w:hAnsi="宋体" w:eastAsia="宋体" w:cs="宋体"/>
          <w:b/>
          <w:bCs/>
          <w:color w:val="auto"/>
          <w:kern w:val="2"/>
          <w:sz w:val="21"/>
          <w:szCs w:val="21"/>
          <w:highlight w:val="none"/>
          <w:lang w:val="zh-CN"/>
        </w:rPr>
        <w:t>日</w:t>
      </w:r>
      <w:r>
        <w:rPr>
          <w:rFonts w:hint="eastAsia" w:ascii="宋体" w:hAnsi="宋体" w:eastAsia="宋体" w:cs="宋体"/>
          <w:b/>
          <w:bCs/>
          <w:color w:val="auto"/>
          <w:kern w:val="2"/>
          <w:sz w:val="21"/>
          <w:szCs w:val="21"/>
          <w:highlight w:val="none"/>
          <w:u w:val="single"/>
          <w:lang w:val="en-US" w:eastAsia="zh-CN"/>
        </w:rPr>
        <w:t>14</w:t>
      </w:r>
      <w:r>
        <w:rPr>
          <w:rFonts w:hint="eastAsia" w:ascii="宋体" w:hAnsi="宋体" w:eastAsia="宋体" w:cs="宋体"/>
          <w:b/>
          <w:bCs/>
          <w:color w:val="auto"/>
          <w:kern w:val="2"/>
          <w:sz w:val="21"/>
          <w:szCs w:val="21"/>
          <w:highlight w:val="none"/>
          <w:u w:val="single"/>
        </w:rPr>
        <w:t>：</w:t>
      </w:r>
      <w:r>
        <w:rPr>
          <w:rFonts w:hint="eastAsia" w:ascii="宋体" w:hAnsi="宋体" w:eastAsia="宋体" w:cs="宋体"/>
          <w:b/>
          <w:bCs/>
          <w:color w:val="auto"/>
          <w:kern w:val="2"/>
          <w:sz w:val="21"/>
          <w:szCs w:val="21"/>
          <w:highlight w:val="none"/>
          <w:u w:val="single"/>
          <w:lang w:val="en-US" w:eastAsia="zh-CN"/>
        </w:rPr>
        <w:t>00</w:t>
      </w:r>
      <w:r>
        <w:rPr>
          <w:rFonts w:hint="eastAsia" w:ascii="宋体" w:hAnsi="宋体" w:eastAsia="宋体" w:cs="宋体"/>
          <w:b/>
          <w:bCs/>
          <w:color w:val="auto"/>
          <w:kern w:val="2"/>
          <w:sz w:val="21"/>
          <w:szCs w:val="21"/>
          <w:highlight w:val="none"/>
          <w:u w:val="single"/>
          <w:lang w:val="zh-CN"/>
        </w:rPr>
        <w:t>～</w:t>
      </w:r>
      <w:r>
        <w:rPr>
          <w:rFonts w:hint="eastAsia" w:ascii="宋体" w:hAnsi="宋体" w:eastAsia="宋体" w:cs="宋体"/>
          <w:b/>
          <w:bCs/>
          <w:color w:val="auto"/>
          <w:kern w:val="2"/>
          <w:sz w:val="21"/>
          <w:szCs w:val="21"/>
          <w:highlight w:val="none"/>
          <w:u w:val="single"/>
          <w:lang w:val="en-US" w:eastAsia="zh-CN"/>
        </w:rPr>
        <w:t>14</w:t>
      </w:r>
      <w:r>
        <w:rPr>
          <w:rFonts w:hint="eastAsia" w:ascii="宋体" w:hAnsi="宋体" w:eastAsia="宋体" w:cs="宋体"/>
          <w:b/>
          <w:bCs/>
          <w:color w:val="auto"/>
          <w:kern w:val="2"/>
          <w:sz w:val="21"/>
          <w:szCs w:val="21"/>
          <w:highlight w:val="none"/>
          <w:u w:val="single"/>
        </w:rPr>
        <w:t>：</w:t>
      </w:r>
      <w:r>
        <w:rPr>
          <w:rFonts w:hint="eastAsia" w:ascii="宋体" w:hAnsi="宋体" w:eastAsia="宋体" w:cs="宋体"/>
          <w:b/>
          <w:bCs/>
          <w:color w:val="auto"/>
          <w:kern w:val="2"/>
          <w:sz w:val="21"/>
          <w:szCs w:val="21"/>
          <w:highlight w:val="none"/>
          <w:u w:val="single"/>
          <w:lang w:val="en-US" w:eastAsia="zh-CN"/>
        </w:rPr>
        <w:t>30</w:t>
      </w:r>
      <w:r>
        <w:rPr>
          <w:rFonts w:hint="eastAsia" w:ascii="宋体" w:hAnsi="宋体" w:eastAsia="宋体" w:cs="宋体"/>
          <w:b/>
          <w:bCs/>
          <w:color w:val="auto"/>
          <w:kern w:val="2"/>
          <w:sz w:val="21"/>
          <w:szCs w:val="21"/>
          <w:highlight w:val="none"/>
        </w:rPr>
        <w:t>；</w:t>
      </w:r>
    </w:p>
    <w:p>
      <w:pPr>
        <w:tabs>
          <w:tab w:val="left" w:pos="0"/>
        </w:tabs>
        <w:spacing w:line="360" w:lineRule="auto"/>
        <w:ind w:left="-1" w:leftChars="-59" w:right="-34" w:hanging="141" w:hangingChars="67"/>
        <w:jc w:val="both"/>
        <w:outlineLvl w:val="9"/>
        <w:rPr>
          <w:rFonts w:hint="eastAsia" w:ascii="宋体" w:hAnsi="宋体" w:eastAsia="宋体" w:cs="宋体"/>
          <w:b/>
          <w:bCs/>
          <w:color w:val="auto"/>
          <w:highlight w:val="none"/>
        </w:rPr>
      </w:pPr>
      <w:r>
        <w:rPr>
          <w:rFonts w:hint="eastAsia" w:ascii="宋体" w:hAnsi="宋体" w:eastAsia="宋体" w:cs="宋体"/>
          <w:b/>
          <w:bCs/>
          <w:color w:val="auto"/>
          <w:kern w:val="2"/>
          <w:sz w:val="21"/>
          <w:szCs w:val="21"/>
          <w:highlight w:val="none"/>
          <w:lang w:val="zh-CN"/>
        </w:rPr>
        <w:t>5.2 递交</w:t>
      </w:r>
      <w:r>
        <w:rPr>
          <w:rFonts w:hint="eastAsia" w:ascii="宋体" w:hAnsi="宋体" w:eastAsia="宋体" w:cs="宋体"/>
          <w:b/>
          <w:bCs/>
          <w:color w:val="auto"/>
          <w:kern w:val="2"/>
          <w:sz w:val="21"/>
          <w:szCs w:val="21"/>
          <w:highlight w:val="none"/>
          <w:lang w:val="en-US" w:eastAsia="zh-CN"/>
        </w:rPr>
        <w:t>响应文件</w:t>
      </w:r>
      <w:r>
        <w:rPr>
          <w:rFonts w:hint="eastAsia" w:ascii="宋体" w:hAnsi="宋体" w:eastAsia="宋体" w:cs="宋体"/>
          <w:b/>
          <w:bCs/>
          <w:color w:val="auto"/>
          <w:kern w:val="2"/>
          <w:sz w:val="21"/>
          <w:szCs w:val="21"/>
          <w:highlight w:val="none"/>
          <w:lang w:val="zh-CN"/>
        </w:rPr>
        <w:t>截止及</w:t>
      </w:r>
      <w:r>
        <w:rPr>
          <w:rFonts w:hint="eastAsia" w:ascii="宋体" w:hAnsi="宋体" w:eastAsia="宋体" w:cs="宋体"/>
          <w:b/>
          <w:bCs/>
          <w:color w:val="auto"/>
          <w:kern w:val="2"/>
          <w:sz w:val="21"/>
          <w:szCs w:val="21"/>
          <w:highlight w:val="none"/>
          <w:lang w:val="en-US" w:eastAsia="zh-CN"/>
        </w:rPr>
        <w:t>开启</w:t>
      </w:r>
      <w:r>
        <w:rPr>
          <w:rFonts w:hint="eastAsia" w:ascii="宋体" w:hAnsi="宋体" w:eastAsia="宋体" w:cs="宋体"/>
          <w:b/>
          <w:bCs/>
          <w:color w:val="auto"/>
          <w:kern w:val="2"/>
          <w:sz w:val="21"/>
          <w:szCs w:val="21"/>
          <w:highlight w:val="none"/>
          <w:lang w:val="zh-CN"/>
        </w:rPr>
        <w:t>时间：</w:t>
      </w:r>
      <w:r>
        <w:rPr>
          <w:rFonts w:hint="eastAsia" w:ascii="宋体" w:hAnsi="宋体" w:eastAsia="宋体" w:cs="宋体"/>
          <w:b/>
          <w:bCs/>
          <w:color w:val="auto"/>
          <w:kern w:val="2"/>
          <w:sz w:val="21"/>
          <w:szCs w:val="21"/>
          <w:highlight w:val="none"/>
          <w:u w:val="single"/>
          <w:lang w:val="zh-CN"/>
        </w:rPr>
        <w:t>202</w:t>
      </w:r>
      <w:r>
        <w:rPr>
          <w:rFonts w:hint="eastAsia" w:ascii="宋体" w:hAnsi="宋体" w:eastAsia="宋体" w:cs="宋体"/>
          <w:b/>
          <w:bCs/>
          <w:color w:val="auto"/>
          <w:kern w:val="2"/>
          <w:sz w:val="21"/>
          <w:szCs w:val="21"/>
          <w:highlight w:val="none"/>
          <w:u w:val="single"/>
          <w:lang w:val="en-US" w:eastAsia="zh-CN"/>
        </w:rPr>
        <w:t>5</w:t>
      </w:r>
      <w:r>
        <w:rPr>
          <w:rFonts w:hint="eastAsia" w:ascii="宋体" w:hAnsi="宋体" w:eastAsia="宋体" w:cs="宋体"/>
          <w:b/>
          <w:bCs/>
          <w:color w:val="auto"/>
          <w:kern w:val="2"/>
          <w:sz w:val="21"/>
          <w:szCs w:val="21"/>
          <w:highlight w:val="none"/>
          <w:lang w:val="zh-CN"/>
        </w:rPr>
        <w:t>年</w:t>
      </w:r>
      <w:r>
        <w:rPr>
          <w:rFonts w:hint="eastAsia" w:ascii="宋体" w:hAnsi="宋体" w:cs="宋体"/>
          <w:b/>
          <w:bCs/>
          <w:color w:val="auto"/>
          <w:kern w:val="2"/>
          <w:sz w:val="21"/>
          <w:szCs w:val="21"/>
          <w:highlight w:val="none"/>
          <w:u w:val="single"/>
          <w:lang w:val="en-US" w:eastAsia="zh-CN"/>
        </w:rPr>
        <w:t xml:space="preserve"> 8 </w:t>
      </w:r>
      <w:r>
        <w:rPr>
          <w:rFonts w:hint="eastAsia" w:ascii="宋体" w:hAnsi="宋体" w:eastAsia="宋体" w:cs="宋体"/>
          <w:b/>
          <w:bCs/>
          <w:color w:val="auto"/>
          <w:kern w:val="2"/>
          <w:sz w:val="21"/>
          <w:szCs w:val="21"/>
          <w:highlight w:val="none"/>
          <w:lang w:val="zh-CN"/>
        </w:rPr>
        <w:t>月</w:t>
      </w:r>
      <w:r>
        <w:rPr>
          <w:rFonts w:hint="eastAsia" w:ascii="宋体" w:hAnsi="宋体" w:cs="宋体"/>
          <w:b/>
          <w:bCs/>
          <w:color w:val="auto"/>
          <w:kern w:val="2"/>
          <w:sz w:val="21"/>
          <w:szCs w:val="21"/>
          <w:highlight w:val="none"/>
          <w:u w:val="single"/>
          <w:lang w:val="en-US" w:eastAsia="zh-CN"/>
        </w:rPr>
        <w:t xml:space="preserve"> 25</w:t>
      </w:r>
      <w:bookmarkStart w:id="560" w:name="_GoBack"/>
      <w:bookmarkEnd w:id="560"/>
      <w:r>
        <w:rPr>
          <w:rFonts w:hint="eastAsia" w:ascii="宋体" w:hAnsi="宋体" w:cs="宋体"/>
          <w:b/>
          <w:bCs/>
          <w:color w:val="auto"/>
          <w:kern w:val="2"/>
          <w:sz w:val="21"/>
          <w:szCs w:val="21"/>
          <w:highlight w:val="none"/>
          <w:u w:val="single"/>
          <w:lang w:val="en-US" w:eastAsia="zh-CN"/>
        </w:rPr>
        <w:t xml:space="preserve"> </w:t>
      </w:r>
      <w:r>
        <w:rPr>
          <w:rFonts w:hint="eastAsia" w:ascii="宋体" w:hAnsi="宋体" w:eastAsia="宋体" w:cs="宋体"/>
          <w:b/>
          <w:bCs/>
          <w:color w:val="auto"/>
          <w:kern w:val="2"/>
          <w:sz w:val="21"/>
          <w:szCs w:val="21"/>
          <w:highlight w:val="none"/>
          <w:lang w:val="zh-CN"/>
        </w:rPr>
        <w:t>日</w:t>
      </w:r>
      <w:r>
        <w:rPr>
          <w:rFonts w:hint="eastAsia" w:ascii="宋体" w:hAnsi="宋体" w:eastAsia="宋体" w:cs="宋体"/>
          <w:b/>
          <w:bCs/>
          <w:color w:val="auto"/>
          <w:kern w:val="2"/>
          <w:sz w:val="21"/>
          <w:szCs w:val="21"/>
          <w:highlight w:val="none"/>
          <w:u w:val="single"/>
          <w:lang w:val="en-US" w:eastAsia="zh-CN"/>
        </w:rPr>
        <w:t>14</w:t>
      </w:r>
      <w:r>
        <w:rPr>
          <w:rFonts w:hint="eastAsia" w:ascii="宋体" w:hAnsi="宋体" w:eastAsia="宋体" w:cs="宋体"/>
          <w:b/>
          <w:bCs/>
          <w:color w:val="auto"/>
          <w:kern w:val="2"/>
          <w:sz w:val="21"/>
          <w:szCs w:val="21"/>
          <w:highlight w:val="none"/>
          <w:u w:val="single"/>
        </w:rPr>
        <w:t>：</w:t>
      </w:r>
      <w:r>
        <w:rPr>
          <w:rFonts w:hint="eastAsia" w:ascii="宋体" w:hAnsi="宋体" w:eastAsia="宋体" w:cs="宋体"/>
          <w:b/>
          <w:bCs/>
          <w:color w:val="auto"/>
          <w:kern w:val="2"/>
          <w:sz w:val="21"/>
          <w:szCs w:val="21"/>
          <w:highlight w:val="none"/>
          <w:u w:val="single"/>
          <w:lang w:val="en-US" w:eastAsia="zh-CN"/>
        </w:rPr>
        <w:t>30</w:t>
      </w:r>
      <w:r>
        <w:rPr>
          <w:rFonts w:hint="eastAsia" w:ascii="宋体" w:hAnsi="宋体" w:eastAsia="宋体" w:cs="宋体"/>
          <w:b/>
          <w:bCs/>
          <w:color w:val="auto"/>
          <w:kern w:val="2"/>
          <w:sz w:val="21"/>
          <w:szCs w:val="21"/>
          <w:highlight w:val="none"/>
        </w:rPr>
        <w:t>；</w:t>
      </w:r>
    </w:p>
    <w:p>
      <w:pPr>
        <w:tabs>
          <w:tab w:val="left" w:pos="426"/>
        </w:tabs>
        <w:spacing w:line="360" w:lineRule="auto"/>
        <w:ind w:left="427" w:leftChars="-59" w:right="-34" w:hanging="569" w:hangingChars="270"/>
        <w:jc w:val="both"/>
        <w:outlineLvl w:val="9"/>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 xml:space="preserve">5.3 </w:t>
      </w:r>
      <w:r>
        <w:rPr>
          <w:rFonts w:hint="eastAsia" w:ascii="宋体" w:hAnsi="宋体" w:eastAsia="宋体" w:cs="宋体"/>
          <w:b/>
          <w:bCs/>
          <w:color w:val="auto"/>
          <w:kern w:val="2"/>
          <w:sz w:val="21"/>
          <w:szCs w:val="21"/>
          <w:highlight w:val="none"/>
          <w:lang w:val="en-US" w:eastAsia="zh-CN"/>
        </w:rPr>
        <w:t>响应文件递交地点</w:t>
      </w:r>
      <w:r>
        <w:rPr>
          <w:rFonts w:hint="eastAsia" w:ascii="宋体" w:hAnsi="宋体" w:eastAsia="宋体" w:cs="宋体"/>
          <w:b/>
          <w:bCs/>
          <w:color w:val="auto"/>
          <w:kern w:val="2"/>
          <w:sz w:val="21"/>
          <w:szCs w:val="21"/>
          <w:highlight w:val="none"/>
          <w:lang w:val="zh-CN"/>
        </w:rPr>
        <w:t>：</w:t>
      </w:r>
      <w:r>
        <w:rPr>
          <w:rFonts w:hint="eastAsia" w:ascii="宋体" w:hAnsi="宋体" w:cs="宋体"/>
          <w:b/>
          <w:bCs/>
          <w:color w:val="auto"/>
          <w:kern w:val="2"/>
          <w:sz w:val="21"/>
          <w:szCs w:val="21"/>
          <w:highlight w:val="none"/>
          <w:lang w:val="zh-CN"/>
        </w:rPr>
        <w:t>广东省东莞市南城街道鸿福西路81号国际商会大厦</w:t>
      </w:r>
      <w:r>
        <w:rPr>
          <w:rFonts w:hint="eastAsia" w:ascii="宋体" w:hAnsi="宋体" w:cs="宋体"/>
          <w:b/>
          <w:bCs/>
          <w:color w:val="auto"/>
          <w:kern w:val="2"/>
          <w:sz w:val="21"/>
          <w:szCs w:val="21"/>
          <w:highlight w:val="none"/>
          <w:u w:val="single"/>
          <w:lang w:val="en-US" w:eastAsia="zh-CN"/>
        </w:rPr>
        <w:t xml:space="preserve"> 601 </w:t>
      </w:r>
      <w:r>
        <w:rPr>
          <w:rFonts w:hint="eastAsia" w:ascii="宋体" w:hAnsi="宋体" w:cs="宋体"/>
          <w:b/>
          <w:bCs/>
          <w:color w:val="auto"/>
          <w:kern w:val="2"/>
          <w:sz w:val="21"/>
          <w:szCs w:val="21"/>
          <w:highlight w:val="none"/>
          <w:lang w:val="zh-CN"/>
        </w:rPr>
        <w:t>室</w:t>
      </w:r>
      <w:r>
        <w:rPr>
          <w:rFonts w:hint="eastAsia" w:ascii="宋体" w:hAnsi="宋体" w:eastAsia="宋体" w:cs="宋体"/>
          <w:b/>
          <w:bCs/>
          <w:color w:val="auto"/>
          <w:sz w:val="21"/>
          <w:szCs w:val="21"/>
          <w:highlight w:val="none"/>
        </w:rPr>
        <w:t>。</w:t>
      </w:r>
    </w:p>
    <w:p>
      <w:pPr>
        <w:tabs>
          <w:tab w:val="left" w:pos="426"/>
        </w:tabs>
        <w:spacing w:line="360" w:lineRule="auto"/>
        <w:ind w:left="425" w:leftChars="-59" w:right="-34" w:hanging="567" w:hangingChars="270"/>
        <w:jc w:val="both"/>
        <w:outlineLvl w:val="9"/>
        <w:rPr>
          <w:rFonts w:hint="eastAsia" w:ascii="宋体" w:hAnsi="宋体" w:eastAsia="宋体" w:cs="宋体"/>
          <w:color w:val="auto"/>
          <w:kern w:val="2"/>
          <w:sz w:val="21"/>
          <w:szCs w:val="21"/>
          <w:highlight w:val="none"/>
          <w:lang w:val="zh-CN"/>
        </w:rPr>
      </w:pPr>
    </w:p>
    <w:p>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254" w:leftChars="-59" w:right="-34" w:hanging="396" w:hangingChars="189"/>
        <w:jc w:val="both"/>
        <w:textAlignment w:val="auto"/>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eastAsia="zh-CN"/>
        </w:rPr>
        <w:t>6</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采购人只接受在递交响应文件截止日当天，由供应商法定代表人/</w:t>
      </w:r>
      <w:r>
        <w:rPr>
          <w:rFonts w:hint="eastAsia" w:ascii="宋体" w:hAnsi="宋体" w:cs="宋体"/>
          <w:color w:val="auto"/>
          <w:kern w:val="2"/>
          <w:sz w:val="21"/>
          <w:szCs w:val="21"/>
          <w:highlight w:val="none"/>
          <w:lang w:val="zh-CN"/>
        </w:rPr>
        <w:t>执行事务合伙人</w:t>
      </w:r>
      <w:r>
        <w:rPr>
          <w:rFonts w:hint="eastAsia" w:ascii="宋体" w:hAnsi="宋体" w:eastAsia="宋体" w:cs="宋体"/>
          <w:color w:val="auto"/>
          <w:kern w:val="2"/>
          <w:sz w:val="21"/>
          <w:szCs w:val="21"/>
          <w:highlight w:val="none"/>
          <w:lang w:val="zh-CN"/>
        </w:rPr>
        <w:t>或其授权代表于递交响应文件截止时间前亲自递交</w:t>
      </w:r>
      <w:r>
        <w:rPr>
          <w:rFonts w:hint="eastAsia" w:ascii="宋体" w:hAnsi="宋体" w:eastAsia="宋体" w:cs="宋体"/>
          <w:color w:val="auto"/>
          <w:kern w:val="2"/>
          <w:sz w:val="21"/>
          <w:szCs w:val="21"/>
          <w:highlight w:val="none"/>
          <w:lang w:val="en-US" w:eastAsia="zh-CN"/>
        </w:rPr>
        <w:t>密封</w:t>
      </w:r>
      <w:r>
        <w:rPr>
          <w:rFonts w:hint="eastAsia" w:ascii="宋体" w:hAnsi="宋体" w:eastAsia="宋体" w:cs="宋体"/>
          <w:color w:val="auto"/>
          <w:kern w:val="2"/>
          <w:sz w:val="21"/>
          <w:szCs w:val="21"/>
          <w:highlight w:val="none"/>
          <w:lang w:val="zh-CN"/>
        </w:rPr>
        <w:t>的响应文件，</w:t>
      </w:r>
      <w:r>
        <w:rPr>
          <w:rFonts w:hint="eastAsia" w:ascii="宋体" w:hAnsi="宋体" w:eastAsia="宋体" w:cs="宋体"/>
          <w:color w:val="auto"/>
          <w:kern w:val="2"/>
          <w:sz w:val="21"/>
          <w:szCs w:val="21"/>
          <w:highlight w:val="none"/>
          <w:lang w:val="en-US" w:eastAsia="zh-CN"/>
        </w:rPr>
        <w:t>并现场参加磋商</w:t>
      </w:r>
      <w:r>
        <w:rPr>
          <w:rFonts w:hint="eastAsia" w:ascii="宋体" w:hAnsi="宋体" w:eastAsia="宋体" w:cs="宋体"/>
          <w:color w:val="auto"/>
          <w:kern w:val="2"/>
          <w:sz w:val="21"/>
          <w:szCs w:val="21"/>
          <w:highlight w:val="none"/>
          <w:lang w:val="zh-CN"/>
        </w:rPr>
        <w:t>。电报、传真形式的</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概不接受。</w:t>
      </w:r>
    </w:p>
    <w:p>
      <w:pPr>
        <w:numPr>
          <w:ilvl w:val="0"/>
          <w:numId w:val="0"/>
        </w:numPr>
        <w:tabs>
          <w:tab w:val="left" w:pos="284"/>
        </w:tabs>
        <w:spacing w:line="360" w:lineRule="auto"/>
        <w:ind w:left="139" w:leftChars="-59" w:right="-34" w:hanging="281" w:hangingChars="134"/>
        <w:jc w:val="both"/>
        <w:outlineLvl w:val="9"/>
        <w:rPr>
          <w:rFonts w:hint="eastAsia" w:ascii="宋体" w:hAnsi="宋体" w:eastAsia="宋体" w:cs="宋体"/>
          <w:color w:val="auto"/>
          <w:kern w:val="2"/>
          <w:sz w:val="21"/>
          <w:szCs w:val="21"/>
          <w:highlight w:val="none"/>
          <w:lang w:val="zh-CN"/>
        </w:rPr>
      </w:pPr>
    </w:p>
    <w:p>
      <w:pPr>
        <w:keepNext w:val="0"/>
        <w:keepLines w:val="0"/>
        <w:pageBreakBefore w:val="0"/>
        <w:widowControl w:val="0"/>
        <w:numPr>
          <w:ilvl w:val="0"/>
          <w:numId w:val="0"/>
        </w:numPr>
        <w:tabs>
          <w:tab w:val="left" w:pos="284"/>
        </w:tabs>
        <w:kinsoku/>
        <w:wordWrap/>
        <w:overflowPunct/>
        <w:topLinePunct w:val="0"/>
        <w:autoSpaceDE/>
        <w:autoSpaceDN/>
        <w:bidi w:val="0"/>
        <w:adjustRightInd/>
        <w:snapToGrid/>
        <w:spacing w:line="360" w:lineRule="auto"/>
        <w:ind w:left="173" w:leftChars="-59" w:right="-34" w:hanging="315" w:hangingChars="150"/>
        <w:jc w:val="both"/>
        <w:textAlignment w:val="auto"/>
        <w:outlineLvl w:val="9"/>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eastAsia="zh-CN"/>
        </w:rPr>
        <w:t>7</w:t>
      </w:r>
      <w:r>
        <w:rPr>
          <w:rFonts w:hint="eastAsia" w:ascii="宋体" w:hAnsi="宋体" w:eastAsia="宋体" w:cs="宋体"/>
          <w:bCs w:val="0"/>
          <w:color w:val="auto"/>
          <w:kern w:val="2"/>
          <w:sz w:val="21"/>
          <w:szCs w:val="21"/>
          <w:highlight w:val="none"/>
          <w:lang w:val="en-US" w:eastAsia="zh-CN"/>
        </w:rPr>
        <w:t xml:space="preserve">  </w:t>
      </w:r>
      <w:r>
        <w:rPr>
          <w:rFonts w:hint="eastAsia" w:ascii="宋体" w:hAnsi="宋体" w:eastAsia="宋体" w:cs="宋体"/>
          <w:bCs w:val="0"/>
          <w:color w:val="auto"/>
          <w:kern w:val="2"/>
          <w:sz w:val="21"/>
          <w:szCs w:val="21"/>
          <w:highlight w:val="none"/>
          <w:lang w:val="zh-CN"/>
        </w:rPr>
        <w:t>本项目相关公告在以下媒介发布：中国招标投标公共服务平台（www.cebpubservice.com）、东莞市水务集团有限公司网（www.dgswjt.cn）、招标代理</w:t>
      </w:r>
      <w:r>
        <w:rPr>
          <w:rFonts w:hint="eastAsia" w:ascii="宋体" w:hAnsi="宋体" w:eastAsia="宋体" w:cs="宋体"/>
          <w:bCs w:val="0"/>
          <w:color w:val="auto"/>
          <w:kern w:val="2"/>
          <w:sz w:val="21"/>
          <w:szCs w:val="21"/>
          <w:highlight w:val="none"/>
          <w:lang w:val="zh-CN" w:eastAsia="zh-CN"/>
        </w:rPr>
        <w:t>机构</w:t>
      </w:r>
      <w:r>
        <w:rPr>
          <w:rFonts w:hint="eastAsia" w:ascii="宋体" w:hAnsi="宋体" w:eastAsia="宋体" w:cs="宋体"/>
          <w:bCs w:val="0"/>
          <w:color w:val="auto"/>
          <w:kern w:val="2"/>
          <w:sz w:val="21"/>
          <w:szCs w:val="21"/>
          <w:highlight w:val="none"/>
          <w:lang w:val="zh-CN"/>
        </w:rPr>
        <w:t>网站（</w:t>
      </w:r>
      <w:r>
        <w:rPr>
          <w:rFonts w:hint="eastAsia" w:ascii="宋体" w:hAnsi="宋体" w:cs="宋体"/>
          <w:bCs w:val="0"/>
          <w:color w:val="auto"/>
          <w:kern w:val="2"/>
          <w:sz w:val="21"/>
          <w:szCs w:val="21"/>
          <w:highlight w:val="none"/>
          <w:lang w:val="zh-CN"/>
        </w:rPr>
        <w:t>http://www.sfcx.cn/</w:t>
      </w:r>
      <w:r>
        <w:rPr>
          <w:rFonts w:hint="eastAsia" w:ascii="宋体" w:hAnsi="宋体" w:eastAsia="宋体" w:cs="宋体"/>
          <w:bCs w:val="0"/>
          <w:color w:val="auto"/>
          <w:kern w:val="2"/>
          <w:sz w:val="21"/>
          <w:szCs w:val="21"/>
          <w:highlight w:val="none"/>
          <w:lang w:val="zh-CN"/>
        </w:rPr>
        <w:t>）</w:t>
      </w:r>
      <w:r>
        <w:rPr>
          <w:rFonts w:hint="eastAsia" w:ascii="宋体" w:hAnsi="宋体" w:eastAsia="宋体" w:cs="宋体"/>
          <w:color w:val="auto"/>
          <w:kern w:val="2"/>
          <w:sz w:val="21"/>
          <w:szCs w:val="21"/>
          <w:highlight w:val="none"/>
          <w:lang w:val="zh-CN"/>
        </w:rPr>
        <w:t>。</w:t>
      </w:r>
    </w:p>
    <w:p>
      <w:pPr>
        <w:tabs>
          <w:tab w:val="left" w:pos="284"/>
        </w:tabs>
        <w:spacing w:line="360" w:lineRule="auto"/>
        <w:ind w:right="-34"/>
        <w:jc w:val="both"/>
        <w:outlineLvl w:val="9"/>
        <w:rPr>
          <w:rFonts w:hint="eastAsia" w:ascii="宋体" w:hAnsi="宋体" w:eastAsia="宋体" w:cs="宋体"/>
          <w:color w:val="auto"/>
          <w:kern w:val="2"/>
          <w:sz w:val="21"/>
          <w:szCs w:val="21"/>
          <w:highlight w:val="none"/>
          <w:lang w:val="zh-CN"/>
        </w:rPr>
      </w:pPr>
    </w:p>
    <w:p>
      <w:pPr>
        <w:tabs>
          <w:tab w:val="left" w:pos="0"/>
        </w:tabs>
        <w:spacing w:line="360" w:lineRule="auto"/>
        <w:ind w:left="-2" w:leftChars="-59" w:right="-34" w:hanging="140" w:hangingChars="67"/>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8  采购人</w:t>
      </w:r>
      <w:r>
        <w:rPr>
          <w:rFonts w:hint="eastAsia" w:ascii="宋体" w:hAnsi="宋体" w:eastAsia="宋体" w:cs="宋体"/>
          <w:color w:val="auto"/>
          <w:kern w:val="2"/>
          <w:sz w:val="21"/>
          <w:szCs w:val="21"/>
          <w:highlight w:val="none"/>
          <w:lang w:val="zh-CN"/>
        </w:rPr>
        <w:t>联系方式</w:t>
      </w:r>
    </w:p>
    <w:p>
      <w:pPr>
        <w:widowControl/>
        <w:tabs>
          <w:tab w:val="left" w:pos="0"/>
        </w:tabs>
        <w:spacing w:line="360" w:lineRule="auto"/>
        <w:ind w:right="-36" w:firstLine="140" w:firstLineChars="67"/>
        <w:textAlignment w:val="bottom"/>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采购人：</w:t>
      </w:r>
      <w:r>
        <w:rPr>
          <w:rFonts w:hint="eastAsia" w:ascii="宋体" w:hAnsi="宋体" w:cs="宋体"/>
          <w:color w:val="auto"/>
          <w:kern w:val="2"/>
          <w:sz w:val="21"/>
          <w:szCs w:val="21"/>
          <w:highlight w:val="none"/>
          <w:lang w:val="zh-CN"/>
        </w:rPr>
        <w:t>东莞市水务集团实业发展有限公司</w:t>
      </w:r>
    </w:p>
    <w:p>
      <w:pPr>
        <w:widowControl/>
        <w:tabs>
          <w:tab w:val="left" w:pos="0"/>
        </w:tabs>
        <w:spacing w:line="360" w:lineRule="auto"/>
        <w:ind w:right="-36" w:firstLine="140" w:firstLineChars="67"/>
        <w:textAlignment w:val="bottom"/>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cs="宋体"/>
          <w:color w:val="auto"/>
          <w:sz w:val="21"/>
          <w:szCs w:val="21"/>
          <w:highlight w:val="none"/>
          <w:lang w:eastAsia="zh-CN"/>
        </w:rPr>
        <w:t>东莞市南城街道滨河路100号二期（东莞市水务集团净水有限公司）新大门内3号楼3楼东莞市水务集团实业发展有限公司</w:t>
      </w:r>
    </w:p>
    <w:p>
      <w:pPr>
        <w:widowControl/>
        <w:tabs>
          <w:tab w:val="left" w:pos="0"/>
        </w:tabs>
        <w:spacing w:line="360" w:lineRule="auto"/>
        <w:ind w:right="-36" w:firstLine="140" w:firstLineChars="67"/>
        <w:textAlignment w:val="bottom"/>
        <w:outlineLvl w:val="9"/>
        <w:rPr>
          <w:rFonts w:hint="eastAsia" w:ascii="宋体" w:hAnsi="宋体" w:eastAsia="宋体" w:cs="宋体"/>
          <w:color w:val="auto"/>
          <w:sz w:val="21"/>
          <w:szCs w:val="32"/>
          <w:highlight w:val="none"/>
          <w:lang w:val="en-US" w:eastAsia="zh-CN"/>
        </w:rPr>
      </w:pPr>
      <w:r>
        <w:rPr>
          <w:rFonts w:hint="eastAsia" w:ascii="宋体" w:hAnsi="宋体" w:eastAsia="宋体" w:cs="宋体"/>
          <w:color w:val="auto"/>
          <w:sz w:val="21"/>
          <w:szCs w:val="32"/>
          <w:highlight w:val="none"/>
        </w:rPr>
        <w:t>联系人：</w:t>
      </w:r>
      <w:r>
        <w:rPr>
          <w:rFonts w:hint="eastAsia" w:ascii="宋体" w:hAnsi="宋体" w:cs="宋体"/>
          <w:color w:val="auto"/>
          <w:sz w:val="21"/>
          <w:szCs w:val="32"/>
          <w:highlight w:val="none"/>
          <w:lang w:val="en-US" w:eastAsia="zh-CN"/>
        </w:rPr>
        <w:t>黄嘉伟</w:t>
      </w:r>
    </w:p>
    <w:p>
      <w:pPr>
        <w:widowControl/>
        <w:tabs>
          <w:tab w:val="left" w:pos="0"/>
        </w:tabs>
        <w:spacing w:line="360" w:lineRule="auto"/>
        <w:ind w:right="-36" w:firstLine="140" w:firstLineChars="67"/>
        <w:textAlignment w:val="bottom"/>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cs="宋体"/>
          <w:color w:val="auto"/>
          <w:sz w:val="21"/>
          <w:szCs w:val="21"/>
          <w:highlight w:val="none"/>
          <w:lang w:eastAsia="zh-CN"/>
        </w:rPr>
        <w:t>0769-22621996</w:t>
      </w:r>
    </w:p>
    <w:p>
      <w:pPr>
        <w:tabs>
          <w:tab w:val="left" w:pos="284"/>
        </w:tabs>
        <w:spacing w:line="360" w:lineRule="auto"/>
        <w:ind w:left="179" w:leftChars="-59" w:right="-34" w:hanging="321" w:hangingChars="134"/>
        <w:jc w:val="both"/>
        <w:outlineLvl w:val="9"/>
        <w:rPr>
          <w:rFonts w:hint="eastAsia" w:ascii="宋体" w:hAnsi="宋体" w:eastAsia="宋体" w:cs="宋体"/>
          <w:color w:val="auto"/>
          <w:highlight w:val="none"/>
        </w:rPr>
      </w:pPr>
    </w:p>
    <w:p>
      <w:pPr>
        <w:tabs>
          <w:tab w:val="left" w:pos="0"/>
        </w:tabs>
        <w:spacing w:line="360" w:lineRule="auto"/>
        <w:ind w:left="-2" w:leftChars="-59" w:right="-34" w:hanging="140" w:hangingChars="67"/>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 xml:space="preserve">9  </w:t>
      </w:r>
      <w:r>
        <w:rPr>
          <w:rFonts w:hint="eastAsia" w:ascii="宋体" w:hAnsi="宋体" w:eastAsia="宋体" w:cs="宋体"/>
          <w:color w:val="auto"/>
          <w:kern w:val="2"/>
          <w:sz w:val="21"/>
          <w:szCs w:val="21"/>
          <w:highlight w:val="none"/>
          <w:lang w:val="zh-CN"/>
        </w:rPr>
        <w:t>采购代理机构</w:t>
      </w:r>
      <w:r>
        <w:rPr>
          <w:rFonts w:hint="eastAsia" w:ascii="宋体" w:hAnsi="宋体" w:eastAsia="宋体" w:cs="宋体"/>
          <w:color w:val="auto"/>
          <w:kern w:val="2"/>
          <w:sz w:val="21"/>
          <w:szCs w:val="21"/>
          <w:highlight w:val="none"/>
          <w:lang w:val="zh-CN" w:eastAsia="zh-CN"/>
        </w:rPr>
        <w:t>及异议受理</w:t>
      </w:r>
      <w:r>
        <w:rPr>
          <w:rFonts w:hint="eastAsia" w:ascii="宋体" w:hAnsi="宋体" w:eastAsia="宋体" w:cs="宋体"/>
          <w:color w:val="auto"/>
          <w:kern w:val="2"/>
          <w:sz w:val="21"/>
          <w:szCs w:val="21"/>
          <w:highlight w:val="none"/>
          <w:lang w:val="zh-CN"/>
        </w:rPr>
        <w:t>联系方式</w:t>
      </w:r>
    </w:p>
    <w:p>
      <w:pPr>
        <w:widowControl/>
        <w:tabs>
          <w:tab w:val="left" w:pos="0"/>
        </w:tabs>
        <w:spacing w:line="360" w:lineRule="auto"/>
        <w:ind w:right="-36" w:firstLine="140" w:firstLineChars="67"/>
        <w:textAlignment w:val="bottom"/>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采购</w:t>
      </w:r>
      <w:r>
        <w:rPr>
          <w:rFonts w:hint="eastAsia" w:ascii="宋体" w:hAnsi="宋体" w:eastAsia="宋体" w:cs="宋体"/>
          <w:color w:val="auto"/>
          <w:sz w:val="21"/>
          <w:szCs w:val="21"/>
          <w:highlight w:val="none"/>
        </w:rPr>
        <w:t>代理机构</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zh-CN"/>
        </w:rPr>
        <w:t>三方诚信招标有限公司</w:t>
      </w:r>
    </w:p>
    <w:p>
      <w:pPr>
        <w:widowControl/>
        <w:tabs>
          <w:tab w:val="left" w:pos="0"/>
        </w:tabs>
        <w:spacing w:line="360" w:lineRule="auto"/>
        <w:ind w:right="-36" w:firstLine="140" w:firstLineChars="67"/>
        <w:textAlignment w:val="bottom"/>
        <w:outlineLvl w:val="9"/>
        <w:rPr>
          <w:rFonts w:hint="eastAsia" w:ascii="宋体" w:hAnsi="宋体" w:eastAsia="宋体" w:cs="宋体"/>
          <w:color w:val="auto"/>
          <w:sz w:val="21"/>
          <w:szCs w:val="32"/>
          <w:highlight w:val="none"/>
        </w:rPr>
      </w:pPr>
      <w:r>
        <w:rPr>
          <w:rFonts w:hint="eastAsia" w:ascii="宋体" w:hAnsi="宋体" w:eastAsia="宋体" w:cs="宋体"/>
          <w:color w:val="auto"/>
          <w:sz w:val="21"/>
          <w:szCs w:val="32"/>
          <w:highlight w:val="none"/>
        </w:rPr>
        <w:t>地 址：</w:t>
      </w:r>
      <w:r>
        <w:rPr>
          <w:rFonts w:hint="eastAsia" w:ascii="宋体" w:hAnsi="宋体" w:cs="宋体"/>
          <w:color w:val="auto"/>
          <w:sz w:val="21"/>
          <w:szCs w:val="32"/>
          <w:highlight w:val="none"/>
          <w:lang w:val="zh-CN"/>
        </w:rPr>
        <w:t>广东省东莞市南城街道鸿福西路81号国际商会大厦706室</w:t>
      </w:r>
    </w:p>
    <w:p>
      <w:pPr>
        <w:widowControl/>
        <w:tabs>
          <w:tab w:val="left" w:pos="0"/>
        </w:tabs>
        <w:spacing w:line="360" w:lineRule="auto"/>
        <w:ind w:right="-36" w:firstLine="140" w:firstLineChars="67"/>
        <w:textAlignment w:val="bottom"/>
        <w:outlineLvl w:val="9"/>
        <w:rPr>
          <w:rFonts w:hint="eastAsia" w:ascii="宋体" w:hAnsi="宋体" w:eastAsia="宋体" w:cs="宋体"/>
          <w:color w:val="auto"/>
          <w:sz w:val="21"/>
          <w:szCs w:val="32"/>
          <w:highlight w:val="none"/>
          <w:lang w:eastAsia="zh-CN"/>
        </w:rPr>
      </w:pPr>
      <w:r>
        <w:rPr>
          <w:rFonts w:hint="eastAsia" w:ascii="宋体" w:hAnsi="宋体" w:eastAsia="宋体" w:cs="宋体"/>
          <w:color w:val="auto"/>
          <w:sz w:val="21"/>
          <w:szCs w:val="32"/>
          <w:highlight w:val="none"/>
        </w:rPr>
        <w:t>联系人：</w:t>
      </w:r>
      <w:r>
        <w:rPr>
          <w:rFonts w:hint="eastAsia" w:ascii="宋体" w:hAnsi="宋体" w:cs="宋体"/>
          <w:color w:val="auto"/>
          <w:sz w:val="21"/>
          <w:szCs w:val="32"/>
          <w:highlight w:val="none"/>
          <w:lang w:val="en-US" w:eastAsia="zh-CN"/>
        </w:rPr>
        <w:t>陈树辉</w:t>
      </w:r>
    </w:p>
    <w:p>
      <w:pPr>
        <w:widowControl/>
        <w:tabs>
          <w:tab w:val="left" w:pos="0"/>
        </w:tabs>
        <w:spacing w:line="360" w:lineRule="auto"/>
        <w:ind w:right="-36" w:firstLine="140" w:firstLineChars="67"/>
        <w:textAlignment w:val="bottom"/>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cs="宋体"/>
          <w:color w:val="auto"/>
          <w:sz w:val="21"/>
          <w:szCs w:val="21"/>
          <w:highlight w:val="none"/>
          <w:lang w:eastAsia="zh-CN"/>
        </w:rPr>
        <w:t>0769-21682660</w:t>
      </w:r>
    </w:p>
    <w:p>
      <w:pPr>
        <w:widowControl/>
        <w:tabs>
          <w:tab w:val="left" w:pos="0"/>
        </w:tabs>
        <w:spacing w:line="360" w:lineRule="auto"/>
        <w:ind w:right="-36" w:firstLine="140" w:firstLineChars="67"/>
        <w:textAlignment w:val="bottom"/>
        <w:outlineLvl w:val="9"/>
        <w:rPr>
          <w:rFonts w:hint="eastAsia" w:ascii="宋体" w:hAnsi="宋体" w:eastAsia="宋体" w:cs="宋体"/>
          <w:color w:val="auto"/>
          <w:sz w:val="21"/>
          <w:szCs w:val="21"/>
          <w:highlight w:val="none"/>
          <w:lang w:val="en-US" w:eastAsia="zh-CN"/>
        </w:rPr>
      </w:pPr>
    </w:p>
    <w:p>
      <w:pPr>
        <w:pStyle w:val="2"/>
        <w:pageBreakBefore/>
        <w:tabs>
          <w:tab w:val="left" w:pos="1080"/>
        </w:tabs>
        <w:spacing w:line="360" w:lineRule="auto"/>
        <w:ind w:left="567" w:hanging="567"/>
        <w:jc w:val="center"/>
        <w:outlineLvl w:val="0"/>
        <w:rPr>
          <w:rFonts w:hint="eastAsia" w:ascii="宋体" w:hAnsi="宋体" w:eastAsia="宋体" w:cs="宋体"/>
          <w:b/>
          <w:bCs/>
          <w:color w:val="auto"/>
          <w:kern w:val="44"/>
          <w:sz w:val="32"/>
          <w:szCs w:val="32"/>
          <w:highlight w:val="none"/>
        </w:rPr>
      </w:pPr>
      <w:bookmarkStart w:id="6" w:name="_Toc10496"/>
      <w:bookmarkStart w:id="7" w:name="_Toc450662847"/>
      <w:bookmarkStart w:id="8" w:name="_Toc521918065"/>
      <w:bookmarkStart w:id="9" w:name="_Toc30011"/>
      <w:bookmarkStart w:id="10" w:name="_Toc20721"/>
      <w:r>
        <w:rPr>
          <w:rFonts w:hint="eastAsia" w:ascii="宋体" w:hAnsi="宋体" w:eastAsia="宋体" w:cs="宋体"/>
          <w:b/>
          <w:bCs/>
          <w:color w:val="auto"/>
          <w:kern w:val="44"/>
          <w:sz w:val="32"/>
          <w:szCs w:val="32"/>
          <w:highlight w:val="none"/>
          <w:lang w:val="zh-CN"/>
        </w:rPr>
        <w:t>第二篇</w:t>
      </w:r>
      <w:r>
        <w:rPr>
          <w:rFonts w:hint="eastAsia" w:ascii="宋体" w:hAnsi="宋体" w:eastAsia="宋体" w:cs="宋体"/>
          <w:b/>
          <w:bCs/>
          <w:color w:val="auto"/>
          <w:kern w:val="44"/>
          <w:sz w:val="32"/>
          <w:szCs w:val="32"/>
          <w:highlight w:val="none"/>
          <w:lang w:val="en-US" w:eastAsia="zh-CN"/>
        </w:rPr>
        <w:t xml:space="preserve"> 磋商</w:t>
      </w:r>
      <w:r>
        <w:rPr>
          <w:rFonts w:hint="eastAsia" w:ascii="宋体" w:hAnsi="宋体" w:eastAsia="宋体" w:cs="宋体"/>
          <w:b/>
          <w:bCs/>
          <w:color w:val="auto"/>
          <w:kern w:val="44"/>
          <w:sz w:val="32"/>
          <w:szCs w:val="32"/>
          <w:highlight w:val="none"/>
          <w:lang w:val="zh-CN"/>
        </w:rPr>
        <w:t>须知</w:t>
      </w:r>
      <w:bookmarkEnd w:id="6"/>
      <w:bookmarkEnd w:id="7"/>
      <w:bookmarkEnd w:id="8"/>
      <w:bookmarkEnd w:id="9"/>
      <w:bookmarkEnd w:id="10"/>
    </w:p>
    <w:p>
      <w:pPr>
        <w:pStyle w:val="3"/>
        <w:keepNext/>
        <w:keepLines/>
        <w:pageBreakBefore w:val="0"/>
        <w:widowControl w:val="0"/>
        <w:tabs>
          <w:tab w:val="left" w:pos="567"/>
        </w:tabs>
        <w:kinsoku/>
        <w:wordWrap/>
        <w:overflowPunct/>
        <w:topLinePunct w:val="0"/>
        <w:autoSpaceDE w:val="0"/>
        <w:autoSpaceDN w:val="0"/>
        <w:bidi w:val="0"/>
        <w:adjustRightInd w:val="0"/>
        <w:snapToGrid/>
        <w:spacing w:line="360" w:lineRule="auto"/>
        <w:jc w:val="both"/>
        <w:textAlignment w:val="auto"/>
        <w:outlineLvl w:val="1"/>
        <w:rPr>
          <w:rFonts w:hint="eastAsia" w:ascii="宋体" w:hAnsi="宋体" w:eastAsia="宋体" w:cs="宋体"/>
          <w:b/>
          <w:bCs/>
          <w:color w:val="auto"/>
          <w:kern w:val="44"/>
          <w:sz w:val="21"/>
          <w:szCs w:val="21"/>
          <w:highlight w:val="none"/>
          <w:lang w:val="zh-CN"/>
        </w:rPr>
      </w:pPr>
      <w:bookmarkStart w:id="11" w:name="_Toc450662848"/>
      <w:bookmarkStart w:id="12" w:name="_Toc30287"/>
      <w:bookmarkStart w:id="13" w:name="_Toc5132"/>
      <w:bookmarkStart w:id="14" w:name="_Toc19555"/>
      <w:bookmarkStart w:id="15" w:name="_Toc521918066"/>
      <w:r>
        <w:rPr>
          <w:rFonts w:hint="eastAsia" w:ascii="宋体" w:hAnsi="宋体" w:eastAsia="宋体" w:cs="宋体"/>
          <w:b/>
          <w:bCs/>
          <w:color w:val="auto"/>
          <w:kern w:val="44"/>
          <w:sz w:val="21"/>
          <w:szCs w:val="21"/>
          <w:highlight w:val="none"/>
          <w:lang w:val="zh-CN"/>
        </w:rPr>
        <w:t>一、总则</w:t>
      </w:r>
      <w:bookmarkEnd w:id="11"/>
      <w:bookmarkEnd w:id="12"/>
      <w:bookmarkEnd w:id="13"/>
      <w:bookmarkEnd w:id="14"/>
      <w:bookmarkEnd w:id="15"/>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6" w:name="_Toc12774"/>
      <w:bookmarkStart w:id="17" w:name="_Toc450662849"/>
      <w:bookmarkStart w:id="18" w:name="_Toc17898"/>
      <w:bookmarkStart w:id="19" w:name="_Toc28825"/>
      <w:bookmarkStart w:id="20" w:name="_Toc521918067"/>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资金来源：企业自筹资金。</w:t>
      </w:r>
      <w:bookmarkEnd w:id="16"/>
      <w:bookmarkEnd w:id="17"/>
      <w:bookmarkEnd w:id="18"/>
      <w:bookmarkEnd w:id="19"/>
      <w:bookmarkEnd w:id="20"/>
    </w:p>
    <w:p>
      <w:pPr>
        <w:jc w:val="both"/>
        <w:rPr>
          <w:rFonts w:hint="eastAsia" w:ascii="宋体" w:hAnsi="宋体" w:eastAsia="宋体" w:cs="宋体"/>
          <w:color w:val="auto"/>
          <w:highlight w:val="none"/>
          <w:lang w:val="zh-CN"/>
        </w:rPr>
      </w:pPr>
    </w:p>
    <w:p>
      <w:pPr>
        <w:tabs>
          <w:tab w:val="left" w:pos="567"/>
        </w:tabs>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21" w:name="_Toc534216347"/>
      <w:bookmarkStart w:id="22" w:name="_Toc964"/>
      <w:bookmarkStart w:id="23" w:name="_Toc6489"/>
      <w:bookmarkStart w:id="24" w:name="_Toc19056"/>
      <w:bookmarkStart w:id="25" w:name="_Toc450662850"/>
      <w:bookmarkStart w:id="26" w:name="_Toc521918068"/>
      <w:r>
        <w:rPr>
          <w:rFonts w:hint="eastAsia" w:ascii="宋体" w:hAnsi="宋体" w:eastAsia="宋体" w:cs="宋体"/>
          <w:b/>
          <w:bCs/>
          <w:color w:val="auto"/>
          <w:kern w:val="2"/>
          <w:sz w:val="21"/>
          <w:szCs w:val="21"/>
          <w:highlight w:val="none"/>
          <w:lang w:val="zh-CN"/>
        </w:rPr>
        <w:t>2</w:t>
      </w:r>
      <w:r>
        <w:rPr>
          <w:rFonts w:hint="eastAsia" w:ascii="宋体" w:hAnsi="宋体" w:eastAsia="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合格的</w:t>
      </w:r>
      <w:bookmarkEnd w:id="21"/>
      <w:r>
        <w:rPr>
          <w:rFonts w:hint="eastAsia" w:ascii="宋体" w:hAnsi="宋体" w:eastAsia="宋体" w:cs="宋体"/>
          <w:b/>
          <w:bCs/>
          <w:color w:val="auto"/>
          <w:kern w:val="2"/>
          <w:sz w:val="21"/>
          <w:szCs w:val="21"/>
          <w:highlight w:val="none"/>
          <w:lang w:val="zh-CN"/>
        </w:rPr>
        <w:t>供应商</w:t>
      </w:r>
      <w:bookmarkEnd w:id="22"/>
      <w:bookmarkEnd w:id="23"/>
      <w:bookmarkEnd w:id="24"/>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outlineLvl w:val="9"/>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 xml:space="preserve">2.1 </w:t>
      </w:r>
      <w:r>
        <w:rPr>
          <w:rFonts w:hint="eastAsia" w:ascii="宋体" w:hAnsi="宋体" w:eastAsia="宋体" w:cs="宋体"/>
          <w:b/>
          <w:bCs/>
          <w:color w:val="auto"/>
          <w:kern w:val="2"/>
          <w:sz w:val="21"/>
          <w:szCs w:val="21"/>
          <w:highlight w:val="none"/>
          <w:u w:val="single"/>
          <w:lang w:val="zh-CN"/>
        </w:rPr>
        <w:t>合格的供应商条件见第一篇《竞争性磋商</w:t>
      </w:r>
      <w:r>
        <w:rPr>
          <w:rFonts w:hint="eastAsia" w:ascii="宋体" w:hAnsi="宋体" w:eastAsia="宋体" w:cs="宋体"/>
          <w:b/>
          <w:bCs/>
          <w:color w:val="auto"/>
          <w:kern w:val="2"/>
          <w:sz w:val="21"/>
          <w:szCs w:val="21"/>
          <w:highlight w:val="none"/>
          <w:u w:val="single"/>
          <w:lang w:val="en-US" w:eastAsia="zh-CN"/>
        </w:rPr>
        <w:t>公告</w:t>
      </w:r>
      <w:r>
        <w:rPr>
          <w:rFonts w:hint="eastAsia" w:ascii="宋体" w:hAnsi="宋体" w:eastAsia="宋体" w:cs="宋体"/>
          <w:b/>
          <w:bCs/>
          <w:color w:val="auto"/>
          <w:kern w:val="2"/>
          <w:sz w:val="21"/>
          <w:szCs w:val="21"/>
          <w:highlight w:val="none"/>
          <w:u w:val="single"/>
          <w:lang w:val="zh-CN"/>
        </w:rPr>
        <w:t>》中第2条的“合格供应商资格要求”及本条以下2.2款至</w:t>
      </w:r>
      <w:r>
        <w:rPr>
          <w:rFonts w:hint="eastAsia" w:ascii="宋体" w:hAnsi="宋体" w:eastAsia="宋体" w:cs="宋体"/>
          <w:b/>
          <w:bCs/>
          <w:color w:val="auto"/>
          <w:kern w:val="2"/>
          <w:sz w:val="21"/>
          <w:szCs w:val="21"/>
          <w:highlight w:val="none"/>
          <w:u w:val="single"/>
          <w:lang w:val="en-US" w:eastAsia="zh-CN"/>
        </w:rPr>
        <w:t>2.4</w:t>
      </w:r>
      <w:r>
        <w:rPr>
          <w:rFonts w:hint="eastAsia" w:ascii="宋体" w:hAnsi="宋体" w:eastAsia="宋体" w:cs="宋体"/>
          <w:b/>
          <w:bCs/>
          <w:color w:val="auto"/>
          <w:kern w:val="2"/>
          <w:sz w:val="21"/>
          <w:szCs w:val="21"/>
          <w:highlight w:val="none"/>
          <w:u w:val="single"/>
          <w:lang w:val="zh-CN"/>
        </w:rPr>
        <w:t>款的通用要求</w:t>
      </w:r>
      <w:r>
        <w:rPr>
          <w:rFonts w:hint="eastAsia" w:ascii="宋体" w:hAnsi="宋体" w:eastAsia="宋体" w:cs="宋体"/>
          <w:b/>
          <w:bCs/>
          <w:color w:val="auto"/>
          <w:kern w:val="2"/>
          <w:sz w:val="21"/>
          <w:szCs w:val="21"/>
          <w:highlight w:val="none"/>
          <w:u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outlineLvl w:val="9"/>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sz w:val="21"/>
          <w:szCs w:val="21"/>
          <w:highlight w:val="none"/>
          <w:lang w:val="zh-CN"/>
        </w:rPr>
        <w:t>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zh-CN"/>
        </w:rPr>
        <w:t xml:space="preserve"> </w:t>
      </w:r>
      <w:r>
        <w:rPr>
          <w:rFonts w:hint="eastAsia" w:ascii="宋体" w:hAnsi="宋体" w:eastAsia="宋体" w:cs="宋体"/>
          <w:b/>
          <w:bCs/>
          <w:color w:val="auto"/>
          <w:sz w:val="21"/>
          <w:szCs w:val="21"/>
          <w:highlight w:val="none"/>
          <w:u w:val="single"/>
          <w:lang w:val="zh-CN"/>
        </w:rPr>
        <w:t>供应商</w:t>
      </w:r>
      <w:r>
        <w:rPr>
          <w:rFonts w:hint="eastAsia" w:ascii="宋体" w:hAnsi="宋体" w:eastAsia="宋体" w:cs="宋体"/>
          <w:b/>
          <w:bCs/>
          <w:color w:val="auto"/>
          <w:kern w:val="2"/>
          <w:sz w:val="21"/>
          <w:szCs w:val="21"/>
          <w:highlight w:val="none"/>
          <w:u w:val="single"/>
          <w:lang w:val="zh-CN"/>
        </w:rPr>
        <w:t>在参加本项目磋商前的三年内不得在投标活动中存在《中华人民共和国招标投标法》第五十三条（相互串通投标或者与采购人串通投标，以向采购人或者评标委员会成员行贿的手段谋取中标）、第五十四条（以他人名义投标或者以其他方式弄虚作假，骗取中标）、第六十条（</w:t>
      </w:r>
      <w:r>
        <w:rPr>
          <w:rFonts w:hint="eastAsia" w:ascii="宋体" w:hAnsi="宋体" w:cs="宋体"/>
          <w:b/>
          <w:bCs/>
          <w:color w:val="auto"/>
          <w:kern w:val="2"/>
          <w:sz w:val="21"/>
          <w:szCs w:val="21"/>
          <w:highlight w:val="none"/>
          <w:u w:val="single"/>
          <w:lang w:val="zh-CN"/>
        </w:rPr>
        <w:t>成交人</w:t>
      </w:r>
      <w:r>
        <w:rPr>
          <w:rFonts w:hint="eastAsia" w:ascii="宋体" w:hAnsi="宋体" w:eastAsia="宋体" w:cs="宋体"/>
          <w:b/>
          <w:bCs/>
          <w:color w:val="auto"/>
          <w:kern w:val="2"/>
          <w:sz w:val="21"/>
          <w:szCs w:val="21"/>
          <w:highlight w:val="none"/>
          <w:u w:val="single"/>
          <w:lang w:val="zh-CN"/>
        </w:rPr>
        <w:t>不履行与采购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w:t>
      </w:r>
      <w:r>
        <w:rPr>
          <w:rFonts w:hint="eastAsia" w:ascii="宋体" w:hAnsi="宋体" w:eastAsia="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存在前述处罚的，在响应文件中必须主动按竞争性磋商文件的要求填报“最近3年</w:t>
      </w:r>
      <w:r>
        <w:rPr>
          <w:rFonts w:hint="eastAsia" w:ascii="宋体" w:hAnsi="宋体" w:eastAsia="宋体" w:cs="宋体"/>
          <w:b/>
          <w:bCs/>
          <w:color w:val="auto"/>
          <w:kern w:val="2"/>
          <w:sz w:val="21"/>
          <w:szCs w:val="21"/>
          <w:highlight w:val="none"/>
          <w:u w:val="single"/>
          <w:lang w:val="zh-CN" w:eastAsia="zh-CN"/>
        </w:rPr>
        <w:t>供应商</w:t>
      </w:r>
      <w:r>
        <w:rPr>
          <w:rFonts w:hint="eastAsia" w:ascii="宋体" w:hAnsi="宋体" w:eastAsia="宋体" w:cs="宋体"/>
          <w:b/>
          <w:bCs/>
          <w:color w:val="auto"/>
          <w:kern w:val="2"/>
          <w:sz w:val="21"/>
          <w:szCs w:val="21"/>
          <w:highlight w:val="none"/>
          <w:u w:val="single"/>
          <w:lang w:val="zh-CN"/>
        </w:rPr>
        <w:t>牵涉的其他（失信和违法）处罚说明”，如果不主动填报而被事后发现的，将取消其磋商（中标）资格，并按有关规定从重处理</w:t>
      </w:r>
      <w:r>
        <w:rPr>
          <w:rFonts w:hint="eastAsia" w:ascii="宋体" w:hAnsi="宋体" w:eastAsia="宋体" w:cs="宋体"/>
          <w:b/>
          <w:bCs/>
          <w:color w:val="auto"/>
          <w:kern w:val="2"/>
          <w:sz w:val="21"/>
          <w:szCs w:val="21"/>
          <w:highlight w:val="none"/>
          <w:u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outlineLvl w:val="9"/>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（含其不具有独立法人资格的分支机构）未列入“信用中国”网站（ www.creditchina.gov.cn）失信被执行人、</w:t>
      </w:r>
      <w:r>
        <w:rPr>
          <w:rFonts w:hint="eastAsia" w:ascii="宋体" w:hAnsi="宋体" w:eastAsia="宋体" w:cs="宋体"/>
          <w:b/>
          <w:bCs/>
          <w:color w:val="auto"/>
          <w:kern w:val="2"/>
          <w:sz w:val="21"/>
          <w:szCs w:val="21"/>
          <w:highlight w:val="none"/>
          <w:u w:val="single"/>
          <w:lang w:val="zh-CN"/>
        </w:rPr>
        <w:t>重大税收违法失信主体、政府采购严重违法失信行为记录名单</w:t>
      </w:r>
      <w:r>
        <w:rPr>
          <w:rFonts w:hint="eastAsia" w:ascii="宋体" w:hAnsi="宋体" w:eastAsia="宋体" w:cs="宋体"/>
          <w:b/>
          <w:bCs/>
          <w:color w:val="auto"/>
          <w:sz w:val="21"/>
          <w:szCs w:val="21"/>
          <w:highlight w:val="none"/>
          <w:u w:val="single"/>
        </w:rPr>
        <w:t>（处罚期限届满的除外）</w:t>
      </w:r>
      <w:r>
        <w:rPr>
          <w:rFonts w:hint="eastAsia" w:ascii="宋体" w:hAnsi="宋体" w:eastAsia="宋体" w:cs="宋体"/>
          <w:b/>
          <w:bCs/>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u w:val="single"/>
        </w:rPr>
        <w:t>根据《中华人民共和国招标投标法实施条例》第三十四条规定，与采购人存在利害关系可能影响招标公正性的法人、其他组织或者个人，不得参加</w:t>
      </w:r>
      <w:r>
        <w:rPr>
          <w:rFonts w:hint="eastAsia" w:ascii="宋体" w:hAnsi="宋体" w:eastAsia="宋体" w:cs="宋体"/>
          <w:b/>
          <w:bCs/>
          <w:color w:val="auto"/>
          <w:sz w:val="21"/>
          <w:szCs w:val="21"/>
          <w:highlight w:val="none"/>
          <w:u w:val="single"/>
          <w:lang w:val="en-US" w:eastAsia="zh-CN"/>
        </w:rPr>
        <w:t>磋商</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负责人为同一人或者存在控股、管理关系的不同</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，不得参加同一项目</w:t>
      </w:r>
      <w:r>
        <w:rPr>
          <w:rFonts w:hint="eastAsia" w:ascii="宋体" w:hAnsi="宋体" w:eastAsia="宋体" w:cs="宋体"/>
          <w:b/>
          <w:bCs/>
          <w:color w:val="auto"/>
          <w:sz w:val="21"/>
          <w:szCs w:val="21"/>
          <w:highlight w:val="none"/>
          <w:u w:val="single"/>
          <w:lang w:val="en-US" w:eastAsia="zh-CN"/>
        </w:rPr>
        <w:t>磋商</w:t>
      </w:r>
      <w:r>
        <w:rPr>
          <w:rFonts w:hint="eastAsia" w:ascii="宋体" w:hAnsi="宋体" w:eastAsia="宋体" w:cs="宋体"/>
          <w:b/>
          <w:bCs/>
          <w:color w:val="auto"/>
          <w:sz w:val="21"/>
          <w:szCs w:val="21"/>
          <w:highlight w:val="none"/>
          <w:u w:val="single"/>
        </w:rPr>
        <w:t>。上述情况一经发现，相关</w:t>
      </w:r>
      <w:r>
        <w:rPr>
          <w:rFonts w:hint="eastAsia" w:ascii="宋体" w:hAnsi="宋体" w:cs="宋体"/>
          <w:b/>
          <w:bCs/>
          <w:color w:val="auto"/>
          <w:sz w:val="21"/>
          <w:szCs w:val="21"/>
          <w:highlight w:val="none"/>
          <w:u w:val="single"/>
          <w:lang w:val="en-US" w:eastAsia="zh-CN"/>
        </w:rPr>
        <w:t>磋商</w:t>
      </w:r>
      <w:r>
        <w:rPr>
          <w:rFonts w:hint="eastAsia" w:ascii="宋体" w:hAnsi="宋体" w:eastAsia="宋体" w:cs="宋体"/>
          <w:b/>
          <w:bCs/>
          <w:color w:val="auto"/>
          <w:sz w:val="21"/>
          <w:szCs w:val="21"/>
          <w:highlight w:val="none"/>
          <w:u w:val="single"/>
        </w:rPr>
        <w:t>均无效</w:t>
      </w:r>
      <w:r>
        <w:rPr>
          <w:rFonts w:hint="eastAsia" w:ascii="宋体" w:hAnsi="宋体" w:eastAsia="宋体" w:cs="宋体"/>
          <w:b/>
          <w:bCs/>
          <w:color w:val="auto"/>
          <w:sz w:val="21"/>
          <w:szCs w:val="21"/>
          <w:highlight w:val="none"/>
        </w:rPr>
        <w:t>。</w:t>
      </w:r>
    </w:p>
    <w:p>
      <w:pPr>
        <w:tabs>
          <w:tab w:val="left" w:pos="426"/>
        </w:tabs>
        <w:spacing w:line="360" w:lineRule="auto"/>
        <w:ind w:left="529" w:hanging="529" w:hangingChars="252"/>
        <w:jc w:val="both"/>
        <w:rPr>
          <w:rFonts w:hint="eastAsia" w:ascii="宋体" w:hAnsi="宋体" w:eastAsia="宋体" w:cs="宋体"/>
          <w:color w:val="auto"/>
          <w:sz w:val="21"/>
          <w:szCs w:val="21"/>
          <w:highlight w:val="none"/>
        </w:rPr>
      </w:pPr>
    </w:p>
    <w:bookmarkEnd w:id="25"/>
    <w:bookmarkEnd w:id="26"/>
    <w:p>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7" w:name="_Toc29350"/>
      <w:bookmarkStart w:id="28" w:name="_Toc2919"/>
      <w:bookmarkStart w:id="29" w:name="_Toc26545"/>
      <w:bookmarkStart w:id="30" w:name="_Toc51642347"/>
      <w:bookmarkStart w:id="31" w:name="_Toc450662851"/>
      <w:bookmarkStart w:id="32" w:name="_Toc521918069"/>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合格的服务</w:t>
      </w:r>
      <w:bookmarkEnd w:id="27"/>
      <w:bookmarkEnd w:id="28"/>
      <w:bookmarkEnd w:id="29"/>
      <w:bookmarkEnd w:id="30"/>
    </w:p>
    <w:p>
      <w:pPr>
        <w:spacing w:line="360" w:lineRule="auto"/>
        <w:ind w:left="420" w:hanging="420" w:hangingChars="200"/>
        <w:jc w:val="both"/>
        <w:rPr>
          <w:rFonts w:hint="eastAsia" w:ascii="宋体" w:hAnsi="宋体" w:eastAsia="宋体" w:cs="宋体"/>
          <w:color w:val="auto"/>
          <w:sz w:val="20"/>
          <w:szCs w:val="21"/>
          <w:highlight w:val="none"/>
        </w:rPr>
      </w:pPr>
      <w:r>
        <w:rPr>
          <w:rFonts w:hint="eastAsia" w:ascii="宋体" w:hAnsi="宋体" w:eastAsia="宋体" w:cs="宋体"/>
          <w:color w:val="auto"/>
          <w:sz w:val="21"/>
          <w:szCs w:val="21"/>
          <w:highlight w:val="none"/>
        </w:rPr>
        <w:t>3.1</w:t>
      </w:r>
      <w:r>
        <w:rPr>
          <w:rFonts w:hint="eastAsia" w:ascii="宋体" w:hAnsi="宋体" w:eastAsia="宋体" w:cs="宋体"/>
          <w:color w:val="auto"/>
          <w:kern w:val="2"/>
          <w:sz w:val="21"/>
          <w:szCs w:val="21"/>
          <w:highlight w:val="none"/>
          <w:lang w:val="zh-CN"/>
        </w:rPr>
        <w:t xml:space="preserve"> “服务”是指供应商依法并按竞争性磋商文件规定完成的全部服务内容，其中包括完成服务所需的货物和工程，及应承担的技术支持、培训和其它伴随服务。</w:t>
      </w:r>
    </w:p>
    <w:p>
      <w:pPr>
        <w:spacing w:line="360" w:lineRule="auto"/>
        <w:ind w:left="42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必须保证提供的所有服务或服务的任何部分均为最新正式版本</w:t>
      </w:r>
      <w:r>
        <w:rPr>
          <w:rFonts w:hint="eastAsia" w:ascii="宋体" w:hAnsi="宋体" w:eastAsia="宋体" w:cs="宋体"/>
          <w:color w:val="auto"/>
          <w:sz w:val="21"/>
          <w:szCs w:val="21"/>
          <w:highlight w:val="none"/>
        </w:rPr>
        <w:t>。</w:t>
      </w:r>
    </w:p>
    <w:p>
      <w:pPr>
        <w:spacing w:line="360" w:lineRule="auto"/>
        <w:ind w:left="42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应保证本项目的技术、服务或其任何一部分免受第三方提出侵犯其专利权、商标权、著作权或其它知识产权的起诉、仲裁或其他形式的责任追究。如果</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不拥有相应的知识产权，则响应报价应包括合法获取该知识产权的相关费用。如有违反，造成采购人任何经济损失或其他损失的，由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承担全部赔偿责任。</w:t>
      </w:r>
    </w:p>
    <w:p>
      <w:pPr>
        <w:spacing w:line="360" w:lineRule="auto"/>
        <w:ind w:left="42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无论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是否在响应报价表中明示，均视为响应报价已承担包含所有应支付的对专利权、商标权和版权、设计或其他知识产权而需要向其他方支付的版税和使用费等相关费用。如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未依法向第三方支付应缴版税和使用费等相关费用的，造成采购人任何经济损失的，由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承担全部赔偿责任。</w:t>
      </w:r>
    </w:p>
    <w:bookmarkEnd w:id="31"/>
    <w:bookmarkEnd w:id="32"/>
    <w:p>
      <w:pPr>
        <w:spacing w:line="360" w:lineRule="auto"/>
        <w:ind w:left="420" w:hanging="420" w:hangingChars="200"/>
        <w:jc w:val="both"/>
        <w:rPr>
          <w:rFonts w:hint="eastAsia" w:ascii="宋体" w:hAnsi="宋体" w:eastAsia="宋体" w:cs="宋体"/>
          <w:color w:val="auto"/>
          <w:sz w:val="21"/>
          <w:szCs w:val="21"/>
          <w:highlight w:val="none"/>
        </w:rPr>
      </w:pPr>
    </w:p>
    <w:p>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33" w:name="_Toc30081"/>
      <w:bookmarkStart w:id="34" w:name="_Toc17946"/>
      <w:bookmarkStart w:id="35" w:name="_Toc13454"/>
      <w:bookmarkStart w:id="36" w:name="_Toc450662852"/>
      <w:r>
        <w:rPr>
          <w:rFonts w:hint="eastAsia" w:ascii="宋体" w:hAnsi="宋体" w:eastAsia="宋体" w:cs="宋体"/>
          <w:color w:val="auto"/>
          <w:kern w:val="2"/>
          <w:sz w:val="21"/>
          <w:szCs w:val="21"/>
          <w:highlight w:val="none"/>
          <w:lang w:val="zh-CN"/>
        </w:rPr>
        <w:t>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其它说明</w:t>
      </w:r>
      <w:bookmarkEnd w:id="33"/>
      <w:bookmarkEnd w:id="34"/>
      <w:bookmarkEnd w:id="35"/>
      <w:bookmarkEnd w:id="36"/>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0" w:left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4.1 </w:t>
      </w:r>
      <w:r>
        <w:rPr>
          <w:rFonts w:hint="eastAsia" w:ascii="宋体" w:hAnsi="宋体" w:eastAsia="宋体" w:cs="宋体"/>
          <w:color w:val="auto"/>
          <w:kern w:val="2"/>
          <w:sz w:val="21"/>
          <w:szCs w:val="21"/>
          <w:highlight w:val="none"/>
          <w:lang w:val="en-US" w:eastAsia="zh-CN"/>
        </w:rPr>
        <w:t>磋商过程</w:t>
      </w:r>
      <w:r>
        <w:rPr>
          <w:rFonts w:hint="eastAsia" w:ascii="宋体" w:hAnsi="宋体" w:eastAsia="宋体" w:cs="宋体"/>
          <w:color w:val="auto"/>
          <w:kern w:val="2"/>
          <w:sz w:val="21"/>
          <w:szCs w:val="21"/>
          <w:highlight w:val="none"/>
          <w:lang w:val="zh-CN"/>
        </w:rPr>
        <w:t>费用</w:t>
      </w:r>
    </w:p>
    <w:p>
      <w:pPr>
        <w:spacing w:line="360" w:lineRule="auto"/>
        <w:ind w:left="418" w:leftChars="174"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无论采购过程中的做法和结果如何，供应商须承担所有与编写和递交响应文件有关的费用，采购人在任何情况下不负担这些费用。</w:t>
      </w:r>
    </w:p>
    <w:p>
      <w:pPr>
        <w:keepNext w:val="0"/>
        <w:keepLines w:val="0"/>
        <w:pageBreakBefore w:val="0"/>
        <w:widowControl w:val="0"/>
        <w:tabs>
          <w:tab w:val="left" w:pos="567"/>
          <w:tab w:val="left" w:pos="927"/>
        </w:tabs>
        <w:kinsoku/>
        <w:wordWrap/>
        <w:overflowPunct/>
        <w:topLinePunct w:val="0"/>
        <w:autoSpaceDE w:val="0"/>
        <w:autoSpaceDN w:val="0"/>
        <w:bidi w:val="0"/>
        <w:adjustRightInd w:val="0"/>
        <w:snapToGrid/>
        <w:spacing w:line="360" w:lineRule="auto"/>
        <w:ind w:left="630" w:leftChars="0" w:hanging="630" w:hangingChars="300"/>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4</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2 踏勘现场</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val="0"/>
          <w:color w:val="auto"/>
          <w:sz w:val="21"/>
          <w:szCs w:val="21"/>
          <w:highlight w:val="none"/>
        </w:rPr>
        <w:t>本项目不组织集中踏勘现场和答疑，</w:t>
      </w:r>
      <w:r>
        <w:rPr>
          <w:rFonts w:hint="eastAsia" w:ascii="宋体" w:hAnsi="宋体" w:eastAsia="宋体" w:cs="宋体"/>
          <w:bCs w:val="0"/>
          <w:color w:val="auto"/>
          <w:sz w:val="21"/>
          <w:szCs w:val="21"/>
          <w:highlight w:val="none"/>
          <w:lang w:eastAsia="zh-CN"/>
        </w:rPr>
        <w:t>供应商</w:t>
      </w:r>
      <w:r>
        <w:rPr>
          <w:rFonts w:hint="eastAsia" w:ascii="宋体" w:hAnsi="宋体" w:eastAsia="宋体" w:cs="宋体"/>
          <w:bCs w:val="0"/>
          <w:color w:val="auto"/>
          <w:sz w:val="21"/>
          <w:szCs w:val="21"/>
          <w:highlight w:val="none"/>
        </w:rPr>
        <w:t>应自行到实地踏勘考察。</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应承担踏勘现场自身所发生的费用。</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right="120" w:rightChars="5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采购人</w:t>
      </w:r>
      <w:r>
        <w:rPr>
          <w:rFonts w:hint="eastAsia" w:ascii="宋体" w:hAnsi="宋体" w:cs="宋体"/>
          <w:color w:val="auto"/>
          <w:sz w:val="21"/>
          <w:szCs w:val="21"/>
          <w:highlight w:val="none"/>
          <w:lang w:val="en-US" w:eastAsia="zh-CN"/>
        </w:rPr>
        <w:t>和采购代理机构</w:t>
      </w:r>
      <w:r>
        <w:rPr>
          <w:rFonts w:hint="eastAsia" w:ascii="宋体" w:hAnsi="宋体" w:eastAsia="宋体" w:cs="宋体"/>
          <w:color w:val="auto"/>
          <w:sz w:val="21"/>
          <w:szCs w:val="21"/>
          <w:highlight w:val="none"/>
        </w:rPr>
        <w:t>在踏勘现场中介绍的有关现场和相关的周边环境情况，供</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在编制响应文件时参考，采购人不对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据此作出的判断和决策负责。</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right="120" w:rightChars="5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可为踏勘需要而进入采购人的项目现场，但潜在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不得因此使采购人承担有关的责任和蒙受损失。潜在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应承担踏勘现场的责任和风险。</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b/>
          <w:bCs/>
          <w:color w:val="auto"/>
          <w:highlight w:val="none"/>
        </w:rPr>
      </w:pPr>
      <w:r>
        <w:rPr>
          <w:rFonts w:hint="eastAsia" w:ascii="宋体" w:hAnsi="宋体" w:eastAsia="宋体" w:cs="宋体"/>
          <w:color w:val="auto"/>
          <w:kern w:val="2"/>
          <w:sz w:val="21"/>
          <w:szCs w:val="21"/>
          <w:highlight w:val="none"/>
          <w:lang w:val="zh-CN"/>
        </w:rPr>
        <w:t>4.3 纪律与保密事项</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）获得本竞争性磋商文件的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，不得用作本次</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以外的任何用途</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（2）凡参与</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工作的有关人员均应自觉接受有关主管部门的监督，不得向他人透露可能影响公平竞争的情况。</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w:t>
      </w:r>
      <w:r>
        <w:rPr>
          <w:rFonts w:hint="eastAsia" w:ascii="宋体" w:hAnsi="宋体" w:eastAsia="宋体" w:cs="宋体"/>
          <w:color w:val="auto"/>
          <w:sz w:val="21"/>
          <w:szCs w:val="21"/>
          <w:highlight w:val="none"/>
          <w:lang w:val="en-US" w:eastAsia="zh-CN"/>
        </w:rPr>
        <w:t>启响应文件</w:t>
      </w:r>
      <w:r>
        <w:rPr>
          <w:rFonts w:hint="eastAsia" w:ascii="宋体" w:hAnsi="宋体" w:eastAsia="宋体" w:cs="宋体"/>
          <w:color w:val="auto"/>
          <w:sz w:val="21"/>
          <w:szCs w:val="21"/>
          <w:highlight w:val="none"/>
        </w:rPr>
        <w:t>后，直至向成交人发出《成交通知书》时止，凡与审查、澄清、评价和比较报价的有关资料以及</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意见等，参与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工作的有关人员均不得向</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及与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无关的其他人透露。</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被要求对响应文件进行澄清外，从递交响应文件截止之时起至授予合同期间，</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不得就与其响应文件有关的事项主动与</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代理机构以</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采购人联系。</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之日起至授予合同期间，在响应文件的审查、澄清、比较和评价阶段，</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试图对</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施加任何影响或对采购人的比较及授予合同的决定产生影响，都可能导致其响应文件被拒绝。</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不得串通作弊，以不正当的手段妨碍、排挤其他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，扰乱采购市场，破坏公平竞争原则。</w:t>
      </w:r>
    </w:p>
    <w:p>
      <w:pPr>
        <w:spacing w:line="360" w:lineRule="auto"/>
        <w:ind w:left="420" w:hanging="480" w:hangingChars="200"/>
        <w:jc w:val="both"/>
        <w:rPr>
          <w:rFonts w:hint="eastAsia" w:ascii="宋体" w:hAnsi="宋体" w:eastAsia="宋体" w:cs="宋体"/>
          <w:color w:val="auto"/>
          <w:highlight w:val="none"/>
        </w:rPr>
      </w:pPr>
    </w:p>
    <w:p>
      <w:pPr>
        <w:pStyle w:val="3"/>
        <w:keepNext/>
        <w:keepLines/>
        <w:pageBreakBefore w:val="0"/>
        <w:widowControl w:val="0"/>
        <w:tabs>
          <w:tab w:val="left" w:pos="567"/>
        </w:tabs>
        <w:kinsoku/>
        <w:wordWrap/>
        <w:overflowPunct/>
        <w:topLinePunct w:val="0"/>
        <w:autoSpaceDE w:val="0"/>
        <w:autoSpaceDN w:val="0"/>
        <w:bidi w:val="0"/>
        <w:adjustRightInd w:val="0"/>
        <w:snapToGrid/>
        <w:spacing w:line="360" w:lineRule="auto"/>
        <w:jc w:val="both"/>
        <w:textAlignment w:val="auto"/>
        <w:outlineLvl w:val="1"/>
        <w:rPr>
          <w:rFonts w:hint="eastAsia" w:ascii="宋体" w:hAnsi="宋体" w:eastAsia="宋体" w:cs="宋体"/>
          <w:b/>
          <w:bCs/>
          <w:color w:val="auto"/>
          <w:kern w:val="44"/>
          <w:sz w:val="21"/>
          <w:szCs w:val="21"/>
          <w:highlight w:val="none"/>
          <w:lang w:val="zh-CN"/>
        </w:rPr>
      </w:pPr>
      <w:bookmarkStart w:id="37" w:name="_Toc521918070"/>
      <w:bookmarkStart w:id="38" w:name="_Toc450662853"/>
      <w:bookmarkStart w:id="39" w:name="_Toc18335"/>
      <w:bookmarkStart w:id="40" w:name="_Toc8621"/>
      <w:bookmarkStart w:id="41" w:name="_Toc12598"/>
      <w:r>
        <w:rPr>
          <w:rFonts w:hint="eastAsia" w:ascii="宋体" w:hAnsi="宋体" w:eastAsia="宋体" w:cs="宋体"/>
          <w:b/>
          <w:bCs/>
          <w:color w:val="auto"/>
          <w:kern w:val="44"/>
          <w:sz w:val="21"/>
          <w:szCs w:val="21"/>
          <w:highlight w:val="none"/>
          <w:lang w:val="zh-CN"/>
        </w:rPr>
        <w:t>二、</w:t>
      </w:r>
      <w:bookmarkEnd w:id="37"/>
      <w:bookmarkEnd w:id="38"/>
      <w:r>
        <w:rPr>
          <w:rFonts w:hint="eastAsia" w:ascii="宋体" w:hAnsi="宋体" w:eastAsia="宋体" w:cs="宋体"/>
          <w:b/>
          <w:bCs/>
          <w:color w:val="auto"/>
          <w:kern w:val="44"/>
          <w:sz w:val="21"/>
          <w:szCs w:val="21"/>
          <w:highlight w:val="none"/>
          <w:lang w:val="zh-CN"/>
        </w:rPr>
        <w:t>竞争性磋商文件</w:t>
      </w:r>
      <w:bookmarkEnd w:id="39"/>
      <w:bookmarkEnd w:id="40"/>
      <w:bookmarkEnd w:id="41"/>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42" w:name="_Toc9641"/>
      <w:bookmarkStart w:id="43" w:name="_Toc450662854"/>
      <w:bookmarkStart w:id="44" w:name="_Toc521918071"/>
      <w:bookmarkStart w:id="45" w:name="_Toc12468"/>
      <w:bookmarkStart w:id="46" w:name="_Toc7837"/>
      <w:r>
        <w:rPr>
          <w:rFonts w:hint="eastAsia" w:ascii="宋体" w:hAnsi="宋体" w:eastAsia="宋体" w:cs="宋体"/>
          <w:color w:val="auto"/>
          <w:kern w:val="2"/>
          <w:sz w:val="21"/>
          <w:szCs w:val="21"/>
          <w:highlight w:val="none"/>
          <w:lang w:val="zh-CN"/>
        </w:rPr>
        <w:t>5</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竞争性磋商文件的构成</w:t>
      </w:r>
      <w:bookmarkEnd w:id="42"/>
      <w:bookmarkEnd w:id="43"/>
      <w:bookmarkEnd w:id="44"/>
      <w:bookmarkEnd w:id="45"/>
      <w:bookmarkEnd w:id="46"/>
    </w:p>
    <w:p>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竞争性磋商文件包括：</w:t>
      </w:r>
    </w:p>
    <w:p>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第一篇</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竞争性磋商</w:t>
      </w:r>
      <w:r>
        <w:rPr>
          <w:rFonts w:hint="eastAsia" w:ascii="宋体" w:hAnsi="宋体" w:eastAsia="宋体" w:cs="宋体"/>
          <w:color w:val="auto"/>
          <w:kern w:val="2"/>
          <w:sz w:val="21"/>
          <w:szCs w:val="21"/>
          <w:highlight w:val="none"/>
          <w:lang w:val="en-US" w:eastAsia="zh-CN"/>
        </w:rPr>
        <w:t>公告</w:t>
      </w:r>
    </w:p>
    <w:p>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第二篇</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须知</w:t>
      </w:r>
    </w:p>
    <w:p>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第三篇</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用户需求书</w:t>
      </w:r>
    </w:p>
    <w:p>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第四篇</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合同条款格式</w:t>
      </w:r>
    </w:p>
    <w:p>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w:t>
      </w:r>
      <w:r>
        <w:rPr>
          <w:rFonts w:hint="eastAsia" w:ascii="宋体" w:hAnsi="宋体" w:eastAsia="宋体" w:cs="宋体"/>
          <w:color w:val="auto"/>
          <w:kern w:val="2"/>
          <w:sz w:val="21"/>
          <w:szCs w:val="21"/>
          <w:highlight w:val="none"/>
          <w:lang w:val="en-US" w:eastAsia="zh-CN"/>
        </w:rPr>
        <w:t>五</w:t>
      </w:r>
      <w:r>
        <w:rPr>
          <w:rFonts w:hint="eastAsia" w:ascii="宋体" w:hAnsi="宋体" w:eastAsia="宋体" w:cs="宋体"/>
          <w:color w:val="auto"/>
          <w:kern w:val="2"/>
          <w:sz w:val="21"/>
          <w:szCs w:val="21"/>
          <w:highlight w:val="none"/>
          <w:lang w:val="zh-CN"/>
        </w:rPr>
        <w:t>篇</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响应文件格式</w:t>
      </w:r>
    </w:p>
    <w:p>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附件一</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评审工作大纲</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5.2</w:t>
      </w:r>
      <w:r>
        <w:rPr>
          <w:rFonts w:hint="eastAsia" w:ascii="宋体" w:hAnsi="宋体" w:eastAsia="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u w:val="single"/>
          <w:lang w:val="zh-CN"/>
        </w:rPr>
        <w:t>供应商应审阅竞争性磋商文件中所有须知、格式、条款和规格。供应商未按竞争性磋商文件要求提供全部资料或提交的响应文件未对竞争性磋商文件作出实质性响应（★标志的部分为供应商</w:t>
      </w:r>
      <w:r>
        <w:rPr>
          <w:rFonts w:hint="eastAsia" w:ascii="宋体" w:hAnsi="宋体" w:eastAsia="宋体" w:cs="宋体"/>
          <w:b/>
          <w:bCs/>
          <w:color w:val="auto"/>
          <w:kern w:val="2"/>
          <w:sz w:val="21"/>
          <w:szCs w:val="21"/>
          <w:highlight w:val="none"/>
          <w:u w:val="single"/>
          <w:lang w:val="en-US" w:eastAsia="zh-CN"/>
        </w:rPr>
        <w:t>及其</w:t>
      </w:r>
      <w:r>
        <w:rPr>
          <w:rFonts w:hint="eastAsia" w:ascii="宋体" w:hAnsi="宋体" w:eastAsia="宋体" w:cs="宋体"/>
          <w:b/>
          <w:bCs/>
          <w:color w:val="auto"/>
          <w:kern w:val="2"/>
          <w:sz w:val="21"/>
          <w:szCs w:val="21"/>
          <w:highlight w:val="none"/>
          <w:u w:val="single"/>
          <w:lang w:val="zh-CN"/>
        </w:rPr>
        <w:t>拟供服务必备的条件或重要指示），那么供应商</w:t>
      </w:r>
      <w:r>
        <w:rPr>
          <w:rFonts w:hint="eastAsia" w:ascii="宋体" w:hAnsi="宋体" w:cs="宋体"/>
          <w:b/>
          <w:bCs/>
          <w:color w:val="auto"/>
          <w:kern w:val="2"/>
          <w:sz w:val="21"/>
          <w:szCs w:val="21"/>
          <w:highlight w:val="none"/>
          <w:u w:val="single"/>
          <w:lang w:val="en-US" w:eastAsia="zh-CN"/>
        </w:rPr>
        <w:t>的</w:t>
      </w:r>
      <w:r>
        <w:rPr>
          <w:rFonts w:hint="eastAsia" w:ascii="宋体" w:hAnsi="宋体" w:eastAsia="宋体" w:cs="宋体"/>
          <w:b/>
          <w:bCs/>
          <w:color w:val="auto"/>
          <w:kern w:val="2"/>
          <w:sz w:val="21"/>
          <w:szCs w:val="21"/>
          <w:highlight w:val="none"/>
          <w:u w:val="single"/>
          <w:lang w:val="zh-CN"/>
        </w:rPr>
        <w:t>响应文件</w:t>
      </w:r>
      <w:r>
        <w:rPr>
          <w:rFonts w:hint="eastAsia" w:ascii="宋体" w:hAnsi="宋体" w:cs="宋体"/>
          <w:b/>
          <w:bCs/>
          <w:color w:val="auto"/>
          <w:kern w:val="2"/>
          <w:sz w:val="21"/>
          <w:szCs w:val="21"/>
          <w:highlight w:val="none"/>
          <w:u w:val="single"/>
          <w:lang w:val="en-US" w:eastAsia="zh-CN"/>
        </w:rPr>
        <w:t>将有可能</w:t>
      </w:r>
      <w:r>
        <w:rPr>
          <w:rFonts w:hint="eastAsia" w:ascii="宋体" w:hAnsi="宋体" w:eastAsia="宋体" w:cs="宋体"/>
          <w:b/>
          <w:bCs/>
          <w:color w:val="auto"/>
          <w:kern w:val="2"/>
          <w:sz w:val="21"/>
          <w:szCs w:val="21"/>
          <w:highlight w:val="none"/>
          <w:u w:val="single"/>
          <w:lang w:val="zh-CN"/>
        </w:rPr>
        <w:t>被拒绝接收或评审为无效响应文件</w:t>
      </w:r>
      <w:r>
        <w:rPr>
          <w:rFonts w:hint="eastAsia" w:ascii="宋体" w:hAnsi="宋体" w:eastAsia="宋体" w:cs="宋体"/>
          <w:b/>
          <w:bCs/>
          <w:color w:val="auto"/>
          <w:kern w:val="2"/>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5.3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本竞争性磋商文件使用的词语有如下定义：</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zh-CN"/>
        </w:rPr>
        <w:t>“采购人”指</w:t>
      </w:r>
      <w:r>
        <w:rPr>
          <w:rFonts w:hint="eastAsia" w:ascii="宋体" w:hAnsi="宋体" w:cs="宋体"/>
          <w:color w:val="auto"/>
          <w:sz w:val="21"/>
          <w:szCs w:val="21"/>
          <w:highlight w:val="none"/>
          <w:lang w:eastAsia="zh-CN"/>
        </w:rPr>
        <w:t>东莞市水务集团实业发展有限公司</w:t>
      </w:r>
      <w:r>
        <w:rPr>
          <w:rFonts w:hint="eastAsia" w:ascii="宋体" w:hAnsi="宋体" w:eastAsia="宋体" w:cs="宋体"/>
          <w:color w:val="auto"/>
          <w:kern w:val="2"/>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代理机构”指</w:t>
      </w:r>
      <w:r>
        <w:rPr>
          <w:rFonts w:hint="eastAsia" w:ascii="宋体" w:hAnsi="宋体" w:cs="宋体"/>
          <w:color w:val="auto"/>
          <w:kern w:val="2"/>
          <w:sz w:val="21"/>
          <w:szCs w:val="21"/>
          <w:highlight w:val="none"/>
          <w:lang w:val="en-US" w:eastAsia="zh-CN"/>
        </w:rPr>
        <w:t>三方诚信招标有限公司</w:t>
      </w:r>
      <w:r>
        <w:rPr>
          <w:rFonts w:hint="eastAsia" w:ascii="宋体" w:hAnsi="宋体" w:eastAsia="宋体" w:cs="宋体"/>
          <w:color w:val="auto"/>
          <w:kern w:val="2"/>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）“供应商”指参加</w:t>
      </w:r>
      <w:r>
        <w:rPr>
          <w:rFonts w:hint="eastAsia" w:ascii="宋体" w:hAnsi="宋体" w:cs="宋体"/>
          <w:color w:val="auto"/>
          <w:kern w:val="2"/>
          <w:sz w:val="21"/>
          <w:szCs w:val="21"/>
          <w:highlight w:val="none"/>
          <w:lang w:val="zh-CN"/>
        </w:rPr>
        <w:t>东莞市水务集团实业发展有限公司审计及财税服务采购项目</w:t>
      </w:r>
      <w:r>
        <w:rPr>
          <w:rFonts w:hint="eastAsia" w:ascii="宋体" w:hAnsi="宋体" w:eastAsia="宋体" w:cs="宋体"/>
          <w:color w:val="auto"/>
          <w:kern w:val="2"/>
          <w:sz w:val="21"/>
          <w:szCs w:val="21"/>
          <w:highlight w:val="none"/>
          <w:lang w:val="zh-CN"/>
        </w:rPr>
        <w:t>所需的有关</w:t>
      </w:r>
      <w:r>
        <w:rPr>
          <w:rFonts w:hint="eastAsia" w:ascii="宋体" w:hAnsi="宋体" w:eastAsia="宋体" w:cs="宋体"/>
          <w:color w:val="auto"/>
          <w:sz w:val="21"/>
          <w:szCs w:val="21"/>
          <w:highlight w:val="none"/>
        </w:rPr>
        <w:t>服务</w:t>
      </w:r>
      <w:r>
        <w:rPr>
          <w:rFonts w:hint="eastAsia" w:ascii="宋体" w:hAnsi="宋体" w:eastAsia="宋体" w:cs="宋体"/>
          <w:color w:val="auto"/>
          <w:kern w:val="2"/>
          <w:sz w:val="21"/>
          <w:szCs w:val="21"/>
          <w:highlight w:val="none"/>
          <w:lang w:val="zh-CN"/>
        </w:rPr>
        <w:t>的</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en-US"/>
        </w:rPr>
        <w:t>报价</w:t>
      </w:r>
      <w:r>
        <w:rPr>
          <w:rFonts w:hint="eastAsia" w:ascii="宋体" w:hAnsi="宋体" w:eastAsia="宋体" w:cs="宋体"/>
          <w:color w:val="auto"/>
          <w:kern w:val="2"/>
          <w:sz w:val="21"/>
          <w:szCs w:val="21"/>
          <w:highlight w:val="none"/>
          <w:lang w:val="zh-CN"/>
        </w:rPr>
        <w:t>，并向</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代理机构提交响应文件的当事人；</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）“磋商小组”是指</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人组建</w:t>
      </w:r>
      <w:r>
        <w:rPr>
          <w:rFonts w:hint="eastAsia" w:ascii="宋体" w:hAnsi="宋体" w:eastAsia="宋体" w:cs="宋体"/>
          <w:color w:val="auto"/>
          <w:sz w:val="21"/>
          <w:szCs w:val="21"/>
          <w:highlight w:val="none"/>
          <w:lang w:val="zh-CN"/>
        </w:rPr>
        <w:t>的</w:t>
      </w:r>
      <w:r>
        <w:rPr>
          <w:rFonts w:hint="eastAsia" w:ascii="宋体" w:hAnsi="宋体" w:eastAsia="宋体" w:cs="宋体"/>
          <w:color w:val="auto"/>
          <w:kern w:val="2"/>
          <w:sz w:val="21"/>
          <w:szCs w:val="21"/>
          <w:highlight w:val="none"/>
          <w:lang w:val="zh-CN"/>
        </w:rPr>
        <w:t>专门负责本次</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工作的临时性机构；</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）“成交人”指其</w:t>
      </w:r>
      <w:r>
        <w:rPr>
          <w:rFonts w:hint="eastAsia" w:ascii="宋体" w:hAnsi="宋体" w:eastAsia="宋体" w:cs="宋体"/>
          <w:color w:val="auto"/>
          <w:kern w:val="2"/>
          <w:sz w:val="21"/>
          <w:szCs w:val="21"/>
          <w:highlight w:val="none"/>
          <w:lang w:val="en-US" w:eastAsia="zh-CN"/>
        </w:rPr>
        <w:t>响应报价</w:t>
      </w:r>
      <w:r>
        <w:rPr>
          <w:rFonts w:hint="eastAsia" w:ascii="宋体" w:hAnsi="宋体" w:eastAsia="宋体" w:cs="宋体"/>
          <w:color w:val="auto"/>
          <w:kern w:val="2"/>
          <w:sz w:val="21"/>
          <w:szCs w:val="21"/>
          <w:highlight w:val="none"/>
          <w:lang w:val="zh-CN"/>
        </w:rPr>
        <w:t>被采购人接受，并与</w:t>
      </w:r>
      <w:r>
        <w:rPr>
          <w:rFonts w:hint="eastAsia" w:ascii="宋体" w:hAnsi="宋体" w:cs="宋体"/>
          <w:color w:val="auto"/>
          <w:kern w:val="2"/>
          <w:sz w:val="21"/>
          <w:szCs w:val="21"/>
          <w:highlight w:val="none"/>
          <w:lang w:val="en-US" w:eastAsia="zh-CN"/>
        </w:rPr>
        <w:t>东莞市众源环境投资有限公司</w:t>
      </w:r>
      <w:r>
        <w:rPr>
          <w:rFonts w:hint="eastAsia" w:ascii="宋体" w:hAnsi="宋体" w:eastAsia="宋体" w:cs="宋体"/>
          <w:color w:val="auto"/>
          <w:kern w:val="2"/>
          <w:sz w:val="21"/>
          <w:szCs w:val="21"/>
          <w:highlight w:val="none"/>
          <w:lang w:val="zh-CN"/>
        </w:rPr>
        <w:t>签订合同的当事人；</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）“甲方”指在合同条款中指明的购买货物和服务的单位；</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）“乙方”指在合同条款中指明的本合同项下提供货物和服务的公司或实体；</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）“竞争性磋商文件”指由采购代理机构发出的本竞争性磋商文件，包括全部章节和附件；</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）“响应文件”指供应商根据本竞争性磋商文件向采购代理机构提交的全部文件；</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val="zh-CN"/>
        </w:rPr>
        <w:t>）“书面函件”指手写、打字或印刷的函件，包括电传、电报和传真；</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）“合同”指由本次采购所产生的合同或合约文件；</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lang w:val="zh-CN"/>
        </w:rPr>
        <w:t>）“日期”指公历日，“时间”指北京时间；</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13</w:t>
      </w:r>
      <w:r>
        <w:rPr>
          <w:rFonts w:hint="eastAsia" w:ascii="宋体" w:hAnsi="宋体" w:eastAsia="宋体" w:cs="宋体"/>
          <w:color w:val="auto"/>
          <w:kern w:val="2"/>
          <w:sz w:val="21"/>
          <w:szCs w:val="21"/>
          <w:highlight w:val="none"/>
          <w:lang w:val="zh-CN"/>
        </w:rPr>
        <w:t>）本竞争性磋商文件中的“境内”特指中华人民共和国海关关境以内，“境外”特指中华人民</w:t>
      </w:r>
    </w:p>
    <w:p>
      <w:pPr>
        <w:keepNext w:val="0"/>
        <w:keepLines w:val="0"/>
        <w:pageBreakBefore w:val="0"/>
        <w:widowControl w:val="0"/>
        <w:kinsoku/>
        <w:wordWrap/>
        <w:overflowPunct/>
        <w:topLinePunct w:val="0"/>
        <w:autoSpaceDE w:val="0"/>
        <w:autoSpaceDN w:val="0"/>
        <w:bidi w:val="0"/>
        <w:adjustRightInd w:val="0"/>
        <w:snapToGrid/>
        <w:spacing w:line="360" w:lineRule="auto"/>
        <w:ind w:left="636" w:leftChars="265"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共和国海关关境以外；</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14</w:t>
      </w:r>
      <w:r>
        <w:rPr>
          <w:rFonts w:hint="eastAsia" w:ascii="宋体" w:hAnsi="宋体" w:eastAsia="宋体" w:cs="宋体"/>
          <w:color w:val="auto"/>
          <w:kern w:val="2"/>
          <w:sz w:val="21"/>
          <w:szCs w:val="21"/>
          <w:highlight w:val="none"/>
          <w:lang w:val="zh-CN"/>
        </w:rPr>
        <w:t>）不含税价，即为《中华人民共和国增值税暂行条例》（国务院令第691号修订版）规定的销售</w:t>
      </w:r>
    </w:p>
    <w:p>
      <w:pPr>
        <w:keepNext w:val="0"/>
        <w:keepLines w:val="0"/>
        <w:pageBreakBefore w:val="0"/>
        <w:widowControl w:val="0"/>
        <w:kinsoku/>
        <w:wordWrap/>
        <w:overflowPunct/>
        <w:topLinePunct w:val="0"/>
        <w:autoSpaceDE w:val="0"/>
        <w:autoSpaceDN w:val="0"/>
        <w:bidi w:val="0"/>
        <w:adjustRightInd w:val="0"/>
        <w:snapToGrid/>
        <w:spacing w:line="360" w:lineRule="auto"/>
        <w:ind w:left="617" w:leftChars="257"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额。</w:t>
      </w:r>
      <w:r>
        <w:rPr>
          <w:rFonts w:hint="eastAsia" w:ascii="宋体" w:hAnsi="宋体" w:eastAsia="宋体" w:cs="宋体"/>
          <w:b w:val="0"/>
          <w:bCs w:val="0"/>
          <w:color w:val="auto"/>
          <w:kern w:val="2"/>
          <w:sz w:val="21"/>
          <w:szCs w:val="21"/>
          <w:highlight w:val="none"/>
          <w:u w:val="none"/>
          <w:lang w:val="zh-CN"/>
        </w:rPr>
        <w:t>本竞争性磋商文件</w:t>
      </w:r>
      <w:r>
        <w:rPr>
          <w:rFonts w:hint="eastAsia" w:ascii="宋体" w:hAnsi="宋体" w:eastAsia="宋体" w:cs="宋体"/>
          <w:b w:val="0"/>
          <w:bCs w:val="0"/>
          <w:color w:val="auto"/>
          <w:sz w:val="21"/>
          <w:szCs w:val="21"/>
          <w:highlight w:val="none"/>
          <w:u w:val="none"/>
        </w:rPr>
        <w:t>所称的不含税价和合同价是指不含本采购项目</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的销项税额，包含了</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完成合同义务（含</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代缴代扣、分包及委外服务、施工、采购货物等所产生的价税）的其他全部费用</w:t>
      </w:r>
      <w:r>
        <w:rPr>
          <w:rFonts w:hint="eastAsia" w:ascii="宋体" w:hAnsi="宋体" w:eastAsia="宋体" w:cs="宋体"/>
          <w:b w:val="0"/>
          <w:bCs w:val="0"/>
          <w:color w:val="auto"/>
          <w:kern w:val="2"/>
          <w:sz w:val="21"/>
          <w:szCs w:val="21"/>
          <w:highlight w:val="none"/>
          <w:u w:val="none"/>
          <w:lang w:val="zh-CN"/>
        </w:rPr>
        <w:t>。</w:t>
      </w:r>
      <w:r>
        <w:rPr>
          <w:rFonts w:hint="eastAsia" w:ascii="宋体" w:hAnsi="宋体" w:eastAsia="宋体" w:cs="宋体"/>
          <w:color w:val="auto"/>
          <w:kern w:val="2"/>
          <w:sz w:val="21"/>
          <w:szCs w:val="21"/>
          <w:highlight w:val="none"/>
          <w:lang w:val="zh-CN"/>
        </w:rPr>
        <w:t>本采购项目供应商的销项税额由采购人承担，不计入报价。</w:t>
      </w:r>
    </w:p>
    <w:p>
      <w:pPr>
        <w:spacing w:line="360" w:lineRule="auto"/>
        <w:ind w:left="1214" w:leftChars="178" w:hanging="787" w:hangingChars="375"/>
        <w:jc w:val="both"/>
        <w:rPr>
          <w:rFonts w:hint="eastAsia" w:ascii="宋体" w:hAnsi="宋体" w:eastAsia="宋体" w:cs="宋体"/>
          <w:color w:val="auto"/>
          <w:kern w:val="2"/>
          <w:sz w:val="21"/>
          <w:szCs w:val="21"/>
          <w:highlight w:val="none"/>
          <w:lang w:val="zh-CN"/>
        </w:rPr>
      </w:pPr>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47" w:name="_Toc8459"/>
      <w:bookmarkStart w:id="48" w:name="_Toc450662855"/>
      <w:bookmarkStart w:id="49" w:name="_Toc8385"/>
      <w:bookmarkStart w:id="50" w:name="_Toc13383"/>
      <w:bookmarkStart w:id="51" w:name="_Toc521918072"/>
      <w:r>
        <w:rPr>
          <w:rFonts w:hint="eastAsia" w:ascii="宋体" w:hAnsi="宋体" w:eastAsia="宋体" w:cs="宋体"/>
          <w:color w:val="auto"/>
          <w:kern w:val="2"/>
          <w:sz w:val="21"/>
          <w:szCs w:val="21"/>
          <w:highlight w:val="none"/>
          <w:lang w:val="zh-CN"/>
        </w:rPr>
        <w:t>6</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竞争性磋商文件的异议</w:t>
      </w:r>
      <w:bookmarkEnd w:id="47"/>
      <w:bookmarkEnd w:id="48"/>
      <w:bookmarkEnd w:id="49"/>
      <w:bookmarkEnd w:id="50"/>
      <w:bookmarkEnd w:id="51"/>
    </w:p>
    <w:p>
      <w:pPr>
        <w:keepNext w:val="0"/>
        <w:keepLines w:val="0"/>
        <w:pageBreakBefore w:val="0"/>
        <w:widowControl w:val="0"/>
        <w:kinsoku/>
        <w:wordWrap/>
        <w:overflowPunct/>
        <w:topLinePunct w:val="0"/>
        <w:autoSpaceDE w:val="0"/>
        <w:autoSpaceDN w:val="0"/>
        <w:bidi w:val="0"/>
        <w:adjustRightInd w:val="0"/>
        <w:snapToGrid/>
        <w:spacing w:line="360" w:lineRule="auto"/>
        <w:ind w:left="449" w:leftChars="187" w:firstLine="420" w:firstLineChars="200"/>
        <w:jc w:val="both"/>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Cs/>
          <w:color w:val="auto"/>
          <w:kern w:val="2"/>
          <w:sz w:val="21"/>
          <w:szCs w:val="21"/>
          <w:highlight w:val="none"/>
          <w:lang w:val="zh-CN"/>
        </w:rPr>
        <w:t>供应商或者其他利害关系人对竞争性磋商文件有异议的，应当在递交响应文件截止时间</w:t>
      </w:r>
      <w:r>
        <w:rPr>
          <w:rFonts w:hint="eastAsia" w:ascii="宋体" w:hAnsi="宋体" w:eastAsia="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lang w:val="zh-CN"/>
        </w:rPr>
        <w:t>日前</w:t>
      </w:r>
      <w:r>
        <w:rPr>
          <w:rFonts w:hint="eastAsia" w:ascii="宋体" w:hAnsi="宋体" w:eastAsia="宋体" w:cs="宋体"/>
          <w:color w:val="auto"/>
          <w:kern w:val="2"/>
          <w:sz w:val="21"/>
          <w:szCs w:val="21"/>
          <w:highlight w:val="none"/>
          <w:lang w:val="zh-CN"/>
        </w:rPr>
        <w:t>以书面形式向</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代理机构提出，并将材料原件送达</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代理机构，逾期则视为对竞争性磋商文件所有内容无异议。</w:t>
      </w:r>
      <w:r>
        <w:rPr>
          <w:rFonts w:hint="eastAsia" w:ascii="宋体" w:hAnsi="宋体" w:eastAsia="宋体" w:cs="宋体"/>
          <w:bCs/>
          <w:color w:val="auto"/>
          <w:kern w:val="2"/>
          <w:sz w:val="21"/>
          <w:szCs w:val="21"/>
          <w:highlight w:val="none"/>
          <w:lang w:val="zh-CN"/>
        </w:rPr>
        <w:t>异议</w:t>
      </w:r>
      <w:r>
        <w:rPr>
          <w:rFonts w:hint="eastAsia" w:ascii="宋体" w:hAnsi="宋体" w:eastAsia="宋体" w:cs="宋体"/>
          <w:color w:val="auto"/>
          <w:kern w:val="2"/>
          <w:sz w:val="21"/>
          <w:szCs w:val="21"/>
          <w:highlight w:val="none"/>
          <w:lang w:val="zh-CN"/>
        </w:rPr>
        <w:t>书面材料必须加盖</w:t>
      </w:r>
      <w:r>
        <w:rPr>
          <w:rFonts w:hint="eastAsia" w:ascii="宋体" w:hAnsi="宋体" w:cs="宋体"/>
          <w:color w:val="auto"/>
          <w:kern w:val="2"/>
          <w:sz w:val="21"/>
          <w:szCs w:val="21"/>
          <w:highlight w:val="none"/>
          <w:lang w:val="zh-CN"/>
        </w:rPr>
        <w:t>供应商公章</w:t>
      </w:r>
      <w:r>
        <w:rPr>
          <w:rFonts w:hint="eastAsia" w:ascii="宋体" w:hAnsi="宋体" w:eastAsia="宋体" w:cs="宋体"/>
          <w:color w:val="auto"/>
          <w:kern w:val="2"/>
          <w:sz w:val="21"/>
          <w:szCs w:val="21"/>
          <w:highlight w:val="none"/>
          <w:lang w:val="zh-CN"/>
        </w:rPr>
        <w:t>，并注明联系人、联系电话、联系地址。</w:t>
      </w:r>
      <w:r>
        <w:rPr>
          <w:rFonts w:hint="eastAsia" w:ascii="宋体" w:hAnsi="宋体" w:eastAsia="宋体" w:cs="宋体"/>
          <w:bCs/>
          <w:color w:val="auto"/>
          <w:kern w:val="2"/>
          <w:sz w:val="21"/>
          <w:szCs w:val="21"/>
          <w:highlight w:val="none"/>
          <w:lang w:val="zh-CN"/>
        </w:rPr>
        <w:t>超出</w:t>
      </w:r>
      <w:r>
        <w:rPr>
          <w:rFonts w:hint="eastAsia" w:ascii="宋体" w:hAnsi="宋体" w:eastAsia="宋体" w:cs="宋体"/>
          <w:color w:val="auto"/>
          <w:kern w:val="2"/>
          <w:sz w:val="21"/>
          <w:szCs w:val="21"/>
          <w:highlight w:val="none"/>
          <w:lang w:val="zh-CN"/>
        </w:rPr>
        <w:t>提交接收异议截止时间而</w:t>
      </w:r>
      <w:r>
        <w:rPr>
          <w:rFonts w:hint="eastAsia" w:ascii="宋体" w:hAnsi="宋体" w:eastAsia="宋体" w:cs="宋体"/>
          <w:bCs/>
          <w:color w:val="auto"/>
          <w:kern w:val="2"/>
          <w:sz w:val="21"/>
          <w:szCs w:val="21"/>
          <w:highlight w:val="none"/>
          <w:lang w:val="zh-CN"/>
        </w:rPr>
        <w:t>提出的疑问，</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w:t>
      </w:r>
      <w:r>
        <w:rPr>
          <w:rFonts w:hint="eastAsia" w:ascii="宋体" w:hAnsi="宋体" w:eastAsia="宋体" w:cs="宋体"/>
          <w:bCs/>
          <w:color w:val="auto"/>
          <w:kern w:val="2"/>
          <w:sz w:val="21"/>
          <w:szCs w:val="21"/>
          <w:highlight w:val="none"/>
          <w:lang w:val="zh-CN"/>
        </w:rPr>
        <w:t>可不予答复。</w:t>
      </w:r>
      <w:r>
        <w:rPr>
          <w:rFonts w:hint="eastAsia" w:ascii="宋体" w:hAnsi="宋体" w:eastAsia="宋体" w:cs="宋体"/>
          <w:b/>
          <w:bCs/>
          <w:color w:val="auto"/>
          <w:kern w:val="2"/>
          <w:sz w:val="21"/>
          <w:szCs w:val="21"/>
          <w:highlight w:val="none"/>
          <w:u w:val="single"/>
          <w:lang w:val="zh-CN"/>
        </w:rPr>
        <w:t>供应商必须在响应文件中提供磋商承诺书（格式详见第</w:t>
      </w:r>
      <w:r>
        <w:rPr>
          <w:rFonts w:hint="eastAsia" w:ascii="宋体" w:hAnsi="宋体" w:eastAsia="宋体" w:cs="宋体"/>
          <w:b/>
          <w:bCs/>
          <w:color w:val="auto"/>
          <w:kern w:val="2"/>
          <w:sz w:val="21"/>
          <w:szCs w:val="21"/>
          <w:highlight w:val="none"/>
          <w:u w:val="single"/>
          <w:lang w:val="en-US" w:eastAsia="zh-CN"/>
        </w:rPr>
        <w:t>五</w:t>
      </w:r>
      <w:r>
        <w:rPr>
          <w:rFonts w:hint="eastAsia" w:ascii="宋体" w:hAnsi="宋体" w:eastAsia="宋体" w:cs="宋体"/>
          <w:b/>
          <w:bCs/>
          <w:color w:val="auto"/>
          <w:kern w:val="2"/>
          <w:sz w:val="21"/>
          <w:szCs w:val="21"/>
          <w:highlight w:val="none"/>
          <w:u w:val="single"/>
          <w:lang w:val="zh-CN"/>
        </w:rPr>
        <w:t>篇响应文件格式）。</w:t>
      </w:r>
    </w:p>
    <w:p>
      <w:pPr>
        <w:spacing w:line="360" w:lineRule="auto"/>
        <w:ind w:left="569" w:leftChars="237" w:firstLine="422" w:firstLineChars="200"/>
        <w:jc w:val="both"/>
        <w:rPr>
          <w:rFonts w:hint="eastAsia" w:ascii="宋体" w:hAnsi="宋体" w:eastAsia="宋体" w:cs="宋体"/>
          <w:b/>
          <w:bCs/>
          <w:color w:val="auto"/>
          <w:kern w:val="2"/>
          <w:sz w:val="21"/>
          <w:szCs w:val="21"/>
          <w:highlight w:val="none"/>
          <w:u w:val="single"/>
          <w:lang w:val="zh-CN"/>
        </w:rPr>
      </w:pPr>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52" w:name="_Toc15379"/>
      <w:bookmarkStart w:id="53" w:name="_Toc30633"/>
      <w:bookmarkStart w:id="54" w:name="_Toc30291"/>
      <w:bookmarkStart w:id="55" w:name="_Toc521918073"/>
      <w:bookmarkStart w:id="56" w:name="_Toc450662856"/>
      <w:r>
        <w:rPr>
          <w:rFonts w:hint="eastAsia" w:ascii="宋体" w:hAnsi="宋体" w:eastAsia="宋体" w:cs="宋体"/>
          <w:color w:val="auto"/>
          <w:kern w:val="2"/>
          <w:sz w:val="21"/>
          <w:szCs w:val="21"/>
          <w:highlight w:val="none"/>
          <w:lang w:val="zh-CN"/>
        </w:rPr>
        <w:t>7</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竞争性磋商文件的澄清及修改</w:t>
      </w:r>
      <w:bookmarkEnd w:id="52"/>
      <w:bookmarkEnd w:id="53"/>
      <w:bookmarkEnd w:id="54"/>
      <w:bookmarkEnd w:id="55"/>
      <w:bookmarkEnd w:id="56"/>
    </w:p>
    <w:p>
      <w:pPr>
        <w:spacing w:line="360" w:lineRule="auto"/>
        <w:ind w:left="420" w:hanging="420" w:hanging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7.1</w:t>
      </w:r>
      <w:r>
        <w:rPr>
          <w:rFonts w:hint="eastAsia" w:ascii="宋体" w:hAnsi="宋体" w:eastAsia="宋体" w:cs="宋体"/>
          <w:color w:val="auto"/>
          <w:sz w:val="21"/>
          <w:szCs w:val="21"/>
          <w:highlight w:val="none"/>
          <w:lang w:val="en-US" w:eastAsia="zh-CN"/>
        </w:rPr>
        <w:t xml:space="preserve"> 采购</w:t>
      </w:r>
      <w:r>
        <w:rPr>
          <w:rFonts w:hint="eastAsia" w:ascii="宋体" w:hAnsi="宋体" w:eastAsia="宋体" w:cs="宋体"/>
          <w:color w:val="auto"/>
          <w:sz w:val="21"/>
          <w:szCs w:val="21"/>
          <w:highlight w:val="none"/>
          <w:lang w:val="zh-CN"/>
        </w:rPr>
        <w:t>代理机构对已发出的竞争性磋商文件进行必要澄清或者修改的，将在竞争性磋商文件要求提交响应文件截止时间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日前，在</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信息发布媒介上发布更正公告，请各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密切留意。该澄清或者修改的内容为竞争性磋商文件的组成部分。</w:t>
      </w:r>
    </w:p>
    <w:p>
      <w:pPr>
        <w:spacing w:line="360" w:lineRule="auto"/>
        <w:ind w:left="420" w:hanging="420" w:hanging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项目特定情况下，</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代理机构必须延长</w:t>
      </w:r>
      <w:r>
        <w:rPr>
          <w:rFonts w:hint="eastAsia" w:ascii="宋体" w:hAnsi="宋体" w:eastAsia="宋体" w:cs="宋体"/>
          <w:color w:val="auto"/>
          <w:sz w:val="21"/>
          <w:szCs w:val="21"/>
          <w:highlight w:val="none"/>
          <w:lang w:val="en-US" w:eastAsia="zh-CN"/>
        </w:rPr>
        <w:t>响应文件提交</w:t>
      </w:r>
      <w:r>
        <w:rPr>
          <w:rFonts w:hint="eastAsia" w:ascii="宋体" w:hAnsi="宋体" w:eastAsia="宋体" w:cs="宋体"/>
          <w:color w:val="auto"/>
          <w:sz w:val="21"/>
          <w:szCs w:val="21"/>
          <w:highlight w:val="none"/>
          <w:lang w:val="zh-CN"/>
        </w:rPr>
        <w:t>截止时间和</w:t>
      </w:r>
      <w:r>
        <w:rPr>
          <w:rFonts w:hint="eastAsia" w:ascii="宋体" w:hAnsi="宋体" w:eastAsia="宋体" w:cs="宋体"/>
          <w:color w:val="auto"/>
          <w:sz w:val="21"/>
          <w:szCs w:val="21"/>
          <w:highlight w:val="none"/>
          <w:lang w:val="en-US" w:eastAsia="zh-CN"/>
        </w:rPr>
        <w:t>开启</w:t>
      </w:r>
      <w:r>
        <w:rPr>
          <w:rFonts w:hint="eastAsia" w:ascii="宋体" w:hAnsi="宋体" w:eastAsia="宋体" w:cs="宋体"/>
          <w:color w:val="auto"/>
          <w:sz w:val="21"/>
          <w:szCs w:val="21"/>
          <w:highlight w:val="none"/>
          <w:lang w:val="zh-CN"/>
        </w:rPr>
        <w:t>时间时，将在竞争性磋商文件要求提交响应文件的截止时间前，在</w:t>
      </w:r>
      <w:r>
        <w:rPr>
          <w:rFonts w:hint="eastAsia" w:ascii="宋体" w:hAnsi="宋体" w:eastAsia="宋体" w:cs="宋体"/>
          <w:color w:val="auto"/>
          <w:sz w:val="21"/>
          <w:szCs w:val="21"/>
          <w:highlight w:val="none"/>
          <w:lang w:val="zh-CN" w:eastAsia="zh-CN"/>
        </w:rPr>
        <w:t>采购</w:t>
      </w:r>
      <w:r>
        <w:rPr>
          <w:rFonts w:hint="eastAsia" w:ascii="宋体" w:hAnsi="宋体" w:eastAsia="宋体" w:cs="宋体"/>
          <w:color w:val="auto"/>
          <w:sz w:val="21"/>
          <w:szCs w:val="21"/>
          <w:highlight w:val="none"/>
          <w:lang w:val="zh-CN"/>
        </w:rPr>
        <w:t>信息发布媒介上发布变更公告。</w:t>
      </w:r>
    </w:p>
    <w:p>
      <w:pPr>
        <w:spacing w:line="360" w:lineRule="auto"/>
        <w:ind w:left="42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7.3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竞争性磋商文件的修改、补充通知在中国招标投标公共服务平台（www.cebpubservice.com）、东莞市水务集团有限公司网（www.dgswjt.cn）、</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代理机构网站（</w:t>
      </w:r>
      <w:r>
        <w:rPr>
          <w:rFonts w:hint="eastAsia" w:ascii="宋体" w:hAnsi="宋体" w:cs="宋体"/>
          <w:color w:val="auto"/>
          <w:sz w:val="21"/>
          <w:szCs w:val="21"/>
          <w:highlight w:val="none"/>
          <w:lang w:val="zh-CN"/>
        </w:rPr>
        <w:t>http://www.sfcx.cn/</w:t>
      </w:r>
      <w:r>
        <w:rPr>
          <w:rFonts w:hint="eastAsia" w:ascii="宋体" w:hAnsi="宋体" w:eastAsia="宋体" w:cs="宋体"/>
          <w:color w:val="auto"/>
          <w:sz w:val="21"/>
          <w:szCs w:val="21"/>
          <w:highlight w:val="none"/>
          <w:lang w:val="zh-CN"/>
        </w:rPr>
        <w:t>）公布，请各供应商密切留意。</w:t>
      </w:r>
    </w:p>
    <w:p>
      <w:pPr>
        <w:spacing w:line="360" w:lineRule="auto"/>
        <w:ind w:left="567" w:hanging="567"/>
        <w:jc w:val="both"/>
        <w:rPr>
          <w:rFonts w:hint="eastAsia" w:ascii="宋体" w:hAnsi="宋体" w:eastAsia="宋体" w:cs="宋体"/>
          <w:color w:val="auto"/>
          <w:kern w:val="2"/>
          <w:sz w:val="21"/>
          <w:szCs w:val="21"/>
          <w:highlight w:val="none"/>
          <w:lang w:val="zh-CN"/>
        </w:rPr>
      </w:pPr>
    </w:p>
    <w:p>
      <w:pPr>
        <w:pStyle w:val="3"/>
        <w:keepNext/>
        <w:keepLines/>
        <w:pageBreakBefore w:val="0"/>
        <w:widowControl w:val="0"/>
        <w:tabs>
          <w:tab w:val="left" w:pos="567"/>
        </w:tabs>
        <w:kinsoku/>
        <w:wordWrap/>
        <w:overflowPunct/>
        <w:topLinePunct w:val="0"/>
        <w:autoSpaceDE w:val="0"/>
        <w:autoSpaceDN w:val="0"/>
        <w:bidi w:val="0"/>
        <w:adjustRightInd w:val="0"/>
        <w:snapToGrid/>
        <w:spacing w:line="360" w:lineRule="auto"/>
        <w:jc w:val="both"/>
        <w:textAlignment w:val="auto"/>
        <w:outlineLvl w:val="1"/>
        <w:rPr>
          <w:rFonts w:hint="eastAsia" w:ascii="宋体" w:hAnsi="宋体" w:eastAsia="宋体" w:cs="宋体"/>
          <w:b/>
          <w:bCs/>
          <w:color w:val="auto"/>
          <w:kern w:val="44"/>
          <w:sz w:val="21"/>
          <w:szCs w:val="21"/>
          <w:highlight w:val="none"/>
          <w:lang w:val="zh-CN"/>
        </w:rPr>
      </w:pPr>
      <w:bookmarkStart w:id="57" w:name="_Toc450662857"/>
      <w:bookmarkStart w:id="58" w:name="_Toc25362"/>
      <w:bookmarkStart w:id="59" w:name="_Toc521918074"/>
      <w:bookmarkStart w:id="60" w:name="_Toc16999"/>
      <w:bookmarkStart w:id="61" w:name="_Toc18534"/>
      <w:r>
        <w:rPr>
          <w:rFonts w:hint="eastAsia" w:ascii="宋体" w:hAnsi="宋体" w:eastAsia="宋体" w:cs="宋体"/>
          <w:b/>
          <w:bCs/>
          <w:color w:val="auto"/>
          <w:kern w:val="44"/>
          <w:sz w:val="21"/>
          <w:szCs w:val="21"/>
          <w:highlight w:val="none"/>
          <w:lang w:val="zh-CN"/>
        </w:rPr>
        <w:t>三、响应文件的编制</w:t>
      </w:r>
      <w:bookmarkEnd w:id="57"/>
      <w:bookmarkEnd w:id="58"/>
      <w:bookmarkEnd w:id="59"/>
      <w:bookmarkEnd w:id="60"/>
      <w:bookmarkEnd w:id="61"/>
    </w:p>
    <w:p>
      <w:pPr>
        <w:tabs>
          <w:tab w:val="left" w:pos="67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62" w:name="_Toc32121"/>
      <w:bookmarkStart w:id="63" w:name="_Toc450662858"/>
      <w:bookmarkStart w:id="64" w:name="_Toc9179"/>
      <w:bookmarkStart w:id="65" w:name="_Toc4384"/>
      <w:bookmarkStart w:id="66" w:name="_Toc521918075"/>
      <w:r>
        <w:rPr>
          <w:rFonts w:hint="eastAsia" w:ascii="宋体" w:hAnsi="宋体" w:eastAsia="宋体" w:cs="宋体"/>
          <w:color w:val="auto"/>
          <w:kern w:val="2"/>
          <w:sz w:val="21"/>
          <w:szCs w:val="21"/>
          <w:highlight w:val="none"/>
          <w:lang w:val="zh-CN"/>
        </w:rPr>
        <w:t>8</w:t>
      </w:r>
      <w:r>
        <w:rPr>
          <w:rFonts w:hint="eastAsia" w:ascii="宋体" w:hAnsi="宋体" w:eastAsia="宋体" w:cs="宋体"/>
          <w:color w:val="auto"/>
          <w:kern w:val="2"/>
          <w:sz w:val="21"/>
          <w:szCs w:val="21"/>
          <w:highlight w:val="none"/>
          <w:lang w:val="en-US" w:eastAsia="zh-CN"/>
        </w:rPr>
        <w:t xml:space="preserve">   响应文件</w:t>
      </w:r>
      <w:r>
        <w:rPr>
          <w:rFonts w:hint="eastAsia" w:ascii="宋体" w:hAnsi="宋体" w:eastAsia="宋体" w:cs="宋体"/>
          <w:color w:val="auto"/>
          <w:kern w:val="2"/>
          <w:sz w:val="21"/>
          <w:szCs w:val="21"/>
          <w:highlight w:val="none"/>
          <w:lang w:val="zh-CN"/>
        </w:rPr>
        <w:t>使用的文字及度量衡单位</w:t>
      </w:r>
      <w:bookmarkEnd w:id="62"/>
      <w:bookmarkEnd w:id="63"/>
      <w:bookmarkEnd w:id="64"/>
      <w:bookmarkEnd w:id="65"/>
      <w:bookmarkEnd w:id="66"/>
    </w:p>
    <w:p>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供应商的响应文件以及供应商与采购代理机构就有关</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的所有往来函电均应使用简体中文。</w:t>
      </w:r>
    </w:p>
    <w:p>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响应文件使用的度量衡单位采用中华人民共和国法定计量单位。</w:t>
      </w:r>
    </w:p>
    <w:p>
      <w:pPr>
        <w:spacing w:line="360" w:lineRule="auto"/>
        <w:ind w:left="420" w:hanging="420" w:hangingChars="200"/>
        <w:jc w:val="both"/>
        <w:rPr>
          <w:rFonts w:hint="eastAsia" w:ascii="宋体" w:hAnsi="宋体" w:eastAsia="宋体" w:cs="宋体"/>
          <w:color w:val="auto"/>
          <w:sz w:val="21"/>
          <w:szCs w:val="21"/>
          <w:highlight w:val="none"/>
          <w:lang w:val="zh-CN"/>
        </w:rPr>
      </w:pPr>
    </w:p>
    <w:p>
      <w:pPr>
        <w:tabs>
          <w:tab w:val="left" w:pos="675"/>
        </w:tabs>
        <w:spacing w:line="360" w:lineRule="auto"/>
        <w:ind w:left="567" w:hanging="567"/>
        <w:jc w:val="both"/>
        <w:outlineLvl w:val="2"/>
        <w:rPr>
          <w:rFonts w:hint="eastAsia" w:ascii="宋体" w:hAnsi="宋体" w:eastAsia="宋体" w:cs="宋体"/>
          <w:color w:val="auto"/>
          <w:kern w:val="2"/>
          <w:sz w:val="21"/>
          <w:szCs w:val="21"/>
          <w:highlight w:val="none"/>
          <w:lang w:val="zh-CN" w:eastAsia="zh-CN"/>
        </w:rPr>
      </w:pPr>
      <w:bookmarkStart w:id="67" w:name="_Toc7504"/>
      <w:bookmarkStart w:id="68" w:name="_Toc1569"/>
      <w:bookmarkStart w:id="69" w:name="_Toc17221"/>
      <w:r>
        <w:rPr>
          <w:rFonts w:hint="eastAsia" w:ascii="宋体" w:hAnsi="宋体" w:eastAsia="宋体" w:cs="宋体"/>
          <w:color w:val="auto"/>
          <w:kern w:val="2"/>
          <w:sz w:val="21"/>
          <w:szCs w:val="21"/>
          <w:highlight w:val="none"/>
          <w:lang w:val="zh-CN" w:eastAsia="zh-CN"/>
        </w:rPr>
        <w:t>9</w:t>
      </w:r>
      <w:r>
        <w:rPr>
          <w:rFonts w:hint="eastAsia" w:ascii="宋体" w:hAnsi="宋体" w:eastAsia="宋体" w:cs="宋体"/>
          <w:color w:val="auto"/>
          <w:kern w:val="2"/>
          <w:sz w:val="21"/>
          <w:szCs w:val="21"/>
          <w:highlight w:val="none"/>
          <w:lang w:val="en-US" w:eastAsia="zh-CN"/>
        </w:rPr>
        <w:t xml:space="preserve">   响应文件</w:t>
      </w:r>
      <w:r>
        <w:rPr>
          <w:rFonts w:hint="eastAsia" w:ascii="宋体" w:hAnsi="宋体" w:eastAsia="宋体" w:cs="宋体"/>
          <w:color w:val="auto"/>
          <w:kern w:val="2"/>
          <w:sz w:val="21"/>
          <w:szCs w:val="21"/>
          <w:highlight w:val="none"/>
          <w:lang w:val="zh-CN" w:eastAsia="zh-CN"/>
        </w:rPr>
        <w:t>的组成</w:t>
      </w:r>
      <w:bookmarkEnd w:id="67"/>
      <w:bookmarkEnd w:id="68"/>
      <w:bookmarkEnd w:id="69"/>
    </w:p>
    <w:p>
      <w:pPr>
        <w:spacing w:line="360" w:lineRule="auto"/>
        <w:ind w:left="418" w:leftChars="174" w:firstLine="0" w:firstLineChars="0"/>
        <w:jc w:val="both"/>
        <w:rPr>
          <w:rFonts w:hint="eastAsia" w:ascii="宋体" w:hAnsi="宋体" w:eastAsia="宋体" w:cs="宋体"/>
          <w:color w:val="auto"/>
          <w:sz w:val="21"/>
          <w:szCs w:val="21"/>
          <w:highlight w:val="none"/>
          <w:lang w:val="zh-CN"/>
        </w:rPr>
      </w:pPr>
      <w:r>
        <w:rPr>
          <w:rFonts w:hint="eastAsia" w:ascii="宋体" w:hAnsi="宋体" w:eastAsia="宋体" w:cs="宋体"/>
          <w:b w:val="0"/>
          <w:bCs w:val="0"/>
          <w:color w:val="auto"/>
          <w:sz w:val="21"/>
          <w:szCs w:val="21"/>
          <w:highlight w:val="none"/>
          <w:u w:val="none"/>
          <w:lang w:val="en-US" w:eastAsia="zh-CN"/>
        </w:rPr>
        <w:t>响应文件的组成：</w:t>
      </w:r>
      <w:r>
        <w:rPr>
          <w:rFonts w:hint="eastAsia" w:ascii="宋体" w:hAnsi="宋体" w:eastAsia="宋体" w:cs="宋体"/>
          <w:b/>
          <w:bCs/>
          <w:color w:val="auto"/>
          <w:sz w:val="21"/>
          <w:szCs w:val="21"/>
          <w:highlight w:val="none"/>
          <w:u w:val="single"/>
          <w:lang w:val="zh-CN"/>
        </w:rPr>
        <w:t>商务文件、技术文件由</w:t>
      </w:r>
      <w:r>
        <w:rPr>
          <w:rFonts w:hint="eastAsia" w:ascii="宋体" w:hAnsi="宋体" w:eastAsia="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根据各自文件的实际情况决定是否分册装订，</w:t>
      </w:r>
      <w:r>
        <w:rPr>
          <w:rFonts w:hint="eastAsia" w:ascii="宋体" w:hAnsi="宋体" w:eastAsia="宋体" w:cs="宋体"/>
          <w:b/>
          <w:bCs/>
          <w:color w:val="auto"/>
          <w:sz w:val="21"/>
          <w:szCs w:val="21"/>
          <w:highlight w:val="none"/>
          <w:u w:val="single"/>
          <w:lang w:val="en-US" w:eastAsia="zh-CN"/>
        </w:rPr>
        <w:t>竞争性磋商</w:t>
      </w:r>
      <w:r>
        <w:rPr>
          <w:rFonts w:hint="eastAsia" w:ascii="宋体" w:hAnsi="宋体" w:eastAsia="宋体" w:cs="宋体"/>
          <w:b/>
          <w:bCs/>
          <w:color w:val="auto"/>
          <w:sz w:val="21"/>
          <w:szCs w:val="21"/>
          <w:highlight w:val="none"/>
          <w:u w:val="single"/>
          <w:lang w:val="zh-CN"/>
        </w:rPr>
        <w:t>文件不做限制</w:t>
      </w:r>
      <w:r>
        <w:rPr>
          <w:rFonts w:hint="eastAsia" w:ascii="宋体" w:hAnsi="宋体" w:eastAsia="宋体" w:cs="宋体"/>
          <w:color w:val="auto"/>
          <w:sz w:val="21"/>
          <w:szCs w:val="21"/>
          <w:highlight w:val="none"/>
          <w:lang w:val="zh-CN"/>
        </w:rPr>
        <w:t>。</w:t>
      </w:r>
    </w:p>
    <w:p>
      <w:pPr>
        <w:spacing w:line="360" w:lineRule="auto"/>
        <w:ind w:left="420" w:hanging="422" w:hangingChars="200"/>
        <w:jc w:val="both"/>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9.1</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zh-CN"/>
        </w:rPr>
        <w:t>商务文件：</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函；</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（2）磋商承诺书；</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（3）供货及/或提供服务过程承诺函；</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）首次报价表；</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）供应商资格证明文件：</w:t>
      </w:r>
    </w:p>
    <w:p>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eastAsia="zh-CN"/>
        </w:rPr>
        <w:t xml:space="preserve"> 多证合一营业执照（或事业单位法人证书）复印件；</w:t>
      </w:r>
    </w:p>
    <w:p>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 2 \* GB3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 xml:space="preserve"> 开户许可证复印件（基本存款账户）复印件，如供应商企业银行账户开户所在地区已取消企业银行账户许可，供应商应提供基本存款账户开户名称、开户银行、账号、编号等信息及相关备案证明（如有）或其他能证明其为基本存款账户的资料复印件；</w:t>
      </w:r>
    </w:p>
    <w:p>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 3 \* GB3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③</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 xml:space="preserve"> 法定代表人/</w:t>
      </w:r>
      <w:r>
        <w:rPr>
          <w:rFonts w:hint="eastAsia" w:ascii="宋体" w:hAnsi="宋体" w:cs="宋体"/>
          <w:color w:val="auto"/>
          <w:sz w:val="21"/>
          <w:szCs w:val="21"/>
          <w:highlight w:val="none"/>
          <w:lang w:eastAsia="zh-CN"/>
        </w:rPr>
        <w:t>执行事务合伙人</w:t>
      </w:r>
      <w:r>
        <w:rPr>
          <w:rFonts w:hint="eastAsia" w:ascii="宋体" w:hAnsi="宋体" w:eastAsia="宋体" w:cs="宋体"/>
          <w:color w:val="auto"/>
          <w:sz w:val="21"/>
          <w:szCs w:val="21"/>
          <w:highlight w:val="none"/>
          <w:lang w:eastAsia="zh-CN"/>
        </w:rPr>
        <w:t>身份证明书原件、法定代表人/</w:t>
      </w:r>
      <w:r>
        <w:rPr>
          <w:rFonts w:hint="eastAsia" w:ascii="宋体" w:hAnsi="宋体" w:cs="宋体"/>
          <w:color w:val="auto"/>
          <w:sz w:val="21"/>
          <w:szCs w:val="21"/>
          <w:highlight w:val="none"/>
          <w:lang w:eastAsia="zh-CN"/>
        </w:rPr>
        <w:t>执行事务合伙人</w:t>
      </w:r>
      <w:r>
        <w:rPr>
          <w:rFonts w:hint="eastAsia" w:ascii="宋体" w:hAnsi="宋体" w:eastAsia="宋体" w:cs="宋体"/>
          <w:color w:val="auto"/>
          <w:sz w:val="21"/>
          <w:szCs w:val="21"/>
          <w:highlight w:val="none"/>
          <w:lang w:eastAsia="zh-CN"/>
        </w:rPr>
        <w:t>授权书原件格式（法定代表人/</w:t>
      </w:r>
      <w:r>
        <w:rPr>
          <w:rFonts w:hint="eastAsia" w:ascii="宋体" w:hAnsi="宋体" w:cs="宋体"/>
          <w:color w:val="auto"/>
          <w:sz w:val="21"/>
          <w:szCs w:val="21"/>
          <w:highlight w:val="none"/>
          <w:lang w:eastAsia="zh-CN"/>
        </w:rPr>
        <w:t>执行事务合伙人</w:t>
      </w:r>
      <w:r>
        <w:rPr>
          <w:rFonts w:hint="eastAsia" w:ascii="宋体" w:hAnsi="宋体" w:eastAsia="宋体" w:cs="宋体"/>
          <w:color w:val="auto"/>
          <w:sz w:val="21"/>
          <w:szCs w:val="21"/>
          <w:highlight w:val="none"/>
          <w:lang w:eastAsia="zh-CN"/>
        </w:rPr>
        <w:t>磋商时只需提供法定代表人/</w:t>
      </w:r>
      <w:r>
        <w:rPr>
          <w:rFonts w:hint="eastAsia" w:ascii="宋体" w:hAnsi="宋体" w:cs="宋体"/>
          <w:color w:val="auto"/>
          <w:sz w:val="21"/>
          <w:szCs w:val="21"/>
          <w:highlight w:val="none"/>
          <w:lang w:eastAsia="zh-CN"/>
        </w:rPr>
        <w:t>执行事务合伙人</w:t>
      </w:r>
      <w:r>
        <w:rPr>
          <w:rFonts w:hint="eastAsia" w:ascii="宋体" w:hAnsi="宋体" w:eastAsia="宋体" w:cs="宋体"/>
          <w:color w:val="auto"/>
          <w:sz w:val="21"/>
          <w:szCs w:val="21"/>
          <w:highlight w:val="none"/>
          <w:lang w:eastAsia="zh-CN"/>
        </w:rPr>
        <w:t>身份证明书，委托他人为磋商代表或签署响应文件时需同时提供法定代表人/</w:t>
      </w:r>
      <w:r>
        <w:rPr>
          <w:rFonts w:hint="eastAsia" w:ascii="宋体" w:hAnsi="宋体" w:cs="宋体"/>
          <w:color w:val="auto"/>
          <w:sz w:val="21"/>
          <w:szCs w:val="21"/>
          <w:highlight w:val="none"/>
          <w:lang w:eastAsia="zh-CN"/>
        </w:rPr>
        <w:t>执行事务合伙人</w:t>
      </w:r>
      <w:r>
        <w:rPr>
          <w:rFonts w:hint="eastAsia" w:ascii="宋体" w:hAnsi="宋体" w:eastAsia="宋体" w:cs="宋体"/>
          <w:color w:val="auto"/>
          <w:sz w:val="21"/>
          <w:szCs w:val="21"/>
          <w:highlight w:val="none"/>
          <w:lang w:eastAsia="zh-CN"/>
        </w:rPr>
        <w:t>授权书）；</w:t>
      </w:r>
    </w:p>
    <w:p>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④</w:t>
      </w:r>
      <w:r>
        <w:rPr>
          <w:rFonts w:hint="eastAsia" w:ascii="宋体" w:hAnsi="宋体" w:eastAsia="宋体" w:cs="宋体"/>
          <w:color w:val="auto"/>
          <w:sz w:val="21"/>
          <w:szCs w:val="21"/>
          <w:highlight w:val="none"/>
          <w:lang w:val="en-US" w:eastAsia="zh-CN"/>
        </w:rPr>
        <w:t xml:space="preserve"> 行政主管部门颁发有效的会计师事务所执业证书【须</w:t>
      </w:r>
      <w:r>
        <w:rPr>
          <w:rFonts w:hint="eastAsia" w:ascii="宋体" w:hAnsi="宋体" w:cs="宋体"/>
          <w:color w:val="auto"/>
          <w:sz w:val="21"/>
          <w:szCs w:val="21"/>
          <w:highlight w:val="none"/>
          <w:lang w:val="en-US" w:eastAsia="zh-CN"/>
        </w:rPr>
        <w:t>提供复印件</w:t>
      </w:r>
      <w:r>
        <w:rPr>
          <w:rFonts w:hint="eastAsia" w:ascii="宋体" w:hAnsi="宋体" w:eastAsia="宋体" w:cs="宋体"/>
          <w:color w:val="auto"/>
          <w:sz w:val="21"/>
          <w:szCs w:val="21"/>
          <w:highlight w:val="none"/>
          <w:lang w:val="en-US" w:eastAsia="zh-CN"/>
        </w:rPr>
        <w:t>加盖供应商公章】；</w:t>
      </w:r>
    </w:p>
    <w:p>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rPr>
        <w:t>⑤</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资格业绩【供应商2022年1月1日以来具有一份资产审计服务项目业绩</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lang w:eastAsia="zh-CN"/>
        </w:rPr>
        <w:t>一份企业清算审计服务项目业绩</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lang w:eastAsia="zh-CN"/>
        </w:rPr>
        <w:t>一份财税咨询服务项目业绩</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合同签订时间为2022年1月1日或以后）</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资格业绩证明材料提交要求详见竞争性磋商文件第六篇响应文件格式</w:t>
      </w:r>
      <w:r>
        <w:rPr>
          <w:rFonts w:hint="eastAsia" w:ascii="宋体" w:hAnsi="宋体" w:eastAsia="宋体" w:cs="宋体"/>
          <w:color w:val="auto"/>
          <w:sz w:val="21"/>
          <w:szCs w:val="21"/>
          <w:highlight w:val="none"/>
          <w:u w:val="none"/>
          <w:lang w:val="en-US" w:eastAsia="zh-CN"/>
        </w:rPr>
        <w:t>5.5</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最近3年</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牵涉的其他（失信和违法）处罚说明</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zh-CN"/>
        </w:rPr>
        <w:t>基本情况</w:t>
      </w:r>
      <w:r>
        <w:rPr>
          <w:rFonts w:hint="eastAsia" w:ascii="宋体" w:hAnsi="宋体" w:eastAsia="宋体" w:cs="宋体"/>
          <w:color w:val="auto"/>
          <w:sz w:val="21"/>
          <w:szCs w:val="21"/>
          <w:highlight w:val="none"/>
          <w:lang w:val="en-US" w:eastAsia="zh-CN"/>
        </w:rPr>
        <w:t>一览表</w:t>
      </w:r>
      <w:r>
        <w:rPr>
          <w:rFonts w:hint="eastAsia" w:ascii="宋体" w:hAnsi="宋体" w:eastAsia="宋体" w:cs="宋体"/>
          <w:color w:val="auto"/>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）供应商财务状况</w:t>
      </w:r>
      <w:r>
        <w:rPr>
          <w:rFonts w:hint="eastAsia" w:ascii="宋体" w:hAnsi="宋体" w:eastAsia="宋体" w:cs="宋体"/>
          <w:color w:val="auto"/>
          <w:sz w:val="21"/>
          <w:szCs w:val="21"/>
          <w:highlight w:val="none"/>
          <w:lang w:val="en-US" w:eastAsia="zh-CN"/>
        </w:rPr>
        <w:t>表</w:t>
      </w:r>
      <w:r>
        <w:rPr>
          <w:rFonts w:hint="eastAsia" w:ascii="宋体" w:hAnsi="宋体" w:eastAsia="宋体" w:cs="宋体"/>
          <w:color w:val="auto"/>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）合同条款</w:t>
      </w:r>
      <w:r>
        <w:rPr>
          <w:rFonts w:hint="eastAsia" w:ascii="宋体" w:hAnsi="宋体" w:eastAsia="宋体" w:cs="宋体"/>
          <w:color w:val="auto"/>
          <w:sz w:val="21"/>
          <w:szCs w:val="21"/>
          <w:highlight w:val="none"/>
          <w:lang w:val="en-US" w:eastAsia="zh-CN"/>
        </w:rPr>
        <w:t>响应程度（合同条款偏离表）</w:t>
      </w:r>
      <w:r>
        <w:rPr>
          <w:rFonts w:hint="eastAsia" w:ascii="宋体" w:hAnsi="宋体" w:eastAsia="宋体" w:cs="宋体"/>
          <w:color w:val="auto"/>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）业绩</w:t>
      </w:r>
      <w:r>
        <w:rPr>
          <w:rFonts w:hint="eastAsia" w:ascii="宋体" w:hAnsi="宋体" w:eastAsia="宋体" w:cs="宋体"/>
          <w:color w:val="auto"/>
          <w:sz w:val="21"/>
          <w:szCs w:val="21"/>
          <w:highlight w:val="none"/>
          <w:lang w:val="en-US" w:eastAsia="zh-CN"/>
        </w:rPr>
        <w:t>表</w:t>
      </w:r>
      <w:r>
        <w:rPr>
          <w:rFonts w:hint="eastAsia" w:ascii="宋体" w:hAnsi="宋体" w:eastAsia="宋体" w:cs="宋体"/>
          <w:color w:val="auto"/>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）拟</w:t>
      </w:r>
      <w:r>
        <w:rPr>
          <w:rFonts w:hint="eastAsia" w:ascii="宋体" w:hAnsi="宋体" w:eastAsia="宋体" w:cs="宋体"/>
          <w:color w:val="auto"/>
          <w:sz w:val="21"/>
          <w:szCs w:val="21"/>
          <w:highlight w:val="none"/>
          <w:lang w:val="zh-CN" w:eastAsia="zh-CN"/>
        </w:rPr>
        <w:t>投入</w:t>
      </w:r>
      <w:r>
        <w:rPr>
          <w:rFonts w:hint="eastAsia" w:ascii="宋体" w:hAnsi="宋体" w:eastAsia="宋体" w:cs="宋体"/>
          <w:color w:val="auto"/>
          <w:sz w:val="21"/>
          <w:szCs w:val="21"/>
          <w:highlight w:val="none"/>
          <w:lang w:val="zh-CN"/>
        </w:rPr>
        <w:t>本项目</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zh-CN"/>
        </w:rPr>
        <w:t>服务人员情况；</w:t>
      </w:r>
    </w:p>
    <w:p>
      <w:pPr>
        <w:spacing w:line="360" w:lineRule="auto"/>
        <w:ind w:left="420" w:hanging="420" w:hangingChars="200"/>
        <w:jc w:val="both"/>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w:t>
      </w:r>
      <w:r>
        <w:rPr>
          <w:rFonts w:hint="eastAsia" w:ascii="宋体" w:hAnsi="宋体" w:eastAsia="宋体" w:cs="宋体"/>
          <w:b w:val="0"/>
          <w:bCs w:val="0"/>
          <w:color w:val="auto"/>
          <w:kern w:val="0"/>
          <w:sz w:val="21"/>
          <w:szCs w:val="21"/>
          <w:highlight w:val="none"/>
          <w:lang w:val="zh-CN" w:eastAsia="zh-CN" w:bidi="ar-SA"/>
        </w:rPr>
        <w:t>行业信誉；</w:t>
      </w:r>
    </w:p>
    <w:p>
      <w:pPr>
        <w:spacing w:line="360" w:lineRule="auto"/>
        <w:ind w:left="420" w:hanging="420" w:hangingChars="200"/>
        <w:jc w:val="both"/>
        <w:rPr>
          <w:rFonts w:hint="eastAsia" w:ascii="宋体" w:hAnsi="宋体" w:eastAsia="宋体" w:cs="宋体"/>
          <w:b w:val="0"/>
          <w:bCs w:val="0"/>
          <w:color w:val="auto"/>
          <w:kern w:val="0"/>
          <w:sz w:val="21"/>
          <w:szCs w:val="21"/>
          <w:highlight w:val="none"/>
          <w:lang w:val="zh-CN" w:eastAsia="zh-CN" w:bidi="ar-SA"/>
        </w:rPr>
      </w:pPr>
      <w:r>
        <w:rPr>
          <w:rFonts w:hint="eastAsia" w:ascii="宋体" w:hAnsi="宋体" w:cs="宋体"/>
          <w:b w:val="0"/>
          <w:bCs w:val="0"/>
          <w:color w:val="auto"/>
          <w:kern w:val="0"/>
          <w:sz w:val="21"/>
          <w:szCs w:val="21"/>
          <w:highlight w:val="none"/>
          <w:lang w:val="zh-CN" w:eastAsia="zh-CN" w:bidi="ar-SA"/>
        </w:rPr>
        <w:t>（</w:t>
      </w:r>
      <w:r>
        <w:rPr>
          <w:rFonts w:hint="eastAsia" w:ascii="宋体" w:hAnsi="宋体" w:cs="宋体"/>
          <w:b w:val="0"/>
          <w:bCs w:val="0"/>
          <w:color w:val="auto"/>
          <w:kern w:val="0"/>
          <w:sz w:val="21"/>
          <w:szCs w:val="21"/>
          <w:highlight w:val="none"/>
          <w:lang w:val="en-US" w:eastAsia="zh-CN" w:bidi="ar-SA"/>
        </w:rPr>
        <w:t>12</w:t>
      </w:r>
      <w:r>
        <w:rPr>
          <w:rFonts w:hint="eastAsia" w:ascii="宋体" w:hAnsi="宋体" w:cs="宋体"/>
          <w:b w:val="0"/>
          <w:bCs w:val="0"/>
          <w:color w:val="auto"/>
          <w:kern w:val="0"/>
          <w:sz w:val="21"/>
          <w:szCs w:val="21"/>
          <w:highlight w:val="none"/>
          <w:lang w:val="zh-CN" w:eastAsia="zh-CN" w:bidi="ar-SA"/>
        </w:rPr>
        <w:t>）风险承担水平；</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w:t>
      </w:r>
      <w:r>
        <w:rPr>
          <w:rFonts w:hint="eastAsia" w:ascii="宋体" w:hAnsi="宋体" w:eastAsia="宋体" w:cs="宋体"/>
          <w:b w:val="0"/>
          <w:bCs w:val="0"/>
          <w:color w:val="auto"/>
          <w:kern w:val="0"/>
          <w:sz w:val="21"/>
          <w:szCs w:val="21"/>
          <w:highlight w:val="none"/>
          <w:lang w:val="zh-CN" w:eastAsia="zh-CN"/>
        </w:rPr>
        <w:t>服务便利性响应时间承诺；</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0" w:hanging="630" w:hangingChars="3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供应商资格证明文件以外的其他资质证书、知识产权证书及获得的相关获奖、认证证书、社会评价资料证明文件复印件等供应商认为有需要证明其具备为本次采购项目提供服务能力的有关其它商务文件（不做强制要求）。</w:t>
      </w:r>
    </w:p>
    <w:p>
      <w:pPr>
        <w:spacing w:line="360" w:lineRule="auto"/>
        <w:ind w:left="420" w:hanging="422" w:hangingChars="200"/>
        <w:jc w:val="both"/>
        <w:rPr>
          <w:rFonts w:hint="eastAsia" w:ascii="宋体" w:hAnsi="宋体" w:eastAsia="宋体" w:cs="宋体"/>
          <w:color w:val="auto"/>
          <w:highlight w:val="none"/>
          <w:lang w:val="zh-CN"/>
        </w:rPr>
      </w:pPr>
      <w:r>
        <w:rPr>
          <w:rFonts w:hint="eastAsia" w:ascii="宋体" w:hAnsi="宋体" w:eastAsia="宋体" w:cs="宋体"/>
          <w:b/>
          <w:bCs/>
          <w:color w:val="auto"/>
          <w:sz w:val="21"/>
          <w:szCs w:val="21"/>
          <w:highlight w:val="none"/>
          <w:lang w:val="zh-CN"/>
        </w:rPr>
        <w:t xml:space="preserve">9.2 </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zh-CN"/>
        </w:rPr>
        <w:t>技术文件：</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）用户需求响应</w:t>
      </w:r>
      <w:r>
        <w:rPr>
          <w:rFonts w:hint="eastAsia" w:ascii="宋体" w:hAnsi="宋体" w:eastAsia="宋体" w:cs="宋体"/>
          <w:color w:val="auto"/>
          <w:sz w:val="21"/>
          <w:szCs w:val="21"/>
          <w:highlight w:val="none"/>
          <w:lang w:val="zh-CN" w:eastAsia="zh-CN"/>
        </w:rPr>
        <w:t>情况</w:t>
      </w:r>
      <w:r>
        <w:rPr>
          <w:rFonts w:hint="eastAsia" w:ascii="宋体" w:hAnsi="宋体" w:eastAsia="宋体" w:cs="宋体"/>
          <w:color w:val="auto"/>
          <w:sz w:val="21"/>
          <w:szCs w:val="21"/>
          <w:highlight w:val="none"/>
          <w:lang w:val="en-US" w:eastAsia="zh-CN"/>
        </w:rPr>
        <w:t>（即用户需求偏离表格式）</w:t>
      </w:r>
      <w:r>
        <w:rPr>
          <w:rFonts w:hint="eastAsia" w:ascii="宋体" w:hAnsi="宋体" w:eastAsia="宋体" w:cs="宋体"/>
          <w:color w:val="auto"/>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工作方案；</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信息安全管理方案；</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审计服务项目咨询方案；</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审计服务意见分歧解决方案；</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审计服务项目质量复核方案；</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审计服务项目质量检查方案；</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审计服务质量管理缺陷识别与整改方案；</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val="zh-CN"/>
        </w:rPr>
        <w:t>）审计、财税综合服务质量管理制度</w:t>
      </w:r>
      <w:r>
        <w:rPr>
          <w:rFonts w:hint="eastAsia" w:ascii="宋体" w:hAnsi="宋体" w:eastAsia="宋体" w:cs="宋体"/>
          <w:color w:val="auto"/>
          <w:sz w:val="21"/>
          <w:szCs w:val="21"/>
          <w:highlight w:val="none"/>
          <w:lang w:val="zh-CN"/>
        </w:rPr>
        <w:t>；</w:t>
      </w:r>
    </w:p>
    <w:p>
      <w:pPr>
        <w:snapToGrid/>
        <w:spacing w:line="360" w:lineRule="auto"/>
        <w:ind w:left="420" w:hanging="420" w:hangingChars="200"/>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供应商认为有必要提供的其它材料（不做强制要求）。</w:t>
      </w:r>
    </w:p>
    <w:p>
      <w:pPr>
        <w:spacing w:line="360" w:lineRule="auto"/>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9.</w:t>
      </w:r>
      <w:r>
        <w:rPr>
          <w:rFonts w:hint="eastAsia" w:ascii="宋体" w:hAnsi="宋体" w:eastAsia="宋体" w:cs="宋体"/>
          <w:b/>
          <w:bCs/>
          <w:color w:val="auto"/>
          <w:kern w:val="2"/>
          <w:sz w:val="21"/>
          <w:szCs w:val="21"/>
          <w:highlight w:val="none"/>
          <w:lang w:val="en-US" w:eastAsia="zh-CN"/>
        </w:rPr>
        <w:t xml:space="preserve">3 </w:t>
      </w:r>
      <w:r>
        <w:rPr>
          <w:rFonts w:hint="eastAsia" w:ascii="宋体" w:hAnsi="宋体" w:eastAsia="宋体" w:cs="宋体"/>
          <w:b/>
          <w:bCs/>
          <w:color w:val="auto"/>
          <w:kern w:val="2"/>
          <w:sz w:val="21"/>
          <w:szCs w:val="21"/>
          <w:highlight w:val="none"/>
          <w:lang w:val="zh-CN"/>
        </w:rPr>
        <w:t>响应文件电子文件</w:t>
      </w:r>
      <w:r>
        <w:rPr>
          <w:rFonts w:hint="eastAsia" w:ascii="宋体" w:hAnsi="宋体" w:eastAsia="宋体" w:cs="宋体"/>
          <w:bCs/>
          <w:color w:val="auto"/>
          <w:kern w:val="2"/>
          <w:sz w:val="21"/>
          <w:szCs w:val="21"/>
          <w:highlight w:val="none"/>
          <w:lang w:val="zh-CN"/>
        </w:rPr>
        <w:t>（详细要求见本篇第17.5款）</w:t>
      </w:r>
    </w:p>
    <w:p>
      <w:pPr>
        <w:spacing w:line="360" w:lineRule="auto"/>
        <w:ind w:firstLine="0" w:firstLineChars="0"/>
        <w:jc w:val="both"/>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sz w:val="21"/>
          <w:szCs w:val="21"/>
          <w:highlight w:val="none"/>
          <w:lang w:val="zh-CN"/>
        </w:rPr>
        <w:t>签字、盖章后的响应文件扫描版PDF格式电子文件。</w:t>
      </w:r>
    </w:p>
    <w:p>
      <w:pPr>
        <w:keepNext w:val="0"/>
        <w:keepLines w:val="0"/>
        <w:pageBreakBefore w:val="0"/>
        <w:widowControl/>
        <w:kinsoku/>
        <w:wordWrap/>
        <w:overflowPunct/>
        <w:topLinePunct w:val="0"/>
        <w:autoSpaceDE/>
        <w:autoSpaceDN/>
        <w:bidi w:val="0"/>
        <w:adjustRightInd/>
        <w:snapToGrid/>
        <w:spacing w:line="360" w:lineRule="auto"/>
        <w:ind w:left="42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u w:val="none"/>
          <w:lang w:val="zh-CN"/>
        </w:rPr>
        <w:t>9.</w:t>
      </w:r>
      <w:r>
        <w:rPr>
          <w:rFonts w:hint="eastAsia" w:ascii="宋体" w:hAnsi="宋体" w:eastAsia="宋体" w:cs="宋体"/>
          <w:color w:val="auto"/>
          <w:kern w:val="2"/>
          <w:sz w:val="21"/>
          <w:szCs w:val="21"/>
          <w:highlight w:val="none"/>
          <w:u w:val="none"/>
          <w:lang w:val="en-US" w:eastAsia="zh-CN"/>
        </w:rPr>
        <w:t>4</w:t>
      </w:r>
      <w:r>
        <w:rPr>
          <w:rFonts w:hint="eastAsia" w:ascii="宋体" w:hAnsi="宋体" w:eastAsia="宋体" w:cs="宋体"/>
          <w:b/>
          <w:color w:val="auto"/>
          <w:kern w:val="2"/>
          <w:sz w:val="21"/>
          <w:szCs w:val="21"/>
          <w:highlight w:val="none"/>
          <w:u w:val="none"/>
          <w:lang w:val="en-US" w:eastAsia="zh-CN"/>
        </w:rPr>
        <w:t xml:space="preserve"> </w:t>
      </w:r>
      <w:r>
        <w:rPr>
          <w:rFonts w:hint="eastAsia" w:ascii="宋体" w:hAnsi="宋体" w:eastAsia="宋体" w:cs="宋体"/>
          <w:b/>
          <w:color w:val="auto"/>
          <w:kern w:val="2"/>
          <w:sz w:val="21"/>
          <w:szCs w:val="21"/>
          <w:highlight w:val="none"/>
          <w:u w:val="single"/>
          <w:lang w:val="zh-CN"/>
        </w:rPr>
        <w:t>响应文件中相关证件、证书、合同、发票、照片等证明材料中的原始印章、签名、关键内容必须清晰、可辨认，否则视为无效证明材料；响应文件中存在外文资料的，供应商必须同时提供中文译本，且必须保证中文译本的准确，否则采购人不予认可，视为无效材料；供应商须承担因此对应造成</w:t>
      </w:r>
      <w:r>
        <w:rPr>
          <w:rFonts w:hint="eastAsia" w:ascii="宋体" w:hAnsi="宋体" w:eastAsia="宋体" w:cs="宋体"/>
          <w:b/>
          <w:color w:val="auto"/>
          <w:kern w:val="2"/>
          <w:sz w:val="21"/>
          <w:szCs w:val="21"/>
          <w:highlight w:val="none"/>
          <w:u w:val="single"/>
          <w:lang w:val="en-US" w:eastAsia="zh-CN"/>
        </w:rPr>
        <w:t>响应文件</w:t>
      </w:r>
      <w:r>
        <w:rPr>
          <w:rFonts w:hint="eastAsia" w:ascii="宋体" w:hAnsi="宋体" w:eastAsia="宋体" w:cs="宋体"/>
          <w:b/>
          <w:color w:val="auto"/>
          <w:kern w:val="2"/>
          <w:sz w:val="21"/>
          <w:szCs w:val="21"/>
          <w:highlight w:val="none"/>
          <w:u w:val="single"/>
          <w:lang w:val="zh-CN"/>
        </w:rPr>
        <w:t>无效，或评审时因无效证明材料不得分，或拒绝接受</w:t>
      </w:r>
      <w:r>
        <w:rPr>
          <w:rFonts w:hint="eastAsia" w:ascii="宋体" w:hAnsi="宋体" w:eastAsia="宋体" w:cs="宋体"/>
          <w:b/>
          <w:color w:val="auto"/>
          <w:kern w:val="2"/>
          <w:sz w:val="21"/>
          <w:szCs w:val="21"/>
          <w:highlight w:val="none"/>
          <w:u w:val="single"/>
          <w:lang w:val="en-US" w:eastAsia="zh-CN"/>
        </w:rPr>
        <w:t>磋商</w:t>
      </w:r>
      <w:r>
        <w:rPr>
          <w:rFonts w:hint="eastAsia" w:ascii="宋体" w:hAnsi="宋体" w:eastAsia="宋体" w:cs="宋体"/>
          <w:b/>
          <w:color w:val="auto"/>
          <w:kern w:val="2"/>
          <w:sz w:val="21"/>
          <w:szCs w:val="21"/>
          <w:highlight w:val="none"/>
          <w:u w:val="single"/>
          <w:lang w:val="zh-CN"/>
        </w:rPr>
        <w:t>的风险。</w:t>
      </w:r>
    </w:p>
    <w:p>
      <w:pPr>
        <w:spacing w:line="360" w:lineRule="auto"/>
        <w:ind w:left="540" w:hanging="15" w:firstLineChars="0"/>
        <w:jc w:val="both"/>
        <w:rPr>
          <w:rFonts w:hint="eastAsia" w:ascii="宋体" w:hAnsi="宋体" w:eastAsia="宋体" w:cs="宋体"/>
          <w:b w:val="0"/>
          <w:color w:val="auto"/>
          <w:kern w:val="2"/>
          <w:sz w:val="21"/>
          <w:szCs w:val="21"/>
          <w:highlight w:val="none"/>
          <w:lang w:val="zh-CN"/>
        </w:rPr>
      </w:pPr>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70" w:name="_Toc450662860"/>
      <w:bookmarkStart w:id="71" w:name="_Toc18327"/>
      <w:bookmarkStart w:id="72" w:name="_Toc1106"/>
      <w:bookmarkStart w:id="73" w:name="_Toc521918077"/>
      <w:bookmarkStart w:id="74" w:name="_Toc8664"/>
      <w:r>
        <w:rPr>
          <w:rFonts w:hint="eastAsia" w:ascii="宋体" w:hAnsi="宋体" w:eastAsia="宋体" w:cs="宋体"/>
          <w:color w:val="auto"/>
          <w:kern w:val="2"/>
          <w:sz w:val="21"/>
          <w:szCs w:val="21"/>
          <w:highlight w:val="none"/>
          <w:lang w:val="zh-CN"/>
        </w:rPr>
        <w:t>10</w:t>
      </w:r>
      <w:r>
        <w:rPr>
          <w:rFonts w:hint="eastAsia" w:ascii="宋体" w:hAnsi="宋体" w:eastAsia="宋体" w:cs="宋体"/>
          <w:color w:val="auto"/>
          <w:kern w:val="2"/>
          <w:sz w:val="21"/>
          <w:szCs w:val="21"/>
          <w:highlight w:val="none"/>
          <w:lang w:val="en-US" w:eastAsia="zh-CN"/>
        </w:rPr>
        <w:t xml:space="preserve">   磋商</w:t>
      </w:r>
      <w:r>
        <w:rPr>
          <w:rFonts w:hint="eastAsia" w:ascii="宋体" w:hAnsi="宋体" w:eastAsia="宋体" w:cs="宋体"/>
          <w:color w:val="auto"/>
          <w:kern w:val="2"/>
          <w:sz w:val="21"/>
          <w:szCs w:val="21"/>
          <w:highlight w:val="none"/>
          <w:lang w:val="zh-CN"/>
        </w:rPr>
        <w:t>函</w:t>
      </w:r>
      <w:bookmarkEnd w:id="70"/>
      <w:bookmarkEnd w:id="71"/>
      <w:bookmarkEnd w:id="72"/>
      <w:bookmarkEnd w:id="73"/>
      <w:bookmarkEnd w:id="74"/>
    </w:p>
    <w:p>
      <w:pPr>
        <w:spacing w:line="360" w:lineRule="auto"/>
        <w:ind w:left="540" w:hanging="15"/>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供应商应完整填写响应文件格式中规定的</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函。</w:t>
      </w:r>
    </w:p>
    <w:p>
      <w:pPr>
        <w:spacing w:line="360" w:lineRule="auto"/>
        <w:ind w:left="540" w:hanging="15"/>
        <w:jc w:val="both"/>
        <w:rPr>
          <w:rFonts w:hint="eastAsia" w:ascii="宋体" w:hAnsi="宋体" w:eastAsia="宋体" w:cs="宋体"/>
          <w:color w:val="auto"/>
          <w:kern w:val="2"/>
          <w:sz w:val="21"/>
          <w:szCs w:val="21"/>
          <w:highlight w:val="none"/>
          <w:lang w:val="zh-CN"/>
        </w:rPr>
      </w:pPr>
    </w:p>
    <w:p>
      <w:pPr>
        <w:tabs>
          <w:tab w:val="left" w:pos="567"/>
        </w:tabs>
        <w:spacing w:line="360" w:lineRule="auto"/>
        <w:ind w:left="567" w:hanging="567"/>
        <w:jc w:val="both"/>
        <w:outlineLvl w:val="2"/>
        <w:rPr>
          <w:rFonts w:hint="eastAsia" w:ascii="宋体" w:hAnsi="宋体" w:eastAsia="宋体" w:cs="宋体"/>
          <w:color w:val="auto"/>
          <w:sz w:val="21"/>
          <w:szCs w:val="21"/>
          <w:highlight w:val="none"/>
        </w:rPr>
      </w:pPr>
      <w:bookmarkStart w:id="75" w:name="_Toc521918078"/>
      <w:bookmarkStart w:id="76" w:name="_Toc450662861"/>
      <w:bookmarkStart w:id="77" w:name="_Toc8843"/>
      <w:bookmarkStart w:id="78" w:name="_Toc20964"/>
      <w:bookmarkStart w:id="79" w:name="_Toc15185"/>
      <w:r>
        <w:rPr>
          <w:rFonts w:hint="eastAsia" w:ascii="宋体" w:hAnsi="宋体" w:eastAsia="宋体" w:cs="宋体"/>
          <w:bCs/>
          <w:color w:val="auto"/>
          <w:kern w:val="2"/>
          <w:sz w:val="21"/>
          <w:szCs w:val="21"/>
          <w:highlight w:val="none"/>
          <w:lang w:val="zh-CN"/>
        </w:rPr>
        <w:t>11</w:t>
      </w:r>
      <w:bookmarkEnd w:id="75"/>
      <w:bookmarkEnd w:id="76"/>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lang w:val="zh-CN"/>
        </w:rPr>
        <w:t>响应报价</w:t>
      </w:r>
      <w:bookmarkEnd w:id="77"/>
      <w:bookmarkEnd w:id="78"/>
      <w:bookmarkEnd w:id="79"/>
    </w:p>
    <w:p>
      <w:pPr>
        <w:tabs>
          <w:tab w:val="left" w:pos="142"/>
        </w:tabs>
        <w:spacing w:line="360" w:lineRule="auto"/>
        <w:ind w:left="532" w:hanging="532"/>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zh-CN"/>
        </w:rPr>
        <w:t xml:space="preserve">11.1 </w:t>
      </w:r>
      <w:r>
        <w:rPr>
          <w:rFonts w:hint="eastAsia" w:ascii="宋体" w:hAnsi="宋体" w:eastAsia="宋体" w:cs="宋体"/>
          <w:b/>
          <w:bCs/>
          <w:color w:val="auto"/>
          <w:kern w:val="2"/>
          <w:sz w:val="21"/>
          <w:szCs w:val="21"/>
          <w:highlight w:val="none"/>
          <w:u w:val="single"/>
        </w:rPr>
        <w:t>本项目只允许有一个报价价格，任何有选择的或不是固定价的响应报价将不予接受，作为非实质性响应</w:t>
      </w:r>
      <w:r>
        <w:rPr>
          <w:rFonts w:hint="eastAsia" w:ascii="宋体" w:hAnsi="宋体" w:eastAsia="宋体" w:cs="宋体"/>
          <w:b/>
          <w:bCs/>
          <w:color w:val="auto"/>
          <w:kern w:val="2"/>
          <w:sz w:val="21"/>
          <w:szCs w:val="21"/>
          <w:highlight w:val="none"/>
          <w:u w:val="single"/>
          <w:lang w:eastAsia="zh-CN"/>
        </w:rPr>
        <w:t>报价</w:t>
      </w:r>
      <w:r>
        <w:rPr>
          <w:rFonts w:hint="eastAsia" w:ascii="宋体" w:hAnsi="宋体" w:eastAsia="宋体" w:cs="宋体"/>
          <w:b/>
          <w:bCs/>
          <w:color w:val="auto"/>
          <w:kern w:val="2"/>
          <w:sz w:val="21"/>
          <w:szCs w:val="21"/>
          <w:highlight w:val="none"/>
          <w:u w:val="single"/>
        </w:rPr>
        <w:t>而予以拒绝。</w:t>
      </w:r>
      <w:r>
        <w:rPr>
          <w:rFonts w:hint="eastAsia" w:ascii="宋体" w:hAnsi="宋体" w:eastAsia="宋体" w:cs="宋体"/>
          <w:b/>
          <w:bCs/>
          <w:color w:val="auto"/>
          <w:kern w:val="2"/>
          <w:sz w:val="21"/>
          <w:szCs w:val="21"/>
          <w:highlight w:val="none"/>
          <w:u w:val="single"/>
          <w:lang w:eastAsia="zh-CN"/>
        </w:rPr>
        <w:t>供应商</w:t>
      </w:r>
      <w:r>
        <w:rPr>
          <w:rFonts w:hint="eastAsia" w:ascii="宋体" w:hAnsi="宋体" w:eastAsia="宋体" w:cs="宋体"/>
          <w:b/>
          <w:bCs/>
          <w:color w:val="auto"/>
          <w:kern w:val="2"/>
          <w:sz w:val="21"/>
          <w:szCs w:val="21"/>
          <w:highlight w:val="none"/>
          <w:u w:val="single"/>
        </w:rPr>
        <w:t>不得以低于企业自身成本的价格</w:t>
      </w:r>
      <w:r>
        <w:rPr>
          <w:rFonts w:hint="eastAsia" w:ascii="宋体" w:hAnsi="宋体" w:cs="宋体"/>
          <w:b/>
          <w:bCs/>
          <w:color w:val="auto"/>
          <w:kern w:val="2"/>
          <w:sz w:val="21"/>
          <w:szCs w:val="21"/>
          <w:highlight w:val="none"/>
          <w:u w:val="single"/>
          <w:lang w:val="en-US" w:eastAsia="zh-CN"/>
        </w:rPr>
        <w:t>报价</w:t>
      </w:r>
      <w:r>
        <w:rPr>
          <w:rFonts w:hint="eastAsia" w:ascii="宋体" w:hAnsi="宋体" w:eastAsia="宋体" w:cs="宋体"/>
          <w:b/>
          <w:bCs/>
          <w:color w:val="auto"/>
          <w:kern w:val="2"/>
          <w:sz w:val="21"/>
          <w:szCs w:val="21"/>
          <w:highlight w:val="none"/>
        </w:rPr>
        <w:t>。</w:t>
      </w:r>
    </w:p>
    <w:p>
      <w:pPr>
        <w:tabs>
          <w:tab w:val="left" w:pos="567"/>
        </w:tabs>
        <w:autoSpaceDE/>
        <w:autoSpaceDN/>
        <w:adjustRightInd w:val="0"/>
        <w:spacing w:line="360" w:lineRule="auto"/>
        <w:ind w:left="528" w:leftChars="220" w:firstLine="454"/>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u w:val="single"/>
          <w:lang w:val="zh-CN"/>
        </w:rPr>
        <w:t>若</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出现超低报价，有可能影响服务质量和不能诚信履约的，</w:t>
      </w:r>
      <w:r>
        <w:rPr>
          <w:rFonts w:hint="eastAsia" w:ascii="宋体" w:hAnsi="宋体" w:eastAsia="宋体" w:cs="宋体"/>
          <w:b/>
          <w:color w:val="auto"/>
          <w:sz w:val="21"/>
          <w:szCs w:val="21"/>
          <w:highlight w:val="none"/>
          <w:u w:val="single"/>
          <w:lang w:val="en-US" w:eastAsia="zh-CN"/>
        </w:rPr>
        <w:t>磋商小组</w:t>
      </w:r>
      <w:r>
        <w:rPr>
          <w:rFonts w:hint="eastAsia" w:ascii="宋体" w:hAnsi="宋体" w:eastAsia="宋体" w:cs="宋体"/>
          <w:b/>
          <w:color w:val="auto"/>
          <w:sz w:val="21"/>
          <w:szCs w:val="21"/>
          <w:highlight w:val="none"/>
          <w:u w:val="single"/>
          <w:lang w:val="zh-CN"/>
        </w:rPr>
        <w:t>将要求该</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作出书面说明并提供相关证明材料，以确定</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是否以低于企业成本价报价。若</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不能合理说明或不能提供相关证明材料的，</w:t>
      </w:r>
      <w:r>
        <w:rPr>
          <w:rFonts w:hint="eastAsia" w:ascii="宋体" w:hAnsi="宋体" w:eastAsia="宋体" w:cs="宋体"/>
          <w:b/>
          <w:color w:val="auto"/>
          <w:sz w:val="21"/>
          <w:szCs w:val="21"/>
          <w:highlight w:val="none"/>
          <w:u w:val="single"/>
          <w:lang w:val="en-US" w:eastAsia="zh-CN"/>
        </w:rPr>
        <w:t>磋商小组</w:t>
      </w:r>
      <w:r>
        <w:rPr>
          <w:rFonts w:hint="eastAsia" w:ascii="宋体" w:hAnsi="宋体" w:eastAsia="宋体" w:cs="宋体"/>
          <w:b/>
          <w:color w:val="auto"/>
          <w:sz w:val="21"/>
          <w:szCs w:val="21"/>
          <w:highlight w:val="none"/>
          <w:u w:val="single"/>
          <w:lang w:val="zh-CN"/>
        </w:rPr>
        <w:t>将认定其</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lang w:val="zh-CN"/>
        </w:rPr>
        <w:t>报价低于成本，同时否决其</w:t>
      </w:r>
      <w:r>
        <w:rPr>
          <w:rFonts w:hint="eastAsia" w:ascii="宋体" w:hAnsi="宋体" w:eastAsia="宋体" w:cs="宋体"/>
          <w:b/>
          <w:color w:val="auto"/>
          <w:sz w:val="21"/>
          <w:szCs w:val="21"/>
          <w:highlight w:val="none"/>
          <w:u w:val="single"/>
          <w:lang w:val="en-US" w:eastAsia="zh-CN"/>
        </w:rPr>
        <w:t>递交的响应文件</w:t>
      </w:r>
      <w:r>
        <w:rPr>
          <w:rFonts w:hint="eastAsia" w:ascii="宋体" w:hAnsi="宋体" w:eastAsia="宋体" w:cs="宋体"/>
          <w:b/>
          <w:color w:val="auto"/>
          <w:sz w:val="21"/>
          <w:szCs w:val="21"/>
          <w:highlight w:val="none"/>
          <w:lang w:val="zh-CN"/>
        </w:rPr>
        <w:t>。</w:t>
      </w:r>
    </w:p>
    <w:p>
      <w:pPr>
        <w:tabs>
          <w:tab w:val="left" w:pos="567"/>
        </w:tabs>
        <w:autoSpaceDE/>
        <w:autoSpaceDN/>
        <w:spacing w:line="360" w:lineRule="auto"/>
        <w:ind w:left="528" w:leftChars="220" w:firstLine="454"/>
        <w:jc w:val="left"/>
        <w:rPr>
          <w:rFonts w:hint="eastAsia" w:ascii="宋体" w:hAnsi="宋体" w:eastAsia="宋体" w:cs="宋体"/>
          <w:b/>
          <w:bCs/>
          <w:color w:val="auto"/>
          <w:kern w:val="2"/>
          <w:sz w:val="21"/>
          <w:szCs w:val="21"/>
          <w:highlight w:val="none"/>
          <w:lang w:val="zh-CN"/>
        </w:rPr>
      </w:pPr>
      <w:r>
        <w:rPr>
          <w:rFonts w:hint="eastAsia" w:ascii="宋体" w:hAnsi="宋体" w:eastAsia="宋体" w:cs="宋体"/>
          <w:b/>
          <w:color w:val="auto"/>
          <w:sz w:val="21"/>
          <w:szCs w:val="21"/>
          <w:highlight w:val="none"/>
          <w:u w:val="single"/>
          <w:lang w:val="zh-CN"/>
        </w:rPr>
        <w:t>对是否低于企业成本价报价的事宜有争议的</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lang w:val="zh-CN"/>
        </w:rPr>
        <w:t>文件，</w:t>
      </w:r>
      <w:r>
        <w:rPr>
          <w:rFonts w:hint="eastAsia" w:ascii="宋体" w:hAnsi="宋体" w:eastAsia="宋体" w:cs="宋体"/>
          <w:b/>
          <w:color w:val="auto"/>
          <w:sz w:val="21"/>
          <w:szCs w:val="21"/>
          <w:highlight w:val="none"/>
          <w:u w:val="single"/>
          <w:lang w:val="en-US" w:eastAsia="zh-CN"/>
        </w:rPr>
        <w:t>磋商小组</w:t>
      </w:r>
      <w:r>
        <w:rPr>
          <w:rFonts w:hint="eastAsia" w:ascii="宋体" w:hAnsi="宋体" w:eastAsia="宋体" w:cs="宋体"/>
          <w:b/>
          <w:color w:val="auto"/>
          <w:sz w:val="21"/>
          <w:szCs w:val="21"/>
          <w:highlight w:val="none"/>
          <w:u w:val="single"/>
          <w:lang w:val="zh-CN"/>
        </w:rPr>
        <w:t>成员将以记名方式表决，</w:t>
      </w:r>
      <w:r>
        <w:rPr>
          <w:rFonts w:hint="eastAsia" w:ascii="宋体" w:hAnsi="宋体" w:eastAsia="宋体" w:cs="宋体"/>
          <w:b/>
          <w:color w:val="auto"/>
          <w:sz w:val="21"/>
          <w:szCs w:val="21"/>
          <w:highlight w:val="none"/>
          <w:u w:val="single"/>
          <w:lang w:val="en-US" w:eastAsia="zh-CN"/>
        </w:rPr>
        <w:t>根据少数服从</w:t>
      </w:r>
      <w:r>
        <w:rPr>
          <w:rFonts w:hint="eastAsia" w:ascii="宋体" w:hAnsi="宋体" w:eastAsia="宋体" w:cs="宋体"/>
          <w:b/>
          <w:color w:val="auto"/>
          <w:sz w:val="21"/>
          <w:szCs w:val="21"/>
          <w:highlight w:val="none"/>
          <w:u w:val="single"/>
          <w:lang w:val="zh-CN" w:eastAsia="zh-CN"/>
        </w:rPr>
        <w:t>多数</w:t>
      </w:r>
      <w:r>
        <w:rPr>
          <w:rFonts w:hint="eastAsia" w:ascii="宋体" w:hAnsi="宋体" w:eastAsia="宋体" w:cs="宋体"/>
          <w:b/>
          <w:color w:val="auto"/>
          <w:sz w:val="21"/>
          <w:szCs w:val="21"/>
          <w:highlight w:val="none"/>
          <w:u w:val="single"/>
          <w:lang w:val="en-US" w:eastAsia="zh-CN"/>
        </w:rPr>
        <w:t>的原则，获多数表决通过</w:t>
      </w:r>
      <w:r>
        <w:rPr>
          <w:rFonts w:hint="eastAsia" w:ascii="宋体" w:hAnsi="宋体" w:eastAsia="宋体" w:cs="宋体"/>
          <w:b/>
          <w:color w:val="auto"/>
          <w:sz w:val="21"/>
          <w:szCs w:val="21"/>
          <w:highlight w:val="none"/>
          <w:u w:val="single"/>
          <w:lang w:val="zh-CN"/>
        </w:rPr>
        <w:t>的</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才有资格进入下一阶段的评审，否则将按无效</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lang w:val="zh-CN"/>
        </w:rPr>
        <w:t>处理</w:t>
      </w:r>
      <w:r>
        <w:rPr>
          <w:rFonts w:hint="eastAsia" w:ascii="宋体" w:hAnsi="宋体" w:eastAsia="宋体" w:cs="宋体"/>
          <w:b/>
          <w:color w:val="auto"/>
          <w:sz w:val="21"/>
          <w:szCs w:val="21"/>
          <w:highlight w:val="none"/>
          <w:lang w:val="zh-CN"/>
        </w:rPr>
        <w:t>。</w:t>
      </w:r>
    </w:p>
    <w:p>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 xml:space="preserve">11.2 </w:t>
      </w:r>
      <w:r>
        <w:rPr>
          <w:rFonts w:hint="eastAsia" w:ascii="宋体" w:hAnsi="宋体" w:eastAsia="宋体" w:cs="宋体"/>
          <w:b/>
          <w:color w:val="auto"/>
          <w:kern w:val="2"/>
          <w:sz w:val="21"/>
          <w:szCs w:val="21"/>
          <w:highlight w:val="none"/>
          <w:u w:val="single"/>
          <w:lang w:val="zh-CN"/>
        </w:rPr>
        <w:t>本项目</w:t>
      </w:r>
      <w:r>
        <w:rPr>
          <w:rFonts w:hint="eastAsia" w:ascii="宋体" w:hAnsi="宋体" w:cs="宋体"/>
          <w:b/>
          <w:color w:val="auto"/>
          <w:kern w:val="2"/>
          <w:sz w:val="21"/>
          <w:szCs w:val="21"/>
          <w:highlight w:val="none"/>
          <w:u w:val="single"/>
          <w:lang w:val="en-US" w:eastAsia="zh-CN"/>
        </w:rPr>
        <w:t>响应</w:t>
      </w:r>
      <w:r>
        <w:rPr>
          <w:rFonts w:hint="eastAsia" w:ascii="宋体" w:hAnsi="宋体" w:eastAsia="宋体" w:cs="宋体"/>
          <w:b/>
          <w:color w:val="auto"/>
          <w:kern w:val="2"/>
          <w:sz w:val="21"/>
          <w:szCs w:val="21"/>
          <w:highlight w:val="none"/>
          <w:u w:val="single"/>
          <w:lang w:val="zh-CN"/>
        </w:rPr>
        <w:t>报价为不含税价，即为《中华人民共和国增值税暂行条例》（国务院令第691号修订版）规定的销售额</w:t>
      </w:r>
      <w:r>
        <w:rPr>
          <w:rFonts w:hint="eastAsia" w:ascii="宋体" w:hAnsi="宋体" w:eastAsia="宋体" w:cs="宋体"/>
          <w:color w:val="auto"/>
          <w:kern w:val="2"/>
          <w:sz w:val="21"/>
          <w:szCs w:val="21"/>
          <w:highlight w:val="none"/>
          <w:lang w:val="zh-CN"/>
        </w:rPr>
        <w:t>。本竞争性磋商文件所称的不含税价和</w:t>
      </w:r>
      <w:r>
        <w:rPr>
          <w:rFonts w:hint="eastAsia" w:ascii="宋体" w:hAnsi="宋体" w:cs="宋体"/>
          <w:color w:val="auto"/>
          <w:kern w:val="2"/>
          <w:sz w:val="21"/>
          <w:szCs w:val="21"/>
          <w:highlight w:val="none"/>
          <w:lang w:val="en-US" w:eastAsia="zh-CN"/>
        </w:rPr>
        <w:t>不含税</w:t>
      </w:r>
      <w:r>
        <w:rPr>
          <w:rFonts w:hint="eastAsia" w:ascii="宋体" w:hAnsi="宋体" w:eastAsia="宋体" w:cs="宋体"/>
          <w:color w:val="auto"/>
          <w:kern w:val="2"/>
          <w:sz w:val="21"/>
          <w:szCs w:val="21"/>
          <w:highlight w:val="none"/>
          <w:lang w:val="zh-CN"/>
        </w:rPr>
        <w:t>合同价是指不含本采购项目</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的销项税额，包含了供应商完成合同义务（含供应商代缴代扣、分包及委外服务、施工、采购货物等所产生的价税）的其他全部费用。本采购项目的销项税额由采购人承担，不计入响应报价。</w:t>
      </w:r>
    </w:p>
    <w:p>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11.3 </w:t>
      </w:r>
      <w:r>
        <w:rPr>
          <w:rFonts w:hint="eastAsia" w:ascii="宋体" w:hAnsi="宋体" w:cs="宋体"/>
          <w:b/>
          <w:bCs/>
          <w:color w:val="auto"/>
          <w:kern w:val="2"/>
          <w:sz w:val="21"/>
          <w:szCs w:val="21"/>
          <w:highlight w:val="none"/>
          <w:lang w:val="en-US" w:eastAsia="zh-CN"/>
        </w:rPr>
        <w:t>响应</w:t>
      </w:r>
      <w:r>
        <w:rPr>
          <w:rFonts w:hint="eastAsia" w:ascii="宋体" w:hAnsi="宋体" w:eastAsia="宋体" w:cs="宋体"/>
          <w:b/>
          <w:bCs/>
          <w:color w:val="auto"/>
          <w:kern w:val="2"/>
          <w:sz w:val="21"/>
          <w:szCs w:val="21"/>
          <w:highlight w:val="none"/>
          <w:u w:val="single"/>
          <w:lang w:val="zh-CN"/>
        </w:rPr>
        <w:t>报价包括</w:t>
      </w:r>
      <w:r>
        <w:rPr>
          <w:rFonts w:hint="eastAsia" w:ascii="宋体" w:hAnsi="宋体" w:eastAsia="宋体" w:cs="宋体"/>
          <w:b/>
          <w:bCs/>
          <w:color w:val="auto"/>
          <w:kern w:val="2"/>
          <w:sz w:val="21"/>
          <w:szCs w:val="21"/>
          <w:highlight w:val="none"/>
          <w:u w:val="single"/>
          <w:lang w:val="en-US" w:eastAsia="zh-CN"/>
        </w:rPr>
        <w:t>供应商履行本采购内容全部义务的一切费用</w:t>
      </w:r>
      <w:r>
        <w:rPr>
          <w:rFonts w:hint="eastAsia" w:ascii="宋体" w:hAnsi="宋体" w:eastAsia="宋体" w:cs="宋体"/>
          <w:b/>
          <w:bCs/>
          <w:color w:val="auto"/>
          <w:kern w:val="2"/>
          <w:sz w:val="21"/>
          <w:szCs w:val="21"/>
          <w:highlight w:val="none"/>
          <w:u w:val="single"/>
          <w:lang w:val="zh-CN"/>
        </w:rPr>
        <w:t>，包括但不限于：（1）专业咨询、资料收集（含购买）、材料撰写、项目辅导、人员培训、项目成果文件编制、成果文件印刷、往来询证函费（除银行询证函费用外）等费用；（2）服务期间人员工资、管理费、交通费、通讯费、餐饮、差旅费、保险费等一切费用；（3）所有应支付的对专利权、著作权、商标权或其他知识产权而需要向其他方支付的知识产权使用费等；（4）合理利润、</w:t>
      </w:r>
      <w:r>
        <w:rPr>
          <w:rFonts w:hint="eastAsia" w:ascii="宋体" w:hAnsi="宋体" w:cs="宋体"/>
          <w:b/>
          <w:bCs/>
          <w:color w:val="auto"/>
          <w:kern w:val="2"/>
          <w:sz w:val="21"/>
          <w:szCs w:val="21"/>
          <w:highlight w:val="none"/>
          <w:u w:val="single"/>
          <w:lang w:val="zh-CN"/>
        </w:rPr>
        <w:t>供应商</w:t>
      </w:r>
      <w:r>
        <w:rPr>
          <w:rFonts w:hint="eastAsia" w:ascii="宋体" w:hAnsi="宋体" w:eastAsia="宋体" w:cs="宋体"/>
          <w:b/>
          <w:bCs/>
          <w:color w:val="auto"/>
          <w:kern w:val="2"/>
          <w:sz w:val="21"/>
          <w:szCs w:val="21"/>
          <w:highlight w:val="none"/>
          <w:u w:val="single"/>
          <w:lang w:val="zh-CN"/>
        </w:rPr>
        <w:t>销项税额以外的税费等；（5）法律法规、商业公认、</w:t>
      </w:r>
      <w:r>
        <w:rPr>
          <w:rFonts w:hint="eastAsia" w:ascii="宋体" w:hAnsi="宋体" w:cs="宋体"/>
          <w:b/>
          <w:bCs/>
          <w:color w:val="auto"/>
          <w:kern w:val="2"/>
          <w:sz w:val="21"/>
          <w:szCs w:val="21"/>
          <w:highlight w:val="none"/>
          <w:u w:val="single"/>
          <w:lang w:val="en-US" w:eastAsia="zh-CN"/>
        </w:rPr>
        <w:t>竞争性磋商</w:t>
      </w:r>
      <w:r>
        <w:rPr>
          <w:rFonts w:hint="eastAsia" w:ascii="宋体" w:hAnsi="宋体" w:eastAsia="宋体" w:cs="宋体"/>
          <w:b/>
          <w:bCs/>
          <w:color w:val="auto"/>
          <w:kern w:val="2"/>
          <w:sz w:val="21"/>
          <w:szCs w:val="21"/>
          <w:highlight w:val="none"/>
          <w:u w:val="single"/>
          <w:lang w:val="zh-CN"/>
        </w:rPr>
        <w:t>文件规定由</w:t>
      </w:r>
      <w:r>
        <w:rPr>
          <w:rFonts w:hint="eastAsia" w:ascii="宋体" w:hAnsi="宋体" w:cs="宋体"/>
          <w:b/>
          <w:bCs/>
          <w:color w:val="auto"/>
          <w:kern w:val="2"/>
          <w:sz w:val="21"/>
          <w:szCs w:val="21"/>
          <w:highlight w:val="none"/>
          <w:u w:val="single"/>
          <w:lang w:val="zh-CN"/>
        </w:rPr>
        <w:t>供应商</w:t>
      </w:r>
      <w:r>
        <w:rPr>
          <w:rFonts w:hint="eastAsia" w:ascii="宋体" w:hAnsi="宋体" w:eastAsia="宋体" w:cs="宋体"/>
          <w:b/>
          <w:bCs/>
          <w:color w:val="auto"/>
          <w:kern w:val="2"/>
          <w:sz w:val="21"/>
          <w:szCs w:val="21"/>
          <w:highlight w:val="none"/>
          <w:u w:val="single"/>
          <w:lang w:val="zh-CN"/>
        </w:rPr>
        <w:t>承担的其他费用</w:t>
      </w:r>
      <w:r>
        <w:rPr>
          <w:rFonts w:hint="eastAsia" w:ascii="宋体" w:hAnsi="宋体" w:eastAsia="宋体" w:cs="宋体"/>
          <w:b/>
          <w:bCs/>
          <w:color w:val="auto"/>
          <w:kern w:val="2"/>
          <w:sz w:val="21"/>
          <w:szCs w:val="21"/>
          <w:highlight w:val="none"/>
          <w:u w:val="none"/>
          <w:lang w:val="zh-CN"/>
        </w:rPr>
        <w:t>。</w:t>
      </w:r>
    </w:p>
    <w:p>
      <w:pPr>
        <w:tabs>
          <w:tab w:val="left" w:pos="142"/>
        </w:tabs>
        <w:spacing w:line="360" w:lineRule="auto"/>
        <w:ind w:left="533" w:hanging="533"/>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11.</w:t>
      </w:r>
      <w:r>
        <w:rPr>
          <w:rFonts w:hint="eastAsia" w:ascii="宋体" w:hAnsi="宋体" w:eastAsia="宋体" w:cs="宋体"/>
          <w:color w:val="auto"/>
          <w:kern w:val="2"/>
          <w:sz w:val="21"/>
          <w:szCs w:val="21"/>
          <w:highlight w:val="none"/>
        </w:rPr>
        <w:t>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在合同期间，响应报价不随国家政策或法规、标准、市场因素及采购数量的变化而进行调整。</w:t>
      </w:r>
    </w:p>
    <w:p>
      <w:pPr>
        <w:tabs>
          <w:tab w:val="left" w:pos="142"/>
        </w:tabs>
        <w:spacing w:line="360" w:lineRule="auto"/>
        <w:ind w:left="533" w:hanging="533"/>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11.5 </w:t>
      </w:r>
      <w:r>
        <w:rPr>
          <w:rFonts w:hint="eastAsia" w:ascii="宋体" w:hAnsi="宋体" w:eastAsia="宋体" w:cs="宋体"/>
          <w:b/>
          <w:bCs/>
          <w:color w:val="auto"/>
          <w:kern w:val="2"/>
          <w:sz w:val="21"/>
          <w:szCs w:val="21"/>
          <w:highlight w:val="none"/>
          <w:u w:val="single"/>
          <w:lang w:val="zh-CN"/>
        </w:rPr>
        <w:t>合同项下，采购人需要的</w:t>
      </w:r>
      <w:r>
        <w:rPr>
          <w:rFonts w:hint="eastAsia" w:ascii="宋体" w:hAnsi="宋体" w:eastAsia="宋体" w:cs="宋体"/>
          <w:b/>
          <w:bCs/>
          <w:color w:val="auto"/>
          <w:kern w:val="2"/>
          <w:sz w:val="21"/>
          <w:szCs w:val="21"/>
          <w:highlight w:val="none"/>
          <w:u w:val="single"/>
          <w:lang w:val="en-US" w:eastAsia="zh-CN"/>
        </w:rPr>
        <w:t>相关服务</w:t>
      </w:r>
      <w:r>
        <w:rPr>
          <w:rFonts w:hint="eastAsia" w:ascii="宋体" w:hAnsi="宋体" w:eastAsia="宋体" w:cs="宋体"/>
          <w:b/>
          <w:bCs/>
          <w:color w:val="auto"/>
          <w:kern w:val="2"/>
          <w:sz w:val="21"/>
          <w:szCs w:val="21"/>
          <w:highlight w:val="none"/>
          <w:u w:val="single"/>
          <w:lang w:val="zh-CN"/>
        </w:rPr>
        <w:t>所需的费用，供应商都应计入响应报价（竞争性磋商文件明确规定不计入响应报价的除外）。</w:t>
      </w:r>
    </w:p>
    <w:p>
      <w:pPr>
        <w:tabs>
          <w:tab w:val="left" w:pos="142"/>
        </w:tabs>
        <w:spacing w:line="360" w:lineRule="auto"/>
        <w:ind w:left="533" w:hanging="533"/>
        <w:jc w:val="both"/>
        <w:rPr>
          <w:rFonts w:hint="eastAsia" w:ascii="宋体" w:hAnsi="宋体" w:eastAsia="宋体" w:cs="宋体"/>
          <w:b/>
          <w:color w:val="auto"/>
          <w:kern w:val="2"/>
          <w:sz w:val="21"/>
          <w:szCs w:val="21"/>
          <w:highlight w:val="none"/>
          <w:u w:val="single"/>
          <w:lang w:val="zh-CN"/>
        </w:rPr>
      </w:pPr>
      <w:r>
        <w:rPr>
          <w:rFonts w:hint="eastAsia" w:ascii="宋体" w:hAnsi="宋体" w:eastAsia="宋体" w:cs="宋体"/>
          <w:color w:val="auto"/>
          <w:kern w:val="2"/>
          <w:sz w:val="21"/>
          <w:szCs w:val="21"/>
          <w:highlight w:val="none"/>
        </w:rPr>
        <w:t>11.6</w:t>
      </w:r>
      <w:r>
        <w:rPr>
          <w:rFonts w:hint="eastAsia" w:ascii="宋体" w:hAnsi="宋体" w:eastAsia="宋体" w:cs="宋体"/>
          <w:b/>
          <w:bCs/>
          <w:color w:val="auto"/>
          <w:kern w:val="2"/>
          <w:sz w:val="21"/>
          <w:szCs w:val="21"/>
          <w:highlight w:val="none"/>
        </w:rPr>
        <w:t xml:space="preserve"> </w:t>
      </w:r>
      <w:r>
        <w:rPr>
          <w:rFonts w:hint="eastAsia" w:ascii="宋体" w:hAnsi="宋体" w:eastAsia="宋体" w:cs="宋体"/>
          <w:b/>
          <w:color w:val="auto"/>
          <w:kern w:val="2"/>
          <w:sz w:val="21"/>
          <w:szCs w:val="21"/>
          <w:highlight w:val="none"/>
          <w:u w:val="single"/>
          <w:lang w:val="en-US" w:eastAsia="zh-CN"/>
        </w:rPr>
        <w:t>供应商</w:t>
      </w:r>
      <w:r>
        <w:rPr>
          <w:rFonts w:hint="eastAsia" w:ascii="宋体" w:hAnsi="宋体" w:eastAsia="宋体" w:cs="宋体"/>
          <w:b/>
          <w:bCs w:val="0"/>
          <w:color w:val="auto"/>
          <w:kern w:val="2"/>
          <w:sz w:val="21"/>
          <w:szCs w:val="21"/>
          <w:highlight w:val="none"/>
          <w:u w:val="single"/>
          <w:lang w:val="zh-CN"/>
        </w:rPr>
        <w:t>的</w:t>
      </w:r>
      <w:r>
        <w:rPr>
          <w:rFonts w:hint="eastAsia" w:ascii="宋体" w:hAnsi="宋体" w:eastAsia="宋体" w:cs="宋体"/>
          <w:b/>
          <w:bCs w:val="0"/>
          <w:color w:val="auto"/>
          <w:kern w:val="2"/>
          <w:sz w:val="21"/>
          <w:szCs w:val="21"/>
          <w:highlight w:val="none"/>
          <w:u w:val="single"/>
          <w:lang w:val="en-US" w:eastAsia="zh-CN"/>
        </w:rPr>
        <w:t>响应</w:t>
      </w:r>
      <w:r>
        <w:rPr>
          <w:rFonts w:hint="eastAsia" w:ascii="宋体" w:hAnsi="宋体" w:eastAsia="宋体" w:cs="宋体"/>
          <w:b/>
          <w:bCs w:val="0"/>
          <w:color w:val="auto"/>
          <w:kern w:val="2"/>
          <w:sz w:val="21"/>
          <w:szCs w:val="21"/>
          <w:highlight w:val="none"/>
          <w:u w:val="single"/>
          <w:lang w:val="zh-CN"/>
        </w:rPr>
        <w:t>报价高于</w:t>
      </w:r>
      <w:r>
        <w:rPr>
          <w:rFonts w:hint="eastAsia" w:ascii="宋体" w:hAnsi="宋体" w:eastAsia="宋体" w:cs="宋体"/>
          <w:b/>
          <w:bCs w:val="0"/>
          <w:color w:val="auto"/>
          <w:kern w:val="2"/>
          <w:sz w:val="21"/>
          <w:szCs w:val="21"/>
          <w:highlight w:val="none"/>
          <w:u w:val="single"/>
          <w:lang w:val="en-US" w:eastAsia="zh-CN"/>
        </w:rPr>
        <w:t>不含税</w:t>
      </w:r>
      <w:r>
        <w:rPr>
          <w:rFonts w:hint="eastAsia" w:ascii="宋体" w:hAnsi="宋体" w:eastAsia="宋体" w:cs="宋体"/>
          <w:b/>
          <w:bCs w:val="0"/>
          <w:color w:val="auto"/>
          <w:kern w:val="2"/>
          <w:sz w:val="21"/>
          <w:szCs w:val="21"/>
          <w:highlight w:val="none"/>
          <w:u w:val="single"/>
          <w:lang w:val="zh-CN"/>
        </w:rPr>
        <w:t>最高限价的，该</w:t>
      </w:r>
      <w:r>
        <w:rPr>
          <w:rFonts w:hint="eastAsia" w:ascii="宋体" w:hAnsi="宋体" w:eastAsia="宋体" w:cs="宋体"/>
          <w:b/>
          <w:bCs w:val="0"/>
          <w:color w:val="auto"/>
          <w:kern w:val="2"/>
          <w:sz w:val="21"/>
          <w:szCs w:val="21"/>
          <w:highlight w:val="none"/>
          <w:u w:val="single"/>
          <w:lang w:val="en-US" w:eastAsia="zh-CN"/>
        </w:rPr>
        <w:t>供应商</w:t>
      </w:r>
      <w:r>
        <w:rPr>
          <w:rFonts w:hint="eastAsia" w:ascii="宋体" w:hAnsi="宋体" w:eastAsia="宋体" w:cs="宋体"/>
          <w:b/>
          <w:bCs w:val="0"/>
          <w:color w:val="auto"/>
          <w:kern w:val="2"/>
          <w:sz w:val="21"/>
          <w:szCs w:val="21"/>
          <w:highlight w:val="none"/>
          <w:u w:val="single"/>
          <w:lang w:val="zh-CN"/>
        </w:rPr>
        <w:t>的</w:t>
      </w:r>
      <w:r>
        <w:rPr>
          <w:rFonts w:hint="eastAsia" w:ascii="宋体" w:hAnsi="宋体" w:eastAsia="宋体" w:cs="宋体"/>
          <w:b/>
          <w:bCs w:val="0"/>
          <w:color w:val="auto"/>
          <w:kern w:val="2"/>
          <w:sz w:val="21"/>
          <w:szCs w:val="21"/>
          <w:highlight w:val="none"/>
          <w:u w:val="single"/>
          <w:lang w:val="en-US" w:eastAsia="zh-CN"/>
        </w:rPr>
        <w:t>响应</w:t>
      </w:r>
      <w:r>
        <w:rPr>
          <w:rFonts w:hint="eastAsia" w:ascii="宋体" w:hAnsi="宋体" w:eastAsia="宋体" w:cs="宋体"/>
          <w:b/>
          <w:bCs w:val="0"/>
          <w:color w:val="auto"/>
          <w:kern w:val="2"/>
          <w:sz w:val="21"/>
          <w:szCs w:val="21"/>
          <w:highlight w:val="none"/>
          <w:u w:val="single"/>
          <w:lang w:val="zh-CN"/>
        </w:rPr>
        <w:t>文件将被视为无效</w:t>
      </w:r>
      <w:r>
        <w:rPr>
          <w:rFonts w:hint="eastAsia" w:ascii="宋体" w:hAnsi="宋体" w:eastAsia="宋体" w:cs="宋体"/>
          <w:b/>
          <w:bCs w:val="0"/>
          <w:color w:val="auto"/>
          <w:kern w:val="2"/>
          <w:sz w:val="21"/>
          <w:szCs w:val="21"/>
          <w:highlight w:val="none"/>
          <w:u w:val="single"/>
          <w:lang w:val="en-US" w:eastAsia="zh-CN"/>
        </w:rPr>
        <w:t>响应</w:t>
      </w:r>
      <w:r>
        <w:rPr>
          <w:rFonts w:hint="eastAsia" w:ascii="宋体" w:hAnsi="宋体" w:eastAsia="宋体" w:cs="宋体"/>
          <w:b/>
          <w:color w:val="auto"/>
          <w:kern w:val="2"/>
          <w:sz w:val="21"/>
          <w:szCs w:val="21"/>
          <w:highlight w:val="none"/>
          <w:u w:val="single"/>
          <w:lang w:val="zh-CN"/>
        </w:rPr>
        <w:t>。本项目的</w:t>
      </w:r>
      <w:r>
        <w:rPr>
          <w:rFonts w:hint="eastAsia" w:ascii="宋体" w:hAnsi="宋体" w:eastAsia="宋体" w:cs="宋体"/>
          <w:b/>
          <w:bCs w:val="0"/>
          <w:color w:val="auto"/>
          <w:kern w:val="2"/>
          <w:sz w:val="21"/>
          <w:szCs w:val="21"/>
          <w:highlight w:val="none"/>
          <w:u w:val="single"/>
          <w:lang w:val="zh-CN"/>
        </w:rPr>
        <w:t>不含税最高限价为</w:t>
      </w:r>
      <w:r>
        <w:rPr>
          <w:rFonts w:hint="default" w:ascii="宋体" w:hAnsi="宋体" w:cs="宋体"/>
          <w:b/>
          <w:bCs w:val="0"/>
          <w:color w:val="auto"/>
          <w:kern w:val="2"/>
          <w:sz w:val="21"/>
          <w:szCs w:val="21"/>
          <w:highlight w:val="none"/>
          <w:u w:val="single"/>
          <w:lang w:val="zh-CN" w:eastAsia="zh-CN"/>
        </w:rPr>
        <w:t>¥</w:t>
      </w:r>
      <w:r>
        <w:rPr>
          <w:rFonts w:hint="eastAsia" w:ascii="宋体" w:hAnsi="宋体" w:cs="宋体"/>
          <w:b/>
          <w:bCs w:val="0"/>
          <w:color w:val="auto"/>
          <w:kern w:val="2"/>
          <w:sz w:val="21"/>
          <w:szCs w:val="21"/>
          <w:highlight w:val="none"/>
          <w:u w:val="single"/>
          <w:lang w:val="en-US" w:eastAsia="zh-CN"/>
        </w:rPr>
        <w:t>90,000.00</w:t>
      </w:r>
      <w:r>
        <w:rPr>
          <w:rFonts w:hint="eastAsia" w:ascii="宋体" w:hAnsi="宋体" w:eastAsia="宋体" w:cs="宋体"/>
          <w:b/>
          <w:bCs w:val="0"/>
          <w:color w:val="auto"/>
          <w:kern w:val="2"/>
          <w:sz w:val="21"/>
          <w:szCs w:val="21"/>
          <w:highlight w:val="none"/>
          <w:u w:val="single"/>
          <w:lang w:val="en-US" w:eastAsia="zh-CN"/>
        </w:rPr>
        <w:t>元</w:t>
      </w:r>
      <w:r>
        <w:rPr>
          <w:rFonts w:hint="eastAsia" w:ascii="宋体" w:hAnsi="宋体" w:eastAsia="宋体" w:cs="宋体"/>
          <w:b/>
          <w:bCs w:val="0"/>
          <w:color w:val="auto"/>
          <w:kern w:val="2"/>
          <w:sz w:val="21"/>
          <w:szCs w:val="21"/>
          <w:highlight w:val="none"/>
          <w:u w:val="single"/>
          <w:lang w:val="zh-CN"/>
        </w:rPr>
        <w:t>（大写</w:t>
      </w:r>
      <w:r>
        <w:rPr>
          <w:rFonts w:hint="eastAsia" w:ascii="宋体" w:hAnsi="宋体" w:eastAsia="宋体" w:cs="宋体"/>
          <w:b/>
          <w:color w:val="auto"/>
          <w:kern w:val="2"/>
          <w:sz w:val="21"/>
          <w:szCs w:val="21"/>
          <w:highlight w:val="none"/>
          <w:u w:val="single"/>
          <w:lang w:val="zh-CN"/>
        </w:rPr>
        <w:t>：人民币</w:t>
      </w:r>
      <w:r>
        <w:rPr>
          <w:rFonts w:hint="eastAsia" w:ascii="宋体" w:hAnsi="宋体" w:cs="宋体"/>
          <w:b/>
          <w:color w:val="auto"/>
          <w:kern w:val="2"/>
          <w:sz w:val="21"/>
          <w:szCs w:val="21"/>
          <w:highlight w:val="none"/>
          <w:u w:val="single"/>
          <w:lang w:val="en-US" w:eastAsia="zh-CN"/>
        </w:rPr>
        <w:t>玖万元整</w:t>
      </w:r>
      <w:r>
        <w:rPr>
          <w:rFonts w:hint="eastAsia" w:ascii="宋体" w:hAnsi="宋体" w:eastAsia="宋体" w:cs="宋体"/>
          <w:b/>
          <w:color w:val="auto"/>
          <w:kern w:val="2"/>
          <w:sz w:val="21"/>
          <w:szCs w:val="21"/>
          <w:highlight w:val="none"/>
          <w:u w:val="single"/>
          <w:lang w:val="zh-CN"/>
        </w:rPr>
        <w:t>）</w:t>
      </w:r>
      <w:r>
        <w:rPr>
          <w:rFonts w:hint="eastAsia" w:ascii="宋体" w:hAnsi="宋体" w:cs="宋体"/>
          <w:b/>
          <w:color w:val="auto"/>
          <w:kern w:val="2"/>
          <w:sz w:val="21"/>
          <w:szCs w:val="21"/>
          <w:highlight w:val="none"/>
          <w:u w:val="single"/>
          <w:lang w:val="zh-CN"/>
        </w:rPr>
        <w:t>；</w:t>
      </w:r>
      <w:r>
        <w:rPr>
          <w:rFonts w:hint="eastAsia" w:ascii="宋体" w:hAnsi="宋体" w:cs="宋体"/>
          <w:b/>
          <w:color w:val="auto"/>
          <w:kern w:val="2"/>
          <w:sz w:val="21"/>
          <w:szCs w:val="21"/>
          <w:highlight w:val="none"/>
          <w:u w:val="single"/>
          <w:lang w:val="en-US" w:eastAsia="zh-CN"/>
        </w:rPr>
        <w:t>其中，净资产审计服务不含税最高限价为</w:t>
      </w:r>
      <w:r>
        <w:rPr>
          <w:rFonts w:hint="default" w:ascii="宋体" w:hAnsi="宋体" w:cs="宋体"/>
          <w:b/>
          <w:bCs w:val="0"/>
          <w:color w:val="auto"/>
          <w:kern w:val="2"/>
          <w:sz w:val="21"/>
          <w:szCs w:val="21"/>
          <w:highlight w:val="none"/>
          <w:u w:val="single"/>
          <w:lang w:val="zh-CN" w:eastAsia="zh-CN"/>
        </w:rPr>
        <w:t>¥</w:t>
      </w:r>
      <w:r>
        <w:rPr>
          <w:rFonts w:hint="eastAsia" w:ascii="宋体" w:hAnsi="宋体" w:cs="宋体"/>
          <w:b/>
          <w:bCs w:val="0"/>
          <w:color w:val="auto"/>
          <w:kern w:val="2"/>
          <w:sz w:val="21"/>
          <w:szCs w:val="21"/>
          <w:highlight w:val="none"/>
          <w:u w:val="single"/>
          <w:lang w:val="en-US" w:eastAsia="zh-CN"/>
        </w:rPr>
        <w:t>20,000.00</w:t>
      </w:r>
      <w:r>
        <w:rPr>
          <w:rFonts w:hint="eastAsia" w:ascii="宋体" w:hAnsi="宋体" w:eastAsia="宋体" w:cs="宋体"/>
          <w:b/>
          <w:bCs w:val="0"/>
          <w:color w:val="auto"/>
          <w:kern w:val="2"/>
          <w:sz w:val="21"/>
          <w:szCs w:val="21"/>
          <w:highlight w:val="none"/>
          <w:u w:val="single"/>
          <w:lang w:val="en-US" w:eastAsia="zh-CN"/>
        </w:rPr>
        <w:t>元</w:t>
      </w:r>
      <w:r>
        <w:rPr>
          <w:rFonts w:hint="eastAsia" w:ascii="宋体" w:hAnsi="宋体" w:eastAsia="宋体" w:cs="宋体"/>
          <w:b/>
          <w:bCs w:val="0"/>
          <w:color w:val="auto"/>
          <w:kern w:val="2"/>
          <w:sz w:val="21"/>
          <w:szCs w:val="21"/>
          <w:highlight w:val="none"/>
          <w:u w:val="single"/>
          <w:lang w:val="zh-CN"/>
        </w:rPr>
        <w:t>（大写</w:t>
      </w:r>
      <w:r>
        <w:rPr>
          <w:rFonts w:hint="eastAsia" w:ascii="宋体" w:hAnsi="宋体" w:eastAsia="宋体" w:cs="宋体"/>
          <w:b/>
          <w:color w:val="auto"/>
          <w:kern w:val="2"/>
          <w:sz w:val="21"/>
          <w:szCs w:val="21"/>
          <w:highlight w:val="none"/>
          <w:u w:val="single"/>
          <w:lang w:val="zh-CN"/>
        </w:rPr>
        <w:t>：人民</w:t>
      </w:r>
      <w:r>
        <w:rPr>
          <w:rFonts w:hint="eastAsia" w:ascii="宋体" w:hAnsi="宋体" w:cs="宋体"/>
          <w:b/>
          <w:color w:val="auto"/>
          <w:kern w:val="2"/>
          <w:sz w:val="21"/>
          <w:szCs w:val="21"/>
          <w:highlight w:val="none"/>
          <w:u w:val="single"/>
          <w:lang w:val="en-US" w:eastAsia="zh-CN"/>
        </w:rPr>
        <w:t>币贰万元整</w:t>
      </w:r>
      <w:r>
        <w:rPr>
          <w:rFonts w:hint="eastAsia" w:ascii="宋体" w:hAnsi="宋体" w:eastAsia="宋体" w:cs="宋体"/>
          <w:b/>
          <w:color w:val="auto"/>
          <w:kern w:val="2"/>
          <w:sz w:val="21"/>
          <w:szCs w:val="21"/>
          <w:highlight w:val="none"/>
          <w:u w:val="single"/>
          <w:lang w:val="zh-CN"/>
        </w:rPr>
        <w:t>）</w:t>
      </w:r>
      <w:r>
        <w:rPr>
          <w:rFonts w:hint="eastAsia" w:ascii="宋体" w:hAnsi="宋体" w:cs="宋体"/>
          <w:b/>
          <w:color w:val="auto"/>
          <w:kern w:val="2"/>
          <w:sz w:val="21"/>
          <w:szCs w:val="21"/>
          <w:highlight w:val="none"/>
          <w:u w:val="single"/>
          <w:lang w:val="zh-CN"/>
        </w:rPr>
        <w:t>；</w:t>
      </w:r>
      <w:r>
        <w:rPr>
          <w:rFonts w:hint="eastAsia" w:ascii="宋体" w:hAnsi="宋体" w:cs="宋体"/>
          <w:b/>
          <w:color w:val="auto"/>
          <w:kern w:val="2"/>
          <w:sz w:val="21"/>
          <w:szCs w:val="21"/>
          <w:highlight w:val="none"/>
          <w:u w:val="single"/>
          <w:lang w:val="en-US" w:eastAsia="zh-CN"/>
        </w:rPr>
        <w:t>清算审计服务不含税最高限价为</w:t>
      </w:r>
      <w:r>
        <w:rPr>
          <w:rFonts w:hint="default" w:ascii="宋体" w:hAnsi="宋体" w:cs="宋体"/>
          <w:b/>
          <w:bCs w:val="0"/>
          <w:color w:val="auto"/>
          <w:kern w:val="2"/>
          <w:sz w:val="21"/>
          <w:szCs w:val="21"/>
          <w:highlight w:val="none"/>
          <w:u w:val="single"/>
          <w:lang w:val="zh-CN" w:eastAsia="zh-CN"/>
        </w:rPr>
        <w:t>¥</w:t>
      </w:r>
      <w:r>
        <w:rPr>
          <w:rFonts w:hint="eastAsia" w:ascii="宋体" w:hAnsi="宋体" w:cs="宋体"/>
          <w:b/>
          <w:bCs w:val="0"/>
          <w:color w:val="auto"/>
          <w:kern w:val="2"/>
          <w:sz w:val="21"/>
          <w:szCs w:val="21"/>
          <w:highlight w:val="none"/>
          <w:u w:val="single"/>
          <w:lang w:val="en-US" w:eastAsia="zh-CN"/>
        </w:rPr>
        <w:t>25,000.00</w:t>
      </w:r>
      <w:r>
        <w:rPr>
          <w:rFonts w:hint="eastAsia" w:ascii="宋体" w:hAnsi="宋体" w:eastAsia="宋体" w:cs="宋体"/>
          <w:b/>
          <w:bCs w:val="0"/>
          <w:color w:val="auto"/>
          <w:kern w:val="2"/>
          <w:sz w:val="21"/>
          <w:szCs w:val="21"/>
          <w:highlight w:val="none"/>
          <w:u w:val="single"/>
          <w:lang w:val="en-US" w:eastAsia="zh-CN"/>
        </w:rPr>
        <w:t>元</w:t>
      </w:r>
      <w:r>
        <w:rPr>
          <w:rFonts w:hint="eastAsia" w:ascii="宋体" w:hAnsi="宋体" w:eastAsia="宋体" w:cs="宋体"/>
          <w:b/>
          <w:bCs w:val="0"/>
          <w:color w:val="auto"/>
          <w:kern w:val="2"/>
          <w:sz w:val="21"/>
          <w:szCs w:val="21"/>
          <w:highlight w:val="none"/>
          <w:u w:val="single"/>
          <w:lang w:val="zh-CN"/>
        </w:rPr>
        <w:t>（大写</w:t>
      </w:r>
      <w:r>
        <w:rPr>
          <w:rFonts w:hint="eastAsia" w:ascii="宋体" w:hAnsi="宋体" w:eastAsia="宋体" w:cs="宋体"/>
          <w:b/>
          <w:color w:val="auto"/>
          <w:kern w:val="2"/>
          <w:sz w:val="21"/>
          <w:szCs w:val="21"/>
          <w:highlight w:val="none"/>
          <w:u w:val="single"/>
          <w:lang w:val="zh-CN"/>
        </w:rPr>
        <w:t>：人民</w:t>
      </w:r>
      <w:r>
        <w:rPr>
          <w:rFonts w:hint="eastAsia" w:ascii="宋体" w:hAnsi="宋体" w:cs="宋体"/>
          <w:b/>
          <w:color w:val="auto"/>
          <w:kern w:val="2"/>
          <w:sz w:val="21"/>
          <w:szCs w:val="21"/>
          <w:highlight w:val="none"/>
          <w:u w:val="single"/>
          <w:lang w:val="en-US" w:eastAsia="zh-CN"/>
        </w:rPr>
        <w:t>币贰万伍仟元整</w:t>
      </w:r>
      <w:r>
        <w:rPr>
          <w:rFonts w:hint="eastAsia" w:ascii="宋体" w:hAnsi="宋体" w:eastAsia="宋体" w:cs="宋体"/>
          <w:b/>
          <w:color w:val="auto"/>
          <w:kern w:val="2"/>
          <w:sz w:val="21"/>
          <w:szCs w:val="21"/>
          <w:highlight w:val="none"/>
          <w:u w:val="single"/>
          <w:lang w:val="zh-CN"/>
        </w:rPr>
        <w:t>）</w:t>
      </w:r>
      <w:r>
        <w:rPr>
          <w:rFonts w:hint="eastAsia" w:ascii="宋体" w:hAnsi="宋体" w:cs="宋体"/>
          <w:b/>
          <w:color w:val="auto"/>
          <w:kern w:val="2"/>
          <w:sz w:val="21"/>
          <w:szCs w:val="21"/>
          <w:highlight w:val="none"/>
          <w:u w:val="single"/>
          <w:lang w:val="zh-CN"/>
        </w:rPr>
        <w:t>；</w:t>
      </w:r>
      <w:r>
        <w:rPr>
          <w:rFonts w:hint="eastAsia" w:ascii="宋体" w:hAnsi="宋体" w:cs="宋体"/>
          <w:b/>
          <w:color w:val="auto"/>
          <w:kern w:val="2"/>
          <w:sz w:val="21"/>
          <w:szCs w:val="21"/>
          <w:highlight w:val="none"/>
          <w:u w:val="single"/>
          <w:lang w:val="en-US" w:eastAsia="zh-CN"/>
        </w:rPr>
        <w:t>财税咨询服务不含税最高限价为</w:t>
      </w:r>
      <w:r>
        <w:rPr>
          <w:rFonts w:hint="default" w:ascii="宋体" w:hAnsi="宋体" w:cs="宋体"/>
          <w:b/>
          <w:bCs w:val="0"/>
          <w:color w:val="auto"/>
          <w:kern w:val="2"/>
          <w:sz w:val="21"/>
          <w:szCs w:val="21"/>
          <w:highlight w:val="none"/>
          <w:u w:val="single"/>
          <w:lang w:val="zh-CN" w:eastAsia="zh-CN"/>
        </w:rPr>
        <w:t>¥</w:t>
      </w:r>
      <w:r>
        <w:rPr>
          <w:rFonts w:hint="eastAsia" w:ascii="宋体" w:hAnsi="宋体" w:cs="宋体"/>
          <w:b/>
          <w:bCs w:val="0"/>
          <w:color w:val="auto"/>
          <w:kern w:val="2"/>
          <w:sz w:val="21"/>
          <w:szCs w:val="21"/>
          <w:highlight w:val="none"/>
          <w:u w:val="single"/>
          <w:lang w:val="en-US" w:eastAsia="zh-CN"/>
        </w:rPr>
        <w:t>45,000.00</w:t>
      </w:r>
      <w:r>
        <w:rPr>
          <w:rFonts w:hint="eastAsia" w:ascii="宋体" w:hAnsi="宋体" w:eastAsia="宋体" w:cs="宋体"/>
          <w:b/>
          <w:bCs w:val="0"/>
          <w:color w:val="auto"/>
          <w:kern w:val="2"/>
          <w:sz w:val="21"/>
          <w:szCs w:val="21"/>
          <w:highlight w:val="none"/>
          <w:u w:val="single"/>
          <w:lang w:val="en-US" w:eastAsia="zh-CN"/>
        </w:rPr>
        <w:t>元</w:t>
      </w:r>
      <w:r>
        <w:rPr>
          <w:rFonts w:hint="eastAsia" w:ascii="宋体" w:hAnsi="宋体" w:eastAsia="宋体" w:cs="宋体"/>
          <w:b/>
          <w:bCs w:val="0"/>
          <w:color w:val="auto"/>
          <w:kern w:val="2"/>
          <w:sz w:val="21"/>
          <w:szCs w:val="21"/>
          <w:highlight w:val="none"/>
          <w:u w:val="single"/>
          <w:lang w:val="zh-CN"/>
        </w:rPr>
        <w:t>（大写</w:t>
      </w:r>
      <w:r>
        <w:rPr>
          <w:rFonts w:hint="eastAsia" w:ascii="宋体" w:hAnsi="宋体" w:eastAsia="宋体" w:cs="宋体"/>
          <w:b/>
          <w:color w:val="auto"/>
          <w:kern w:val="2"/>
          <w:sz w:val="21"/>
          <w:szCs w:val="21"/>
          <w:highlight w:val="none"/>
          <w:u w:val="single"/>
          <w:lang w:val="zh-CN"/>
        </w:rPr>
        <w:t>：人民</w:t>
      </w:r>
      <w:r>
        <w:rPr>
          <w:rFonts w:hint="eastAsia" w:ascii="宋体" w:hAnsi="宋体" w:cs="宋体"/>
          <w:b/>
          <w:color w:val="auto"/>
          <w:kern w:val="2"/>
          <w:sz w:val="21"/>
          <w:szCs w:val="21"/>
          <w:highlight w:val="none"/>
          <w:u w:val="single"/>
          <w:lang w:val="en-US" w:eastAsia="zh-CN"/>
        </w:rPr>
        <w:t>币肆万伍仟元整</w:t>
      </w:r>
      <w:r>
        <w:rPr>
          <w:rFonts w:hint="eastAsia" w:ascii="宋体" w:hAnsi="宋体" w:eastAsia="宋体" w:cs="宋体"/>
          <w:b/>
          <w:color w:val="auto"/>
          <w:kern w:val="2"/>
          <w:sz w:val="21"/>
          <w:szCs w:val="21"/>
          <w:highlight w:val="none"/>
          <w:u w:val="single"/>
          <w:lang w:val="zh-CN"/>
        </w:rPr>
        <w:t>）。</w:t>
      </w:r>
    </w:p>
    <w:p>
      <w:pPr>
        <w:tabs>
          <w:tab w:val="left" w:pos="142"/>
        </w:tabs>
        <w:spacing w:line="360" w:lineRule="auto"/>
        <w:ind w:left="532" w:hanging="532"/>
        <w:jc w:val="both"/>
        <w:rPr>
          <w:rFonts w:hint="eastAsia" w:ascii="宋体" w:hAnsi="宋体" w:eastAsia="宋体" w:cs="宋体"/>
          <w:b/>
          <w:bCs/>
          <w:color w:val="auto"/>
          <w:sz w:val="21"/>
          <w:highlight w:val="none"/>
          <w:u w:val="single"/>
        </w:rPr>
      </w:pPr>
    </w:p>
    <w:p>
      <w:pPr>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80" w:name="_Toc450662862"/>
      <w:bookmarkStart w:id="81" w:name="_Toc521918079"/>
      <w:bookmarkStart w:id="82" w:name="_Toc11071"/>
      <w:bookmarkStart w:id="83" w:name="_Toc1597"/>
      <w:bookmarkStart w:id="84" w:name="_Toc11058"/>
      <w:r>
        <w:rPr>
          <w:rFonts w:hint="eastAsia" w:ascii="宋体" w:hAnsi="宋体" w:eastAsia="宋体" w:cs="宋体"/>
          <w:b/>
          <w:bCs/>
          <w:color w:val="auto"/>
          <w:kern w:val="2"/>
          <w:sz w:val="21"/>
          <w:szCs w:val="21"/>
          <w:highlight w:val="none"/>
          <w:lang w:val="zh-CN"/>
        </w:rPr>
        <w:t>12</w:t>
      </w:r>
      <w:r>
        <w:rPr>
          <w:rFonts w:hint="eastAsia" w:ascii="宋体" w:hAnsi="宋体" w:eastAsia="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响应报价货币</w:t>
      </w:r>
      <w:bookmarkEnd w:id="80"/>
      <w:bookmarkEnd w:id="81"/>
      <w:bookmarkEnd w:id="82"/>
      <w:bookmarkEnd w:id="83"/>
      <w:bookmarkEnd w:id="84"/>
    </w:p>
    <w:p>
      <w:pPr>
        <w:spacing w:line="360" w:lineRule="auto"/>
        <w:ind w:left="540" w:hanging="15"/>
        <w:jc w:val="both"/>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
          <w:bCs/>
          <w:color w:val="auto"/>
          <w:kern w:val="2"/>
          <w:sz w:val="21"/>
          <w:szCs w:val="21"/>
          <w:highlight w:val="none"/>
          <w:u w:val="single"/>
          <w:lang w:val="zh-CN"/>
        </w:rPr>
        <w:t>响应报价表上的价格须以人民币报价，以其它货币标价的报价将予以拒绝。</w:t>
      </w:r>
    </w:p>
    <w:p>
      <w:pPr>
        <w:spacing w:line="360" w:lineRule="auto"/>
        <w:ind w:left="540" w:hanging="15"/>
        <w:jc w:val="both"/>
        <w:rPr>
          <w:rFonts w:hint="eastAsia" w:ascii="宋体" w:hAnsi="宋体" w:eastAsia="宋体" w:cs="宋体"/>
          <w:color w:val="auto"/>
          <w:kern w:val="2"/>
          <w:sz w:val="21"/>
          <w:szCs w:val="21"/>
          <w:highlight w:val="none"/>
          <w:lang w:val="zh-CN"/>
        </w:rPr>
      </w:pPr>
    </w:p>
    <w:p>
      <w:pPr>
        <w:tabs>
          <w:tab w:val="left" w:pos="57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85" w:name="_Toc14264"/>
      <w:bookmarkStart w:id="86" w:name="_Toc18922"/>
      <w:bookmarkStart w:id="87" w:name="_Toc21140"/>
      <w:bookmarkStart w:id="88" w:name="_Toc450662863"/>
      <w:bookmarkStart w:id="89" w:name="_Toc521918080"/>
      <w:r>
        <w:rPr>
          <w:rFonts w:hint="eastAsia" w:ascii="宋体" w:hAnsi="宋体" w:eastAsia="宋体" w:cs="宋体"/>
          <w:color w:val="auto"/>
          <w:kern w:val="2"/>
          <w:sz w:val="21"/>
          <w:szCs w:val="21"/>
          <w:highlight w:val="none"/>
          <w:lang w:val="zh-CN"/>
        </w:rPr>
        <w:t>13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证明供应商的合格性和资格的声明文件</w:t>
      </w:r>
      <w:bookmarkEnd w:id="85"/>
      <w:bookmarkEnd w:id="86"/>
      <w:bookmarkEnd w:id="87"/>
      <w:bookmarkEnd w:id="88"/>
      <w:bookmarkEnd w:id="89"/>
    </w:p>
    <w:p>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13.1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根据第2条、第13.2款规定，供应商须提交证明其有资格进行</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和有能力履行合同的文件，作为响应文件的一部分。</w:t>
      </w:r>
    </w:p>
    <w:p>
      <w:pPr>
        <w:spacing w:line="360" w:lineRule="auto"/>
        <w:ind w:left="567" w:hanging="567"/>
        <w:jc w:val="both"/>
        <w:rPr>
          <w:rFonts w:hint="eastAsia" w:ascii="宋体" w:hAnsi="宋体" w:eastAsia="宋体" w:cs="宋体"/>
          <w:color w:val="auto"/>
          <w:kern w:val="2"/>
          <w:sz w:val="21"/>
          <w:szCs w:val="21"/>
          <w:highlight w:val="none"/>
          <w:vertAlign w:val="superscript"/>
          <w:lang w:val="zh-CN"/>
        </w:rPr>
      </w:pPr>
      <w:r>
        <w:rPr>
          <w:rFonts w:hint="eastAsia" w:ascii="宋体" w:hAnsi="宋体" w:eastAsia="宋体" w:cs="宋体"/>
          <w:color w:val="auto"/>
          <w:kern w:val="2"/>
          <w:sz w:val="21"/>
          <w:szCs w:val="21"/>
          <w:highlight w:val="none"/>
          <w:lang w:val="zh-CN"/>
        </w:rPr>
        <w:t>13.2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供应商提供的履行合同的资格声明文件应符合：</w:t>
      </w:r>
    </w:p>
    <w:p>
      <w:pPr>
        <w:spacing w:line="360" w:lineRule="auto"/>
        <w:ind w:left="563" w:hanging="562" w:hangingChars="26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（1）符合</w:t>
      </w:r>
      <w:r>
        <w:rPr>
          <w:rFonts w:hint="eastAsia" w:ascii="宋体" w:hAnsi="宋体" w:eastAsia="宋体" w:cs="宋体"/>
          <w:color w:val="auto"/>
          <w:kern w:val="2"/>
          <w:sz w:val="21"/>
          <w:szCs w:val="21"/>
          <w:highlight w:val="none"/>
          <w:lang w:val="en-US" w:eastAsia="zh-CN"/>
        </w:rPr>
        <w:t>竞争性磋商文件合格供应商应</w:t>
      </w:r>
      <w:r>
        <w:rPr>
          <w:rFonts w:hint="eastAsia" w:ascii="宋体" w:hAnsi="宋体" w:eastAsia="宋体" w:cs="宋体"/>
          <w:color w:val="auto"/>
          <w:kern w:val="2"/>
          <w:sz w:val="21"/>
          <w:szCs w:val="21"/>
          <w:highlight w:val="none"/>
          <w:lang w:val="zh-CN"/>
        </w:rPr>
        <w:t>当具备的条件；</w:t>
      </w:r>
    </w:p>
    <w:p>
      <w:pPr>
        <w:spacing w:line="360" w:lineRule="auto"/>
        <w:ind w:left="839" w:leftChars="1" w:hanging="837" w:hangingChars="399"/>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zh-CN"/>
        </w:rPr>
        <w:t>具有履行本项目所必须的证明文件；</w:t>
      </w:r>
    </w:p>
    <w:p>
      <w:pPr>
        <w:spacing w:line="360" w:lineRule="auto"/>
        <w:ind w:left="839" w:leftChars="1" w:hanging="837" w:hangingChars="399"/>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（3）供应商证明其相应资格符合或优于竞争性磋商文件要求的其它文件。</w:t>
      </w:r>
    </w:p>
    <w:p>
      <w:pPr>
        <w:tabs>
          <w:tab w:val="left" w:pos="142"/>
        </w:tabs>
        <w:spacing w:line="360" w:lineRule="auto"/>
        <w:ind w:left="532" w:hanging="53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13.3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供应商根据竞争性磋商文件载明的</w:t>
      </w:r>
      <w:r>
        <w:rPr>
          <w:rFonts w:hint="eastAsia" w:ascii="宋体" w:hAnsi="宋体" w:cs="宋体"/>
          <w:color w:val="auto"/>
          <w:kern w:val="2"/>
          <w:sz w:val="21"/>
          <w:szCs w:val="21"/>
          <w:highlight w:val="none"/>
          <w:lang w:val="en-US" w:eastAsia="zh-CN"/>
        </w:rPr>
        <w:t>相关</w:t>
      </w:r>
      <w:r>
        <w:rPr>
          <w:rFonts w:hint="eastAsia" w:ascii="宋体" w:hAnsi="宋体" w:eastAsia="宋体" w:cs="宋体"/>
          <w:color w:val="auto"/>
          <w:kern w:val="2"/>
          <w:sz w:val="21"/>
          <w:szCs w:val="21"/>
          <w:highlight w:val="none"/>
          <w:lang w:val="zh-CN"/>
        </w:rPr>
        <w:t>服务要求的实际情况，拟在</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后将</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项目的非主体、非关键性专业工作交由他人完成的，应当在响应文件中载明，并提供分包人的资质、能力证明材料。</w:t>
      </w:r>
    </w:p>
    <w:p>
      <w:pPr>
        <w:tabs>
          <w:tab w:val="left" w:pos="142"/>
        </w:tabs>
        <w:spacing w:line="360" w:lineRule="auto"/>
        <w:ind w:left="532" w:hanging="532"/>
        <w:jc w:val="both"/>
        <w:rPr>
          <w:rFonts w:hint="eastAsia" w:ascii="宋体" w:hAnsi="宋体" w:eastAsia="宋体" w:cs="宋体"/>
          <w:color w:val="auto"/>
          <w:kern w:val="2"/>
          <w:sz w:val="21"/>
          <w:szCs w:val="21"/>
          <w:highlight w:val="none"/>
        </w:rPr>
      </w:pPr>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90" w:name="_Toc9158"/>
      <w:bookmarkStart w:id="91" w:name="_Toc450662864"/>
      <w:bookmarkStart w:id="92" w:name="_Toc11754"/>
      <w:bookmarkStart w:id="93" w:name="_Toc521918081"/>
      <w:bookmarkStart w:id="94" w:name="_Toc23499"/>
      <w:r>
        <w:rPr>
          <w:rFonts w:hint="eastAsia" w:ascii="宋体" w:hAnsi="宋体" w:eastAsia="宋体" w:cs="宋体"/>
          <w:color w:val="auto"/>
          <w:kern w:val="2"/>
          <w:sz w:val="21"/>
          <w:szCs w:val="21"/>
          <w:highlight w:val="none"/>
          <w:lang w:val="zh-CN"/>
        </w:rPr>
        <w:t>14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证明服务的合格性并符合竞争性磋商文件规定的声明文件</w:t>
      </w:r>
      <w:bookmarkEnd w:id="90"/>
      <w:bookmarkEnd w:id="91"/>
      <w:bookmarkEnd w:id="92"/>
      <w:bookmarkEnd w:id="93"/>
      <w:bookmarkEnd w:id="94"/>
    </w:p>
    <w:p>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14.1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根据第9条规定，供应商须提交证明其拟供服务的合格性并符合竞争性磋商文件规定的声明文件，作为响应文件的一部分。</w:t>
      </w:r>
    </w:p>
    <w:p>
      <w:pPr>
        <w:tabs>
          <w:tab w:val="left" w:pos="142"/>
        </w:tabs>
        <w:spacing w:line="360" w:lineRule="auto"/>
        <w:ind w:left="532" w:hanging="532"/>
        <w:jc w:val="both"/>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zh-CN"/>
        </w:rPr>
        <w:t>14.2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证明服务与竞争性磋商文件的要求相一致的文件可以是文字资料、图纸和数据资料。</w:t>
      </w:r>
    </w:p>
    <w:p>
      <w:pPr>
        <w:tabs>
          <w:tab w:val="left" w:pos="567"/>
        </w:tabs>
        <w:spacing w:line="360" w:lineRule="auto"/>
        <w:ind w:left="567" w:hanging="567"/>
        <w:jc w:val="both"/>
        <w:rPr>
          <w:rFonts w:hint="eastAsia" w:ascii="宋体" w:hAnsi="宋体" w:eastAsia="宋体" w:cs="宋体"/>
          <w:b/>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14.3 </w:t>
      </w:r>
      <w:r>
        <w:rPr>
          <w:rFonts w:hint="eastAsia" w:ascii="宋体" w:hAnsi="宋体" w:eastAsia="宋体" w:cs="宋体"/>
          <w:b/>
          <w:color w:val="auto"/>
          <w:kern w:val="2"/>
          <w:sz w:val="21"/>
          <w:szCs w:val="21"/>
          <w:highlight w:val="none"/>
          <w:u w:val="single"/>
          <w:lang w:val="zh-CN"/>
        </w:rPr>
        <w:t>为说明第14.2款的规定，供应商应注意本竞争性磋商文件在《用户需求书》中对服务要求所说明只是概括性的，不能理解为所需要的全部服务的要求，供应商应按国家、行业相关技术标准、规范和以往的服务经验，合格优质的完成采购内容和包含的全部服务。凡标有“★”的地方均被视为重要的技术要求或商务要求。供应商要特别加以注意，必须对此回答并完全满足这些要求，否则若有一项带“★”的条款未响应或不满足，将按无效</w:t>
      </w:r>
      <w:r>
        <w:rPr>
          <w:rFonts w:hint="eastAsia" w:ascii="宋体" w:hAnsi="宋体" w:eastAsia="宋体" w:cs="宋体"/>
          <w:b/>
          <w:color w:val="auto"/>
          <w:kern w:val="2"/>
          <w:sz w:val="21"/>
          <w:szCs w:val="21"/>
          <w:highlight w:val="none"/>
          <w:u w:val="single"/>
          <w:lang w:val="en-US" w:eastAsia="zh-CN"/>
        </w:rPr>
        <w:t>响应</w:t>
      </w:r>
      <w:r>
        <w:rPr>
          <w:rFonts w:hint="eastAsia" w:ascii="宋体" w:hAnsi="宋体" w:eastAsia="宋体" w:cs="宋体"/>
          <w:b/>
          <w:color w:val="auto"/>
          <w:kern w:val="2"/>
          <w:sz w:val="21"/>
          <w:szCs w:val="21"/>
          <w:highlight w:val="none"/>
          <w:u w:val="single"/>
          <w:lang w:val="zh-CN"/>
        </w:rPr>
        <w:t>处理。</w:t>
      </w:r>
    </w:p>
    <w:p>
      <w:pPr>
        <w:tabs>
          <w:tab w:val="left" w:pos="567"/>
        </w:tabs>
        <w:spacing w:line="360" w:lineRule="auto"/>
        <w:ind w:left="567" w:hanging="567"/>
        <w:jc w:val="both"/>
        <w:rPr>
          <w:rFonts w:hint="eastAsia" w:ascii="宋体" w:hAnsi="宋体" w:eastAsia="宋体" w:cs="宋体"/>
          <w:b/>
          <w:color w:val="auto"/>
          <w:kern w:val="2"/>
          <w:sz w:val="21"/>
          <w:szCs w:val="21"/>
          <w:highlight w:val="none"/>
          <w:lang w:val="zh-CN"/>
        </w:rPr>
      </w:pPr>
    </w:p>
    <w:p>
      <w:pPr>
        <w:tabs>
          <w:tab w:val="left" w:pos="567"/>
        </w:tabs>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95" w:name="_Toc21055"/>
      <w:bookmarkStart w:id="96" w:name="_Toc23434"/>
      <w:bookmarkStart w:id="97" w:name="_Toc521918082"/>
      <w:bookmarkStart w:id="98" w:name="_Toc17366"/>
      <w:r>
        <w:rPr>
          <w:rFonts w:hint="eastAsia" w:ascii="宋体" w:hAnsi="宋体" w:eastAsia="宋体" w:cs="宋体"/>
          <w:bCs/>
          <w:color w:val="auto"/>
          <w:kern w:val="2"/>
          <w:sz w:val="21"/>
          <w:szCs w:val="21"/>
          <w:highlight w:val="none"/>
          <w:lang w:val="zh-CN"/>
        </w:rPr>
        <w:t>15</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磋商</w:t>
      </w:r>
      <w:r>
        <w:rPr>
          <w:rFonts w:hint="eastAsia" w:ascii="宋体" w:hAnsi="宋体" w:eastAsia="宋体" w:cs="宋体"/>
          <w:bCs/>
          <w:color w:val="auto"/>
          <w:kern w:val="2"/>
          <w:sz w:val="21"/>
          <w:szCs w:val="21"/>
          <w:highlight w:val="none"/>
          <w:lang w:val="zh-CN"/>
        </w:rPr>
        <w:t>保证金</w:t>
      </w:r>
      <w:bookmarkEnd w:id="95"/>
      <w:bookmarkEnd w:id="96"/>
      <w:bookmarkEnd w:id="97"/>
      <w:bookmarkEnd w:id="98"/>
    </w:p>
    <w:p>
      <w:pPr>
        <w:keepNext w:val="0"/>
        <w:keepLines w:val="0"/>
        <w:pageBreakBefore w:val="0"/>
        <w:widowControl w:val="0"/>
        <w:tabs>
          <w:tab w:val="left" w:pos="1134"/>
        </w:tabs>
        <w:kinsoku/>
        <w:wordWrap/>
        <w:overflowPunct/>
        <w:topLinePunct w:val="0"/>
        <w:autoSpaceDE w:val="0"/>
        <w:autoSpaceDN w:val="0"/>
        <w:bidi w:val="0"/>
        <w:adjustRightInd w:val="0"/>
        <w:snapToGrid/>
        <w:spacing w:line="360" w:lineRule="auto"/>
        <w:ind w:left="0" w:firstLine="525" w:firstLineChars="250"/>
        <w:jc w:val="both"/>
        <w:textAlignment w:val="auto"/>
        <w:rPr>
          <w:rFonts w:hint="eastAsia" w:ascii="宋体" w:hAnsi="宋体" w:eastAsia="宋体" w:cs="宋体"/>
          <w:color w:val="auto"/>
          <w:kern w:val="0"/>
          <w:sz w:val="21"/>
          <w:szCs w:val="21"/>
          <w:highlight w:val="none"/>
          <w:lang w:val="en-US"/>
        </w:rPr>
      </w:pPr>
      <w:bookmarkStart w:id="99" w:name="_Toc521918083"/>
      <w:bookmarkStart w:id="100" w:name="_Toc450662865"/>
      <w:r>
        <w:rPr>
          <w:rFonts w:hint="eastAsia" w:ascii="宋体" w:hAnsi="宋体" w:eastAsia="宋体" w:cs="宋体"/>
          <w:color w:val="auto"/>
          <w:sz w:val="21"/>
          <w:szCs w:val="21"/>
          <w:highlight w:val="none"/>
          <w:lang w:val="en-US" w:eastAsia="zh-CN"/>
        </w:rPr>
        <w:t>本次采购无需提交磋商保证金</w:t>
      </w:r>
      <w:r>
        <w:rPr>
          <w:rFonts w:hint="eastAsia" w:ascii="宋体" w:hAnsi="宋体" w:eastAsia="宋体" w:cs="宋体"/>
          <w:color w:val="auto"/>
          <w:kern w:val="0"/>
          <w:sz w:val="21"/>
          <w:szCs w:val="21"/>
          <w:highlight w:val="none"/>
          <w:lang w:val="en-US"/>
        </w:rPr>
        <w:t>。</w:t>
      </w:r>
    </w:p>
    <w:p>
      <w:pPr>
        <w:pStyle w:val="107"/>
        <w:jc w:val="both"/>
        <w:rPr>
          <w:rFonts w:hint="eastAsia" w:ascii="宋体" w:hAnsi="宋体" w:eastAsia="宋体" w:cs="宋体"/>
          <w:color w:val="auto"/>
          <w:highlight w:val="none"/>
          <w:lang w:val="zh-CN"/>
        </w:rPr>
      </w:pPr>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01" w:name="_Toc18442"/>
      <w:bookmarkStart w:id="102" w:name="_Toc2083"/>
      <w:bookmarkStart w:id="103" w:name="_Toc30329"/>
      <w:r>
        <w:rPr>
          <w:rFonts w:hint="eastAsia" w:ascii="宋体" w:hAnsi="宋体" w:eastAsia="宋体" w:cs="宋体"/>
          <w:color w:val="auto"/>
          <w:kern w:val="2"/>
          <w:sz w:val="21"/>
          <w:szCs w:val="21"/>
          <w:highlight w:val="none"/>
          <w:lang w:val="zh-CN"/>
        </w:rPr>
        <w:t>16</w:t>
      </w:r>
      <w:r>
        <w:rPr>
          <w:rFonts w:hint="eastAsia" w:ascii="宋体" w:hAnsi="宋体" w:eastAsia="宋体" w:cs="宋体"/>
          <w:color w:val="auto"/>
          <w:kern w:val="2"/>
          <w:sz w:val="21"/>
          <w:szCs w:val="21"/>
          <w:highlight w:val="none"/>
          <w:lang w:val="en-US" w:eastAsia="zh-CN"/>
        </w:rPr>
        <w:t xml:space="preserve">   响应</w:t>
      </w:r>
      <w:r>
        <w:rPr>
          <w:rFonts w:hint="eastAsia" w:ascii="宋体" w:hAnsi="宋体" w:eastAsia="宋体" w:cs="宋体"/>
          <w:color w:val="auto"/>
          <w:kern w:val="2"/>
          <w:sz w:val="21"/>
          <w:szCs w:val="21"/>
          <w:highlight w:val="none"/>
          <w:lang w:val="zh-CN"/>
        </w:rPr>
        <w:t>有效期</w:t>
      </w:r>
      <w:bookmarkEnd w:id="99"/>
      <w:bookmarkEnd w:id="100"/>
      <w:bookmarkEnd w:id="101"/>
      <w:bookmarkEnd w:id="102"/>
      <w:bookmarkEnd w:id="103"/>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16.1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u w:val="single"/>
          <w:lang w:val="zh-CN"/>
        </w:rPr>
        <w:t>响应文件将在递交响应文件截止时间届满后90日内有效。</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有效期比规定时间短的</w:t>
      </w:r>
      <w:r>
        <w:rPr>
          <w:rFonts w:hint="eastAsia" w:ascii="宋体" w:hAnsi="宋体" w:cs="宋体"/>
          <w:b/>
          <w:bCs/>
          <w:color w:val="auto"/>
          <w:kern w:val="2"/>
          <w:sz w:val="21"/>
          <w:szCs w:val="21"/>
          <w:highlight w:val="none"/>
          <w:u w:val="single"/>
          <w:lang w:val="en-US" w:eastAsia="zh-CN"/>
        </w:rPr>
        <w:t>按</w:t>
      </w:r>
      <w:r>
        <w:rPr>
          <w:rFonts w:hint="eastAsia" w:ascii="宋体" w:hAnsi="宋体" w:eastAsia="宋体" w:cs="宋体"/>
          <w:b/>
          <w:bCs/>
          <w:color w:val="auto"/>
          <w:kern w:val="2"/>
          <w:sz w:val="21"/>
          <w:szCs w:val="21"/>
          <w:highlight w:val="none"/>
          <w:u w:val="single"/>
          <w:lang w:val="zh-CN"/>
        </w:rPr>
        <w:t>无效</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cs="宋体"/>
          <w:b/>
          <w:bCs/>
          <w:color w:val="auto"/>
          <w:kern w:val="2"/>
          <w:sz w:val="21"/>
          <w:szCs w:val="21"/>
          <w:highlight w:val="none"/>
          <w:u w:val="single"/>
          <w:lang w:val="en-US" w:eastAsia="zh-CN"/>
        </w:rPr>
        <w:t>文件处理</w:t>
      </w:r>
      <w:r>
        <w:rPr>
          <w:rFonts w:hint="eastAsia" w:ascii="宋体" w:hAnsi="宋体" w:eastAsia="宋体" w:cs="宋体"/>
          <w:b/>
          <w:bCs/>
          <w:color w:val="auto"/>
          <w:kern w:val="2"/>
          <w:sz w:val="21"/>
          <w:szCs w:val="21"/>
          <w:highlight w:val="none"/>
          <w:lang w:val="zh-CN"/>
        </w:rPr>
        <w:t>。</w:t>
      </w:r>
    </w:p>
    <w:p>
      <w:pPr>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16.2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成交人的响应文件作为合同附件，合同失效时同时失效。</w:t>
      </w:r>
    </w:p>
    <w:p>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16.3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在特殊情况下，采购代理机构可于</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有效期满之前要求供应商同意延长</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有效期。要求与答复均应为书面形式往来。供应商可以拒绝上述要求。对于同意该要求的供应商，</w:t>
      </w:r>
      <w:r>
        <w:rPr>
          <w:rFonts w:hint="eastAsia" w:ascii="宋体" w:hAnsi="宋体" w:cs="宋体"/>
          <w:color w:val="auto"/>
          <w:kern w:val="2"/>
          <w:sz w:val="21"/>
          <w:szCs w:val="21"/>
          <w:highlight w:val="none"/>
          <w:lang w:val="en-US" w:eastAsia="zh-CN"/>
        </w:rPr>
        <w:t>既</w:t>
      </w:r>
      <w:r>
        <w:rPr>
          <w:rFonts w:hint="eastAsia" w:ascii="宋体" w:hAnsi="宋体" w:eastAsia="宋体" w:cs="宋体"/>
          <w:color w:val="auto"/>
          <w:kern w:val="2"/>
          <w:sz w:val="21"/>
          <w:szCs w:val="21"/>
          <w:highlight w:val="none"/>
          <w:lang w:val="zh-CN"/>
        </w:rPr>
        <w:t>不</w:t>
      </w:r>
      <w:r>
        <w:rPr>
          <w:rFonts w:hint="eastAsia" w:ascii="宋体" w:hAnsi="宋体" w:cs="宋体"/>
          <w:color w:val="auto"/>
          <w:kern w:val="2"/>
          <w:sz w:val="21"/>
          <w:szCs w:val="21"/>
          <w:highlight w:val="none"/>
          <w:lang w:val="en-US" w:eastAsia="zh-CN"/>
        </w:rPr>
        <w:t>要求也不</w:t>
      </w:r>
      <w:r>
        <w:rPr>
          <w:rFonts w:hint="eastAsia" w:ascii="宋体" w:hAnsi="宋体" w:eastAsia="宋体" w:cs="宋体"/>
          <w:color w:val="auto"/>
          <w:kern w:val="2"/>
          <w:sz w:val="21"/>
          <w:szCs w:val="21"/>
          <w:highlight w:val="none"/>
          <w:lang w:val="zh-CN"/>
        </w:rPr>
        <w:t>允许其修改响应文件。</w:t>
      </w:r>
    </w:p>
    <w:p>
      <w:pPr>
        <w:spacing w:line="360" w:lineRule="auto"/>
        <w:ind w:left="567" w:hanging="567"/>
        <w:jc w:val="both"/>
        <w:rPr>
          <w:rFonts w:hint="eastAsia" w:ascii="宋体" w:hAnsi="宋体" w:eastAsia="宋体" w:cs="宋体"/>
          <w:color w:val="auto"/>
          <w:kern w:val="2"/>
          <w:sz w:val="21"/>
          <w:szCs w:val="21"/>
          <w:highlight w:val="none"/>
          <w:lang w:val="zh-CN"/>
        </w:rPr>
      </w:pPr>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04" w:name="_Toc743"/>
      <w:bookmarkStart w:id="105" w:name="_Toc450662866"/>
      <w:bookmarkStart w:id="106" w:name="_Toc31944"/>
      <w:bookmarkStart w:id="107" w:name="_Toc521918084"/>
      <w:bookmarkStart w:id="108" w:name="_Toc28569"/>
      <w:r>
        <w:rPr>
          <w:rFonts w:hint="eastAsia" w:ascii="宋体" w:hAnsi="宋体" w:eastAsia="宋体" w:cs="宋体"/>
          <w:color w:val="auto"/>
          <w:kern w:val="2"/>
          <w:sz w:val="21"/>
          <w:szCs w:val="21"/>
          <w:highlight w:val="none"/>
          <w:lang w:val="zh-CN"/>
        </w:rPr>
        <w:t>17</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响应文件的式样和签署</w:t>
      </w:r>
      <w:bookmarkEnd w:id="104"/>
      <w:bookmarkEnd w:id="105"/>
      <w:bookmarkEnd w:id="106"/>
      <w:bookmarkEnd w:id="107"/>
      <w:bookmarkEnd w:id="108"/>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color w:val="auto"/>
          <w:kern w:val="2"/>
          <w:sz w:val="21"/>
          <w:szCs w:val="21"/>
          <w:highlight w:val="none"/>
          <w:u w:val="single"/>
          <w:lang w:val="zh-CN"/>
        </w:rPr>
        <w:t>供应商应准备一份响应文件电子文件、一份正本和</w:t>
      </w:r>
      <w:r>
        <w:rPr>
          <w:rFonts w:hint="eastAsia" w:ascii="宋体" w:hAnsi="宋体" w:cs="宋体"/>
          <w:b/>
          <w:color w:val="auto"/>
          <w:kern w:val="2"/>
          <w:sz w:val="21"/>
          <w:szCs w:val="21"/>
          <w:highlight w:val="none"/>
          <w:u w:val="single"/>
          <w:lang w:val="en-US" w:eastAsia="zh-CN"/>
        </w:rPr>
        <w:t>三</w:t>
      </w:r>
      <w:r>
        <w:rPr>
          <w:rFonts w:hint="eastAsia" w:ascii="宋体" w:hAnsi="宋体" w:eastAsia="宋体" w:cs="宋体"/>
          <w:b/>
          <w:color w:val="auto"/>
          <w:kern w:val="2"/>
          <w:sz w:val="21"/>
          <w:szCs w:val="21"/>
          <w:highlight w:val="none"/>
          <w:u w:val="single"/>
          <w:lang w:val="zh-CN"/>
        </w:rPr>
        <w:t>份副本“响应文件”</w:t>
      </w:r>
      <w:r>
        <w:rPr>
          <w:rFonts w:hint="eastAsia" w:ascii="宋体" w:hAnsi="宋体" w:eastAsia="宋体" w:cs="宋体"/>
          <w:color w:val="auto"/>
          <w:kern w:val="2"/>
          <w:sz w:val="21"/>
          <w:szCs w:val="21"/>
          <w:highlight w:val="none"/>
          <w:lang w:val="zh-CN"/>
        </w:rPr>
        <w:t>。在每一份响应文件上编上目录（目录内的页码必须与实际内容对应）、页次，装订成册（不允许使用活页夹），并要明确注明 “正本”或“副本”，一旦正本和副本发现差异，以正本为准。</w:t>
      </w:r>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lang w:val="zh-CN"/>
        </w:rPr>
        <w:t>响应文件正本和副本须打印或用不褪色墨水书写，竞争性磋商文件提供的格式文件或响应文件中</w:t>
      </w:r>
      <w:r>
        <w:rPr>
          <w:rFonts w:hint="eastAsia" w:ascii="宋体" w:hAnsi="宋体" w:eastAsia="宋体" w:cs="宋体"/>
          <w:color w:val="auto"/>
          <w:kern w:val="2"/>
          <w:sz w:val="21"/>
          <w:szCs w:val="21"/>
          <w:highlight w:val="none"/>
          <w:lang w:val="zh-CN"/>
        </w:rPr>
        <w:t>明确要求盖企业公章或签署的，应相应加企业公章或签署。其中签署应</w:t>
      </w:r>
      <w:r>
        <w:rPr>
          <w:rFonts w:hint="eastAsia" w:ascii="宋体" w:hAnsi="宋体" w:eastAsia="宋体" w:cs="宋体"/>
          <w:color w:val="auto"/>
          <w:kern w:val="2"/>
          <w:sz w:val="21"/>
          <w:szCs w:val="21"/>
          <w:highlight w:val="none"/>
          <w:lang w:val="en-US" w:eastAsia="zh-CN"/>
        </w:rPr>
        <w:t>由</w:t>
      </w:r>
      <w:r>
        <w:rPr>
          <w:rFonts w:hint="eastAsia" w:ascii="宋体" w:hAnsi="宋体" w:eastAsia="宋体" w:cs="宋体"/>
          <w:color w:val="auto"/>
          <w:kern w:val="2"/>
          <w:sz w:val="21"/>
          <w:szCs w:val="21"/>
          <w:highlight w:val="none"/>
          <w:lang w:val="zh-CN"/>
        </w:rPr>
        <w:t>供应商法定代表人/</w:t>
      </w:r>
      <w:r>
        <w:rPr>
          <w:rFonts w:hint="eastAsia" w:ascii="宋体" w:hAnsi="宋体" w:cs="宋体"/>
          <w:color w:val="auto"/>
          <w:kern w:val="2"/>
          <w:sz w:val="21"/>
          <w:szCs w:val="21"/>
          <w:highlight w:val="none"/>
          <w:lang w:val="zh-CN"/>
        </w:rPr>
        <w:t>执行事务合伙人</w:t>
      </w:r>
      <w:r>
        <w:rPr>
          <w:rFonts w:hint="eastAsia" w:ascii="宋体" w:hAnsi="宋体" w:eastAsia="宋体" w:cs="宋体"/>
          <w:color w:val="auto"/>
          <w:kern w:val="2"/>
          <w:sz w:val="21"/>
          <w:szCs w:val="21"/>
          <w:highlight w:val="none"/>
          <w:lang w:val="zh-CN"/>
        </w:rPr>
        <w:t>或其授权代表签字（或盖私章），后者须将“法定代表人/</w:t>
      </w:r>
      <w:r>
        <w:rPr>
          <w:rFonts w:hint="eastAsia" w:ascii="宋体" w:hAnsi="宋体" w:cs="宋体"/>
          <w:color w:val="auto"/>
          <w:kern w:val="2"/>
          <w:sz w:val="21"/>
          <w:szCs w:val="21"/>
          <w:highlight w:val="none"/>
          <w:lang w:val="zh-CN"/>
        </w:rPr>
        <w:t>执行事务合伙人</w:t>
      </w:r>
      <w:r>
        <w:rPr>
          <w:rFonts w:hint="eastAsia" w:ascii="宋体" w:hAnsi="宋体" w:eastAsia="宋体" w:cs="宋体"/>
          <w:color w:val="auto"/>
          <w:kern w:val="2"/>
          <w:sz w:val="21"/>
          <w:szCs w:val="21"/>
          <w:highlight w:val="none"/>
          <w:lang w:val="zh-CN"/>
        </w:rPr>
        <w:t>授权书”以书面形式附在响应文件中。副本文件可由正本文件复印而成。</w:t>
      </w:r>
    </w:p>
    <w:p>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17.3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除供应商对错处作必要修改外，响应文件中不许有加行、涂抹或改写。</w:t>
      </w:r>
      <w:r>
        <w:rPr>
          <w:rFonts w:hint="eastAsia" w:ascii="宋体" w:hAnsi="宋体" w:eastAsia="宋体" w:cs="宋体"/>
          <w:bCs/>
          <w:color w:val="auto"/>
          <w:kern w:val="2"/>
          <w:sz w:val="21"/>
          <w:szCs w:val="21"/>
          <w:highlight w:val="none"/>
          <w:lang w:val="zh-CN"/>
        </w:rPr>
        <w:t>若有修改须由签署响应文件的人进行签字（或盖私章），并加盖</w:t>
      </w:r>
      <w:r>
        <w:rPr>
          <w:rFonts w:hint="eastAsia" w:ascii="宋体" w:hAnsi="宋体" w:cs="宋体"/>
          <w:bCs/>
          <w:color w:val="auto"/>
          <w:kern w:val="2"/>
          <w:sz w:val="21"/>
          <w:szCs w:val="21"/>
          <w:highlight w:val="none"/>
          <w:lang w:val="zh-CN"/>
        </w:rPr>
        <w:t>供应商公章</w:t>
      </w:r>
      <w:r>
        <w:rPr>
          <w:rFonts w:hint="eastAsia" w:ascii="宋体" w:hAnsi="宋体" w:eastAsia="宋体" w:cs="宋体"/>
          <w:bCs/>
          <w:color w:val="auto"/>
          <w:kern w:val="2"/>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17.4 响应文件的封面应注明“项目名称、采购编号、供应商名称、</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日期等”。</w:t>
      </w:r>
    </w:p>
    <w:p>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17.5</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u w:val="single"/>
          <w:lang w:val="zh-CN"/>
        </w:rPr>
        <w:t>电子文件：电子文件不可设置密码，用DVD或CD-R光盘</w:t>
      </w:r>
      <w:r>
        <w:rPr>
          <w:rFonts w:hint="eastAsia" w:ascii="宋体" w:hAnsi="宋体" w:eastAsia="宋体" w:cs="宋体"/>
          <w:b/>
          <w:bCs/>
          <w:color w:val="auto"/>
          <w:kern w:val="2"/>
          <w:sz w:val="21"/>
          <w:szCs w:val="21"/>
          <w:highlight w:val="none"/>
          <w:u w:val="single"/>
          <w:lang w:val="en-US" w:eastAsia="zh-CN"/>
        </w:rPr>
        <w:t>或U盘</w:t>
      </w:r>
      <w:r>
        <w:rPr>
          <w:rFonts w:hint="eastAsia" w:ascii="宋体" w:hAnsi="宋体" w:eastAsia="宋体" w:cs="宋体"/>
          <w:b/>
          <w:bCs/>
          <w:color w:val="auto"/>
          <w:kern w:val="2"/>
          <w:sz w:val="21"/>
          <w:szCs w:val="21"/>
          <w:highlight w:val="none"/>
          <w:u w:val="single"/>
          <w:lang w:val="zh-CN"/>
        </w:rPr>
        <w:t>储存，并</w:t>
      </w:r>
      <w:r>
        <w:rPr>
          <w:rFonts w:hint="eastAsia" w:ascii="宋体" w:hAnsi="宋体" w:eastAsia="宋体" w:cs="宋体"/>
          <w:b/>
          <w:bCs/>
          <w:color w:val="auto"/>
          <w:kern w:val="2"/>
          <w:sz w:val="21"/>
          <w:szCs w:val="21"/>
          <w:highlight w:val="none"/>
          <w:u w:val="single"/>
          <w:lang w:val="en-US" w:eastAsia="zh-CN"/>
        </w:rPr>
        <w:t>独立</w:t>
      </w:r>
      <w:r>
        <w:rPr>
          <w:rFonts w:hint="eastAsia" w:ascii="宋体" w:hAnsi="宋体" w:eastAsia="宋体" w:cs="宋体"/>
          <w:b/>
          <w:bCs/>
          <w:color w:val="auto"/>
          <w:kern w:val="2"/>
          <w:sz w:val="21"/>
          <w:szCs w:val="21"/>
          <w:highlight w:val="none"/>
          <w:u w:val="single"/>
          <w:lang w:val="zh-CN"/>
        </w:rPr>
        <w:t>密封（电子文件的包装封面需注明项目名称、采购编号、供应商单位名称，并加盖</w:t>
      </w:r>
      <w:r>
        <w:rPr>
          <w:rFonts w:hint="eastAsia" w:ascii="宋体" w:hAnsi="宋体" w:cs="宋体"/>
          <w:b/>
          <w:bCs/>
          <w:color w:val="auto"/>
          <w:kern w:val="2"/>
          <w:sz w:val="21"/>
          <w:szCs w:val="21"/>
          <w:highlight w:val="none"/>
          <w:u w:val="single"/>
          <w:lang w:val="zh-CN"/>
        </w:rPr>
        <w:t>供应商公章</w:t>
      </w:r>
      <w:r>
        <w:rPr>
          <w:rFonts w:hint="eastAsia" w:ascii="宋体" w:hAnsi="宋体" w:eastAsia="宋体" w:cs="宋体"/>
          <w:b/>
          <w:bCs/>
          <w:color w:val="auto"/>
          <w:kern w:val="2"/>
          <w:sz w:val="21"/>
          <w:szCs w:val="21"/>
          <w:highlight w:val="none"/>
          <w:u w:val="single"/>
          <w:lang w:val="zh-CN"/>
        </w:rPr>
        <w:t>）</w:t>
      </w:r>
      <w:r>
        <w:rPr>
          <w:rFonts w:hint="eastAsia" w:ascii="宋体" w:hAnsi="宋体" w:eastAsia="宋体" w:cs="宋体"/>
          <w:color w:val="auto"/>
          <w:kern w:val="2"/>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17.6</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电报、电传、传真的</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概不接受。</w:t>
      </w:r>
      <w:bookmarkStart w:id="109" w:name="_Toc450662867"/>
    </w:p>
    <w:p>
      <w:pPr>
        <w:spacing w:line="360" w:lineRule="auto"/>
        <w:ind w:left="567" w:hanging="567"/>
        <w:jc w:val="both"/>
        <w:rPr>
          <w:rFonts w:hint="eastAsia" w:ascii="宋体" w:hAnsi="宋体" w:eastAsia="宋体" w:cs="宋体"/>
          <w:color w:val="auto"/>
          <w:kern w:val="2"/>
          <w:sz w:val="21"/>
          <w:szCs w:val="21"/>
          <w:highlight w:val="none"/>
          <w:lang w:val="zh-CN"/>
        </w:rPr>
      </w:pPr>
    </w:p>
    <w:p>
      <w:pPr>
        <w:pStyle w:val="3"/>
        <w:keepNext/>
        <w:keepLines/>
        <w:pageBreakBefore w:val="0"/>
        <w:widowControl w:val="0"/>
        <w:tabs>
          <w:tab w:val="left" w:pos="567"/>
        </w:tabs>
        <w:kinsoku/>
        <w:wordWrap/>
        <w:overflowPunct/>
        <w:topLinePunct w:val="0"/>
        <w:autoSpaceDE w:val="0"/>
        <w:autoSpaceDN w:val="0"/>
        <w:bidi w:val="0"/>
        <w:adjustRightInd w:val="0"/>
        <w:snapToGrid/>
        <w:spacing w:line="360" w:lineRule="auto"/>
        <w:jc w:val="both"/>
        <w:textAlignment w:val="auto"/>
        <w:outlineLvl w:val="1"/>
        <w:rPr>
          <w:rFonts w:hint="eastAsia" w:ascii="宋体" w:hAnsi="宋体" w:eastAsia="宋体" w:cs="宋体"/>
          <w:b/>
          <w:bCs/>
          <w:color w:val="auto"/>
          <w:kern w:val="44"/>
          <w:sz w:val="21"/>
          <w:szCs w:val="21"/>
          <w:highlight w:val="none"/>
          <w:lang w:val="zh-CN"/>
        </w:rPr>
      </w:pPr>
      <w:bookmarkStart w:id="110" w:name="_Toc30375"/>
      <w:bookmarkStart w:id="111" w:name="_Toc23780"/>
      <w:bookmarkStart w:id="112" w:name="_Toc18054"/>
      <w:bookmarkStart w:id="113" w:name="_Toc521918085"/>
      <w:r>
        <w:rPr>
          <w:rFonts w:hint="eastAsia" w:ascii="宋体" w:hAnsi="宋体" w:eastAsia="宋体" w:cs="宋体"/>
          <w:b/>
          <w:bCs/>
          <w:color w:val="auto"/>
          <w:kern w:val="44"/>
          <w:sz w:val="21"/>
          <w:szCs w:val="21"/>
          <w:highlight w:val="none"/>
          <w:lang w:val="zh-CN"/>
        </w:rPr>
        <w:t>四、响应文件的递交</w:t>
      </w:r>
      <w:bookmarkEnd w:id="109"/>
      <w:bookmarkEnd w:id="110"/>
      <w:bookmarkEnd w:id="111"/>
      <w:bookmarkEnd w:id="112"/>
      <w:bookmarkEnd w:id="113"/>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114" w:name="_Toc1076"/>
      <w:bookmarkStart w:id="115" w:name="_Toc14948"/>
      <w:bookmarkStart w:id="116" w:name="_Toc450662868"/>
      <w:bookmarkStart w:id="117" w:name="_Toc521918086"/>
      <w:bookmarkStart w:id="118" w:name="_Toc22938"/>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响应文件的密封和标记</w:t>
      </w:r>
      <w:bookmarkEnd w:id="114"/>
      <w:bookmarkEnd w:id="115"/>
      <w:bookmarkEnd w:id="116"/>
      <w:bookmarkEnd w:id="117"/>
      <w:bookmarkEnd w:id="118"/>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供应商应将所有正本和副本响应文件（本处不含响应文件电子文件）一起密封在不透明的外层封装中。</w:t>
      </w:r>
    </w:p>
    <w:p>
      <w:pPr>
        <w:keepNext w:val="0"/>
        <w:keepLines w:val="0"/>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 xml:space="preserve">2 </w:t>
      </w:r>
      <w:r>
        <w:rPr>
          <w:rFonts w:hint="eastAsia" w:ascii="宋体" w:hAnsi="宋体" w:eastAsia="宋体" w:cs="宋体"/>
          <w:color w:val="auto"/>
          <w:kern w:val="2"/>
          <w:sz w:val="21"/>
          <w:szCs w:val="21"/>
          <w:highlight w:val="none"/>
          <w:lang w:val="zh-CN"/>
        </w:rPr>
        <w:t>响应文件密封封装标记：</w:t>
      </w:r>
    </w:p>
    <w:p>
      <w:pPr>
        <w:keepNext w:val="0"/>
        <w:keepLines w:val="0"/>
        <w:pageBreakBefore w:val="0"/>
        <w:widowControl w:val="0"/>
        <w:kinsoku/>
        <w:wordWrap/>
        <w:overflowPunct/>
        <w:topLinePunct w:val="0"/>
        <w:autoSpaceDE w:val="0"/>
        <w:autoSpaceDN w:val="0"/>
        <w:bidi w:val="0"/>
        <w:adjustRightInd w:val="0"/>
        <w:snapToGrid/>
        <w:spacing w:line="360" w:lineRule="auto"/>
        <w:ind w:left="563" w:right="141"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）外层密封封装表面应正确注明项目名称、</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编号、</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名称、并注明</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文件递交截止时间之前不得开封（在封口位置的封条上标注注明），封口位置的封条上须加盖</w:t>
      </w:r>
      <w:r>
        <w:rPr>
          <w:rFonts w:hint="eastAsia" w:ascii="宋体" w:hAnsi="宋体" w:cs="宋体"/>
          <w:color w:val="auto"/>
          <w:kern w:val="2"/>
          <w:sz w:val="21"/>
          <w:szCs w:val="21"/>
          <w:highlight w:val="none"/>
          <w:lang w:val="en-US" w:eastAsia="zh-CN"/>
        </w:rPr>
        <w:t>供应商公章</w:t>
      </w:r>
      <w:r>
        <w:rPr>
          <w:rFonts w:hint="eastAsia" w:ascii="宋体" w:hAnsi="宋体" w:eastAsia="宋体" w:cs="宋体"/>
          <w:color w:val="auto"/>
          <w:kern w:val="2"/>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563" w:right="3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）响应文件已密封但不按前述标志封包，由此而引起的提前开封或错放责任由供应商承担；</w:t>
      </w:r>
    </w:p>
    <w:p>
      <w:pPr>
        <w:keepNext w:val="0"/>
        <w:keepLines w:val="0"/>
        <w:pageBreakBefore w:val="0"/>
        <w:widowControl w:val="0"/>
        <w:kinsoku/>
        <w:wordWrap/>
        <w:overflowPunct/>
        <w:topLinePunct w:val="0"/>
        <w:autoSpaceDE w:val="0"/>
        <w:autoSpaceDN w:val="0"/>
        <w:bidi w:val="0"/>
        <w:adjustRightInd w:val="0"/>
        <w:snapToGrid/>
        <w:spacing w:line="360" w:lineRule="auto"/>
        <w:ind w:left="563" w:right="3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（3）不足以造成</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文件可以从外包装内散出而导致</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文件泄密的，不认定为</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文件未密封。</w:t>
      </w:r>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 xml:space="preserve">3 </w:t>
      </w:r>
      <w:r>
        <w:rPr>
          <w:rFonts w:hint="eastAsia" w:ascii="宋体" w:hAnsi="宋体" w:eastAsia="宋体" w:cs="宋体"/>
          <w:b/>
          <w:bCs/>
          <w:color w:val="auto"/>
          <w:kern w:val="2"/>
          <w:sz w:val="21"/>
          <w:szCs w:val="21"/>
          <w:highlight w:val="none"/>
          <w:lang w:val="zh-CN"/>
        </w:rPr>
        <w:t>如果密封封装未按本款规定密封和标记，采购代理机构对响应文件的误投或提前拆封不负责任。对由此造成提前开封的响应文件，采购代理机构予以拒绝，并退回供应商。</w:t>
      </w:r>
    </w:p>
    <w:p>
      <w:pPr>
        <w:keepNext w:val="0"/>
        <w:keepLines w:val="0"/>
        <w:pageBreakBefore w:val="0"/>
        <w:widowControl w:val="0"/>
        <w:kinsoku/>
        <w:wordWrap/>
        <w:overflowPunct/>
        <w:topLinePunct w:val="0"/>
        <w:autoSpaceDE w:val="0"/>
        <w:autoSpaceDN w:val="0"/>
        <w:bidi w:val="0"/>
        <w:adjustRightInd w:val="0"/>
        <w:snapToGrid/>
        <w:spacing w:line="360" w:lineRule="auto"/>
        <w:ind w:left="523" w:leftChars="-1"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开启响应文件</w:t>
      </w:r>
      <w:r>
        <w:rPr>
          <w:rFonts w:hint="eastAsia" w:ascii="宋体" w:hAnsi="宋体" w:eastAsia="宋体" w:cs="宋体"/>
          <w:color w:val="auto"/>
          <w:kern w:val="2"/>
          <w:sz w:val="21"/>
          <w:szCs w:val="21"/>
          <w:highlight w:val="none"/>
          <w:lang w:val="zh-CN"/>
        </w:rPr>
        <w:t>前，由供应商代表（第一位递交响应文件的供应商代表及主动自愿参与检查的供应商代表）和采购人代表将对所有的响应文件的密封性进行检查，并签署进行确认。</w:t>
      </w:r>
    </w:p>
    <w:p>
      <w:pPr>
        <w:keepNext w:val="0"/>
        <w:keepLines w:val="0"/>
        <w:pageBreakBefore w:val="0"/>
        <w:widowControl w:val="0"/>
        <w:kinsoku/>
        <w:wordWrap/>
        <w:overflowPunct/>
        <w:topLinePunct w:val="0"/>
        <w:autoSpaceDE w:val="0"/>
        <w:autoSpaceDN w:val="0"/>
        <w:bidi w:val="0"/>
        <w:adjustRightInd w:val="0"/>
        <w:snapToGrid/>
        <w:spacing w:line="360" w:lineRule="auto"/>
        <w:ind w:left="523" w:leftChars="-1" w:right="18" w:hanging="525" w:hangingChars="250"/>
        <w:jc w:val="both"/>
        <w:textAlignment w:val="auto"/>
        <w:rPr>
          <w:rFonts w:hint="eastAsia" w:ascii="宋体" w:hAnsi="宋体" w:eastAsia="宋体" w:cs="宋体"/>
          <w:color w:val="auto"/>
          <w:kern w:val="2"/>
          <w:sz w:val="21"/>
          <w:szCs w:val="21"/>
          <w:highlight w:val="none"/>
          <w:lang w:val="zh-CN"/>
        </w:rPr>
      </w:pPr>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119" w:name="_Toc521918087"/>
      <w:bookmarkStart w:id="120" w:name="_Toc25494"/>
      <w:bookmarkStart w:id="121" w:name="_Toc450662869"/>
      <w:bookmarkStart w:id="122" w:name="_Toc16894"/>
      <w:bookmarkStart w:id="123" w:name="_Toc30493"/>
      <w:r>
        <w:rPr>
          <w:rFonts w:hint="eastAsia" w:ascii="宋体" w:hAnsi="宋体" w:eastAsia="宋体" w:cs="宋体"/>
          <w:color w:val="auto"/>
          <w:kern w:val="2"/>
          <w:sz w:val="21"/>
          <w:szCs w:val="21"/>
          <w:highlight w:val="none"/>
          <w:lang w:val="zh-CN"/>
        </w:rPr>
        <w:t>19</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递交响应文件的截止日期</w:t>
      </w:r>
      <w:bookmarkEnd w:id="119"/>
      <w:bookmarkEnd w:id="120"/>
      <w:bookmarkEnd w:id="121"/>
      <w:bookmarkEnd w:id="122"/>
      <w:bookmarkEnd w:id="123"/>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19.1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采购代理机构收到响应文件的时间不得迟于第一篇“竞争性磋商</w:t>
      </w:r>
      <w:r>
        <w:rPr>
          <w:rFonts w:hint="eastAsia" w:ascii="宋体" w:hAnsi="宋体" w:eastAsia="宋体" w:cs="宋体"/>
          <w:color w:val="auto"/>
          <w:kern w:val="2"/>
          <w:sz w:val="21"/>
          <w:szCs w:val="21"/>
          <w:highlight w:val="none"/>
          <w:lang w:val="en-US" w:eastAsia="zh-CN"/>
        </w:rPr>
        <w:t>公告</w:t>
      </w:r>
      <w:r>
        <w:rPr>
          <w:rFonts w:hint="eastAsia" w:ascii="宋体" w:hAnsi="宋体" w:eastAsia="宋体" w:cs="宋体"/>
          <w:color w:val="auto"/>
          <w:kern w:val="2"/>
          <w:sz w:val="21"/>
          <w:szCs w:val="21"/>
          <w:highlight w:val="none"/>
          <w:lang w:val="zh-CN"/>
        </w:rPr>
        <w:t>”中规定的截止时间。</w:t>
      </w:r>
    </w:p>
    <w:p>
      <w:pPr>
        <w:keepNext w:val="0"/>
        <w:keepLines w:val="0"/>
        <w:pageBreakBefore w:val="0"/>
        <w:widowControl w:val="0"/>
        <w:kinsoku/>
        <w:wordWrap/>
        <w:overflowPunct/>
        <w:topLinePunct w:val="0"/>
        <w:autoSpaceDE w:val="0"/>
        <w:autoSpaceDN w:val="0"/>
        <w:bidi w:val="0"/>
        <w:adjustRightInd w:val="0"/>
        <w:snapToGrid/>
        <w:spacing w:line="360" w:lineRule="auto"/>
        <w:ind w:left="567"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19.2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采购代理机构可按照第7条的规定修改竞争性磋商文件并酌情延长递交响应文件的截止时间，因此，已规定的采购代理机构和供应商的一切权利和义务将按延期后的递交响应文件截止时间履行。</w:t>
      </w:r>
    </w:p>
    <w:p>
      <w:pPr>
        <w:spacing w:line="360" w:lineRule="auto"/>
        <w:ind w:left="567" w:hanging="567"/>
        <w:jc w:val="both"/>
        <w:rPr>
          <w:rFonts w:hint="eastAsia" w:ascii="宋体" w:hAnsi="宋体" w:eastAsia="宋体" w:cs="宋体"/>
          <w:color w:val="auto"/>
          <w:kern w:val="2"/>
          <w:sz w:val="21"/>
          <w:szCs w:val="21"/>
          <w:highlight w:val="none"/>
          <w:lang w:val="zh-CN"/>
        </w:rPr>
      </w:pPr>
    </w:p>
    <w:p>
      <w:pPr>
        <w:tabs>
          <w:tab w:val="left" w:pos="567"/>
        </w:tabs>
        <w:spacing w:line="360" w:lineRule="auto"/>
        <w:ind w:left="567" w:hanging="567"/>
        <w:jc w:val="both"/>
        <w:outlineLvl w:val="2"/>
        <w:rPr>
          <w:rFonts w:hint="eastAsia" w:ascii="宋体" w:hAnsi="宋体" w:eastAsia="宋体" w:cs="宋体"/>
          <w:color w:val="auto"/>
          <w:highlight w:val="none"/>
        </w:rPr>
      </w:pPr>
      <w:bookmarkStart w:id="124" w:name="_Toc521918088"/>
      <w:bookmarkStart w:id="125" w:name="_Toc450662870"/>
      <w:bookmarkStart w:id="126" w:name="_Toc32623"/>
      <w:bookmarkStart w:id="127" w:name="_Toc12638"/>
      <w:bookmarkStart w:id="128" w:name="_Toc13012"/>
      <w:r>
        <w:rPr>
          <w:rFonts w:hint="eastAsia" w:ascii="宋体" w:hAnsi="宋体" w:eastAsia="宋体" w:cs="宋体"/>
          <w:color w:val="auto"/>
          <w:kern w:val="2"/>
          <w:sz w:val="21"/>
          <w:szCs w:val="21"/>
          <w:highlight w:val="none"/>
          <w:lang w:val="zh-CN"/>
        </w:rPr>
        <w:t>20</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迟交的</w:t>
      </w:r>
      <w:bookmarkEnd w:id="124"/>
      <w:bookmarkEnd w:id="125"/>
      <w:r>
        <w:rPr>
          <w:rFonts w:hint="eastAsia" w:ascii="宋体" w:hAnsi="宋体" w:eastAsia="宋体" w:cs="宋体"/>
          <w:color w:val="auto"/>
          <w:kern w:val="2"/>
          <w:sz w:val="21"/>
          <w:szCs w:val="21"/>
          <w:highlight w:val="none"/>
          <w:lang w:val="zh-CN"/>
        </w:rPr>
        <w:t>响应文件</w:t>
      </w:r>
      <w:bookmarkEnd w:id="126"/>
      <w:bookmarkEnd w:id="127"/>
      <w:bookmarkEnd w:id="128"/>
    </w:p>
    <w:p>
      <w:pPr>
        <w:spacing w:line="360" w:lineRule="auto"/>
        <w:ind w:firstLine="525" w:firstLine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根据第19条规定，采购代理机构将拒绝任何晚于递交响应文件的截止时间交到的响应文件。</w:t>
      </w:r>
    </w:p>
    <w:p>
      <w:pPr>
        <w:spacing w:line="360" w:lineRule="auto"/>
        <w:ind w:firstLine="525" w:firstLineChars="250"/>
        <w:jc w:val="both"/>
        <w:rPr>
          <w:rFonts w:hint="eastAsia" w:ascii="宋体" w:hAnsi="宋体" w:eastAsia="宋体" w:cs="宋体"/>
          <w:color w:val="auto"/>
          <w:kern w:val="2"/>
          <w:sz w:val="21"/>
          <w:szCs w:val="21"/>
          <w:highlight w:val="none"/>
          <w:lang w:val="zh-CN"/>
        </w:rPr>
      </w:pPr>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29" w:name="_Toc159"/>
      <w:bookmarkStart w:id="130" w:name="_Toc450662871"/>
      <w:bookmarkStart w:id="131" w:name="_Toc30118"/>
      <w:bookmarkStart w:id="132" w:name="_Toc26647"/>
      <w:bookmarkStart w:id="133" w:name="_Toc521918089"/>
      <w:r>
        <w:rPr>
          <w:rFonts w:hint="eastAsia" w:ascii="宋体" w:hAnsi="宋体" w:eastAsia="宋体" w:cs="宋体"/>
          <w:color w:val="auto"/>
          <w:kern w:val="2"/>
          <w:sz w:val="21"/>
          <w:szCs w:val="21"/>
          <w:highlight w:val="none"/>
          <w:lang w:val="zh-CN"/>
        </w:rPr>
        <w:t>21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响应文件的修改和撤回</w:t>
      </w:r>
      <w:bookmarkEnd w:id="129"/>
      <w:bookmarkEnd w:id="130"/>
      <w:bookmarkEnd w:id="131"/>
      <w:bookmarkEnd w:id="132"/>
      <w:bookmarkEnd w:id="133"/>
    </w:p>
    <w:p>
      <w:pPr>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供应商在提交响应文件后可对其响应文件进行修改或撤回，但采购代理机构须在提交响应文件截止日期前收到该修改或撤回的书面通知。</w:t>
      </w:r>
    </w:p>
    <w:p>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供应商对响应文件的修改或撤回的通知应按第17条和第18条规定进行准备、密封、标注和递送。</w:t>
      </w:r>
    </w:p>
    <w:p>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递交响应文件截止时间后不得修改响应文件。</w:t>
      </w:r>
    </w:p>
    <w:p>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供应商不得在递交响应文件截止时间起至第16条规定的响应文件有效期期满前撤销响应文件</w:t>
      </w:r>
      <w:r>
        <w:rPr>
          <w:rFonts w:hint="eastAsia" w:ascii="宋体" w:hAnsi="宋体" w:eastAsia="宋体" w:cs="宋体"/>
          <w:color w:val="auto"/>
          <w:sz w:val="21"/>
          <w:szCs w:val="21"/>
          <w:highlight w:val="none"/>
        </w:rPr>
        <w:t>。</w:t>
      </w:r>
    </w:p>
    <w:p>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p>
    <w:p>
      <w:pPr>
        <w:pStyle w:val="3"/>
        <w:keepNext/>
        <w:keepLines/>
        <w:pageBreakBefore w:val="0"/>
        <w:widowControl w:val="0"/>
        <w:tabs>
          <w:tab w:val="left" w:pos="567"/>
        </w:tabs>
        <w:kinsoku/>
        <w:wordWrap/>
        <w:overflowPunct/>
        <w:topLinePunct w:val="0"/>
        <w:autoSpaceDE w:val="0"/>
        <w:autoSpaceDN w:val="0"/>
        <w:bidi w:val="0"/>
        <w:adjustRightInd w:val="0"/>
        <w:snapToGrid/>
        <w:spacing w:line="360" w:lineRule="auto"/>
        <w:jc w:val="both"/>
        <w:textAlignment w:val="auto"/>
        <w:outlineLvl w:val="1"/>
        <w:rPr>
          <w:rFonts w:hint="eastAsia" w:ascii="宋体" w:hAnsi="宋体" w:eastAsia="宋体" w:cs="宋体"/>
          <w:b/>
          <w:bCs/>
          <w:color w:val="auto"/>
          <w:kern w:val="44"/>
          <w:sz w:val="21"/>
          <w:szCs w:val="21"/>
          <w:highlight w:val="none"/>
          <w:lang w:val="en-US" w:eastAsia="zh-CN"/>
        </w:rPr>
      </w:pPr>
      <w:bookmarkStart w:id="134" w:name="_Toc450662872"/>
      <w:bookmarkStart w:id="135" w:name="_Toc521918090"/>
      <w:bookmarkStart w:id="136" w:name="_Toc27395"/>
      <w:bookmarkStart w:id="137" w:name="_Toc29030"/>
      <w:bookmarkStart w:id="138" w:name="_Toc31926"/>
      <w:r>
        <w:rPr>
          <w:rFonts w:hint="eastAsia" w:ascii="宋体" w:hAnsi="宋体" w:eastAsia="宋体" w:cs="宋体"/>
          <w:b/>
          <w:bCs/>
          <w:color w:val="auto"/>
          <w:kern w:val="44"/>
          <w:sz w:val="21"/>
          <w:szCs w:val="21"/>
          <w:highlight w:val="none"/>
          <w:lang w:val="zh-CN"/>
        </w:rPr>
        <w:t>五、</w:t>
      </w:r>
      <w:bookmarkEnd w:id="134"/>
      <w:bookmarkEnd w:id="135"/>
      <w:r>
        <w:rPr>
          <w:rFonts w:hint="eastAsia" w:ascii="宋体" w:hAnsi="宋体" w:eastAsia="宋体" w:cs="宋体"/>
          <w:b/>
          <w:bCs/>
          <w:color w:val="auto"/>
          <w:kern w:val="44"/>
          <w:sz w:val="21"/>
          <w:szCs w:val="21"/>
          <w:highlight w:val="none"/>
          <w:lang w:val="en-US" w:eastAsia="zh-CN"/>
        </w:rPr>
        <w:t>竞争性磋商流程</w:t>
      </w:r>
      <w:bookmarkEnd w:id="136"/>
      <w:bookmarkEnd w:id="137"/>
      <w:bookmarkEnd w:id="138"/>
    </w:p>
    <w:p>
      <w:pPr>
        <w:tabs>
          <w:tab w:val="left" w:pos="567"/>
        </w:tabs>
        <w:spacing w:line="360" w:lineRule="auto"/>
        <w:ind w:left="567" w:hanging="567"/>
        <w:jc w:val="both"/>
        <w:outlineLvl w:val="2"/>
        <w:rPr>
          <w:rFonts w:hint="default" w:ascii="宋体" w:hAnsi="宋体" w:eastAsia="宋体" w:cs="宋体"/>
          <w:color w:val="auto"/>
          <w:kern w:val="2"/>
          <w:sz w:val="21"/>
          <w:szCs w:val="21"/>
          <w:highlight w:val="none"/>
          <w:lang w:val="en-US" w:eastAsia="zh-CN"/>
        </w:rPr>
      </w:pPr>
      <w:bookmarkStart w:id="139" w:name="_Toc6343"/>
      <w:bookmarkStart w:id="140" w:name="_Toc25843"/>
      <w:bookmarkStart w:id="141" w:name="_Toc23948"/>
      <w:bookmarkStart w:id="142" w:name="_Toc11614"/>
      <w:bookmarkStart w:id="143" w:name="_Toc17049"/>
      <w:r>
        <w:rPr>
          <w:rFonts w:hint="eastAsia" w:ascii="宋体" w:hAnsi="宋体" w:eastAsia="宋体" w:cs="宋体"/>
          <w:color w:val="auto"/>
          <w:kern w:val="2"/>
          <w:sz w:val="21"/>
          <w:szCs w:val="21"/>
          <w:highlight w:val="none"/>
          <w:lang w:val="zh-CN"/>
        </w:rPr>
        <w:t>22</w:t>
      </w:r>
      <w:r>
        <w:rPr>
          <w:rFonts w:hint="eastAsia" w:ascii="宋体" w:hAnsi="宋体" w:eastAsia="宋体" w:cs="宋体"/>
          <w:color w:val="auto"/>
          <w:kern w:val="2"/>
          <w:sz w:val="21"/>
          <w:szCs w:val="21"/>
          <w:highlight w:val="none"/>
          <w:lang w:val="en-US" w:eastAsia="zh-CN"/>
        </w:rPr>
        <w:t xml:space="preserve">   响应文件</w:t>
      </w:r>
      <w:bookmarkEnd w:id="139"/>
      <w:bookmarkEnd w:id="140"/>
      <w:bookmarkEnd w:id="141"/>
      <w:r>
        <w:rPr>
          <w:rFonts w:hint="eastAsia" w:ascii="宋体" w:hAnsi="宋体" w:cs="宋体"/>
          <w:color w:val="auto"/>
          <w:kern w:val="2"/>
          <w:sz w:val="21"/>
          <w:szCs w:val="21"/>
          <w:highlight w:val="none"/>
          <w:lang w:val="en-US" w:eastAsia="zh-CN"/>
        </w:rPr>
        <w:t>密封性检查</w:t>
      </w:r>
    </w:p>
    <w:p>
      <w:pPr>
        <w:tabs>
          <w:tab w:val="left" w:pos="142"/>
        </w:tabs>
        <w:spacing w:line="360" w:lineRule="auto"/>
        <w:ind w:left="532" w:hanging="53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en-US" w:eastAsia="zh-CN"/>
        </w:rPr>
        <w:t>采购代理机构在供应商代表自愿出席的情况下，在第一篇“竞争性磋商公告”规定的地点和时间</w:t>
      </w:r>
      <w:r>
        <w:rPr>
          <w:rFonts w:hint="eastAsia" w:ascii="宋体" w:hAnsi="宋体" w:cs="宋体"/>
          <w:color w:val="auto"/>
          <w:kern w:val="2"/>
          <w:sz w:val="21"/>
          <w:szCs w:val="21"/>
          <w:highlight w:val="none"/>
          <w:lang w:val="en-US" w:eastAsia="zh-CN"/>
        </w:rPr>
        <w:t>进行响应文件密封性检查</w:t>
      </w:r>
      <w:r>
        <w:rPr>
          <w:rFonts w:hint="eastAsia" w:ascii="宋体" w:hAnsi="宋体" w:eastAsia="宋体" w:cs="宋体"/>
          <w:color w:val="auto"/>
          <w:kern w:val="2"/>
          <w:sz w:val="21"/>
          <w:szCs w:val="21"/>
          <w:highlight w:val="none"/>
          <w:lang w:val="en-US" w:eastAsia="zh-CN"/>
        </w:rPr>
        <w:t>，出席代表需登记以示出席</w:t>
      </w:r>
      <w:r>
        <w:rPr>
          <w:rFonts w:hint="eastAsia" w:ascii="宋体" w:hAnsi="宋体" w:eastAsia="宋体" w:cs="宋体"/>
          <w:color w:val="auto"/>
          <w:kern w:val="2"/>
          <w:sz w:val="21"/>
          <w:szCs w:val="21"/>
          <w:highlight w:val="none"/>
          <w:lang w:val="zh-CN"/>
        </w:rPr>
        <w:t>。</w:t>
      </w:r>
    </w:p>
    <w:p>
      <w:pPr>
        <w:tabs>
          <w:tab w:val="left" w:pos="567"/>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144" w:name="_Toc16019"/>
      <w:bookmarkStart w:id="145" w:name="_Toc11996"/>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对</w:t>
      </w:r>
      <w:r>
        <w:rPr>
          <w:rFonts w:hint="eastAsia" w:ascii="宋体" w:hAnsi="宋体" w:cs="宋体"/>
          <w:color w:val="auto"/>
          <w:kern w:val="2"/>
          <w:sz w:val="21"/>
          <w:szCs w:val="21"/>
          <w:highlight w:val="none"/>
          <w:lang w:val="en-US" w:eastAsia="zh-CN"/>
        </w:rPr>
        <w:t>响应文件密封性检查</w:t>
      </w:r>
      <w:r>
        <w:rPr>
          <w:rFonts w:hint="eastAsia" w:ascii="宋体" w:hAnsi="宋体" w:eastAsia="宋体" w:cs="宋体"/>
          <w:color w:val="auto"/>
          <w:kern w:val="2"/>
          <w:sz w:val="21"/>
          <w:szCs w:val="21"/>
          <w:highlight w:val="none"/>
          <w:lang w:val="zh-CN"/>
        </w:rPr>
        <w:t>有异议的，应当在</w:t>
      </w:r>
      <w:r>
        <w:rPr>
          <w:rFonts w:hint="eastAsia" w:ascii="宋体" w:hAnsi="宋体" w:cs="宋体"/>
          <w:color w:val="auto"/>
          <w:kern w:val="2"/>
          <w:sz w:val="21"/>
          <w:szCs w:val="21"/>
          <w:highlight w:val="none"/>
          <w:lang w:val="en-US" w:eastAsia="zh-CN"/>
        </w:rPr>
        <w:t>密封性检查</w:t>
      </w:r>
      <w:r>
        <w:rPr>
          <w:rFonts w:hint="eastAsia" w:ascii="宋体" w:hAnsi="宋体" w:eastAsia="宋体" w:cs="宋体"/>
          <w:color w:val="auto"/>
          <w:kern w:val="2"/>
          <w:sz w:val="21"/>
          <w:szCs w:val="21"/>
          <w:highlight w:val="none"/>
          <w:lang w:val="zh-CN"/>
        </w:rPr>
        <w:t>现场提出，</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en-US" w:eastAsia="zh-CN"/>
        </w:rPr>
        <w:t>代理机构</w:t>
      </w:r>
      <w:r>
        <w:rPr>
          <w:rFonts w:hint="eastAsia" w:ascii="宋体" w:hAnsi="宋体" w:eastAsia="宋体" w:cs="宋体"/>
          <w:color w:val="auto"/>
          <w:kern w:val="2"/>
          <w:sz w:val="21"/>
          <w:szCs w:val="21"/>
          <w:highlight w:val="none"/>
          <w:lang w:val="zh-CN"/>
        </w:rPr>
        <w:t>应当当场作出答复，并制作记录。</w:t>
      </w:r>
      <w:bookmarkEnd w:id="144"/>
      <w:bookmarkEnd w:id="145"/>
    </w:p>
    <w:p>
      <w:pPr>
        <w:tabs>
          <w:tab w:val="left" w:pos="567"/>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146" w:name="_Toc20173"/>
      <w:bookmarkStart w:id="147" w:name="_Toc26343"/>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采购代理机构将做密封性检查记录，包括第22.2款发生的异议及答复的全部内容</w:t>
      </w:r>
      <w:r>
        <w:rPr>
          <w:rFonts w:hint="eastAsia" w:ascii="宋体" w:hAnsi="宋体" w:eastAsia="宋体" w:cs="宋体"/>
          <w:color w:val="auto"/>
          <w:kern w:val="2"/>
          <w:sz w:val="21"/>
          <w:szCs w:val="21"/>
          <w:highlight w:val="none"/>
          <w:lang w:val="zh-CN"/>
        </w:rPr>
        <w:t>。</w:t>
      </w:r>
      <w:bookmarkEnd w:id="146"/>
      <w:bookmarkEnd w:id="147"/>
    </w:p>
    <w:p>
      <w:pPr>
        <w:tabs>
          <w:tab w:val="left" w:pos="567"/>
        </w:tabs>
        <w:spacing w:line="360" w:lineRule="auto"/>
        <w:ind w:left="567" w:hanging="567"/>
        <w:jc w:val="both"/>
        <w:outlineLvl w:val="9"/>
        <w:rPr>
          <w:rFonts w:hint="eastAsia" w:ascii="宋体" w:hAnsi="宋体" w:eastAsia="宋体" w:cs="宋体"/>
          <w:color w:val="auto"/>
          <w:highlight w:val="none"/>
          <w:lang w:val="zh-CN"/>
        </w:rPr>
      </w:pPr>
    </w:p>
    <w:bookmarkEnd w:id="142"/>
    <w:bookmarkEnd w:id="143"/>
    <w:p>
      <w:pPr>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148" w:name="_Toc577"/>
      <w:bookmarkStart w:id="149" w:name="_Toc521918092"/>
      <w:bookmarkStart w:id="150" w:name="_Toc450662874"/>
      <w:bookmarkStart w:id="151" w:name="_Toc31634"/>
      <w:bookmarkStart w:id="152" w:name="_Toc9655"/>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 xml:space="preserve">3   </w:t>
      </w:r>
      <w:r>
        <w:rPr>
          <w:rFonts w:hint="eastAsia" w:ascii="宋体" w:hAnsi="宋体" w:cs="宋体"/>
          <w:color w:val="auto"/>
          <w:sz w:val="21"/>
          <w:highlight w:val="none"/>
          <w:lang w:val="en-US" w:eastAsia="zh-CN"/>
        </w:rPr>
        <w:t>磋商</w:t>
      </w:r>
      <w:r>
        <w:rPr>
          <w:rFonts w:hint="eastAsia" w:ascii="宋体" w:hAnsi="宋体" w:eastAsia="宋体" w:cs="宋体"/>
          <w:color w:val="auto"/>
          <w:sz w:val="21"/>
          <w:highlight w:val="none"/>
        </w:rPr>
        <w:t>过程的保密性</w:t>
      </w:r>
      <w:bookmarkEnd w:id="148"/>
      <w:bookmarkEnd w:id="149"/>
      <w:bookmarkEnd w:id="150"/>
      <w:bookmarkEnd w:id="151"/>
      <w:bookmarkEnd w:id="152"/>
    </w:p>
    <w:p>
      <w:pPr>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递交响应文件后，直至向成交人授予合同时止，凡与审查、澄清、</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评估和比较响应报价的有关资料以及意见等，均不得向供应商及与</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无关的其他人透露，否则追究有关当事人的法律责任。</w:t>
      </w:r>
    </w:p>
    <w:p>
      <w:pPr>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过程中，如果供应商试图在响应文件审查、澄清、</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比较及授予合同方面向采购代理机构和采购人施加任何影响，其响应文件将被拒绝。</w:t>
      </w:r>
    </w:p>
    <w:p>
      <w:pPr>
        <w:spacing w:line="360" w:lineRule="auto"/>
        <w:ind w:left="0" w:firstLine="0"/>
        <w:jc w:val="both"/>
        <w:rPr>
          <w:rFonts w:hint="eastAsia" w:ascii="宋体" w:hAnsi="宋体" w:eastAsia="宋体" w:cs="宋体"/>
          <w:color w:val="auto"/>
          <w:kern w:val="2"/>
          <w:sz w:val="21"/>
          <w:szCs w:val="21"/>
          <w:highlight w:val="none"/>
          <w:lang w:val="zh-CN"/>
        </w:rPr>
      </w:pPr>
    </w:p>
    <w:p>
      <w:pPr>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en-US" w:eastAsia="zh-CN"/>
        </w:rPr>
      </w:pPr>
      <w:bookmarkStart w:id="153" w:name="_Toc13008"/>
      <w:bookmarkStart w:id="154" w:name="_Toc10979"/>
      <w:bookmarkStart w:id="155" w:name="_Toc20141"/>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4   磋商小组</w:t>
      </w:r>
      <w:bookmarkEnd w:id="153"/>
      <w:bookmarkEnd w:id="154"/>
      <w:bookmarkEnd w:id="155"/>
    </w:p>
    <w:p>
      <w:pPr>
        <w:tabs>
          <w:tab w:val="left" w:pos="142"/>
        </w:tabs>
        <w:spacing w:line="360" w:lineRule="auto"/>
        <w:ind w:left="532" w:hanging="53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本项目由采购代理机构组建磋商小组。</w:t>
      </w:r>
    </w:p>
    <w:p>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磋商小组依法根据竞争性磋商文件的规定，进行响应文件的评审，得出评审结果，并向采购人推荐成交候选人。</w:t>
      </w:r>
    </w:p>
    <w:p>
      <w:pPr>
        <w:spacing w:line="360" w:lineRule="auto"/>
        <w:jc w:val="both"/>
        <w:rPr>
          <w:rFonts w:hint="eastAsia" w:ascii="宋体" w:hAnsi="宋体" w:eastAsia="宋体" w:cs="宋体"/>
          <w:color w:val="auto"/>
          <w:kern w:val="2"/>
          <w:sz w:val="21"/>
          <w:szCs w:val="21"/>
          <w:highlight w:val="none"/>
          <w:lang w:val="zh-CN"/>
        </w:rPr>
      </w:pPr>
    </w:p>
    <w:p>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en-US" w:eastAsia="zh-CN"/>
        </w:rPr>
      </w:pPr>
      <w:bookmarkStart w:id="156" w:name="_Toc32302"/>
      <w:bookmarkStart w:id="157" w:name="_Toc19174"/>
      <w:bookmarkStart w:id="158" w:name="_Toc28405"/>
      <w:bookmarkStart w:id="159" w:name="_Toc2470"/>
      <w:bookmarkStart w:id="160" w:name="_Toc28048"/>
      <w:bookmarkStart w:id="161" w:name="_Toc521918094"/>
      <w:bookmarkStart w:id="162" w:name="_Toc450662876"/>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 xml:space="preserve">5   </w:t>
      </w:r>
      <w:r>
        <w:rPr>
          <w:rFonts w:hint="eastAsia" w:ascii="宋体" w:hAnsi="宋体" w:eastAsia="宋体" w:cs="宋体"/>
          <w:color w:val="auto"/>
          <w:kern w:val="2"/>
          <w:sz w:val="21"/>
          <w:szCs w:val="21"/>
          <w:highlight w:val="none"/>
          <w:lang w:val="zh-CN"/>
        </w:rPr>
        <w:t>响应文件的评审</w:t>
      </w:r>
      <w:bookmarkEnd w:id="156"/>
      <w:bookmarkEnd w:id="157"/>
      <w:bookmarkEnd w:id="158"/>
      <w:bookmarkEnd w:id="159"/>
      <w:bookmarkEnd w:id="160"/>
    </w:p>
    <w:p>
      <w:pPr>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.1 磋商小组根据</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须知规定的方法和“评审工作大纲”中规定的审查标准，对所有已接收的响应文件进行评审。没有规定的方法和标准不得作为评审依据。</w:t>
      </w:r>
    </w:p>
    <w:p>
      <w:pPr>
        <w:spacing w:line="360" w:lineRule="auto"/>
        <w:ind w:left="525" w:hanging="525" w:hangingChars="250"/>
        <w:jc w:val="both"/>
        <w:rPr>
          <w:rFonts w:hint="eastAsia" w:ascii="宋体" w:hAnsi="宋体" w:eastAsia="宋体" w:cs="宋体"/>
          <w:color w:val="auto"/>
          <w:kern w:val="2"/>
          <w:sz w:val="21"/>
          <w:szCs w:val="21"/>
          <w:highlight w:val="none"/>
          <w:lang w:val="zh-CN"/>
        </w:rPr>
      </w:pPr>
    </w:p>
    <w:p>
      <w:pPr>
        <w:tabs>
          <w:tab w:val="left" w:pos="525"/>
        </w:tabs>
        <w:spacing w:line="360" w:lineRule="auto"/>
        <w:ind w:left="567" w:hanging="567" w:firstLineChars="0"/>
        <w:jc w:val="both"/>
        <w:outlineLvl w:val="2"/>
        <w:rPr>
          <w:rFonts w:hint="eastAsia" w:ascii="宋体" w:hAnsi="宋体" w:eastAsia="宋体" w:cs="宋体"/>
          <w:color w:val="auto"/>
          <w:kern w:val="2"/>
          <w:sz w:val="21"/>
          <w:szCs w:val="21"/>
          <w:highlight w:val="none"/>
          <w:lang w:val="zh-CN" w:eastAsia="zh-CN"/>
        </w:rPr>
      </w:pPr>
      <w:bookmarkStart w:id="163" w:name="_Toc23385"/>
      <w:bookmarkStart w:id="164" w:name="_Toc32154"/>
      <w:bookmarkStart w:id="165" w:name="_Toc19605"/>
      <w:r>
        <w:rPr>
          <w:rFonts w:hint="eastAsia" w:ascii="宋体" w:hAnsi="宋体" w:eastAsia="宋体" w:cs="宋体"/>
          <w:color w:val="auto"/>
          <w:kern w:val="2"/>
          <w:sz w:val="21"/>
          <w:szCs w:val="21"/>
          <w:highlight w:val="none"/>
          <w:lang w:val="zh-CN" w:eastAsia="zh-CN"/>
        </w:rPr>
        <w:t>26   响应文件的澄清</w:t>
      </w:r>
      <w:bookmarkEnd w:id="163"/>
      <w:bookmarkEnd w:id="164"/>
      <w:bookmarkEnd w:id="165"/>
    </w:p>
    <w:p>
      <w:pPr>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 xml:space="preserve"> 对响应文件中含义不明确、同类问题表述不一致或者有明显文字和计算错误的内容，磋商小组可以书面形式（应当由磋商小组专家签字）要求供应商作出必要的澄清、说明或者纠正。供应商的澄清、说明或者补正应当采用书面形式，由其授权的代表签字，并不得超出响应文件的范围或者改变响应文件的实质性内容。</w:t>
      </w:r>
    </w:p>
    <w:p>
      <w:pPr>
        <w:autoSpaceDE/>
        <w:autoSpaceDN/>
        <w:adjustRightInd/>
        <w:spacing w:line="360" w:lineRule="auto"/>
        <w:ind w:left="525" w:leftChars="0" w:right="0" w:rightChars="0" w:hanging="525" w:hangingChars="250"/>
        <w:jc w:val="both"/>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zh-CN"/>
        </w:rPr>
        <w:t xml:space="preserve">26.2 </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eastAsia="zh-CN"/>
        </w:rPr>
        <w:t>当天</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法定代表人/</w:t>
      </w:r>
      <w:r>
        <w:rPr>
          <w:rFonts w:hint="eastAsia" w:ascii="宋体" w:hAnsi="宋体" w:cs="宋体"/>
          <w:color w:val="auto"/>
          <w:kern w:val="2"/>
          <w:sz w:val="21"/>
          <w:szCs w:val="21"/>
          <w:highlight w:val="none"/>
          <w:lang w:val="zh-CN"/>
        </w:rPr>
        <w:t>执行事务合伙人</w:t>
      </w:r>
      <w:r>
        <w:rPr>
          <w:rFonts w:hint="eastAsia" w:ascii="宋体" w:hAnsi="宋体" w:eastAsia="宋体" w:cs="宋体"/>
          <w:color w:val="auto"/>
          <w:kern w:val="2"/>
          <w:sz w:val="21"/>
          <w:szCs w:val="21"/>
          <w:highlight w:val="none"/>
          <w:lang w:val="zh-CN"/>
        </w:rPr>
        <w:t>或法定代表人/</w:t>
      </w:r>
      <w:r>
        <w:rPr>
          <w:rFonts w:hint="eastAsia" w:ascii="宋体" w:hAnsi="宋体" w:cs="宋体"/>
          <w:color w:val="auto"/>
          <w:kern w:val="2"/>
          <w:sz w:val="21"/>
          <w:szCs w:val="21"/>
          <w:highlight w:val="none"/>
          <w:lang w:val="zh-CN"/>
        </w:rPr>
        <w:t>执行事务合伙人</w:t>
      </w:r>
      <w:r>
        <w:rPr>
          <w:rFonts w:hint="eastAsia" w:ascii="宋体" w:hAnsi="宋体" w:eastAsia="宋体" w:cs="宋体"/>
          <w:color w:val="auto"/>
          <w:kern w:val="2"/>
          <w:sz w:val="21"/>
          <w:szCs w:val="21"/>
          <w:highlight w:val="none"/>
          <w:lang w:val="zh-CN"/>
        </w:rPr>
        <w:t>授权书列明的被授权人的联系电话应保持开机状态，以便在</w:t>
      </w:r>
      <w:r>
        <w:rPr>
          <w:rFonts w:hint="eastAsia" w:ascii="宋体" w:hAnsi="宋体" w:eastAsia="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期间，</w:t>
      </w:r>
      <w:r>
        <w:rPr>
          <w:rFonts w:hint="eastAsia" w:ascii="宋体" w:hAnsi="宋体" w:eastAsia="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要求</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文件进行澄清时能够收到有关通知，否则视为</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放弃澄清的权利，对</w:t>
      </w:r>
      <w:r>
        <w:rPr>
          <w:rFonts w:hint="eastAsia" w:ascii="宋体" w:hAnsi="宋体" w:eastAsia="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就该项内容的评审意见无异议。</w:t>
      </w:r>
    </w:p>
    <w:p>
      <w:pPr>
        <w:spacing w:line="360" w:lineRule="auto"/>
        <w:ind w:left="525" w:hanging="525" w:hangingChars="250"/>
        <w:jc w:val="both"/>
        <w:rPr>
          <w:rFonts w:hint="eastAsia" w:ascii="宋体" w:hAnsi="宋体" w:eastAsia="宋体" w:cs="宋体"/>
          <w:color w:val="auto"/>
          <w:kern w:val="2"/>
          <w:sz w:val="21"/>
          <w:szCs w:val="21"/>
          <w:highlight w:val="none"/>
          <w:lang w:val="zh-CN"/>
        </w:rPr>
      </w:pPr>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66" w:name="_Toc521918096"/>
      <w:bookmarkStart w:id="167" w:name="_Toc6970"/>
      <w:bookmarkStart w:id="168" w:name="_Toc10967"/>
      <w:bookmarkStart w:id="169" w:name="_Toc22065"/>
      <w:bookmarkStart w:id="170" w:name="_Toc27283"/>
      <w:bookmarkStart w:id="171" w:name="_Toc142508343"/>
      <w:bookmarkStart w:id="172" w:name="_Toc8293"/>
      <w:bookmarkStart w:id="173" w:name="_Toc522047355"/>
      <w:bookmarkStart w:id="174" w:name="_Toc18368_WPSOffice_Level3"/>
      <w:bookmarkStart w:id="175" w:name="_Toc2388"/>
      <w:r>
        <w:rPr>
          <w:rFonts w:hint="eastAsia" w:ascii="宋体" w:hAnsi="宋体" w:eastAsia="宋体" w:cs="宋体"/>
          <w:color w:val="auto"/>
          <w:kern w:val="2"/>
          <w:sz w:val="21"/>
          <w:szCs w:val="21"/>
          <w:highlight w:val="none"/>
          <w:lang w:val="zh-CN"/>
        </w:rPr>
        <w:t xml:space="preserve">27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文件的比较和评价</w:t>
      </w:r>
      <w:bookmarkEnd w:id="166"/>
      <w:bookmarkEnd w:id="167"/>
      <w:bookmarkEnd w:id="168"/>
      <w:bookmarkEnd w:id="169"/>
      <w:bookmarkEnd w:id="170"/>
      <w:bookmarkEnd w:id="171"/>
      <w:bookmarkEnd w:id="172"/>
      <w:bookmarkEnd w:id="173"/>
      <w:bookmarkEnd w:id="174"/>
      <w:bookmarkEnd w:id="175"/>
    </w:p>
    <w:p>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将对资格性检查和符合性检查合格的响应文件进行比较和评价，包括商务、技术和价格的详细评审。</w:t>
      </w:r>
    </w:p>
    <w:p>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27.2</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文件商务的评审详见</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工作大纲。</w:t>
      </w:r>
    </w:p>
    <w:p>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27.3</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文件技术的评审详见</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工作大纲。</w:t>
      </w:r>
    </w:p>
    <w:p>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27.4</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价格的评审详见</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工作大纲。</w:t>
      </w:r>
    </w:p>
    <w:p>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27.5</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本次评标的评分权重详见</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工作大纲。</w:t>
      </w:r>
    </w:p>
    <w:p>
      <w:pPr>
        <w:autoSpaceDE/>
        <w:autoSpaceDN/>
        <w:adjustRightInd/>
        <w:spacing w:line="360" w:lineRule="auto"/>
        <w:ind w:left="525" w:hanging="525" w:hangingChars="250"/>
        <w:jc w:val="both"/>
        <w:outlineLvl w:val="9"/>
        <w:rPr>
          <w:rFonts w:hint="eastAsia" w:ascii="宋体" w:hAnsi="宋体" w:eastAsia="宋体" w:cs="宋体"/>
          <w:color w:val="auto"/>
          <w:highlight w:val="none"/>
          <w:lang w:val="zh-CN"/>
        </w:rPr>
      </w:pPr>
      <w:r>
        <w:rPr>
          <w:rFonts w:hint="eastAsia" w:ascii="宋体" w:hAnsi="宋体" w:eastAsia="宋体" w:cs="宋体"/>
          <w:color w:val="auto"/>
          <w:kern w:val="2"/>
          <w:sz w:val="21"/>
          <w:szCs w:val="21"/>
          <w:highlight w:val="none"/>
          <w:lang w:val="zh-CN"/>
        </w:rPr>
        <w:t>27.6</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根据上述商务、技术及价格综合评价的权重分配计算出各</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的综合得分。</w:t>
      </w:r>
    </w:p>
    <w:p>
      <w:pPr>
        <w:outlineLvl w:val="9"/>
        <w:rPr>
          <w:rFonts w:hint="eastAsia" w:ascii="宋体" w:hAnsi="宋体" w:eastAsia="宋体" w:cs="宋体"/>
          <w:color w:val="auto"/>
          <w:highlight w:val="none"/>
          <w:lang w:val="zh-CN"/>
        </w:rPr>
      </w:pPr>
    </w:p>
    <w:bookmarkEnd w:id="161"/>
    <w:bookmarkEnd w:id="162"/>
    <w:p>
      <w:pPr>
        <w:pageBreakBefore w:val="0"/>
        <w:widowControl w:val="0"/>
        <w:tabs>
          <w:tab w:val="left" w:pos="525"/>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176" w:name="_Toc11407"/>
      <w:bookmarkStart w:id="177" w:name="_Toc27860"/>
      <w:bookmarkStart w:id="178" w:name="_Toc51642375"/>
      <w:bookmarkStart w:id="179" w:name="_Toc3810"/>
      <w:bookmarkStart w:id="180" w:name="_Toc521918097"/>
      <w:bookmarkStart w:id="181" w:name="_Toc450662879"/>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 xml:space="preserve">   评审原则及方法</w:t>
      </w:r>
      <w:bookmarkEnd w:id="176"/>
      <w:bookmarkEnd w:id="177"/>
      <w:bookmarkEnd w:id="178"/>
      <w:bookmarkEnd w:id="179"/>
    </w:p>
    <w:p>
      <w:pPr>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bookmarkStart w:id="182" w:name="_Toc56076579"/>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.1 磋商小组对所有响应文件的评审，都采用相同的程序和标准。</w:t>
      </w:r>
      <w:bookmarkEnd w:id="182"/>
    </w:p>
    <w:p>
      <w:pPr>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bookmarkStart w:id="183" w:name="_Toc56076580"/>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.2 评审严格按照竞争性磋商文件的要求和条件进行。</w:t>
      </w:r>
      <w:bookmarkEnd w:id="183"/>
    </w:p>
    <w:p>
      <w:pPr>
        <w:tabs>
          <w:tab w:val="left" w:pos="360"/>
        </w:tabs>
        <w:spacing w:line="360" w:lineRule="auto"/>
        <w:ind w:left="525" w:leftChars="0" w:right="51" w:hanging="525" w:hangingChars="250"/>
        <w:jc w:val="both"/>
        <w:rPr>
          <w:rFonts w:hint="eastAsia" w:ascii="宋体" w:hAnsi="宋体" w:eastAsia="宋体" w:cs="宋体"/>
          <w:color w:val="auto"/>
          <w:kern w:val="2"/>
          <w:sz w:val="21"/>
          <w:szCs w:val="21"/>
          <w:highlight w:val="none"/>
          <w:lang w:val="zh-CN"/>
        </w:rPr>
      </w:pPr>
      <w:bookmarkStart w:id="184" w:name="_Toc56076581"/>
      <w:r>
        <w:rPr>
          <w:rFonts w:hint="eastAsia" w:ascii="宋体" w:hAnsi="宋体" w:eastAsia="宋体" w:cs="宋体"/>
          <w:color w:val="auto"/>
          <w:kern w:val="2"/>
          <w:sz w:val="21"/>
          <w:szCs w:val="21"/>
          <w:highlight w:val="none"/>
          <w:lang w:val="zh-CN" w:eastAsia="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eastAsia="zh-CN"/>
        </w:rPr>
        <w:t xml:space="preserve">.3 </w:t>
      </w:r>
      <w:r>
        <w:rPr>
          <w:rFonts w:hint="eastAsia" w:ascii="宋体" w:hAnsi="宋体" w:eastAsia="宋体" w:cs="宋体"/>
          <w:color w:val="auto"/>
          <w:kern w:val="2"/>
          <w:sz w:val="21"/>
          <w:szCs w:val="21"/>
          <w:highlight w:val="none"/>
          <w:lang w:val="zh-CN"/>
        </w:rPr>
        <w:t>在评审时将根据第27条，采用综合评分法的评审方法，对所有实质响应性响应文件进行综合打分。</w:t>
      </w:r>
      <w:bookmarkEnd w:id="184"/>
    </w:p>
    <w:p>
      <w:pPr>
        <w:pageBreakBefore w:val="0"/>
        <w:widowControl w:val="0"/>
        <w:tabs>
          <w:tab w:val="left" w:pos="360"/>
        </w:tabs>
        <w:kinsoku/>
        <w:wordWrap/>
        <w:overflowPunct/>
        <w:topLinePunct w:val="0"/>
        <w:autoSpaceDE w:val="0"/>
        <w:autoSpaceDN w:val="0"/>
        <w:bidi w:val="0"/>
        <w:adjustRightInd w:val="0"/>
        <w:snapToGrid/>
        <w:spacing w:line="360" w:lineRule="auto"/>
        <w:ind w:left="540" w:right="51" w:hanging="525" w:hangingChars="25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 xml:space="preserve"> </w:t>
      </w:r>
      <w:r>
        <w:rPr>
          <w:rFonts w:hint="eastAsia" w:ascii="宋体" w:hAnsi="宋体" w:cs="宋体"/>
          <w:color w:val="auto"/>
          <w:kern w:val="2"/>
          <w:sz w:val="21"/>
          <w:szCs w:val="21"/>
          <w:highlight w:val="none"/>
          <w:lang w:val="en-US" w:eastAsia="zh-CN"/>
        </w:rPr>
        <w:t>若本次采购过程中有效响应供应商只有2家时，经磋商小组论证，竞争性磋商文件没有不合理条款、采购程序符合规定的，经采购人代表和作出实质性响应的供应商代表同意后，本竞争性磋商采购活动可以继续进行，若符合要求的供应商只有1家时，本次竞争性磋商失败。</w:t>
      </w:r>
    </w:p>
    <w:p>
      <w:pPr>
        <w:pageBreakBefore w:val="0"/>
        <w:widowControl w:val="0"/>
        <w:tabs>
          <w:tab w:val="left" w:pos="360"/>
        </w:tabs>
        <w:kinsoku/>
        <w:wordWrap/>
        <w:overflowPunct/>
        <w:topLinePunct w:val="0"/>
        <w:autoSpaceDE w:val="0"/>
        <w:autoSpaceDN w:val="0"/>
        <w:bidi w:val="0"/>
        <w:adjustRightInd w:val="0"/>
        <w:snapToGrid/>
        <w:spacing w:line="360" w:lineRule="auto"/>
        <w:ind w:left="540" w:right="51" w:hanging="600" w:hangingChars="250"/>
        <w:jc w:val="both"/>
        <w:textAlignment w:val="auto"/>
        <w:rPr>
          <w:rFonts w:hint="eastAsia" w:ascii="宋体" w:hAnsi="宋体" w:eastAsia="宋体" w:cs="宋体"/>
          <w:color w:val="auto"/>
          <w:highlight w:val="none"/>
          <w:lang w:val="zh-CN"/>
        </w:rPr>
      </w:pPr>
    </w:p>
    <w:p>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85" w:name="_Toc6080"/>
      <w:bookmarkStart w:id="186" w:name="_Toc18515"/>
      <w:bookmarkStart w:id="187" w:name="_Toc20234"/>
      <w:bookmarkStart w:id="188" w:name="_Toc51642376"/>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评</w:t>
      </w:r>
      <w:r>
        <w:rPr>
          <w:rFonts w:hint="eastAsia" w:ascii="宋体" w:hAnsi="宋体" w:cs="宋体"/>
          <w:color w:val="auto"/>
          <w:kern w:val="2"/>
          <w:sz w:val="21"/>
          <w:szCs w:val="21"/>
          <w:highlight w:val="none"/>
          <w:lang w:val="en-US" w:eastAsia="zh-CN"/>
        </w:rPr>
        <w:t>审</w:t>
      </w:r>
      <w:r>
        <w:rPr>
          <w:rFonts w:hint="eastAsia" w:ascii="宋体" w:hAnsi="宋体" w:eastAsia="宋体" w:cs="宋体"/>
          <w:color w:val="auto"/>
          <w:kern w:val="2"/>
          <w:sz w:val="21"/>
          <w:szCs w:val="21"/>
          <w:highlight w:val="none"/>
          <w:lang w:val="en-US" w:eastAsia="zh-CN"/>
        </w:rPr>
        <w:t>结果公示</w:t>
      </w:r>
      <w:r>
        <w:rPr>
          <w:rFonts w:hint="eastAsia" w:ascii="宋体" w:hAnsi="宋体" w:eastAsia="宋体" w:cs="宋体"/>
          <w:color w:val="auto"/>
          <w:kern w:val="2"/>
          <w:sz w:val="21"/>
          <w:szCs w:val="21"/>
          <w:highlight w:val="none"/>
          <w:lang w:val="zh-CN"/>
        </w:rPr>
        <w:t>及异议、投诉</w:t>
      </w:r>
      <w:bookmarkEnd w:id="185"/>
      <w:bookmarkEnd w:id="186"/>
      <w:bookmarkEnd w:id="187"/>
      <w:bookmarkEnd w:id="188"/>
    </w:p>
    <w:p>
      <w:pPr>
        <w:tabs>
          <w:tab w:val="left" w:pos="360"/>
        </w:tabs>
        <w:spacing w:line="360" w:lineRule="auto"/>
        <w:ind w:left="525" w:right="51" w:hanging="525" w:hangingChars="250"/>
        <w:jc w:val="both"/>
        <w:rPr>
          <w:rFonts w:hint="eastAsia" w:ascii="宋体" w:hAnsi="宋体" w:eastAsia="宋体" w:cs="宋体"/>
          <w:color w:val="auto"/>
          <w:kern w:val="2"/>
          <w:sz w:val="21"/>
          <w:szCs w:val="21"/>
          <w:highlight w:val="none"/>
          <w:lang w:val="zh-CN"/>
        </w:rPr>
      </w:pPr>
      <w:bookmarkStart w:id="189" w:name="_Toc56076583"/>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.1 采购代理机构在</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公告发布媒介公示</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候选人，公示期</w:t>
      </w:r>
      <w:r>
        <w:rPr>
          <w:rFonts w:hint="eastAsia" w:ascii="宋体" w:hAnsi="宋体" w:cs="宋体"/>
          <w:color w:val="auto"/>
          <w:kern w:val="2"/>
          <w:sz w:val="21"/>
          <w:szCs w:val="21"/>
          <w:highlight w:val="none"/>
          <w:lang w:val="en-US" w:eastAsia="zh-CN"/>
        </w:rPr>
        <w:t>为</w:t>
      </w:r>
      <w:r>
        <w:rPr>
          <w:rFonts w:hint="eastAsia" w:ascii="宋体" w:hAnsi="宋体" w:eastAsia="宋体" w:cs="宋体"/>
          <w:color w:val="auto"/>
          <w:kern w:val="2"/>
          <w:sz w:val="21"/>
          <w:szCs w:val="21"/>
          <w:highlight w:val="none"/>
          <w:lang w:val="zh-CN"/>
        </w:rPr>
        <w:t>3日（最后一日是节假日或公休日的，应顺延到节假日或公休日后第一个工作日）。供应商或者其他利害关系人对评</w:t>
      </w:r>
      <w:r>
        <w:rPr>
          <w:rFonts w:hint="eastAsia" w:ascii="宋体" w:hAnsi="宋体" w:cs="宋体"/>
          <w:color w:val="auto"/>
          <w:kern w:val="2"/>
          <w:sz w:val="21"/>
          <w:szCs w:val="21"/>
          <w:highlight w:val="none"/>
          <w:lang w:val="en-US" w:eastAsia="zh-CN"/>
        </w:rPr>
        <w:t>审</w:t>
      </w:r>
      <w:r>
        <w:rPr>
          <w:rFonts w:hint="eastAsia" w:ascii="宋体" w:hAnsi="宋体" w:eastAsia="宋体" w:cs="宋体"/>
          <w:color w:val="auto"/>
          <w:kern w:val="2"/>
          <w:sz w:val="21"/>
          <w:szCs w:val="21"/>
          <w:highlight w:val="none"/>
          <w:lang w:val="zh-CN"/>
        </w:rPr>
        <w:t>结果有异议的，应当在评</w:t>
      </w:r>
      <w:r>
        <w:rPr>
          <w:rFonts w:hint="eastAsia" w:ascii="宋体" w:hAnsi="宋体" w:cs="宋体"/>
          <w:color w:val="auto"/>
          <w:kern w:val="2"/>
          <w:sz w:val="21"/>
          <w:szCs w:val="21"/>
          <w:highlight w:val="none"/>
          <w:lang w:val="en-US" w:eastAsia="zh-CN"/>
        </w:rPr>
        <w:t>审</w:t>
      </w:r>
      <w:r>
        <w:rPr>
          <w:rFonts w:hint="eastAsia" w:ascii="宋体" w:hAnsi="宋体" w:eastAsia="宋体" w:cs="宋体"/>
          <w:color w:val="auto"/>
          <w:kern w:val="2"/>
          <w:sz w:val="21"/>
          <w:szCs w:val="21"/>
          <w:highlight w:val="none"/>
          <w:lang w:val="zh-CN"/>
        </w:rPr>
        <w:t>结果公示期间向</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代理机构以书面的形式提出，并将完整的异议书面材料原件送达</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代理机构，逾期则视为对评</w:t>
      </w:r>
      <w:r>
        <w:rPr>
          <w:rFonts w:hint="eastAsia" w:ascii="宋体" w:hAnsi="宋体" w:cs="宋体"/>
          <w:color w:val="auto"/>
          <w:kern w:val="2"/>
          <w:sz w:val="21"/>
          <w:szCs w:val="21"/>
          <w:highlight w:val="none"/>
          <w:lang w:val="en-US" w:eastAsia="zh-CN"/>
        </w:rPr>
        <w:t>审</w:t>
      </w:r>
      <w:r>
        <w:rPr>
          <w:rFonts w:hint="eastAsia" w:ascii="宋体" w:hAnsi="宋体" w:eastAsia="宋体" w:cs="宋体"/>
          <w:color w:val="auto"/>
          <w:kern w:val="2"/>
          <w:sz w:val="21"/>
          <w:szCs w:val="21"/>
          <w:highlight w:val="none"/>
          <w:lang w:val="zh-CN"/>
        </w:rPr>
        <w:t>结果无异议。超出提交异议截止时间而提出的任何疑问，</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代理机构可不予答复。</w:t>
      </w:r>
    </w:p>
    <w:p>
      <w:pPr>
        <w:tabs>
          <w:tab w:val="left" w:pos="360"/>
        </w:tabs>
        <w:autoSpaceDE/>
        <w:autoSpaceDN/>
        <w:spacing w:line="360" w:lineRule="auto"/>
        <w:ind w:left="480" w:leftChars="200" w:right="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代理机构将拒收未能提供完整异议书面材料的异议，完整的异议书面材料必须同时包含：异议书（加盖企业公章，并注明联系人、联系电话、联系地址）、授权提交异议的法定代表人/</w:t>
      </w:r>
      <w:r>
        <w:rPr>
          <w:rFonts w:hint="eastAsia" w:ascii="宋体" w:hAnsi="宋体" w:cs="宋体"/>
          <w:color w:val="auto"/>
          <w:kern w:val="2"/>
          <w:sz w:val="21"/>
          <w:szCs w:val="21"/>
          <w:highlight w:val="none"/>
          <w:lang w:val="zh-CN"/>
        </w:rPr>
        <w:t>执行事务合伙人</w:t>
      </w:r>
      <w:r>
        <w:rPr>
          <w:rFonts w:hint="eastAsia" w:ascii="宋体" w:hAnsi="宋体" w:eastAsia="宋体" w:cs="宋体"/>
          <w:color w:val="auto"/>
          <w:kern w:val="2"/>
          <w:sz w:val="21"/>
          <w:szCs w:val="21"/>
          <w:highlight w:val="none"/>
          <w:lang w:val="zh-CN"/>
        </w:rPr>
        <w:t>授权书原件、反映异议人主体资格的营业执照复印件（加盖企业公章）、以及合法来源的证据证明材料。</w:t>
      </w:r>
    </w:p>
    <w:p>
      <w:pPr>
        <w:tabs>
          <w:tab w:val="left" w:pos="360"/>
        </w:tabs>
        <w:autoSpaceDE/>
        <w:autoSpaceDN/>
        <w:spacing w:line="360" w:lineRule="auto"/>
        <w:ind w:left="0" w:right="22" w:rightChars="9" w:hanging="525" w:hangingChars="250"/>
        <w:jc w:val="both"/>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lang w:val="en-US" w:eastAsia="zh-CN"/>
        </w:rPr>
        <w:t>29</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u w:val="single"/>
          <w:lang w:val="zh-CN"/>
        </w:rPr>
        <w:tab/>
      </w:r>
      <w:r>
        <w:rPr>
          <w:rFonts w:hint="eastAsia" w:ascii="宋体" w:hAnsi="宋体" w:eastAsia="宋体" w:cs="宋体"/>
          <w:b/>
          <w:bCs/>
          <w:color w:val="auto"/>
          <w:kern w:val="2"/>
          <w:sz w:val="21"/>
          <w:szCs w:val="21"/>
          <w:highlight w:val="none"/>
          <w:u w:val="single"/>
          <w:lang w:val="zh-CN"/>
        </w:rPr>
        <w:t>结果公示后，</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有权要求</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候选人在结果公示之日起3日内提交</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文件中所提供的资格证明文件、业绩证明文件、对</w:t>
      </w:r>
      <w:r>
        <w:rPr>
          <w:rFonts w:hint="eastAsia" w:ascii="宋体" w:hAnsi="宋体" w:eastAsia="宋体" w:cs="宋体"/>
          <w:b/>
          <w:bCs/>
          <w:color w:val="auto"/>
          <w:kern w:val="2"/>
          <w:sz w:val="21"/>
          <w:szCs w:val="21"/>
          <w:highlight w:val="none"/>
          <w:u w:val="single"/>
          <w:lang w:val="en-US" w:eastAsia="zh-CN"/>
        </w:rPr>
        <w:t>竞争性磋商</w:t>
      </w:r>
      <w:r>
        <w:rPr>
          <w:rFonts w:hint="eastAsia" w:ascii="宋体" w:hAnsi="宋体" w:eastAsia="宋体" w:cs="宋体"/>
          <w:b/>
          <w:bCs/>
          <w:color w:val="auto"/>
          <w:kern w:val="2"/>
          <w:sz w:val="21"/>
          <w:szCs w:val="21"/>
          <w:highlight w:val="none"/>
          <w:u w:val="single"/>
          <w:lang w:val="zh-CN"/>
        </w:rPr>
        <w:t>文件实质性条款响应文件、履约能力证明文件的原件供</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核查。</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如有需要，</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候选人有义务提供</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文件外其他相关证明资料原件（包括但不限于业绩合同对应的发票等）供</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核查。</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如发现</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人提供虚假证明文件、虚假响应文件等弄虚作假行为骗取</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的，</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将取消其</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资格。涉嫌违法犯罪的，将移交司法机关处理</w:t>
      </w:r>
      <w:r>
        <w:rPr>
          <w:rFonts w:hint="eastAsia" w:ascii="宋体" w:hAnsi="宋体" w:eastAsia="宋体" w:cs="宋体"/>
          <w:b/>
          <w:bCs/>
          <w:color w:val="auto"/>
          <w:kern w:val="2"/>
          <w:sz w:val="21"/>
          <w:szCs w:val="21"/>
          <w:highlight w:val="none"/>
          <w:u w:val="none"/>
          <w:lang w:val="zh-CN"/>
        </w:rPr>
        <w:t>。</w:t>
      </w:r>
    </w:p>
    <w:p>
      <w:pPr>
        <w:autoSpaceDE/>
        <w:autoSpaceDN/>
        <w:adjustRightInd/>
        <w:snapToGrid/>
        <w:spacing w:line="360" w:lineRule="auto"/>
        <w:ind w:left="480" w:leftChars="200" w:firstLine="422" w:firstLineChars="200"/>
        <w:jc w:val="both"/>
        <w:rPr>
          <w:rFonts w:hint="eastAsia" w:ascii="宋体" w:hAnsi="宋体" w:eastAsia="宋体" w:cs="宋体"/>
          <w:b w:val="0"/>
          <w:color w:val="auto"/>
          <w:kern w:val="2"/>
          <w:sz w:val="21"/>
          <w:szCs w:val="21"/>
          <w:highlight w:val="none"/>
          <w:u w:val="single"/>
          <w:lang w:val="zh-CN"/>
        </w:rPr>
      </w:pPr>
      <w:r>
        <w:rPr>
          <w:rFonts w:hint="eastAsia" w:ascii="宋体" w:hAnsi="宋体" w:eastAsia="宋体" w:cs="宋体"/>
          <w:b/>
          <w:bCs/>
          <w:color w:val="auto"/>
          <w:kern w:val="2"/>
          <w:sz w:val="21"/>
          <w:szCs w:val="21"/>
          <w:highlight w:val="none"/>
          <w:u w:val="single"/>
          <w:lang w:val="zh-CN"/>
        </w:rPr>
        <w:t>当</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（或其委托的</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代理机构）向</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候选人发出提供上述</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文件或</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文件外其他相关（包括但不限于业绩合同对应的发票等）的证明资料原件进行核查的书面通知后，第一</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候选人未能在</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（或其委托的</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代理机构) 书面要求的时间(一般不少于三个工作日) 内提供完整的材料原件进行核查的，视为其无法提供真实的资料，</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有权取消其</w:t>
      </w:r>
      <w:r>
        <w:rPr>
          <w:rFonts w:hint="eastAsia" w:ascii="宋体" w:hAnsi="宋体" w:eastAsia="宋体" w:cs="宋体"/>
          <w:b/>
          <w:bCs/>
          <w:color w:val="auto"/>
          <w:kern w:val="2"/>
          <w:sz w:val="21"/>
          <w:szCs w:val="21"/>
          <w:highlight w:val="none"/>
          <w:u w:val="single"/>
          <w:lang w:val="en-US" w:eastAsia="zh-CN"/>
        </w:rPr>
        <w:t>成交候</w:t>
      </w:r>
      <w:r>
        <w:rPr>
          <w:rFonts w:hint="eastAsia" w:ascii="宋体" w:hAnsi="宋体" w:eastAsia="宋体" w:cs="宋体"/>
          <w:b/>
          <w:bCs/>
          <w:color w:val="auto"/>
          <w:kern w:val="2"/>
          <w:sz w:val="21"/>
          <w:szCs w:val="21"/>
          <w:highlight w:val="none"/>
          <w:u w:val="single"/>
          <w:lang w:val="zh-CN"/>
        </w:rPr>
        <w:t>选人资格</w:t>
      </w:r>
      <w:r>
        <w:rPr>
          <w:rFonts w:hint="eastAsia" w:ascii="宋体" w:hAnsi="宋体" w:eastAsia="宋体" w:cs="宋体"/>
          <w:b/>
          <w:bCs/>
          <w:color w:val="auto"/>
          <w:kern w:val="2"/>
          <w:sz w:val="21"/>
          <w:szCs w:val="21"/>
          <w:highlight w:val="none"/>
          <w:u w:val="none"/>
          <w:lang w:val="zh-CN"/>
        </w:rPr>
        <w:t>。</w:t>
      </w:r>
    </w:p>
    <w:bookmarkEnd w:id="180"/>
    <w:bookmarkEnd w:id="181"/>
    <w:bookmarkEnd w:id="189"/>
    <w:p>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 xml:space="preserve"> 供应商或者其他利害关系人认为采购活动不符合法律、行政法规规定的，可以自知道或者应当知道之日起10日内，按程序向采购人</w:t>
      </w:r>
      <w:r>
        <w:rPr>
          <w:rFonts w:hint="eastAsia" w:ascii="宋体" w:hAnsi="宋体" w:cs="宋体"/>
          <w:color w:val="auto"/>
          <w:sz w:val="21"/>
          <w:szCs w:val="21"/>
          <w:highlight w:val="none"/>
          <w:lang w:val="en-US" w:eastAsia="zh-CN"/>
        </w:rPr>
        <w:t>采购活动的监督部门</w:t>
      </w:r>
      <w:r>
        <w:rPr>
          <w:rFonts w:hint="eastAsia" w:ascii="宋体" w:hAnsi="宋体" w:eastAsia="宋体" w:cs="宋体"/>
          <w:color w:val="auto"/>
          <w:kern w:val="2"/>
          <w:sz w:val="21"/>
          <w:szCs w:val="21"/>
          <w:highlight w:val="none"/>
          <w:lang w:val="zh-CN"/>
        </w:rPr>
        <w:t>投诉。投诉应当提供</w:t>
      </w:r>
      <w:r>
        <w:rPr>
          <w:rFonts w:hint="eastAsia" w:ascii="宋体" w:hAnsi="宋体" w:eastAsia="宋体" w:cs="宋体"/>
          <w:color w:val="auto"/>
          <w:sz w:val="21"/>
          <w:szCs w:val="21"/>
          <w:highlight w:val="none"/>
          <w:lang w:val="zh-CN"/>
        </w:rPr>
        <w:t>有明确请求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kern w:val="2"/>
          <w:sz w:val="21"/>
          <w:szCs w:val="21"/>
          <w:highlight w:val="none"/>
          <w:lang w:val="zh-CN"/>
        </w:rPr>
        <w:t>纸质投诉书及必要的证明材料。投诉书应当包括下列内容：</w:t>
      </w:r>
    </w:p>
    <w:p>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（一）投诉人和被投诉人的姓名或者名称、通讯地址、邮编、联系人及联系电话；</w:t>
      </w:r>
    </w:p>
    <w:p>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（二）异议和异议答复情况说明及相关证明材料；</w:t>
      </w:r>
    </w:p>
    <w:p>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（三）具体、明确的投诉事项和与投诉事项相关的投诉请求；</w:t>
      </w:r>
    </w:p>
    <w:p>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（四）事实依据；</w:t>
      </w:r>
    </w:p>
    <w:p>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（五）法律依据；</w:t>
      </w:r>
    </w:p>
    <w:p>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（六）提起投诉的日期；</w:t>
      </w:r>
    </w:p>
    <w:p>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投诉人为法人或者其他组织的，应当由法定代表人/</w:t>
      </w:r>
      <w:r>
        <w:rPr>
          <w:rFonts w:hint="eastAsia" w:ascii="宋体" w:hAnsi="宋体" w:cs="宋体"/>
          <w:color w:val="auto"/>
          <w:kern w:val="2"/>
          <w:sz w:val="21"/>
          <w:szCs w:val="21"/>
          <w:highlight w:val="none"/>
          <w:lang w:val="zh-CN"/>
        </w:rPr>
        <w:t>执行事务合伙人</w:t>
      </w:r>
      <w:r>
        <w:rPr>
          <w:rFonts w:hint="eastAsia" w:ascii="宋体" w:hAnsi="宋体" w:eastAsia="宋体" w:cs="宋体"/>
          <w:color w:val="auto"/>
          <w:kern w:val="2"/>
          <w:sz w:val="21"/>
          <w:szCs w:val="21"/>
          <w:highlight w:val="none"/>
          <w:lang w:val="zh-CN"/>
        </w:rPr>
        <w:t>、主要负责人，或者其授权代表签字或者盖章，并加盖公章。</w:t>
      </w:r>
    </w:p>
    <w:p>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投诉人投诉的事项不得超出已</w:t>
      </w:r>
      <w:r>
        <w:rPr>
          <w:rFonts w:hint="eastAsia" w:ascii="宋体" w:hAnsi="宋体" w:cs="宋体"/>
          <w:color w:val="auto"/>
          <w:kern w:val="2"/>
          <w:sz w:val="21"/>
          <w:szCs w:val="21"/>
          <w:highlight w:val="none"/>
          <w:lang w:val="en-US" w:eastAsia="zh-CN"/>
        </w:rPr>
        <w:t>异议</w:t>
      </w:r>
      <w:r>
        <w:rPr>
          <w:rFonts w:hint="eastAsia" w:ascii="宋体" w:hAnsi="宋体" w:eastAsia="宋体" w:cs="宋体"/>
          <w:color w:val="auto"/>
          <w:kern w:val="2"/>
          <w:sz w:val="21"/>
          <w:szCs w:val="21"/>
          <w:highlight w:val="none"/>
          <w:lang w:val="zh-CN"/>
        </w:rPr>
        <w:t>事项的范围，但基于异议答复内容提出的投诉事项除外。</w:t>
      </w:r>
    </w:p>
    <w:p>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监督部门：东莞市水务集团有限公司，联系人：莫先生，联系电话：0769-28823251</w:t>
      </w:r>
      <w:r>
        <w:rPr>
          <w:rFonts w:hint="eastAsia" w:ascii="宋体" w:hAnsi="宋体" w:eastAsia="宋体" w:cs="宋体"/>
          <w:color w:val="auto"/>
          <w:kern w:val="2"/>
          <w:sz w:val="21"/>
          <w:szCs w:val="21"/>
          <w:highlight w:val="none"/>
          <w:lang w:val="zh-CN"/>
        </w:rPr>
        <w:t>。</w:t>
      </w:r>
    </w:p>
    <w:p>
      <w:pPr>
        <w:snapToGrid w:val="0"/>
        <w:spacing w:line="360" w:lineRule="auto"/>
        <w:ind w:left="529" w:hanging="529" w:hangingChars="252"/>
        <w:jc w:val="both"/>
        <w:rPr>
          <w:rFonts w:hint="eastAsia" w:ascii="宋体" w:hAnsi="宋体" w:eastAsia="宋体" w:cs="宋体"/>
          <w:color w:val="auto"/>
          <w:kern w:val="2"/>
          <w:sz w:val="21"/>
          <w:szCs w:val="21"/>
          <w:highlight w:val="none"/>
          <w:lang w:val="zh-CN"/>
        </w:rPr>
      </w:pPr>
    </w:p>
    <w:p>
      <w:pPr>
        <w:tabs>
          <w:tab w:val="left" w:pos="567"/>
        </w:tabs>
        <w:spacing w:line="360" w:lineRule="auto"/>
        <w:jc w:val="both"/>
        <w:outlineLvl w:val="2"/>
        <w:rPr>
          <w:rFonts w:hint="eastAsia" w:ascii="宋体" w:hAnsi="宋体" w:eastAsia="宋体" w:cs="宋体"/>
          <w:b/>
          <w:bCs/>
          <w:color w:val="auto"/>
          <w:kern w:val="2"/>
          <w:sz w:val="21"/>
          <w:szCs w:val="21"/>
          <w:highlight w:val="none"/>
          <w:lang w:val="zh-CN"/>
        </w:rPr>
      </w:pPr>
      <w:bookmarkStart w:id="190" w:name="_Toc466882018"/>
      <w:bookmarkStart w:id="191" w:name="_Toc521918099"/>
      <w:bookmarkStart w:id="192" w:name="_Toc20357"/>
      <w:bookmarkStart w:id="193" w:name="_Toc465358970"/>
      <w:bookmarkStart w:id="194" w:name="_Toc32173"/>
      <w:bookmarkStart w:id="195" w:name="_Toc6755"/>
      <w:r>
        <w:rPr>
          <w:rFonts w:hint="eastAsia" w:ascii="宋体" w:hAnsi="宋体" w:eastAsia="宋体" w:cs="宋体"/>
          <w:b/>
          <w:bCs/>
          <w:color w:val="auto"/>
          <w:kern w:val="2"/>
          <w:sz w:val="21"/>
          <w:szCs w:val="21"/>
          <w:highlight w:val="none"/>
          <w:lang w:val="en-US" w:eastAsia="zh-CN"/>
        </w:rPr>
        <w:t xml:space="preserve">30   </w:t>
      </w:r>
      <w:r>
        <w:rPr>
          <w:rFonts w:hint="eastAsia" w:ascii="宋体" w:hAnsi="宋体" w:eastAsia="宋体" w:cs="宋体"/>
          <w:b/>
          <w:bCs/>
          <w:color w:val="auto"/>
          <w:kern w:val="2"/>
          <w:sz w:val="21"/>
          <w:szCs w:val="21"/>
          <w:highlight w:val="none"/>
          <w:lang w:val="zh-CN"/>
        </w:rPr>
        <w:t>真实性审查</w:t>
      </w:r>
      <w:bookmarkEnd w:id="190"/>
      <w:bookmarkEnd w:id="191"/>
      <w:bookmarkEnd w:id="192"/>
      <w:bookmarkEnd w:id="193"/>
      <w:bookmarkEnd w:id="194"/>
      <w:bookmarkEnd w:id="195"/>
    </w:p>
    <w:p>
      <w:pPr>
        <w:snapToGrid w:val="0"/>
        <w:spacing w:line="360" w:lineRule="auto"/>
        <w:ind w:left="529" w:hanging="531" w:hangingChars="252"/>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30</w:t>
      </w:r>
      <w:r>
        <w:rPr>
          <w:rFonts w:hint="eastAsia" w:ascii="宋体" w:hAnsi="宋体" w:eastAsia="宋体" w:cs="宋体"/>
          <w:b/>
          <w:bCs/>
          <w:color w:val="auto"/>
          <w:kern w:val="2"/>
          <w:sz w:val="21"/>
          <w:szCs w:val="21"/>
          <w:highlight w:val="none"/>
          <w:lang w:val="zh-CN"/>
        </w:rPr>
        <w:t xml:space="preserve">.1 </w:t>
      </w:r>
      <w:r>
        <w:rPr>
          <w:rFonts w:hint="eastAsia" w:ascii="宋体" w:hAnsi="宋体" w:eastAsia="宋体" w:cs="宋体"/>
          <w:b/>
          <w:bCs/>
          <w:color w:val="auto"/>
          <w:kern w:val="2"/>
          <w:sz w:val="21"/>
          <w:szCs w:val="21"/>
          <w:highlight w:val="none"/>
          <w:u w:val="single"/>
          <w:lang w:val="zh-CN"/>
        </w:rPr>
        <w:t>在授予合同前，采购人（或其委托的采购代理机构）或磋商小组有权组织对供应商的真实性审查。包括对供应商资格证明文件、</w:t>
      </w:r>
      <w:r>
        <w:rPr>
          <w:rFonts w:hint="eastAsia" w:ascii="宋体" w:hAnsi="宋体" w:eastAsia="宋体" w:cs="宋体"/>
          <w:b/>
          <w:bCs/>
          <w:color w:val="auto"/>
          <w:kern w:val="2"/>
          <w:sz w:val="21"/>
          <w:szCs w:val="21"/>
          <w:highlight w:val="none"/>
          <w:u w:val="single"/>
        </w:rPr>
        <w:t>业绩证明资料</w:t>
      </w:r>
      <w:r>
        <w:rPr>
          <w:rFonts w:hint="eastAsia" w:ascii="宋体" w:hAnsi="宋体" w:eastAsia="宋体" w:cs="宋体"/>
          <w:b/>
          <w:bCs/>
          <w:color w:val="auto"/>
          <w:kern w:val="2"/>
          <w:sz w:val="21"/>
          <w:szCs w:val="21"/>
          <w:highlight w:val="none"/>
          <w:u w:val="single"/>
          <w:lang w:val="zh-CN"/>
        </w:rPr>
        <w:t>、对竞争性磋商文件实质性条款响应文件、履约能力证明文件的真实性进行核查。</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sz w:val="21"/>
          <w:szCs w:val="21"/>
          <w:highlight w:val="none"/>
          <w:u w:val="single"/>
          <w:lang w:val="zh-CN"/>
        </w:rPr>
        <w:t>如有需要，</w:t>
      </w:r>
      <w:r>
        <w:rPr>
          <w:rFonts w:hint="eastAsia" w:ascii="宋体" w:hAnsi="宋体" w:eastAsia="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有义务提供</w:t>
      </w:r>
      <w:r>
        <w:rPr>
          <w:rFonts w:hint="eastAsia" w:ascii="宋体" w:hAnsi="宋体" w:eastAsia="宋体" w:cs="宋体"/>
          <w:b/>
          <w:bCs/>
          <w:color w:val="auto"/>
          <w:sz w:val="21"/>
          <w:szCs w:val="21"/>
          <w:highlight w:val="none"/>
          <w:u w:val="single"/>
          <w:lang w:val="en-US" w:eastAsia="zh-CN"/>
        </w:rPr>
        <w:t>响应</w:t>
      </w:r>
      <w:r>
        <w:rPr>
          <w:rFonts w:hint="eastAsia" w:ascii="宋体" w:hAnsi="宋体" w:eastAsia="宋体" w:cs="宋体"/>
          <w:b/>
          <w:bCs/>
          <w:color w:val="auto"/>
          <w:sz w:val="21"/>
          <w:szCs w:val="21"/>
          <w:highlight w:val="none"/>
          <w:u w:val="single"/>
          <w:lang w:val="zh-CN"/>
        </w:rPr>
        <w:t>文件外其他相关证明资料原件（包括但不限于业绩合同对应的发票等）供</w:t>
      </w:r>
      <w:r>
        <w:rPr>
          <w:rFonts w:hint="eastAsia" w:ascii="宋体" w:hAnsi="宋体" w:eastAsia="宋体" w:cs="宋体"/>
          <w:b/>
          <w:bCs/>
          <w:color w:val="auto"/>
          <w:sz w:val="21"/>
          <w:szCs w:val="21"/>
          <w:highlight w:val="none"/>
          <w:u w:val="single"/>
          <w:lang w:val="en-US" w:eastAsia="zh-CN"/>
        </w:rPr>
        <w:t>采购人</w:t>
      </w:r>
      <w:r>
        <w:rPr>
          <w:rFonts w:hint="eastAsia" w:ascii="宋体" w:hAnsi="宋体" w:eastAsia="宋体" w:cs="宋体"/>
          <w:b/>
          <w:bCs/>
          <w:color w:val="auto"/>
          <w:sz w:val="21"/>
          <w:szCs w:val="21"/>
          <w:highlight w:val="none"/>
          <w:u w:val="single"/>
          <w:lang w:val="zh-CN"/>
        </w:rPr>
        <w:t>核查。</w:t>
      </w:r>
      <w:r>
        <w:rPr>
          <w:rFonts w:hint="eastAsia" w:ascii="宋体" w:hAnsi="宋体" w:eastAsia="宋体" w:cs="宋体"/>
          <w:b/>
          <w:bCs/>
          <w:color w:val="auto"/>
          <w:kern w:val="2"/>
          <w:sz w:val="21"/>
          <w:szCs w:val="21"/>
          <w:highlight w:val="none"/>
          <w:u w:val="single"/>
          <w:lang w:val="zh-CN"/>
        </w:rPr>
        <w:t>若发现其提供虚假证明文件、虚假响应文件等弄虚作假行为的，或经审查确认其经营、财务状况发生较大变化（或者存在违法行为）导致无法按照响应文件的承诺履约的，或其明确表示不按照响应文件承诺履约等影响</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结果的行为，采购人有权</w:t>
      </w:r>
      <w:r>
        <w:rPr>
          <w:rFonts w:hint="eastAsia" w:ascii="宋体" w:hAnsi="宋体" w:eastAsia="宋体" w:cs="宋体"/>
          <w:b/>
          <w:bCs/>
          <w:color w:val="auto"/>
          <w:kern w:val="0"/>
          <w:sz w:val="21"/>
          <w:szCs w:val="21"/>
          <w:highlight w:val="none"/>
          <w:u w:val="single"/>
        </w:rPr>
        <w:t>按照</w:t>
      </w:r>
      <w:r>
        <w:rPr>
          <w:rFonts w:hint="eastAsia" w:ascii="宋体" w:hAnsi="宋体" w:eastAsia="宋体" w:cs="宋体"/>
          <w:b/>
          <w:bCs/>
          <w:color w:val="auto"/>
          <w:kern w:val="0"/>
          <w:sz w:val="21"/>
          <w:szCs w:val="21"/>
          <w:highlight w:val="none"/>
          <w:u w:val="single"/>
          <w:lang w:val="en-US" w:eastAsia="zh-CN"/>
        </w:rPr>
        <w:t>磋商小组</w:t>
      </w:r>
      <w:r>
        <w:rPr>
          <w:rFonts w:hint="eastAsia" w:ascii="宋体" w:hAnsi="宋体" w:eastAsia="宋体" w:cs="宋体"/>
          <w:b/>
          <w:bCs/>
          <w:color w:val="auto"/>
          <w:kern w:val="0"/>
          <w:sz w:val="21"/>
          <w:szCs w:val="21"/>
          <w:highlight w:val="none"/>
          <w:u w:val="single"/>
        </w:rPr>
        <w:t>提出</w:t>
      </w:r>
      <w:r>
        <w:rPr>
          <w:rFonts w:hint="eastAsia" w:ascii="宋体" w:hAnsi="宋体" w:eastAsia="宋体" w:cs="宋体"/>
          <w:b/>
          <w:bCs/>
          <w:color w:val="auto"/>
          <w:kern w:val="0"/>
          <w:sz w:val="21"/>
          <w:szCs w:val="21"/>
          <w:highlight w:val="none"/>
          <w:u w:val="single"/>
          <w:lang w:val="en-US" w:eastAsia="zh-CN"/>
        </w:rPr>
        <w:t>的成交</w:t>
      </w:r>
      <w:r>
        <w:rPr>
          <w:rFonts w:hint="eastAsia" w:ascii="宋体" w:hAnsi="宋体" w:eastAsia="宋体" w:cs="宋体"/>
          <w:b/>
          <w:bCs/>
          <w:color w:val="auto"/>
          <w:kern w:val="0"/>
          <w:sz w:val="21"/>
          <w:szCs w:val="21"/>
          <w:highlight w:val="none"/>
          <w:u w:val="single"/>
        </w:rPr>
        <w:t>候选人名单排序依次确定其他</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候选人为</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人或重新</w:t>
      </w:r>
      <w:r>
        <w:rPr>
          <w:rFonts w:hint="eastAsia" w:ascii="宋体" w:hAnsi="宋体" w:eastAsia="宋体" w:cs="宋体"/>
          <w:b/>
          <w:bCs/>
          <w:color w:val="auto"/>
          <w:kern w:val="0"/>
          <w:sz w:val="21"/>
          <w:szCs w:val="21"/>
          <w:highlight w:val="none"/>
          <w:u w:val="single"/>
          <w:lang w:val="en-US" w:eastAsia="zh-CN"/>
        </w:rPr>
        <w:t>采购</w:t>
      </w:r>
      <w:r>
        <w:rPr>
          <w:rFonts w:hint="eastAsia" w:ascii="宋体" w:hAnsi="宋体" w:eastAsia="宋体" w:cs="宋体"/>
          <w:b/>
          <w:bCs/>
          <w:color w:val="auto"/>
          <w:sz w:val="21"/>
          <w:szCs w:val="21"/>
          <w:highlight w:val="none"/>
        </w:rPr>
        <w:t>。</w:t>
      </w:r>
    </w:p>
    <w:p>
      <w:pPr>
        <w:snapToGrid w:val="0"/>
        <w:spacing w:line="360" w:lineRule="auto"/>
        <w:ind w:left="529" w:hanging="531" w:hangingChars="252"/>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30</w:t>
      </w:r>
      <w:r>
        <w:rPr>
          <w:rFonts w:hint="eastAsia" w:ascii="宋体" w:hAnsi="宋体" w:eastAsia="宋体" w:cs="宋体"/>
          <w:b/>
          <w:bCs/>
          <w:color w:val="auto"/>
          <w:kern w:val="2"/>
          <w:sz w:val="21"/>
          <w:szCs w:val="21"/>
          <w:highlight w:val="none"/>
          <w:lang w:val="zh-CN"/>
        </w:rPr>
        <w:t xml:space="preserve">.2 </w:t>
      </w:r>
      <w:r>
        <w:rPr>
          <w:rFonts w:hint="eastAsia" w:ascii="宋体" w:hAnsi="宋体" w:eastAsia="宋体" w:cs="宋体"/>
          <w:b/>
          <w:bCs/>
          <w:color w:val="auto"/>
          <w:kern w:val="2"/>
          <w:sz w:val="21"/>
          <w:szCs w:val="21"/>
          <w:highlight w:val="none"/>
          <w:u w:val="single"/>
          <w:lang w:val="zh-CN"/>
        </w:rPr>
        <w:t>供应商在采购人（或其委托的采购代理机构）或磋商小组通知其提供上述证明资料原件进行核查的要求后，未能在约定的时间内提供原件进行核查的，视为供应商无法提供真实的资料，采购人有权</w:t>
      </w:r>
      <w:r>
        <w:rPr>
          <w:rFonts w:hint="eastAsia" w:ascii="宋体" w:hAnsi="宋体" w:eastAsia="宋体" w:cs="宋体"/>
          <w:b/>
          <w:bCs/>
          <w:color w:val="auto"/>
          <w:kern w:val="0"/>
          <w:sz w:val="21"/>
          <w:szCs w:val="21"/>
          <w:highlight w:val="none"/>
          <w:u w:val="single"/>
        </w:rPr>
        <w:t>按照</w:t>
      </w:r>
      <w:r>
        <w:rPr>
          <w:rFonts w:hint="eastAsia" w:ascii="宋体" w:hAnsi="宋体" w:eastAsia="宋体" w:cs="宋体"/>
          <w:b/>
          <w:bCs/>
          <w:color w:val="auto"/>
          <w:kern w:val="0"/>
          <w:sz w:val="21"/>
          <w:szCs w:val="21"/>
          <w:highlight w:val="none"/>
          <w:u w:val="single"/>
          <w:lang w:val="en-US" w:eastAsia="zh-CN"/>
        </w:rPr>
        <w:t>磋商小组</w:t>
      </w:r>
      <w:r>
        <w:rPr>
          <w:rFonts w:hint="eastAsia" w:ascii="宋体" w:hAnsi="宋体" w:eastAsia="宋体" w:cs="宋体"/>
          <w:b/>
          <w:bCs/>
          <w:color w:val="auto"/>
          <w:kern w:val="0"/>
          <w:sz w:val="21"/>
          <w:szCs w:val="21"/>
          <w:highlight w:val="none"/>
          <w:u w:val="single"/>
        </w:rPr>
        <w:t>提出</w:t>
      </w:r>
      <w:r>
        <w:rPr>
          <w:rFonts w:hint="eastAsia" w:ascii="宋体" w:hAnsi="宋体" w:eastAsia="宋体" w:cs="宋体"/>
          <w:b/>
          <w:bCs/>
          <w:color w:val="auto"/>
          <w:kern w:val="0"/>
          <w:sz w:val="21"/>
          <w:szCs w:val="21"/>
          <w:highlight w:val="none"/>
          <w:u w:val="single"/>
          <w:lang w:val="en-US" w:eastAsia="zh-CN"/>
        </w:rPr>
        <w:t>的成交</w:t>
      </w:r>
      <w:r>
        <w:rPr>
          <w:rFonts w:hint="eastAsia" w:ascii="宋体" w:hAnsi="宋体" w:eastAsia="宋体" w:cs="宋体"/>
          <w:b/>
          <w:bCs/>
          <w:color w:val="auto"/>
          <w:kern w:val="0"/>
          <w:sz w:val="21"/>
          <w:szCs w:val="21"/>
          <w:highlight w:val="none"/>
          <w:u w:val="single"/>
        </w:rPr>
        <w:t>候选人名单排序依次确定其他</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候选人为</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人或重新</w:t>
      </w:r>
      <w:r>
        <w:rPr>
          <w:rFonts w:hint="eastAsia" w:ascii="宋体" w:hAnsi="宋体" w:eastAsia="宋体" w:cs="宋体"/>
          <w:b/>
          <w:bCs/>
          <w:color w:val="auto"/>
          <w:kern w:val="0"/>
          <w:sz w:val="21"/>
          <w:szCs w:val="21"/>
          <w:highlight w:val="none"/>
          <w:u w:val="single"/>
          <w:lang w:val="en-US" w:eastAsia="zh-CN"/>
        </w:rPr>
        <w:t>采购</w:t>
      </w:r>
      <w:r>
        <w:rPr>
          <w:rFonts w:hint="eastAsia" w:ascii="宋体" w:hAnsi="宋体" w:eastAsia="宋体" w:cs="宋体"/>
          <w:b/>
          <w:bCs/>
          <w:color w:val="auto"/>
          <w:kern w:val="2"/>
          <w:sz w:val="21"/>
          <w:szCs w:val="21"/>
          <w:highlight w:val="none"/>
          <w:lang w:val="zh-CN"/>
        </w:rPr>
        <w:t>。</w:t>
      </w:r>
      <w:bookmarkStart w:id="196" w:name="_Toc465358971"/>
      <w:bookmarkStart w:id="197" w:name="_Toc466882019"/>
    </w:p>
    <w:p>
      <w:pPr>
        <w:snapToGrid w:val="0"/>
        <w:spacing w:line="360" w:lineRule="auto"/>
        <w:ind w:left="529" w:hanging="531" w:hangingChars="252"/>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30</w:t>
      </w:r>
      <w:r>
        <w:rPr>
          <w:rFonts w:hint="eastAsia" w:ascii="宋体" w:hAnsi="宋体" w:eastAsia="宋体" w:cs="宋体"/>
          <w:b/>
          <w:bCs/>
          <w:color w:val="auto"/>
          <w:kern w:val="2"/>
          <w:sz w:val="21"/>
          <w:szCs w:val="21"/>
          <w:highlight w:val="none"/>
          <w:lang w:val="zh-CN"/>
        </w:rPr>
        <w:t xml:space="preserve">.3 </w:t>
      </w:r>
      <w:r>
        <w:rPr>
          <w:rFonts w:hint="eastAsia" w:ascii="宋体" w:hAnsi="宋体" w:eastAsia="宋体" w:cs="宋体"/>
          <w:b/>
          <w:bCs/>
          <w:color w:val="auto"/>
          <w:kern w:val="2"/>
          <w:sz w:val="21"/>
          <w:szCs w:val="21"/>
          <w:highlight w:val="none"/>
          <w:u w:val="single"/>
          <w:lang w:val="zh-CN"/>
        </w:rPr>
        <w:t>若供应商在</w:t>
      </w:r>
      <w:r>
        <w:rPr>
          <w:rFonts w:hint="eastAsia" w:ascii="宋体" w:hAnsi="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或履约过程中存在提供虚假材料、虚假响应文件等弄虚作假行为，</w:t>
      </w:r>
      <w:r>
        <w:rPr>
          <w:rFonts w:hint="eastAsia" w:ascii="宋体" w:hAnsi="宋体" w:eastAsia="宋体" w:cs="宋体"/>
          <w:b/>
          <w:bCs/>
          <w:color w:val="auto"/>
          <w:sz w:val="21"/>
          <w:szCs w:val="21"/>
          <w:highlight w:val="none"/>
          <w:u w:val="single"/>
        </w:rPr>
        <w:t>或未能根据本须知2</w:t>
      </w:r>
      <w:r>
        <w:rPr>
          <w:rFonts w:hint="eastAsia" w:ascii="宋体" w:hAnsi="宋体" w:eastAsia="宋体" w:cs="宋体"/>
          <w:b/>
          <w:bCs/>
          <w:color w:val="auto"/>
          <w:sz w:val="21"/>
          <w:szCs w:val="21"/>
          <w:highlight w:val="none"/>
          <w:u w:val="single"/>
          <w:lang w:val="en-US" w:eastAsia="zh-CN"/>
        </w:rPr>
        <w:t>9</w:t>
      </w:r>
      <w:r>
        <w:rPr>
          <w:rFonts w:hint="eastAsia" w:ascii="宋体" w:hAnsi="宋体" w:eastAsia="宋体" w:cs="宋体"/>
          <w:b/>
          <w:bCs/>
          <w:color w:val="auto"/>
          <w:sz w:val="21"/>
          <w:szCs w:val="21"/>
          <w:highlight w:val="none"/>
          <w:u w:val="single"/>
        </w:rPr>
        <w:t>.2款约定按时提供原件进行核查的，</w:t>
      </w:r>
      <w:r>
        <w:rPr>
          <w:rFonts w:hint="eastAsia" w:ascii="宋体" w:hAnsi="宋体" w:eastAsia="宋体" w:cs="宋体"/>
          <w:b/>
          <w:bCs/>
          <w:color w:val="auto"/>
          <w:kern w:val="2"/>
          <w:sz w:val="21"/>
          <w:szCs w:val="21"/>
          <w:highlight w:val="none"/>
          <w:u w:val="single"/>
          <w:lang w:val="zh-CN"/>
        </w:rPr>
        <w:t>或不按照响应文件承诺履约或撤回</w:t>
      </w:r>
      <w:r>
        <w:rPr>
          <w:rFonts w:hint="eastAsia" w:ascii="宋体" w:hAnsi="宋体" w:eastAsia="宋体" w:cs="宋体"/>
          <w:b/>
          <w:bCs/>
          <w:color w:val="auto"/>
          <w:kern w:val="2"/>
          <w:sz w:val="21"/>
          <w:szCs w:val="21"/>
          <w:highlight w:val="none"/>
          <w:u w:val="single"/>
          <w:lang w:val="en-US" w:eastAsia="zh-CN"/>
        </w:rPr>
        <w:t>响应文件</w:t>
      </w:r>
      <w:r>
        <w:rPr>
          <w:rFonts w:hint="eastAsia" w:ascii="宋体" w:hAnsi="宋体" w:eastAsia="宋体" w:cs="宋体"/>
          <w:b/>
          <w:bCs/>
          <w:color w:val="auto"/>
          <w:kern w:val="2"/>
          <w:sz w:val="21"/>
          <w:szCs w:val="21"/>
          <w:highlight w:val="none"/>
          <w:u w:val="single"/>
          <w:lang w:val="zh-CN"/>
        </w:rPr>
        <w:t>或放弃</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资格或不按要求与采购人签订合同等影响</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结果的行为，因此导致供应商无法参与东莞市水务集团有限公司相关采购等活动的，由供应商自行承担全部后果</w:t>
      </w:r>
      <w:r>
        <w:rPr>
          <w:rFonts w:hint="eastAsia" w:ascii="宋体" w:hAnsi="宋体" w:eastAsia="宋体" w:cs="宋体"/>
          <w:b/>
          <w:bCs/>
          <w:color w:val="auto"/>
          <w:kern w:val="2"/>
          <w:sz w:val="21"/>
          <w:szCs w:val="21"/>
          <w:highlight w:val="none"/>
          <w:lang w:val="zh-CN"/>
        </w:rPr>
        <w:t>。</w:t>
      </w:r>
    </w:p>
    <w:p>
      <w:pPr>
        <w:snapToGrid w:val="0"/>
        <w:spacing w:line="360" w:lineRule="auto"/>
        <w:ind w:left="529" w:hanging="529" w:hangingChars="252"/>
        <w:jc w:val="both"/>
        <w:rPr>
          <w:rFonts w:hint="eastAsia" w:ascii="宋体" w:hAnsi="宋体" w:eastAsia="宋体" w:cs="宋体"/>
          <w:color w:val="auto"/>
          <w:kern w:val="2"/>
          <w:sz w:val="21"/>
          <w:szCs w:val="21"/>
          <w:highlight w:val="none"/>
          <w:lang w:val="zh-CN"/>
        </w:rPr>
      </w:pPr>
    </w:p>
    <w:p>
      <w:pPr>
        <w:tabs>
          <w:tab w:val="left" w:pos="567"/>
        </w:tabs>
        <w:spacing w:line="360" w:lineRule="auto"/>
        <w:jc w:val="both"/>
        <w:outlineLvl w:val="2"/>
        <w:rPr>
          <w:rFonts w:hint="eastAsia" w:ascii="宋体" w:hAnsi="宋体" w:eastAsia="宋体" w:cs="宋体"/>
          <w:color w:val="auto"/>
          <w:kern w:val="2"/>
          <w:sz w:val="21"/>
          <w:szCs w:val="21"/>
          <w:highlight w:val="none"/>
          <w:lang w:val="zh-CN"/>
        </w:rPr>
      </w:pPr>
      <w:bookmarkStart w:id="198" w:name="_Toc15664"/>
      <w:bookmarkStart w:id="199" w:name="_Toc10079"/>
      <w:bookmarkStart w:id="200" w:name="_Toc521918100"/>
      <w:bookmarkStart w:id="201" w:name="_Toc29355"/>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1   </w:t>
      </w:r>
      <w:r>
        <w:rPr>
          <w:rFonts w:hint="eastAsia" w:ascii="宋体" w:hAnsi="宋体" w:eastAsia="宋体" w:cs="宋体"/>
          <w:color w:val="auto"/>
          <w:kern w:val="2"/>
          <w:sz w:val="21"/>
          <w:szCs w:val="21"/>
          <w:highlight w:val="none"/>
          <w:lang w:val="zh-CN"/>
        </w:rPr>
        <w:t>磋商小组和采购人接受或拒绝任何</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或所有</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的权利</w:t>
      </w:r>
      <w:bookmarkEnd w:id="196"/>
      <w:bookmarkEnd w:id="197"/>
      <w:bookmarkEnd w:id="198"/>
      <w:bookmarkEnd w:id="199"/>
      <w:bookmarkEnd w:id="200"/>
      <w:bookmarkEnd w:id="201"/>
    </w:p>
    <w:p>
      <w:pPr>
        <w:spacing w:line="360" w:lineRule="auto"/>
        <w:ind w:left="523" w:hanging="523" w:hangingChars="218"/>
        <w:jc w:val="both"/>
        <w:rPr>
          <w:rFonts w:hint="eastAsia" w:ascii="宋体" w:hAnsi="宋体" w:eastAsia="宋体" w:cs="宋体"/>
          <w:color w:val="auto"/>
          <w:sz w:val="21"/>
          <w:szCs w:val="21"/>
          <w:highlight w:val="none"/>
        </w:rPr>
      </w:pPr>
      <w:r>
        <w:rPr>
          <w:rFonts w:hint="eastAsia" w:ascii="宋体" w:hAnsi="宋体" w:eastAsia="宋体" w:cs="宋体"/>
          <w:color w:val="auto"/>
          <w:kern w:val="2"/>
          <w:highlight w:val="none"/>
          <w:lang w:val="zh-CN"/>
        </w:rPr>
        <w:t xml:space="preserve">    </w:t>
      </w:r>
      <w:r>
        <w:rPr>
          <w:rFonts w:hint="eastAsia" w:ascii="宋体" w:hAnsi="宋体" w:eastAsia="宋体" w:cs="宋体"/>
          <w:color w:val="auto"/>
          <w:kern w:val="2"/>
          <w:highlight w:val="none"/>
          <w:lang w:val="en-US" w:eastAsia="zh-CN"/>
        </w:rPr>
        <w:t xml:space="preserve">    </w:t>
      </w:r>
      <w:r>
        <w:rPr>
          <w:rFonts w:hint="eastAsia" w:ascii="宋体" w:hAnsi="宋体" w:eastAsia="宋体" w:cs="宋体"/>
          <w:color w:val="auto"/>
          <w:sz w:val="21"/>
          <w:szCs w:val="21"/>
          <w:highlight w:val="none"/>
        </w:rPr>
        <w:t>在授予合同前的任何时候，采购人仍保留接受或拒绝任何</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，宣布</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程序无效或拒绝所有</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的权利，无需向受影响的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承担任何责任。</w:t>
      </w:r>
    </w:p>
    <w:p>
      <w:pPr>
        <w:snapToGrid w:val="0"/>
        <w:spacing w:line="360" w:lineRule="auto"/>
        <w:ind w:left="629" w:leftChars="-58" w:hanging="768" w:hangingChars="320"/>
        <w:jc w:val="both"/>
        <w:rPr>
          <w:rFonts w:hint="eastAsia" w:ascii="宋体" w:hAnsi="宋体" w:eastAsia="宋体" w:cs="宋体"/>
          <w:color w:val="auto"/>
          <w:kern w:val="44"/>
          <w:highlight w:val="none"/>
          <w:lang w:val="zh-CN"/>
        </w:rPr>
      </w:pPr>
      <w:bookmarkStart w:id="202" w:name="_Toc450662880"/>
    </w:p>
    <w:p>
      <w:pPr>
        <w:pStyle w:val="3"/>
        <w:keepNext/>
        <w:keepLines/>
        <w:pageBreakBefore w:val="0"/>
        <w:widowControl w:val="0"/>
        <w:tabs>
          <w:tab w:val="left" w:pos="567"/>
        </w:tabs>
        <w:kinsoku/>
        <w:wordWrap/>
        <w:overflowPunct/>
        <w:topLinePunct w:val="0"/>
        <w:autoSpaceDE w:val="0"/>
        <w:autoSpaceDN w:val="0"/>
        <w:bidi w:val="0"/>
        <w:adjustRightInd w:val="0"/>
        <w:snapToGrid/>
        <w:spacing w:line="360" w:lineRule="auto"/>
        <w:jc w:val="both"/>
        <w:textAlignment w:val="auto"/>
        <w:outlineLvl w:val="1"/>
        <w:rPr>
          <w:rFonts w:hint="eastAsia" w:ascii="宋体" w:hAnsi="宋体" w:eastAsia="宋体" w:cs="宋体"/>
          <w:b/>
          <w:bCs/>
          <w:color w:val="auto"/>
          <w:kern w:val="44"/>
          <w:sz w:val="21"/>
          <w:szCs w:val="21"/>
          <w:highlight w:val="none"/>
          <w:lang w:val="zh-CN"/>
        </w:rPr>
      </w:pPr>
      <w:bookmarkStart w:id="203" w:name="_Toc521918101"/>
      <w:bookmarkStart w:id="204" w:name="_Toc9510"/>
      <w:bookmarkStart w:id="205" w:name="_Toc30166"/>
      <w:bookmarkStart w:id="206" w:name="_Toc25079"/>
      <w:r>
        <w:rPr>
          <w:rFonts w:hint="eastAsia" w:ascii="宋体" w:hAnsi="宋体" w:eastAsia="宋体" w:cs="宋体"/>
          <w:b/>
          <w:bCs/>
          <w:color w:val="auto"/>
          <w:kern w:val="44"/>
          <w:sz w:val="21"/>
          <w:szCs w:val="21"/>
          <w:highlight w:val="none"/>
          <w:lang w:val="zh-CN"/>
        </w:rPr>
        <w:t>六、授予合同</w:t>
      </w:r>
      <w:bookmarkEnd w:id="202"/>
      <w:bookmarkEnd w:id="203"/>
      <w:bookmarkEnd w:id="204"/>
      <w:bookmarkEnd w:id="205"/>
      <w:bookmarkEnd w:id="206"/>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07" w:name="_Toc450662881"/>
      <w:bookmarkStart w:id="208" w:name="_Toc521918102"/>
      <w:bookmarkStart w:id="209" w:name="_Toc17711"/>
      <w:bookmarkStart w:id="210" w:name="_Toc3155"/>
      <w:bookmarkStart w:id="211" w:name="_Toc23777"/>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2   </w:t>
      </w:r>
      <w:r>
        <w:rPr>
          <w:rFonts w:hint="eastAsia" w:ascii="宋体" w:hAnsi="宋体" w:eastAsia="宋体" w:cs="宋体"/>
          <w:color w:val="auto"/>
          <w:kern w:val="2"/>
          <w:sz w:val="21"/>
          <w:szCs w:val="21"/>
          <w:highlight w:val="none"/>
          <w:lang w:val="zh-CN"/>
        </w:rPr>
        <w:t>授予合同的准则</w:t>
      </w:r>
      <w:bookmarkEnd w:id="207"/>
      <w:bookmarkEnd w:id="208"/>
      <w:bookmarkEnd w:id="209"/>
      <w:bookmarkEnd w:id="210"/>
      <w:bookmarkEnd w:id="211"/>
    </w:p>
    <w:p>
      <w:pPr>
        <w:tabs>
          <w:tab w:val="left" w:pos="645"/>
        </w:tabs>
        <w:spacing w:line="360" w:lineRule="auto"/>
        <w:ind w:left="540" w:right="51" w:hanging="54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除第2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条、</w:t>
      </w:r>
      <w:r>
        <w:rPr>
          <w:rFonts w:hint="eastAsia" w:ascii="宋体" w:hAnsi="宋体" w:eastAsia="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lang w:val="zh-CN"/>
        </w:rPr>
        <w:t>条</w:t>
      </w:r>
      <w:r>
        <w:rPr>
          <w:rFonts w:hint="eastAsia" w:ascii="宋体" w:hAnsi="宋体" w:eastAsia="宋体" w:cs="宋体"/>
          <w:color w:val="auto"/>
          <w:highlight w:val="none"/>
        </w:rPr>
        <w:t>、</w:t>
      </w: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1</w:t>
      </w:r>
      <w:r>
        <w:rPr>
          <w:rFonts w:hint="eastAsia" w:ascii="宋体" w:hAnsi="宋体" w:eastAsia="宋体" w:cs="宋体"/>
          <w:color w:val="auto"/>
          <w:kern w:val="2"/>
          <w:sz w:val="21"/>
          <w:szCs w:val="21"/>
          <w:highlight w:val="none"/>
          <w:lang w:val="zh-CN"/>
        </w:rPr>
        <w:t>条规定外，采购人将合同授予其响应文件符合竞争性磋商文件要求，并且能承诺履行合同，对采购人最为有利的供应商。</w:t>
      </w:r>
    </w:p>
    <w:p>
      <w:pPr>
        <w:numPr>
          <w:ilvl w:val="1"/>
          <w:numId w:val="0"/>
        </w:numPr>
        <w:tabs>
          <w:tab w:val="left" w:pos="540"/>
        </w:tabs>
        <w:spacing w:line="360" w:lineRule="auto"/>
        <w:ind w:left="540" w:right="51" w:hanging="54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 xml:space="preserve">.2 </w:t>
      </w:r>
      <w:r>
        <w:rPr>
          <w:rFonts w:hint="eastAsia" w:ascii="宋体" w:hAnsi="宋体" w:eastAsia="宋体" w:cs="宋体"/>
          <w:b/>
          <w:color w:val="auto"/>
          <w:kern w:val="2"/>
          <w:sz w:val="21"/>
          <w:szCs w:val="21"/>
          <w:highlight w:val="none"/>
          <w:u w:val="single"/>
          <w:lang w:val="zh-CN"/>
        </w:rPr>
        <w:t>采购人依法按照评</w:t>
      </w:r>
      <w:r>
        <w:rPr>
          <w:rFonts w:hint="eastAsia" w:ascii="宋体" w:hAnsi="宋体" w:eastAsia="宋体" w:cs="宋体"/>
          <w:b/>
          <w:color w:val="auto"/>
          <w:kern w:val="2"/>
          <w:sz w:val="21"/>
          <w:szCs w:val="21"/>
          <w:highlight w:val="none"/>
          <w:u w:val="single"/>
          <w:lang w:val="en-US" w:eastAsia="zh-CN"/>
        </w:rPr>
        <w:t>审</w:t>
      </w:r>
      <w:r>
        <w:rPr>
          <w:rFonts w:hint="eastAsia" w:ascii="宋体" w:hAnsi="宋体" w:eastAsia="宋体" w:cs="宋体"/>
          <w:b/>
          <w:color w:val="auto"/>
          <w:kern w:val="2"/>
          <w:sz w:val="21"/>
          <w:szCs w:val="21"/>
          <w:highlight w:val="none"/>
          <w:u w:val="single"/>
          <w:lang w:val="zh-CN"/>
        </w:rPr>
        <w:t>报告中推荐的成交候选人</w:t>
      </w:r>
      <w:r>
        <w:rPr>
          <w:rFonts w:hint="eastAsia" w:ascii="宋体" w:hAnsi="宋体" w:eastAsia="宋体" w:cs="宋体"/>
          <w:b/>
          <w:color w:val="auto"/>
          <w:kern w:val="2"/>
          <w:sz w:val="21"/>
          <w:szCs w:val="21"/>
          <w:highlight w:val="none"/>
          <w:u w:val="single"/>
          <w:lang w:val="en-US" w:eastAsia="zh-CN"/>
        </w:rPr>
        <w:t>顺序确定</w:t>
      </w:r>
      <w:r>
        <w:rPr>
          <w:rFonts w:hint="eastAsia" w:ascii="宋体" w:hAnsi="宋体" w:eastAsia="宋体" w:cs="宋体"/>
          <w:b/>
          <w:color w:val="auto"/>
          <w:kern w:val="2"/>
          <w:sz w:val="21"/>
          <w:szCs w:val="21"/>
          <w:highlight w:val="none"/>
          <w:u w:val="single"/>
          <w:lang w:val="zh-CN"/>
        </w:rPr>
        <w:t>成交人</w:t>
      </w:r>
      <w:r>
        <w:rPr>
          <w:rFonts w:hint="eastAsia" w:ascii="宋体" w:hAnsi="宋体" w:eastAsia="宋体" w:cs="宋体"/>
          <w:b/>
          <w:color w:val="auto"/>
          <w:kern w:val="2"/>
          <w:sz w:val="21"/>
          <w:szCs w:val="21"/>
          <w:highlight w:val="none"/>
          <w:u w:val="none"/>
          <w:lang w:val="zh-CN"/>
        </w:rPr>
        <w:t>。</w:t>
      </w:r>
    </w:p>
    <w:p>
      <w:pPr>
        <w:tabs>
          <w:tab w:val="left" w:pos="645"/>
        </w:tabs>
        <w:autoSpaceDE/>
        <w:autoSpaceDN/>
        <w:adjustRightInd/>
        <w:snapToGrid/>
        <w:spacing w:line="360" w:lineRule="auto"/>
        <w:ind w:left="540" w:leftChars="0" w:right="51" w:hanging="540" w:firstLineChars="0"/>
        <w:jc w:val="both"/>
        <w:rPr>
          <w:rFonts w:hint="eastAsia" w:ascii="宋体" w:hAnsi="宋体" w:eastAsia="宋体" w:cs="宋体"/>
          <w:b w:val="0"/>
          <w:color w:val="auto"/>
          <w:kern w:val="2"/>
          <w:sz w:val="21"/>
          <w:szCs w:val="21"/>
          <w:highlight w:val="none"/>
          <w:lang w:val="zh-CN"/>
        </w:rPr>
      </w:pPr>
      <w:bookmarkStart w:id="212" w:name="_Toc450662886"/>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.3 因不可抗力或自身原因不能履行合同的、不按要求</w:t>
      </w:r>
      <w:r>
        <w:rPr>
          <w:rFonts w:hint="eastAsia" w:ascii="宋体" w:hAnsi="宋体" w:eastAsia="宋体" w:cs="宋体"/>
          <w:color w:val="auto"/>
          <w:kern w:val="2"/>
          <w:sz w:val="21"/>
          <w:szCs w:val="21"/>
          <w:highlight w:val="none"/>
          <w:lang w:val="en-US" w:eastAsia="zh-CN"/>
        </w:rPr>
        <w:t>或约定时间内</w:t>
      </w:r>
      <w:r>
        <w:rPr>
          <w:rFonts w:hint="eastAsia" w:ascii="宋体" w:hAnsi="宋体" w:eastAsia="宋体" w:cs="宋体"/>
          <w:color w:val="auto"/>
          <w:kern w:val="2"/>
          <w:sz w:val="21"/>
          <w:szCs w:val="21"/>
          <w:highlight w:val="none"/>
          <w:lang w:val="zh-CN"/>
        </w:rPr>
        <w:t>与</w:t>
      </w:r>
      <w:r>
        <w:rPr>
          <w:rFonts w:hint="eastAsia" w:ascii="宋体" w:hAnsi="宋体" w:eastAsia="宋体" w:cs="宋体"/>
          <w:color w:val="auto"/>
          <w:kern w:val="2"/>
          <w:sz w:val="21"/>
          <w:szCs w:val="21"/>
          <w:highlight w:val="none"/>
          <w:lang w:val="zh-CN" w:eastAsia="zh-CN"/>
        </w:rPr>
        <w:t>采购人</w:t>
      </w:r>
      <w:r>
        <w:rPr>
          <w:rFonts w:hint="eastAsia" w:ascii="宋体" w:hAnsi="宋体" w:eastAsia="宋体" w:cs="宋体"/>
          <w:color w:val="auto"/>
          <w:kern w:val="2"/>
          <w:sz w:val="21"/>
          <w:szCs w:val="21"/>
          <w:highlight w:val="none"/>
          <w:lang w:val="zh-CN"/>
        </w:rPr>
        <w:t>签订合同、</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人放弃</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资格被依法确认无效的，</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人可以按照</w:t>
      </w:r>
      <w:r>
        <w:rPr>
          <w:rFonts w:hint="eastAsia" w:ascii="宋体" w:hAnsi="宋体" w:eastAsia="宋体" w:cs="宋体"/>
          <w:color w:val="auto"/>
          <w:kern w:val="2"/>
          <w:sz w:val="21"/>
          <w:szCs w:val="21"/>
          <w:highlight w:val="none"/>
          <w:lang w:val="zh-CN" w:eastAsia="zh-CN"/>
        </w:rPr>
        <w:t>磋商小组</w:t>
      </w:r>
      <w:r>
        <w:rPr>
          <w:rFonts w:hint="eastAsia" w:ascii="宋体" w:hAnsi="宋体" w:eastAsia="宋体" w:cs="宋体"/>
          <w:color w:val="auto"/>
          <w:kern w:val="2"/>
          <w:sz w:val="21"/>
          <w:szCs w:val="21"/>
          <w:highlight w:val="none"/>
          <w:lang w:val="zh-CN"/>
        </w:rPr>
        <w:t>提出的</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候选人名单排序依次确定其他</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候选人为</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人或重新</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b w:val="0"/>
          <w:color w:val="auto"/>
          <w:kern w:val="2"/>
          <w:sz w:val="21"/>
          <w:szCs w:val="21"/>
          <w:highlight w:val="none"/>
          <w:lang w:val="zh-CN"/>
        </w:rPr>
        <w:t>。</w:t>
      </w:r>
    </w:p>
    <w:p>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p>
    <w:p>
      <w:pPr>
        <w:tabs>
          <w:tab w:val="left" w:pos="567"/>
        </w:tabs>
        <w:autoSpaceDE/>
        <w:autoSpaceDN/>
        <w:adjustRightInd/>
        <w:spacing w:line="360" w:lineRule="auto"/>
        <w:ind w:left="567" w:leftChars="0" w:hanging="567"/>
        <w:jc w:val="both"/>
        <w:outlineLvl w:val="2"/>
        <w:rPr>
          <w:rFonts w:hint="eastAsia" w:ascii="宋体" w:hAnsi="宋体" w:eastAsia="宋体" w:cs="宋体"/>
          <w:color w:val="auto"/>
          <w:kern w:val="2"/>
          <w:sz w:val="21"/>
          <w:szCs w:val="21"/>
          <w:highlight w:val="none"/>
          <w:lang w:val="zh-CN"/>
        </w:rPr>
      </w:pPr>
      <w:bookmarkStart w:id="213" w:name="_Toc142508350"/>
      <w:bookmarkStart w:id="214" w:name="_Toc5620"/>
      <w:bookmarkStart w:id="215" w:name="_Toc8196"/>
      <w:bookmarkStart w:id="216" w:name="_Toc6726_WPSOffice_Level3"/>
      <w:bookmarkStart w:id="217" w:name="_Toc18984"/>
      <w:bookmarkStart w:id="218" w:name="_Toc15170"/>
      <w:bookmarkStart w:id="219" w:name="_Toc8027"/>
      <w:bookmarkStart w:id="220" w:name="_Toc486167699"/>
      <w:bookmarkStart w:id="221" w:name="_Toc14377"/>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3  </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通知</w:t>
      </w:r>
      <w:bookmarkEnd w:id="213"/>
      <w:bookmarkEnd w:id="214"/>
      <w:bookmarkEnd w:id="215"/>
      <w:bookmarkEnd w:id="216"/>
      <w:bookmarkEnd w:id="217"/>
      <w:bookmarkEnd w:id="218"/>
      <w:bookmarkEnd w:id="219"/>
      <w:bookmarkEnd w:id="220"/>
      <w:bookmarkEnd w:id="221"/>
    </w:p>
    <w:p>
      <w:pPr>
        <w:numPr>
          <w:ilvl w:val="1"/>
          <w:numId w:val="0"/>
        </w:numPr>
        <w:tabs>
          <w:tab w:val="left" w:pos="540"/>
        </w:tabs>
        <w:autoSpaceDE/>
        <w:autoSpaceDN/>
        <w:adjustRightInd/>
        <w:snapToGrid/>
        <w:spacing w:line="360" w:lineRule="auto"/>
        <w:ind w:left="540" w:leftChars="0" w:right="51" w:hanging="540" w:firstLineChars="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代理机构向</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人发出书面通知，</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通知书是合同的一个组成部分。</w:t>
      </w:r>
    </w:p>
    <w:p>
      <w:pPr>
        <w:numPr>
          <w:ilvl w:val="-1"/>
          <w:numId w:val="0"/>
        </w:numPr>
        <w:autoSpaceDE/>
        <w:autoSpaceDN/>
        <w:adjustRightInd/>
        <w:snapToGrid w:val="0"/>
        <w:spacing w:line="360" w:lineRule="auto"/>
        <w:ind w:left="525" w:leftChars="0" w:right="0" w:hanging="525" w:hangingChars="25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代理机构向</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人发出书面通知的同时，</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代理机构通知落选的</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其</w:t>
      </w:r>
      <w:r>
        <w:rPr>
          <w:rFonts w:hint="eastAsia" w:ascii="宋体" w:hAnsi="宋体" w:eastAsia="宋体" w:cs="宋体"/>
          <w:color w:val="auto"/>
          <w:kern w:val="2"/>
          <w:sz w:val="21"/>
          <w:szCs w:val="21"/>
          <w:highlight w:val="none"/>
          <w:lang w:val="zh-CN" w:eastAsia="zh-CN"/>
        </w:rPr>
        <w:t>响应</w:t>
      </w:r>
      <w:r>
        <w:rPr>
          <w:rFonts w:hint="eastAsia" w:ascii="宋体" w:hAnsi="宋体" w:eastAsia="宋体" w:cs="宋体"/>
          <w:color w:val="auto"/>
          <w:kern w:val="2"/>
          <w:sz w:val="21"/>
          <w:szCs w:val="21"/>
          <w:highlight w:val="none"/>
          <w:lang w:val="zh-CN"/>
        </w:rPr>
        <w:t>文件未被接受而不提原因。</w:t>
      </w:r>
    </w:p>
    <w:p>
      <w:pPr>
        <w:snapToGrid w:val="0"/>
        <w:spacing w:line="360" w:lineRule="auto"/>
        <w:jc w:val="both"/>
        <w:rPr>
          <w:rFonts w:hint="eastAsia" w:ascii="宋体" w:hAnsi="宋体" w:eastAsia="宋体" w:cs="宋体"/>
          <w:color w:val="auto"/>
          <w:kern w:val="2"/>
          <w:sz w:val="21"/>
          <w:szCs w:val="21"/>
          <w:highlight w:val="none"/>
          <w:lang w:val="zh-CN"/>
        </w:rPr>
      </w:pPr>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22" w:name="_Toc12060"/>
      <w:bookmarkStart w:id="223" w:name="_Toc21850"/>
      <w:bookmarkStart w:id="224" w:name="_Toc521918104"/>
      <w:bookmarkStart w:id="225" w:name="_Toc10022"/>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4   </w:t>
      </w:r>
      <w:r>
        <w:rPr>
          <w:rFonts w:hint="eastAsia" w:ascii="宋体" w:hAnsi="宋体" w:eastAsia="宋体" w:cs="宋体"/>
          <w:color w:val="auto"/>
          <w:kern w:val="2"/>
          <w:sz w:val="21"/>
          <w:szCs w:val="21"/>
          <w:highlight w:val="none"/>
          <w:lang w:val="zh-CN"/>
        </w:rPr>
        <w:t>签署合同</w:t>
      </w:r>
      <w:bookmarkEnd w:id="212"/>
      <w:bookmarkEnd w:id="222"/>
      <w:bookmarkEnd w:id="223"/>
      <w:bookmarkEnd w:id="224"/>
      <w:bookmarkEnd w:id="225"/>
    </w:p>
    <w:p>
      <w:pPr>
        <w:tabs>
          <w:tab w:val="left" w:pos="540"/>
        </w:tabs>
        <w:spacing w:line="360" w:lineRule="auto"/>
        <w:ind w:left="540" w:right="18" w:hanging="54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color w:val="auto"/>
          <w:kern w:val="2"/>
          <w:sz w:val="21"/>
          <w:szCs w:val="21"/>
          <w:highlight w:val="none"/>
          <w:u w:val="single"/>
          <w:lang w:val="zh-CN"/>
        </w:rPr>
        <w:t>成交人在自成交通知书发出之日起</w:t>
      </w:r>
      <w:r>
        <w:rPr>
          <w:rFonts w:hint="eastAsia" w:ascii="宋体" w:hAnsi="宋体" w:eastAsia="宋体" w:cs="宋体"/>
          <w:b/>
          <w:color w:val="auto"/>
          <w:kern w:val="2"/>
          <w:sz w:val="21"/>
          <w:szCs w:val="21"/>
          <w:highlight w:val="none"/>
          <w:u w:val="single"/>
          <w:lang w:val="en-US" w:eastAsia="zh-CN"/>
        </w:rPr>
        <w:t>30</w:t>
      </w:r>
      <w:r>
        <w:rPr>
          <w:rFonts w:hint="eastAsia" w:ascii="宋体" w:hAnsi="宋体" w:eastAsia="宋体" w:cs="宋体"/>
          <w:b/>
          <w:color w:val="auto"/>
          <w:kern w:val="2"/>
          <w:sz w:val="21"/>
          <w:szCs w:val="21"/>
          <w:highlight w:val="none"/>
          <w:u w:val="single"/>
          <w:lang w:val="zh-CN"/>
        </w:rPr>
        <w:t>日内，</w:t>
      </w:r>
      <w:r>
        <w:rPr>
          <w:rFonts w:hint="eastAsia" w:ascii="宋体" w:hAnsi="宋体" w:cs="宋体"/>
          <w:b/>
          <w:color w:val="auto"/>
          <w:kern w:val="2"/>
          <w:sz w:val="21"/>
          <w:szCs w:val="21"/>
          <w:highlight w:val="none"/>
          <w:u w:val="single"/>
          <w:lang w:val="en-US" w:eastAsia="zh-CN"/>
        </w:rPr>
        <w:t>按照竞争性磋商文件和成交人的响应文件的约定，与东莞市众源环境投资有限公司签订书面合同，具体签订方式以采购人通知为准。</w:t>
      </w:r>
      <w:r>
        <w:rPr>
          <w:rFonts w:hint="eastAsia" w:ascii="宋体" w:hAnsi="宋体" w:eastAsia="宋体" w:cs="宋体"/>
          <w:b/>
          <w:color w:val="auto"/>
          <w:kern w:val="2"/>
          <w:sz w:val="21"/>
          <w:szCs w:val="21"/>
          <w:highlight w:val="none"/>
          <w:u w:val="single"/>
          <w:lang w:val="zh-CN"/>
        </w:rPr>
        <w:t>否则采购人有权取消</w:t>
      </w:r>
      <w:r>
        <w:rPr>
          <w:rFonts w:hint="eastAsia" w:ascii="宋体" w:hAnsi="宋体" w:eastAsia="宋体" w:cs="宋体"/>
          <w:b/>
          <w:color w:val="auto"/>
          <w:kern w:val="2"/>
          <w:sz w:val="21"/>
          <w:szCs w:val="21"/>
          <w:highlight w:val="none"/>
          <w:u w:val="single"/>
          <w:lang w:val="en-US" w:eastAsia="zh-CN"/>
        </w:rPr>
        <w:t>成交</w:t>
      </w:r>
      <w:r>
        <w:rPr>
          <w:rFonts w:hint="eastAsia" w:ascii="宋体" w:hAnsi="宋体" w:eastAsia="宋体" w:cs="宋体"/>
          <w:b/>
          <w:color w:val="auto"/>
          <w:kern w:val="2"/>
          <w:sz w:val="21"/>
          <w:szCs w:val="21"/>
          <w:highlight w:val="none"/>
          <w:u w:val="single"/>
          <w:lang w:val="zh-CN"/>
        </w:rPr>
        <w:t>资格并按竞争性磋商文件及法律、法规的规定进行处理</w:t>
      </w:r>
      <w:r>
        <w:rPr>
          <w:rFonts w:hint="eastAsia" w:ascii="宋体" w:hAnsi="宋体" w:eastAsia="宋体" w:cs="宋体"/>
          <w:color w:val="auto"/>
          <w:kern w:val="2"/>
          <w:sz w:val="21"/>
          <w:szCs w:val="21"/>
          <w:highlight w:val="none"/>
          <w:lang w:val="zh-CN"/>
        </w:rPr>
        <w:t>。</w:t>
      </w:r>
    </w:p>
    <w:p>
      <w:pPr>
        <w:snapToGrid w:val="0"/>
        <w:spacing w:line="360" w:lineRule="auto"/>
        <w:ind w:left="525" w:hanging="525" w:hangingChars="250"/>
        <w:jc w:val="both"/>
        <w:rPr>
          <w:rFonts w:hint="eastAsia" w:ascii="宋体" w:hAnsi="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.2 在签署合同前，采购人可对成交人响应报价表内的算术性错误的情况进行修正，修正原则为：</w:t>
      </w: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rPr>
        <w:t>当以数字表示的金额与以文字表示的金额不一致时，以文字表示的金额为准</w:t>
      </w:r>
      <w:r>
        <w:rPr>
          <w:rFonts w:hint="eastAsia" w:ascii="宋体" w:hAnsi="宋体" w:cs="宋体"/>
          <w:color w:val="auto"/>
          <w:kern w:val="2"/>
          <w:sz w:val="21"/>
          <w:szCs w:val="21"/>
          <w:highlight w:val="none"/>
          <w:lang w:val="zh-CN"/>
        </w:rPr>
        <w:t>；</w:t>
      </w:r>
    </w:p>
    <w:p>
      <w:pPr>
        <w:autoSpaceDE/>
        <w:autoSpaceDN/>
        <w:snapToGrid w:val="0"/>
        <w:spacing w:line="360" w:lineRule="auto"/>
        <w:ind w:left="1005" w:leftChars="200" w:hanging="525" w:hangingChars="250"/>
        <w:jc w:val="both"/>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2</w:t>
      </w: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当分项报价表内合计与响应报价表内报价不一致时，以响应报价表为准，修正分项报价表内的各分项报价；</w:t>
      </w:r>
    </w:p>
    <w:p>
      <w:pPr>
        <w:autoSpaceDE/>
        <w:autoSpaceDN/>
        <w:snapToGrid w:val="0"/>
        <w:spacing w:line="360" w:lineRule="auto"/>
        <w:ind w:left="1005" w:leftChars="200" w:hanging="525" w:hangingChars="250"/>
        <w:jc w:val="both"/>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en-US" w:eastAsia="zh-CN"/>
        </w:rPr>
        <w:t>（3）按前述</w:t>
      </w:r>
      <w:r>
        <w:rPr>
          <w:rFonts w:hint="eastAsia" w:ascii="宋体" w:hAnsi="宋体" w:eastAsia="宋体" w:cs="宋体"/>
          <w:color w:val="auto"/>
          <w:kern w:val="2"/>
          <w:sz w:val="21"/>
          <w:szCs w:val="21"/>
          <w:highlight w:val="none"/>
          <w:lang w:val="zh-CN"/>
        </w:rPr>
        <w:t>修正原则排序依次进行修正至唯一值后的报价表经双方确认后，作为合同文件的组成部分。</w:t>
      </w:r>
    </w:p>
    <w:p>
      <w:pPr>
        <w:snapToGrid w:val="0"/>
        <w:spacing w:line="360" w:lineRule="auto"/>
        <w:ind w:left="525" w:hanging="525" w:hangingChars="250"/>
        <w:jc w:val="both"/>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 xml:space="preserve">.3 </w:t>
      </w:r>
      <w:r>
        <w:rPr>
          <w:rFonts w:hint="eastAsia" w:ascii="宋体" w:hAnsi="宋体" w:cs="宋体"/>
          <w:color w:val="auto"/>
          <w:kern w:val="2"/>
          <w:sz w:val="21"/>
          <w:szCs w:val="21"/>
          <w:highlight w:val="none"/>
          <w:lang w:val="en-US" w:eastAsia="zh-CN"/>
        </w:rPr>
        <w:t>本项目采购人为东莞市水务集团实业发展有限公司，服务购买方（或履约方）为东莞市众源环境投资有限公司，成交人应配合与东莞市众源环境投资有限公司签订合同，服务费用由东莞市众源环境投资有限公司支付。</w:t>
      </w:r>
    </w:p>
    <w:p>
      <w:pPr>
        <w:snapToGrid w:val="0"/>
        <w:spacing w:line="360" w:lineRule="auto"/>
        <w:ind w:left="523" w:leftChars="218" w:firstLine="42" w:firstLineChars="20"/>
        <w:jc w:val="both"/>
        <w:rPr>
          <w:rFonts w:hint="eastAsia" w:ascii="宋体" w:hAnsi="宋体" w:eastAsia="宋体" w:cs="宋体"/>
          <w:color w:val="auto"/>
          <w:kern w:val="2"/>
          <w:sz w:val="21"/>
          <w:szCs w:val="21"/>
          <w:highlight w:val="none"/>
          <w:lang w:val="zh-CN"/>
        </w:rPr>
      </w:pPr>
    </w:p>
    <w:p>
      <w:pPr>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26" w:name="_Toc19399"/>
      <w:bookmarkStart w:id="227" w:name="_Toc26938"/>
      <w:bookmarkStart w:id="228" w:name="_Toc51642383"/>
      <w:bookmarkStart w:id="229" w:name="_Toc29065"/>
      <w:bookmarkStart w:id="230" w:name="_Toc521918105"/>
      <w:bookmarkStart w:id="231" w:name="_Toc450662887"/>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履约担保</w:t>
      </w:r>
      <w:bookmarkEnd w:id="226"/>
      <w:bookmarkEnd w:id="227"/>
      <w:bookmarkEnd w:id="228"/>
      <w:bookmarkEnd w:id="229"/>
    </w:p>
    <w:p>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bookmarkStart w:id="232" w:name="_Hlk33966618"/>
      <w:r>
        <w:rPr>
          <w:rFonts w:hint="eastAsia" w:ascii="宋体" w:hAnsi="宋体" w:eastAsia="宋体" w:cs="宋体"/>
          <w:bCs w:val="0"/>
          <w:color w:val="auto"/>
          <w:kern w:val="2"/>
          <w:sz w:val="21"/>
          <w:szCs w:val="21"/>
          <w:highlight w:val="none"/>
          <w:lang w:val="zh-CN"/>
        </w:rPr>
        <w:t>35.1</w:t>
      </w:r>
      <w:r>
        <w:rPr>
          <w:rFonts w:hint="eastAsia" w:ascii="宋体" w:hAnsi="宋体" w:eastAsia="宋体" w:cs="宋体"/>
          <w:bCs w:val="0"/>
          <w:color w:val="auto"/>
          <w:kern w:val="2"/>
          <w:sz w:val="21"/>
          <w:szCs w:val="21"/>
          <w:highlight w:val="none"/>
          <w:lang w:val="zh-CN" w:eastAsia="zh-CN"/>
        </w:rPr>
        <w:t xml:space="preserve"> </w:t>
      </w:r>
      <w:r>
        <w:rPr>
          <w:rFonts w:hint="eastAsia" w:ascii="宋体" w:hAnsi="宋体" w:eastAsia="宋体" w:cs="宋体"/>
          <w:bCs w:val="0"/>
          <w:color w:val="auto"/>
          <w:kern w:val="2"/>
          <w:sz w:val="21"/>
          <w:szCs w:val="21"/>
          <w:highlight w:val="none"/>
          <w:lang w:val="zh-CN"/>
        </w:rPr>
        <w:t>本项目成交人无需提交履约担保，成交人必须严格按照合同履约，采购人有权从成交人未付款中扣除成交人的违约金。成交人违约造成采购人损失的，采购人有权追偿。</w:t>
      </w:r>
    </w:p>
    <w:bookmarkEnd w:id="230"/>
    <w:bookmarkEnd w:id="231"/>
    <w:bookmarkEnd w:id="232"/>
    <w:p>
      <w:pPr>
        <w:tabs>
          <w:tab w:val="left" w:pos="360"/>
          <w:tab w:val="left" w:pos="4725"/>
        </w:tabs>
        <w:spacing w:line="360" w:lineRule="auto"/>
        <w:ind w:left="720" w:hanging="720" w:hangingChars="300"/>
        <w:jc w:val="both"/>
        <w:rPr>
          <w:rFonts w:hint="eastAsia" w:ascii="宋体" w:hAnsi="宋体" w:eastAsia="宋体" w:cs="宋体"/>
          <w:color w:val="auto"/>
          <w:highlight w:val="none"/>
          <w:lang w:val="zh-CN"/>
        </w:rPr>
      </w:pPr>
    </w:p>
    <w:p>
      <w:pPr>
        <w:tabs>
          <w:tab w:val="left" w:pos="36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33" w:name="_Toc11568"/>
      <w:bookmarkStart w:id="234" w:name="_Toc371"/>
      <w:bookmarkStart w:id="235" w:name="_Toc12419"/>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6   </w:t>
      </w:r>
      <w:r>
        <w:rPr>
          <w:rFonts w:hint="eastAsia" w:ascii="宋体" w:hAnsi="宋体" w:eastAsia="宋体" w:cs="宋体"/>
          <w:color w:val="auto"/>
          <w:kern w:val="2"/>
          <w:sz w:val="21"/>
          <w:szCs w:val="21"/>
          <w:highlight w:val="none"/>
          <w:lang w:val="zh-CN"/>
        </w:rPr>
        <w:t>在合同履行中变更采购范围的权利</w:t>
      </w:r>
      <w:bookmarkEnd w:id="233"/>
      <w:bookmarkEnd w:id="234"/>
      <w:bookmarkEnd w:id="235"/>
    </w:p>
    <w:p>
      <w:pPr>
        <w:snapToGrid w:val="0"/>
        <w:spacing w:line="360" w:lineRule="auto"/>
        <w:ind w:left="525" w:leftChars="0" w:hanging="525" w:hangingChars="250"/>
        <w:jc w:val="both"/>
        <w:rPr>
          <w:rFonts w:hint="eastAsia" w:ascii="宋体" w:hAnsi="宋体" w:eastAsia="宋体" w:cs="宋体"/>
          <w:color w:val="auto"/>
          <w:sz w:val="21"/>
          <w:szCs w:val="21"/>
          <w:highlight w:val="none"/>
        </w:rPr>
      </w:pPr>
      <w:bookmarkStart w:id="236" w:name="_Toc450662888"/>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.1 合同履行中，采购人在合同约定的</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范围内，采购人有权根据项目实际情况及有关法律法规、政策的规定对采购范围进行变更调整，变更采购范围后，</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应遵照执行</w:t>
      </w:r>
      <w:r>
        <w:rPr>
          <w:rFonts w:hint="eastAsia" w:ascii="宋体" w:hAnsi="宋体" w:eastAsia="宋体" w:cs="宋体"/>
          <w:color w:val="auto"/>
          <w:sz w:val="21"/>
          <w:szCs w:val="21"/>
          <w:highlight w:val="none"/>
        </w:rPr>
        <w:t>。</w:t>
      </w:r>
    </w:p>
    <w:p>
      <w:pPr>
        <w:spacing w:line="360" w:lineRule="auto"/>
        <w:ind w:left="598" w:leftChars="1" w:hanging="596" w:hangingChars="284"/>
        <w:jc w:val="both"/>
        <w:rPr>
          <w:rFonts w:hint="eastAsia" w:ascii="宋体" w:hAnsi="宋体" w:eastAsia="宋体" w:cs="宋体"/>
          <w:color w:val="auto"/>
          <w:sz w:val="21"/>
          <w:szCs w:val="21"/>
          <w:highlight w:val="none"/>
        </w:rPr>
      </w:pPr>
    </w:p>
    <w:p>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37" w:name="_Toc521918107"/>
      <w:bookmarkStart w:id="238" w:name="_Toc7962"/>
      <w:bookmarkStart w:id="239" w:name="_Toc66"/>
      <w:bookmarkStart w:id="240" w:name="_Toc20758"/>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7   代理</w:t>
      </w:r>
      <w:r>
        <w:rPr>
          <w:rFonts w:hint="eastAsia" w:ascii="宋体" w:hAnsi="宋体" w:eastAsia="宋体" w:cs="宋体"/>
          <w:color w:val="auto"/>
          <w:kern w:val="2"/>
          <w:sz w:val="21"/>
          <w:szCs w:val="21"/>
          <w:highlight w:val="none"/>
          <w:lang w:val="zh-CN"/>
        </w:rPr>
        <w:t>服务费</w:t>
      </w:r>
      <w:bookmarkEnd w:id="236"/>
      <w:bookmarkEnd w:id="237"/>
      <w:bookmarkEnd w:id="238"/>
      <w:bookmarkEnd w:id="239"/>
      <w:bookmarkEnd w:id="240"/>
    </w:p>
    <w:p>
      <w:pPr>
        <w:snapToGrid w:val="0"/>
        <w:spacing w:line="360" w:lineRule="auto"/>
        <w:ind w:left="527" w:leftChars="0" w:hanging="527" w:hangingChars="250"/>
        <w:jc w:val="both"/>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37.1 成交人应按37.2款规定在领取《成交通知书》原件之前向招标代理机构一次性交纳成交服务费</w:t>
      </w:r>
      <w:r>
        <w:rPr>
          <w:rFonts w:hint="eastAsia" w:ascii="宋体" w:hAnsi="宋体" w:cs="宋体"/>
          <w:b/>
          <w:bCs/>
          <w:color w:val="auto"/>
          <w:kern w:val="2"/>
          <w:sz w:val="21"/>
          <w:szCs w:val="21"/>
          <w:highlight w:val="none"/>
        </w:rPr>
        <w:t>¥</w:t>
      </w:r>
      <w:r>
        <w:rPr>
          <w:rFonts w:hint="eastAsia" w:ascii="宋体" w:hAnsi="宋体" w:cs="宋体"/>
          <w:b/>
          <w:bCs/>
          <w:color w:val="auto"/>
          <w:kern w:val="2"/>
          <w:sz w:val="21"/>
          <w:szCs w:val="21"/>
          <w:highlight w:val="none"/>
          <w:lang w:val="en-US" w:eastAsia="zh-CN"/>
        </w:rPr>
        <w:t>9,500.00（人民币玖仟伍佰元整）</w:t>
      </w:r>
      <w:r>
        <w:rPr>
          <w:rFonts w:hint="eastAsia" w:ascii="宋体" w:hAnsi="宋体" w:eastAsia="宋体" w:cs="宋体"/>
          <w:b/>
          <w:bCs/>
          <w:color w:val="auto"/>
          <w:kern w:val="2"/>
          <w:sz w:val="21"/>
          <w:szCs w:val="21"/>
          <w:highlight w:val="none"/>
          <w:lang w:val="en-US" w:eastAsia="zh-CN"/>
        </w:rPr>
        <w:t>。</w:t>
      </w:r>
    </w:p>
    <w:p>
      <w:pPr>
        <w:snapToGrid w:val="0"/>
        <w:spacing w:line="360" w:lineRule="auto"/>
        <w:ind w:left="525" w:leftChars="0" w:hanging="525" w:hangingChars="25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37.2 成交人收到成交通知后，须在15日内向招标代理机构交纳成交服务费用及领取《成交通知书》原件，否则视为放弃成交权利和义务。</w:t>
      </w:r>
    </w:p>
    <w:p>
      <w:pPr>
        <w:snapToGrid w:val="0"/>
        <w:spacing w:line="360" w:lineRule="auto"/>
        <w:ind w:left="525" w:leftChars="0" w:hanging="525" w:hangingChars="25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37.3 成交服务费只接受以银行转账、电汇方式交纳（按代理机构实际情况填写，不建议现金交纳）。</w:t>
      </w:r>
    </w:p>
    <w:p>
      <w:pPr>
        <w:snapToGrid w:val="0"/>
        <w:spacing w:line="360" w:lineRule="auto"/>
        <w:ind w:left="525" w:leftChars="0" w:hanging="525" w:hangingChars="25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     成交服务费汇入账号（特别提醒，本账户非投标保证金汇入账户)：</w:t>
      </w:r>
    </w:p>
    <w:p>
      <w:pPr>
        <w:snapToGrid w:val="0"/>
        <w:spacing w:line="360" w:lineRule="auto"/>
        <w:ind w:left="525" w:leftChars="0" w:hanging="525" w:hangingChars="25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     开户名称：</w:t>
      </w:r>
      <w:r>
        <w:rPr>
          <w:rFonts w:hint="eastAsia" w:ascii="宋体" w:hAnsi="宋体" w:eastAsia="宋体" w:cs="宋体"/>
          <w:color w:val="auto"/>
          <w:kern w:val="2"/>
          <w:sz w:val="21"/>
          <w:szCs w:val="21"/>
          <w:highlight w:val="none"/>
          <w:u w:val="single"/>
          <w:lang w:val="en-US" w:eastAsia="zh-CN"/>
        </w:rPr>
        <w:t>三方诚信招标有限公司东莞分公司</w:t>
      </w:r>
    </w:p>
    <w:p>
      <w:pPr>
        <w:snapToGrid w:val="0"/>
        <w:spacing w:line="360" w:lineRule="auto"/>
        <w:ind w:left="525" w:leftChars="0" w:hanging="525" w:hangingChars="25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     银行帐号：</w:t>
      </w:r>
      <w:r>
        <w:rPr>
          <w:rFonts w:hint="eastAsia" w:ascii="宋体" w:hAnsi="宋体" w:eastAsia="宋体" w:cs="宋体"/>
          <w:color w:val="auto"/>
          <w:kern w:val="2"/>
          <w:sz w:val="21"/>
          <w:szCs w:val="21"/>
          <w:highlight w:val="none"/>
          <w:u w:val="single"/>
          <w:lang w:val="en-US" w:eastAsia="zh-CN"/>
        </w:rPr>
        <w:t>2010021309900018461</w:t>
      </w:r>
    </w:p>
    <w:p>
      <w:pPr>
        <w:snapToGrid w:val="0"/>
        <w:spacing w:line="360" w:lineRule="auto"/>
        <w:ind w:left="525" w:leftChars="0" w:hanging="525" w:hangingChars="25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     开户银行：</w:t>
      </w:r>
      <w:r>
        <w:rPr>
          <w:rFonts w:hint="eastAsia" w:ascii="宋体" w:hAnsi="宋体" w:eastAsia="宋体" w:cs="宋体"/>
          <w:color w:val="auto"/>
          <w:kern w:val="2"/>
          <w:sz w:val="21"/>
          <w:szCs w:val="21"/>
          <w:highlight w:val="none"/>
          <w:u w:val="single"/>
          <w:lang w:val="en-US" w:eastAsia="zh-CN"/>
        </w:rPr>
        <w:t>中国工商银行东莞市分行</w:t>
      </w:r>
    </w:p>
    <w:p>
      <w:pPr>
        <w:snapToGrid w:val="0"/>
        <w:spacing w:line="360" w:lineRule="auto"/>
        <w:ind w:left="525" w:leftChars="0" w:hanging="525" w:hangingChars="25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37.4 成交人如未按第37.1款、第37.2款规定办理，将</w:t>
      </w:r>
      <w:r>
        <w:rPr>
          <w:rFonts w:hint="eastAsia" w:ascii="宋体" w:hAnsi="宋体" w:cs="宋体"/>
          <w:color w:val="auto"/>
          <w:kern w:val="2"/>
          <w:sz w:val="21"/>
          <w:szCs w:val="21"/>
          <w:highlight w:val="none"/>
          <w:lang w:val="en-US" w:eastAsia="zh-CN"/>
        </w:rPr>
        <w:t>暂扣成交通知书原件</w:t>
      </w:r>
      <w:r>
        <w:rPr>
          <w:rFonts w:hint="eastAsia" w:ascii="宋体" w:hAnsi="宋体" w:eastAsia="宋体" w:cs="宋体"/>
          <w:color w:val="auto"/>
          <w:kern w:val="2"/>
          <w:sz w:val="21"/>
          <w:szCs w:val="21"/>
          <w:highlight w:val="none"/>
          <w:lang w:val="en-US" w:eastAsia="zh-CN"/>
        </w:rPr>
        <w:t>。</w:t>
      </w:r>
    </w:p>
    <w:p>
      <w:pPr>
        <w:spacing w:line="360" w:lineRule="auto"/>
        <w:ind w:left="598" w:leftChars="1" w:hanging="596" w:hangingChars="284"/>
        <w:jc w:val="both"/>
        <w:outlineLvl w:val="9"/>
        <w:rPr>
          <w:rFonts w:hint="eastAsia" w:ascii="宋体" w:hAnsi="宋体" w:eastAsia="宋体" w:cs="宋体"/>
          <w:color w:val="auto"/>
          <w:kern w:val="0"/>
          <w:sz w:val="21"/>
          <w:szCs w:val="21"/>
          <w:highlight w:val="none"/>
          <w:lang w:val="zh-CN"/>
        </w:rPr>
      </w:pPr>
      <w:bookmarkStart w:id="241" w:name="_Toc450662889"/>
      <w:bookmarkStart w:id="242" w:name="_Toc521918108"/>
    </w:p>
    <w:p>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43" w:name="_Toc2675"/>
      <w:bookmarkStart w:id="244" w:name="_Toc19632"/>
      <w:bookmarkStart w:id="245" w:name="_Toc20000"/>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8   </w:t>
      </w:r>
      <w:r>
        <w:rPr>
          <w:rFonts w:hint="eastAsia" w:ascii="宋体" w:hAnsi="宋体" w:eastAsia="宋体" w:cs="宋体"/>
          <w:color w:val="auto"/>
          <w:kern w:val="2"/>
          <w:sz w:val="21"/>
          <w:szCs w:val="21"/>
          <w:highlight w:val="none"/>
          <w:lang w:val="zh-CN"/>
        </w:rPr>
        <w:t>发票</w:t>
      </w:r>
      <w:bookmarkEnd w:id="241"/>
      <w:bookmarkEnd w:id="242"/>
      <w:bookmarkEnd w:id="243"/>
      <w:bookmarkEnd w:id="244"/>
      <w:bookmarkEnd w:id="245"/>
    </w:p>
    <w:p>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.1 该项目获得成交的成交人在执行合同过程中，向采购人（或采购人控股公司或由采购人管理的</w:t>
      </w:r>
      <w:r>
        <w:rPr>
          <w:rFonts w:hint="eastAsia" w:ascii="宋体" w:hAnsi="宋体" w:eastAsia="宋体" w:cs="宋体"/>
          <w:color w:val="auto"/>
          <w:sz w:val="21"/>
          <w:szCs w:val="21"/>
          <w:highlight w:val="none"/>
        </w:rPr>
        <w:t>参股</w:t>
      </w:r>
      <w:r>
        <w:rPr>
          <w:rFonts w:hint="eastAsia" w:ascii="宋体" w:hAnsi="宋体" w:eastAsia="宋体" w:cs="宋体"/>
          <w:color w:val="auto"/>
          <w:kern w:val="2"/>
          <w:sz w:val="21"/>
          <w:szCs w:val="21"/>
          <w:highlight w:val="none"/>
          <w:lang w:val="zh-CN"/>
        </w:rPr>
        <w:t>公司）出具的发票必须是由成交人开具，不得以其他单位或个人名义出具，本项目成交人向采购人</w:t>
      </w: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含其全资公司、控股公司、由其管理的参股公司</w:t>
      </w:r>
      <w:r>
        <w:rPr>
          <w:rFonts w:hint="eastAsia" w:ascii="宋体" w:hAnsi="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rPr>
        <w:t>出具的发票类型为增值税</w:t>
      </w:r>
      <w:r>
        <w:rPr>
          <w:rFonts w:hint="eastAsia" w:ascii="宋体" w:hAnsi="宋体" w:eastAsia="宋体" w:cs="宋体"/>
          <w:color w:val="auto"/>
          <w:kern w:val="2"/>
          <w:sz w:val="21"/>
          <w:szCs w:val="21"/>
          <w:highlight w:val="none"/>
          <w:lang w:val="en-US" w:eastAsia="zh-CN"/>
        </w:rPr>
        <w:t>专用</w:t>
      </w:r>
      <w:r>
        <w:rPr>
          <w:rFonts w:hint="eastAsia" w:ascii="宋体" w:hAnsi="宋体" w:eastAsia="宋体" w:cs="宋体"/>
          <w:color w:val="auto"/>
          <w:kern w:val="2"/>
          <w:sz w:val="21"/>
          <w:szCs w:val="21"/>
          <w:highlight w:val="none"/>
          <w:lang w:val="zh-CN"/>
        </w:rPr>
        <w:t>发票。</w:t>
      </w:r>
    </w:p>
    <w:p>
      <w:pPr>
        <w:snapToGrid w:val="0"/>
        <w:spacing w:line="360" w:lineRule="auto"/>
        <w:ind w:left="525" w:hanging="600" w:hangingChars="250"/>
        <w:jc w:val="both"/>
        <w:rPr>
          <w:rFonts w:hint="eastAsia" w:ascii="宋体" w:hAnsi="宋体" w:eastAsia="宋体" w:cs="宋体"/>
          <w:color w:val="auto"/>
          <w:highlight w:val="none"/>
          <w:lang w:val="zh-CN"/>
        </w:rPr>
      </w:pPr>
    </w:p>
    <w:p>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46" w:name="_Toc24547"/>
      <w:bookmarkStart w:id="247" w:name="_Toc20311"/>
      <w:bookmarkStart w:id="248" w:name="_Toc142508356"/>
      <w:bookmarkStart w:id="249" w:name="_Toc8619"/>
      <w:bookmarkStart w:id="250" w:name="_Toc14416"/>
      <w:bookmarkStart w:id="251" w:name="_Toc14049"/>
      <w:bookmarkStart w:id="252" w:name="_Toc27075"/>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 xml:space="preserve">  采购</w:t>
      </w:r>
      <w:r>
        <w:rPr>
          <w:rFonts w:hint="eastAsia" w:ascii="宋体" w:hAnsi="宋体" w:eastAsia="宋体" w:cs="宋体"/>
          <w:color w:val="auto"/>
          <w:kern w:val="2"/>
          <w:sz w:val="21"/>
          <w:szCs w:val="21"/>
          <w:highlight w:val="none"/>
          <w:lang w:val="zh-CN"/>
        </w:rPr>
        <w:t>相关补充约定</w:t>
      </w:r>
      <w:bookmarkEnd w:id="246"/>
      <w:bookmarkEnd w:id="247"/>
      <w:bookmarkEnd w:id="248"/>
      <w:bookmarkEnd w:id="249"/>
      <w:bookmarkEnd w:id="250"/>
      <w:bookmarkEnd w:id="251"/>
      <w:bookmarkEnd w:id="252"/>
    </w:p>
    <w:p>
      <w:pPr>
        <w:autoSpaceDE/>
        <w:autoSpaceDN/>
        <w:adjustRightInd/>
        <w:snapToGrid w:val="0"/>
        <w:spacing w:line="360" w:lineRule="auto"/>
        <w:ind w:left="525" w:hanging="525" w:hangingChars="250"/>
        <w:jc w:val="both"/>
        <w:rPr>
          <w:rFonts w:hint="eastAsia" w:ascii="宋体" w:hAnsi="宋体" w:eastAsia="宋体" w:cs="宋体"/>
          <w:color w:val="auto"/>
          <w:highlight w:val="none"/>
          <w:lang w:val="zh-CN"/>
        </w:rPr>
      </w:pPr>
      <w:r>
        <w:rPr>
          <w:rFonts w:hint="eastAsia" w:ascii="宋体" w:hAnsi="宋体" w:eastAsia="宋体" w:cs="宋体"/>
          <w:b w:val="0"/>
          <w:color w:val="auto"/>
          <w:kern w:val="2"/>
          <w:sz w:val="21"/>
          <w:szCs w:val="21"/>
          <w:highlight w:val="none"/>
          <w:lang w:val="en-US" w:eastAsia="zh-CN"/>
        </w:rPr>
        <w:t>39</w:t>
      </w:r>
      <w:r>
        <w:rPr>
          <w:rFonts w:hint="eastAsia" w:ascii="宋体" w:hAnsi="宋体" w:eastAsia="宋体" w:cs="宋体"/>
          <w:b w:val="0"/>
          <w:color w:val="auto"/>
          <w:kern w:val="2"/>
          <w:sz w:val="21"/>
          <w:szCs w:val="21"/>
          <w:highlight w:val="none"/>
          <w:lang w:val="zh-CN"/>
        </w:rPr>
        <w:t>.1</w:t>
      </w:r>
      <w:r>
        <w:rPr>
          <w:rFonts w:hint="eastAsia" w:ascii="宋体" w:hAnsi="宋体" w:eastAsia="宋体" w:cs="宋体"/>
          <w:b w:val="0"/>
          <w:color w:val="auto"/>
          <w:kern w:val="2"/>
          <w:sz w:val="21"/>
          <w:szCs w:val="21"/>
          <w:highlight w:val="none"/>
          <w:lang w:val="zh-CN"/>
        </w:rPr>
        <w:tab/>
      </w:r>
      <w:r>
        <w:rPr>
          <w:rFonts w:hint="eastAsia" w:ascii="宋体" w:hAnsi="宋体" w:eastAsia="宋体" w:cs="宋体"/>
          <w:b/>
          <w:bCs/>
          <w:color w:val="auto"/>
          <w:kern w:val="2"/>
          <w:sz w:val="21"/>
          <w:szCs w:val="21"/>
          <w:highlight w:val="none"/>
          <w:u w:val="single"/>
          <w:lang w:val="zh-CN"/>
        </w:rPr>
        <w:t>本项目</w:t>
      </w:r>
      <w:r>
        <w:rPr>
          <w:rFonts w:hint="eastAsia" w:ascii="宋体" w:hAnsi="宋体" w:eastAsia="宋体" w:cs="宋体"/>
          <w:b/>
          <w:bCs/>
          <w:color w:val="auto"/>
          <w:kern w:val="2"/>
          <w:sz w:val="21"/>
          <w:szCs w:val="21"/>
          <w:highlight w:val="none"/>
          <w:u w:val="single"/>
          <w:lang w:val="en-US" w:eastAsia="zh-CN"/>
        </w:rPr>
        <w:t>磋商</w:t>
      </w:r>
      <w:r>
        <w:rPr>
          <w:rFonts w:hint="eastAsia" w:ascii="宋体" w:hAnsi="宋体" w:eastAsia="宋体" w:cs="宋体"/>
          <w:b/>
          <w:bCs/>
          <w:color w:val="auto"/>
          <w:kern w:val="2"/>
          <w:sz w:val="21"/>
          <w:szCs w:val="21"/>
          <w:highlight w:val="none"/>
          <w:u w:val="single"/>
          <w:lang w:val="zh-CN"/>
        </w:rPr>
        <w:t>须知第2条所述行政处罚信息，以递交响应文件截止时间</w:t>
      </w:r>
      <w:r>
        <w:rPr>
          <w:rFonts w:hint="eastAsia" w:ascii="宋体" w:hAnsi="宋体" w:eastAsia="宋体" w:cs="宋体"/>
          <w:b/>
          <w:bCs/>
          <w:color w:val="auto"/>
          <w:kern w:val="2"/>
          <w:sz w:val="21"/>
          <w:szCs w:val="21"/>
          <w:highlight w:val="none"/>
          <w:u w:val="single"/>
          <w:lang w:val="zh-CN" w:eastAsia="zh-CN"/>
        </w:rPr>
        <w:t>当天</w:t>
      </w:r>
      <w:r>
        <w:rPr>
          <w:rFonts w:hint="eastAsia" w:ascii="宋体" w:hAnsi="宋体" w:eastAsia="宋体" w:cs="宋体"/>
          <w:b/>
          <w:bCs/>
          <w:color w:val="auto"/>
          <w:kern w:val="2"/>
          <w:sz w:val="21"/>
          <w:szCs w:val="21"/>
          <w:highlight w:val="none"/>
          <w:u w:val="single"/>
          <w:lang w:val="zh-CN"/>
        </w:rPr>
        <w:t>在“信用中国”网站（www.creditchina.gov.cn）查询结果为准，或以司法、仲裁机构等出具的生效文件予以认定,时间以认定文件的落款时间为准。</w:t>
      </w:r>
      <w:r>
        <w:rPr>
          <w:rFonts w:hint="eastAsia" w:ascii="宋体" w:hAnsi="宋体" w:eastAsia="宋体" w:cs="宋体"/>
          <w:b/>
          <w:bCs/>
          <w:color w:val="auto"/>
          <w:kern w:val="2"/>
          <w:sz w:val="21"/>
          <w:szCs w:val="21"/>
          <w:highlight w:val="none"/>
          <w:u w:val="single"/>
          <w:lang w:val="en-US" w:eastAsia="zh-CN"/>
        </w:rPr>
        <w:t>磋商</w:t>
      </w:r>
      <w:r>
        <w:rPr>
          <w:rFonts w:hint="eastAsia" w:ascii="宋体" w:hAnsi="宋体" w:eastAsia="宋体" w:cs="宋体"/>
          <w:b/>
          <w:bCs/>
          <w:color w:val="auto"/>
          <w:kern w:val="2"/>
          <w:sz w:val="21"/>
          <w:szCs w:val="21"/>
          <w:highlight w:val="none"/>
          <w:u w:val="single"/>
          <w:lang w:val="zh-CN"/>
        </w:rPr>
        <w:t>结束后，有关</w:t>
      </w:r>
      <w:r>
        <w:rPr>
          <w:rFonts w:hint="eastAsia" w:ascii="宋体" w:hAnsi="宋体" w:eastAsia="宋体" w:cs="宋体"/>
          <w:b/>
          <w:bCs/>
          <w:color w:val="auto"/>
          <w:kern w:val="2"/>
          <w:sz w:val="21"/>
          <w:szCs w:val="21"/>
          <w:highlight w:val="none"/>
          <w:u w:val="single"/>
          <w:lang w:val="en-US" w:eastAsia="zh-CN"/>
        </w:rPr>
        <w:t>响应供应商</w:t>
      </w:r>
      <w:r>
        <w:rPr>
          <w:rFonts w:hint="eastAsia" w:ascii="宋体" w:hAnsi="宋体" w:eastAsia="宋体" w:cs="宋体"/>
          <w:b/>
          <w:bCs/>
          <w:color w:val="auto"/>
          <w:kern w:val="2"/>
          <w:sz w:val="21"/>
          <w:szCs w:val="21"/>
          <w:highlight w:val="none"/>
          <w:u w:val="single"/>
          <w:lang w:val="zh-CN"/>
        </w:rPr>
        <w:t>的行政处罚信息，以递交响应文件截止时间</w:t>
      </w:r>
      <w:r>
        <w:rPr>
          <w:rFonts w:hint="eastAsia" w:ascii="宋体" w:hAnsi="宋体" w:eastAsia="宋体" w:cs="宋体"/>
          <w:b/>
          <w:bCs/>
          <w:color w:val="auto"/>
          <w:kern w:val="2"/>
          <w:sz w:val="21"/>
          <w:szCs w:val="21"/>
          <w:highlight w:val="none"/>
          <w:u w:val="single"/>
          <w:lang w:val="zh-CN" w:eastAsia="zh-CN"/>
        </w:rPr>
        <w:t>当天查询</w:t>
      </w:r>
      <w:r>
        <w:rPr>
          <w:rFonts w:hint="eastAsia" w:ascii="宋体" w:hAnsi="宋体" w:eastAsia="宋体" w:cs="宋体"/>
          <w:b/>
          <w:bCs/>
          <w:color w:val="auto"/>
          <w:kern w:val="2"/>
          <w:sz w:val="21"/>
          <w:szCs w:val="21"/>
          <w:highlight w:val="none"/>
          <w:u w:val="single"/>
          <w:lang w:val="zh-CN"/>
        </w:rPr>
        <w:t>结果为准；结果公示期间，如对有关</w:t>
      </w:r>
      <w:r>
        <w:rPr>
          <w:rFonts w:hint="eastAsia" w:ascii="宋体" w:hAnsi="宋体" w:eastAsia="宋体" w:cs="宋体"/>
          <w:b/>
          <w:bCs/>
          <w:color w:val="auto"/>
          <w:kern w:val="2"/>
          <w:sz w:val="21"/>
          <w:szCs w:val="21"/>
          <w:highlight w:val="none"/>
          <w:u w:val="single"/>
          <w:lang w:val="en-US" w:eastAsia="zh-CN"/>
        </w:rPr>
        <w:t>响应供应商</w:t>
      </w:r>
      <w:r>
        <w:rPr>
          <w:rFonts w:hint="eastAsia" w:ascii="宋体" w:hAnsi="宋体" w:eastAsia="宋体" w:cs="宋体"/>
          <w:b/>
          <w:bCs/>
          <w:color w:val="auto"/>
          <w:kern w:val="2"/>
          <w:sz w:val="21"/>
          <w:szCs w:val="21"/>
          <w:highlight w:val="none"/>
          <w:u w:val="single"/>
          <w:lang w:val="zh-CN"/>
        </w:rPr>
        <w:t>的行政处罚信息存在异议，但不涉及第一</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候选人的，视为对</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结果没有造成实质影响</w:t>
      </w:r>
      <w:r>
        <w:rPr>
          <w:rFonts w:hint="eastAsia" w:ascii="宋体" w:hAnsi="宋体" w:eastAsia="宋体" w:cs="宋体"/>
          <w:b w:val="0"/>
          <w:color w:val="auto"/>
          <w:kern w:val="2"/>
          <w:sz w:val="21"/>
          <w:szCs w:val="21"/>
          <w:highlight w:val="none"/>
          <w:lang w:val="zh-CN"/>
        </w:rPr>
        <w:t>。</w:t>
      </w:r>
    </w:p>
    <w:p>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p>
    <w:p>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sectPr>
          <w:headerReference r:id="rId4" w:type="first"/>
          <w:footerReference r:id="rId7" w:type="first"/>
          <w:headerReference r:id="rId3" w:type="default"/>
          <w:footerReference r:id="rId5" w:type="default"/>
          <w:footerReference r:id="rId6" w:type="even"/>
          <w:pgSz w:w="11906" w:h="16838"/>
          <w:pgMar w:top="1417" w:right="1418" w:bottom="1417" w:left="1418" w:header="720" w:footer="1003" w:gutter="0"/>
          <w:pgBorders w:offsetFrom="page">
            <w:top w:val="none" w:sz="0" w:space="0"/>
            <w:left w:val="none" w:sz="0" w:space="0"/>
            <w:bottom w:val="none" w:sz="0" w:space="0"/>
            <w:right w:val="none" w:sz="0" w:space="0"/>
          </w:pgBorders>
          <w:pgNumType w:fmt="decimal"/>
          <w:cols w:space="720" w:num="1"/>
          <w:titlePg/>
          <w:docGrid w:linePitch="326" w:charSpace="0"/>
        </w:sectPr>
      </w:pPr>
      <w:bookmarkStart w:id="253" w:name="_Toc32444"/>
      <w:bookmarkStart w:id="254" w:name="_Toc521918109"/>
      <w:bookmarkStart w:id="255" w:name="_Toc4342"/>
      <w:bookmarkStart w:id="256" w:name="_Toc9833"/>
      <w:r>
        <w:rPr>
          <w:rFonts w:hint="eastAsia" w:ascii="宋体" w:hAnsi="宋体" w:eastAsia="宋体" w:cs="宋体"/>
          <w:color w:val="auto"/>
          <w:kern w:val="2"/>
          <w:sz w:val="21"/>
          <w:szCs w:val="21"/>
          <w:highlight w:val="none"/>
          <w:lang w:val="en-US" w:eastAsia="zh-CN"/>
        </w:rPr>
        <w:t xml:space="preserve">40   </w:t>
      </w:r>
      <w:r>
        <w:rPr>
          <w:rFonts w:hint="eastAsia" w:ascii="宋体" w:hAnsi="宋体" w:eastAsia="宋体" w:cs="宋体"/>
          <w:color w:val="auto"/>
          <w:kern w:val="2"/>
          <w:sz w:val="21"/>
          <w:szCs w:val="21"/>
          <w:highlight w:val="none"/>
          <w:lang w:val="zh-CN"/>
        </w:rPr>
        <w:t>本次采购活动的最终解释权归采购代理机构及采购人所有。</w:t>
      </w:r>
      <w:bookmarkEnd w:id="253"/>
      <w:bookmarkEnd w:id="254"/>
      <w:bookmarkEnd w:id="255"/>
      <w:bookmarkEnd w:id="256"/>
    </w:p>
    <w:p>
      <w:pPr>
        <w:pStyle w:val="2"/>
        <w:pageBreakBefore/>
        <w:tabs>
          <w:tab w:val="left" w:pos="1080"/>
        </w:tabs>
        <w:spacing w:line="360" w:lineRule="auto"/>
        <w:ind w:left="567" w:hanging="567"/>
        <w:jc w:val="center"/>
        <w:rPr>
          <w:rFonts w:hint="eastAsia" w:ascii="宋体" w:hAnsi="宋体" w:eastAsia="宋体" w:cs="宋体"/>
          <w:color w:val="auto"/>
          <w:highlight w:val="none"/>
          <w:lang w:val="zh-CN"/>
        </w:rPr>
      </w:pPr>
      <w:bookmarkStart w:id="257" w:name="_Toc521918110"/>
      <w:bookmarkStart w:id="258" w:name="_Toc27082"/>
      <w:bookmarkStart w:id="259" w:name="_Toc24271"/>
      <w:bookmarkStart w:id="260" w:name="_Toc15599"/>
      <w:bookmarkStart w:id="261" w:name="_Toc450662891"/>
      <w:bookmarkStart w:id="262" w:name="_Toc523567019"/>
      <w:bookmarkStart w:id="263" w:name="_Toc489359498"/>
      <w:bookmarkStart w:id="264" w:name="_Toc447044603"/>
      <w:bookmarkStart w:id="265" w:name="_Toc447045090"/>
      <w:bookmarkStart w:id="266" w:name="_Toc447044479"/>
      <w:bookmarkStart w:id="267" w:name="_Toc521918112"/>
      <w:r>
        <w:rPr>
          <w:rFonts w:hint="eastAsia" w:ascii="宋体" w:hAnsi="宋体" w:eastAsia="宋体" w:cs="宋体"/>
          <w:b/>
          <w:bCs/>
          <w:color w:val="auto"/>
          <w:kern w:val="44"/>
          <w:sz w:val="32"/>
          <w:szCs w:val="32"/>
          <w:highlight w:val="none"/>
          <w:lang w:val="zh-CN"/>
        </w:rPr>
        <w:t>第三篇</w:t>
      </w:r>
      <w:r>
        <w:rPr>
          <w:rFonts w:hint="eastAsia" w:ascii="宋体" w:hAnsi="宋体" w:eastAsia="宋体" w:cs="宋体"/>
          <w:b/>
          <w:bCs/>
          <w:color w:val="auto"/>
          <w:kern w:val="44"/>
          <w:sz w:val="32"/>
          <w:szCs w:val="32"/>
          <w:highlight w:val="none"/>
          <w:lang w:val="en-US" w:eastAsia="zh-CN"/>
        </w:rPr>
        <w:t xml:space="preserve"> </w:t>
      </w:r>
      <w:r>
        <w:rPr>
          <w:rFonts w:hint="eastAsia" w:ascii="宋体" w:hAnsi="宋体" w:eastAsia="宋体" w:cs="宋体"/>
          <w:b/>
          <w:bCs/>
          <w:color w:val="auto"/>
          <w:kern w:val="44"/>
          <w:sz w:val="32"/>
          <w:szCs w:val="32"/>
          <w:highlight w:val="none"/>
          <w:lang w:val="zh-CN"/>
        </w:rPr>
        <w:t>用户需求书</w:t>
      </w:r>
      <w:bookmarkEnd w:id="257"/>
      <w:bookmarkEnd w:id="258"/>
      <w:bookmarkEnd w:id="259"/>
      <w:bookmarkEnd w:id="260"/>
      <w:bookmarkEnd w:id="261"/>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zh-CN" w:eastAsia="zh-CN"/>
        </w:rPr>
        <w:t>一、项目背景</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根据市水务集团2024年9月9日公告印发《关于印发&lt;东莞市水务集团有限公司有效压缩层级、减少法人户数的工作方案&gt;的通知》的工作安排，为按时完成集团减少法人户数的工作任务，拟由东莞市水务集团实业发展有限公司（下称“实业公司”）旗下全资子公司东莞市众源环境投资有限公司（下称“众源公司”）吸收合并另一全资子公司东莞市智汇水务科技有限公司（下称“智汇公司”），智汇公司的业务、资产、债权债务及人员由众源公司承继，智汇公司依法注销。</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zh-CN" w:eastAsia="zh-CN"/>
        </w:rPr>
        <w:t>二、服务目的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为完成上述吸收合并相关工作，现拟采购一家审计服务单位对智汇公司划转基准日的净资产进行审计、对智汇公司清算注销进行清算审计、及为吸收合并过程中的遇到的财税问题提供相应服务。智汇公司的财务状况：截至2025年6月30日未，公司资产总额3318.81万元，负债总额2910.47万元，所有者权益408.34万元，其中未分配利润-1591.66万元，2025年6月累计营业收入440.71万元，净利润43.39万元。</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zh-CN" w:eastAsia="zh-CN"/>
        </w:rPr>
        <w:t xml:space="preserve">三、工作内容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 xml:space="preserve">（一）净资产审计服务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w:t>
      </w:r>
      <w:r>
        <w:rPr>
          <w:rFonts w:hint="eastAsia" w:ascii="宋体" w:hAnsi="宋体" w:cs="宋体"/>
          <w:color w:val="auto"/>
          <w:kern w:val="0"/>
          <w:sz w:val="21"/>
          <w:szCs w:val="21"/>
          <w:highlight w:val="none"/>
          <w:lang w:eastAsia="zh-CN" w:bidi="ar"/>
        </w:rPr>
        <w:t>划转基准日</w:t>
      </w:r>
      <w:r>
        <w:rPr>
          <w:rFonts w:hint="eastAsia" w:ascii="宋体" w:hAnsi="宋体" w:eastAsia="宋体" w:cs="宋体"/>
          <w:color w:val="auto"/>
          <w:sz w:val="21"/>
          <w:szCs w:val="21"/>
          <w:highlight w:val="none"/>
          <w:lang w:val="zh-CN" w:eastAsia="zh-CN"/>
        </w:rPr>
        <w:t>：暂定2025年7月31日，最终以委托人通知为准；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2、对智汇公司划转基准日净资产财务数据进行审计，并按要求出具相应的净资产审计报告。报告需对净资产的真实性、合法性发表专业意见，为企业管理层、股东、债权人等利益相关方提供可靠的决策依据。</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（二）清算审计服务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cs="宋体"/>
          <w:color w:val="auto"/>
          <w:kern w:val="0"/>
          <w:sz w:val="21"/>
          <w:szCs w:val="21"/>
          <w:highlight w:val="none"/>
          <w:lang w:val="en-US" w:eastAsia="zh-CN" w:bidi="ar"/>
        </w:rPr>
        <w:t>成交人应</w:t>
      </w:r>
      <w:r>
        <w:rPr>
          <w:rFonts w:hint="eastAsia" w:ascii="宋体" w:hAnsi="宋体" w:eastAsia="宋体" w:cs="宋体"/>
          <w:color w:val="auto"/>
          <w:kern w:val="0"/>
          <w:sz w:val="21"/>
          <w:szCs w:val="21"/>
          <w:highlight w:val="none"/>
          <w:lang w:bidi="ar"/>
        </w:rPr>
        <w:t>结合</w:t>
      </w:r>
      <w:r>
        <w:rPr>
          <w:rFonts w:hint="eastAsia" w:ascii="宋体" w:hAnsi="宋体" w:eastAsia="宋体" w:cs="宋体"/>
          <w:color w:val="auto"/>
          <w:sz w:val="21"/>
          <w:szCs w:val="21"/>
          <w:highlight w:val="none"/>
          <w:lang w:val="zh-CN" w:eastAsia="zh-CN"/>
        </w:rPr>
        <w:t>东莞市水务集团实业发展有限公司</w:t>
      </w:r>
      <w:r>
        <w:rPr>
          <w:rFonts w:hint="eastAsia" w:ascii="宋体" w:hAnsi="宋体" w:cs="宋体"/>
          <w:color w:val="auto"/>
          <w:kern w:val="0"/>
          <w:sz w:val="21"/>
          <w:szCs w:val="21"/>
          <w:highlight w:val="none"/>
          <w:lang w:val="en-US" w:eastAsia="zh-CN" w:bidi="ar"/>
        </w:rPr>
        <w:t>提供的</w:t>
      </w:r>
      <w:r>
        <w:rPr>
          <w:rFonts w:hint="eastAsia" w:ascii="宋体" w:hAnsi="宋体" w:eastAsia="宋体" w:cs="宋体"/>
          <w:color w:val="auto"/>
          <w:kern w:val="0"/>
          <w:sz w:val="21"/>
          <w:szCs w:val="21"/>
          <w:highlight w:val="none"/>
          <w:lang w:bidi="ar"/>
        </w:rPr>
        <w:t>清算注销工作计划安排</w:t>
      </w:r>
      <w:r>
        <w:rPr>
          <w:rFonts w:hint="eastAsia" w:ascii="宋体" w:hAnsi="宋体" w:eastAsia="宋体" w:cs="宋体"/>
          <w:color w:val="auto"/>
          <w:sz w:val="21"/>
          <w:szCs w:val="21"/>
          <w:highlight w:val="none"/>
          <w:lang w:val="zh-CN" w:eastAsia="zh-CN"/>
        </w:rPr>
        <w:t>，出具智汇公司清算审计报告，并协助智汇公司完成税务注销工作。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（三）财税服务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 xml:space="preserve">围绕吸收合并过程中涉及的财税问题提供服务工作，主要内容包括但不限于以下方面：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w:t>
      </w:r>
      <w:r>
        <w:rPr>
          <w:rFonts w:hint="eastAsia" w:ascii="宋体" w:hAnsi="宋体" w:cs="宋体"/>
          <w:color w:val="auto"/>
          <w:sz w:val="21"/>
          <w:szCs w:val="21"/>
          <w:highlight w:val="none"/>
          <w:lang w:val="zh-CN" w:eastAsia="zh-CN"/>
        </w:rPr>
        <w:t>、</w:t>
      </w:r>
      <w:r>
        <w:rPr>
          <w:rFonts w:hint="eastAsia" w:ascii="宋体" w:hAnsi="宋体" w:eastAsia="宋体" w:cs="宋体"/>
          <w:color w:val="auto"/>
          <w:sz w:val="21"/>
          <w:szCs w:val="21"/>
          <w:highlight w:val="none"/>
          <w:lang w:val="zh-CN" w:eastAsia="zh-CN"/>
        </w:rPr>
        <w:t>提供吸收合并过程中涉及的财税政策解读及合规建议；</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w:t>
      </w:r>
      <w:r>
        <w:rPr>
          <w:rFonts w:hint="eastAsia" w:ascii="宋体" w:hAnsi="宋体" w:cs="宋体"/>
          <w:color w:val="auto"/>
          <w:sz w:val="21"/>
          <w:szCs w:val="21"/>
          <w:highlight w:val="none"/>
          <w:lang w:val="zh-CN" w:eastAsia="zh-CN"/>
        </w:rPr>
        <w:t>、</w:t>
      </w:r>
      <w:r>
        <w:rPr>
          <w:rFonts w:hint="eastAsia" w:ascii="宋体" w:hAnsi="宋体" w:eastAsia="宋体" w:cs="宋体"/>
          <w:color w:val="auto"/>
          <w:sz w:val="21"/>
          <w:szCs w:val="21"/>
          <w:highlight w:val="none"/>
          <w:lang w:val="zh-CN" w:eastAsia="zh-CN"/>
        </w:rPr>
        <w:t>提供吸收合并后合众源公司及其母公司实业公司财务合并、账务处理及税务处理的专业指导，协助委托人完成吸收合并相关的税务申报，包括特殊性税务处理备案、免税申报、留抵进项税转移、税款清算等，确保资料完整、流程合法合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3、针对吸收合并过程及智汇公司税务注销过程中发现的历史税务问题或税务机关提出的质疑或疑问，提供财税意见支持，必要时出具相关书面意见，并协助合并双方与其主管税务机关沟通协调，解决争议。</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zh-CN" w:eastAsia="zh-CN"/>
        </w:rPr>
        <w:t>四、服务要求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（一）前期工作要求：</w:t>
      </w:r>
      <w:r>
        <w:rPr>
          <w:rFonts w:hint="eastAsia" w:ascii="宋体" w:hAnsi="宋体" w:cs="宋体"/>
          <w:color w:val="auto"/>
          <w:sz w:val="21"/>
          <w:szCs w:val="21"/>
          <w:highlight w:val="none"/>
          <w:lang w:val="en-US" w:eastAsia="zh-CN"/>
        </w:rPr>
        <w:t>成交人</w:t>
      </w:r>
      <w:r>
        <w:rPr>
          <w:rFonts w:hint="eastAsia" w:ascii="宋体" w:hAnsi="宋体" w:eastAsia="宋体" w:cs="宋体"/>
          <w:color w:val="auto"/>
          <w:sz w:val="21"/>
          <w:szCs w:val="21"/>
          <w:highlight w:val="none"/>
          <w:lang w:val="zh-CN" w:eastAsia="zh-CN"/>
        </w:rPr>
        <w:t>应按照本用户需求</w:t>
      </w:r>
      <w:r>
        <w:rPr>
          <w:rFonts w:hint="eastAsia" w:ascii="宋体" w:hAnsi="宋体" w:cs="宋体"/>
          <w:color w:val="auto"/>
          <w:sz w:val="21"/>
          <w:szCs w:val="21"/>
          <w:highlight w:val="none"/>
          <w:lang w:val="en-US" w:eastAsia="zh-CN"/>
        </w:rPr>
        <w:t>书</w:t>
      </w:r>
      <w:r>
        <w:rPr>
          <w:rFonts w:hint="eastAsia" w:ascii="宋体" w:hAnsi="宋体" w:eastAsia="宋体" w:cs="宋体"/>
          <w:color w:val="auto"/>
          <w:sz w:val="21"/>
          <w:szCs w:val="21"/>
          <w:highlight w:val="none"/>
          <w:lang w:val="zh-CN" w:eastAsia="zh-CN"/>
        </w:rPr>
        <w:t>、实际情况和任务目标要求，制定审计工作方案及实施计划。</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（二）进度管理要求：在审计、财税服务实施过程中，</w:t>
      </w:r>
      <w:r>
        <w:rPr>
          <w:rFonts w:hint="eastAsia" w:ascii="宋体" w:hAnsi="宋体" w:cs="宋体"/>
          <w:color w:val="auto"/>
          <w:sz w:val="21"/>
          <w:szCs w:val="21"/>
          <w:highlight w:val="none"/>
          <w:lang w:val="en-US" w:eastAsia="zh-CN"/>
        </w:rPr>
        <w:t>成交人</w:t>
      </w:r>
      <w:r>
        <w:rPr>
          <w:rFonts w:hint="eastAsia" w:ascii="宋体" w:hAnsi="宋体" w:eastAsia="宋体" w:cs="宋体"/>
          <w:color w:val="auto"/>
          <w:sz w:val="21"/>
          <w:szCs w:val="21"/>
          <w:highlight w:val="none"/>
          <w:lang w:val="zh-CN" w:eastAsia="zh-CN"/>
        </w:rPr>
        <w:t>应按计划及时出具并向委托人报送节点成果报告。</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（三）成果提交要求：</w:t>
      </w:r>
      <w:r>
        <w:rPr>
          <w:rFonts w:hint="eastAsia" w:ascii="宋体" w:hAnsi="宋体" w:cs="宋体"/>
          <w:color w:val="auto"/>
          <w:kern w:val="0"/>
          <w:sz w:val="21"/>
          <w:szCs w:val="21"/>
          <w:highlight w:val="none"/>
          <w:lang w:val="en-US" w:eastAsia="zh-CN" w:bidi="ar"/>
        </w:rPr>
        <w:t>成交人应在合同签署时明确告知众源公司需要提供的审计资料，并积极协助众源公司收集、提供审计资料。众源公司提供审计资料后如成交人认为需要补充，应于众源公司提供审计资料后的2个自然日内书面反馈，否则视为众源公司已完成提供审计资料义务，从众源公司提供审计资料之次日起起算成交人应出具审计报告的期限。</w:t>
      </w:r>
      <w:r>
        <w:rPr>
          <w:rFonts w:hint="eastAsia" w:ascii="宋体" w:hAnsi="宋体" w:cs="宋体"/>
          <w:color w:val="auto"/>
          <w:sz w:val="21"/>
          <w:szCs w:val="21"/>
          <w:highlight w:val="none"/>
          <w:lang w:val="en-US" w:eastAsia="zh-CN"/>
        </w:rPr>
        <w:t>成交人</w:t>
      </w:r>
      <w:r>
        <w:rPr>
          <w:rFonts w:hint="eastAsia" w:ascii="宋体" w:hAnsi="宋体" w:eastAsia="宋体" w:cs="宋体"/>
          <w:color w:val="auto"/>
          <w:sz w:val="21"/>
          <w:szCs w:val="21"/>
          <w:highlight w:val="none"/>
          <w:lang w:val="zh-CN" w:eastAsia="zh-CN"/>
        </w:rPr>
        <w:t>需在委托人提供审计资料后30个自然日内出具净资产审计报告、清算审计报告，在委托人提出财税咨询服务需求2个自然日内提供指导意见，在委托人完成吸收合并工作后15个自然日内将吸收合并过程中的涉税政策、办理流程、涉税咨询服务指导意见等形成报告等成果文件</w:t>
      </w:r>
      <w:r>
        <w:rPr>
          <w:rFonts w:hint="eastAsia" w:ascii="宋体" w:hAnsi="宋体" w:cs="宋体"/>
          <w:color w:val="auto"/>
          <w:sz w:val="21"/>
          <w:szCs w:val="21"/>
          <w:highlight w:val="none"/>
          <w:lang w:val="zh-CN" w:eastAsia="zh-CN"/>
        </w:rPr>
        <w:t>，</w:t>
      </w:r>
      <w:r>
        <w:rPr>
          <w:rFonts w:hint="eastAsia" w:ascii="宋体" w:hAnsi="宋体" w:eastAsia="宋体" w:cs="宋体"/>
          <w:color w:val="auto"/>
          <w:sz w:val="21"/>
          <w:szCs w:val="21"/>
          <w:highlight w:val="none"/>
          <w:lang w:val="zh-CN" w:eastAsia="zh-CN"/>
        </w:rPr>
        <w:t>盖章版书面报告一式三份</w:t>
      </w:r>
      <w:r>
        <w:rPr>
          <w:rFonts w:hint="eastAsia" w:ascii="宋体" w:hAnsi="宋体" w:cs="宋体"/>
          <w:color w:val="auto"/>
          <w:sz w:val="21"/>
          <w:szCs w:val="21"/>
          <w:highlight w:val="none"/>
          <w:lang w:val="en-US" w:eastAsia="zh-CN"/>
        </w:rPr>
        <w:t>提交众源公司</w:t>
      </w:r>
      <w:r>
        <w:rPr>
          <w:rFonts w:hint="eastAsia" w:ascii="宋体" w:hAnsi="宋体" w:eastAsia="宋体" w:cs="宋体"/>
          <w:color w:val="auto"/>
          <w:sz w:val="21"/>
          <w:szCs w:val="21"/>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（四）成果运用要求：</w:t>
      </w:r>
      <w:r>
        <w:rPr>
          <w:rFonts w:hint="eastAsia" w:ascii="宋体" w:hAnsi="宋体" w:cs="宋体"/>
          <w:color w:val="auto"/>
          <w:sz w:val="21"/>
          <w:szCs w:val="21"/>
          <w:highlight w:val="none"/>
          <w:lang w:val="en-US" w:eastAsia="zh-CN"/>
        </w:rPr>
        <w:t>成交人</w:t>
      </w:r>
      <w:r>
        <w:rPr>
          <w:rFonts w:hint="eastAsia" w:ascii="宋体" w:hAnsi="宋体" w:eastAsia="宋体" w:cs="宋体"/>
          <w:color w:val="auto"/>
          <w:sz w:val="21"/>
          <w:szCs w:val="21"/>
          <w:highlight w:val="none"/>
          <w:lang w:val="zh-CN" w:eastAsia="zh-CN"/>
        </w:rPr>
        <w:t>须保证，按要求对审计及财税服务全过程提供的文件信息履行保密义务。对审计服务、财税服务过程中产生的所有成果文件信息，</w:t>
      </w:r>
      <w:r>
        <w:rPr>
          <w:rFonts w:hint="eastAsia" w:ascii="宋体" w:hAnsi="宋体" w:cs="宋体"/>
          <w:color w:val="auto"/>
          <w:sz w:val="21"/>
          <w:szCs w:val="21"/>
          <w:highlight w:val="none"/>
          <w:lang w:val="en-US" w:eastAsia="zh-CN"/>
        </w:rPr>
        <w:t>成交人</w:t>
      </w:r>
      <w:r>
        <w:rPr>
          <w:rFonts w:hint="eastAsia" w:ascii="宋体" w:hAnsi="宋体" w:eastAsia="宋体" w:cs="宋体"/>
          <w:color w:val="auto"/>
          <w:sz w:val="21"/>
          <w:szCs w:val="21"/>
          <w:highlight w:val="none"/>
          <w:lang w:val="zh-CN" w:eastAsia="zh-CN"/>
        </w:rPr>
        <w:t>应做好科学归档工作，服务结束后应全部交付委托人并按</w:t>
      </w:r>
      <w:r>
        <w:rPr>
          <w:rFonts w:hint="eastAsia" w:ascii="宋体" w:hAnsi="宋体" w:cs="宋体"/>
          <w:color w:val="auto"/>
          <w:sz w:val="21"/>
          <w:szCs w:val="21"/>
          <w:highlight w:val="none"/>
          <w:lang w:val="en-US" w:eastAsia="zh-CN"/>
        </w:rPr>
        <w:t>众源公司</w:t>
      </w:r>
      <w:r>
        <w:rPr>
          <w:rFonts w:hint="eastAsia" w:ascii="宋体" w:hAnsi="宋体" w:eastAsia="宋体" w:cs="宋体"/>
          <w:color w:val="auto"/>
          <w:sz w:val="21"/>
          <w:szCs w:val="21"/>
          <w:highlight w:val="none"/>
          <w:lang w:val="zh-CN" w:eastAsia="zh-CN"/>
        </w:rPr>
        <w:t>实际要求履行解释义务。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（五）项目团队需配备至少1名注册会计师（负责审计）和1名注册税务师（负责财税服务），服务团队不少于3人，提供团队成员简历及类似项目业绩合同。</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sz w:val="21"/>
          <w:szCs w:val="21"/>
          <w:highlight w:val="none"/>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zh-CN" w:eastAsia="zh-CN"/>
        </w:rPr>
        <w:t>五、服务费用及支付</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本项目服务期自签订合同至众源公司完成吸收合并智汇公司止，</w:t>
      </w:r>
      <w:r>
        <w:rPr>
          <w:rFonts w:hint="eastAsia" w:ascii="宋体" w:hAnsi="宋体" w:cs="宋体"/>
          <w:color w:val="auto"/>
          <w:sz w:val="21"/>
          <w:szCs w:val="21"/>
          <w:highlight w:val="none"/>
          <w:lang w:val="en-US" w:eastAsia="zh-CN"/>
        </w:rPr>
        <w:t>服务期限最长</w:t>
      </w:r>
      <w:r>
        <w:rPr>
          <w:rFonts w:hint="eastAsia" w:ascii="宋体" w:hAnsi="宋体" w:eastAsia="宋体" w:cs="宋体"/>
          <w:color w:val="auto"/>
          <w:sz w:val="21"/>
          <w:szCs w:val="21"/>
          <w:highlight w:val="none"/>
          <w:lang w:val="zh-CN" w:eastAsia="zh-CN"/>
        </w:rPr>
        <w:t>至2026年</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zh-CN" w:eastAsia="zh-CN"/>
        </w:rPr>
        <w:t>月</w:t>
      </w: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zh-CN" w:eastAsia="zh-CN"/>
        </w:rPr>
        <w:t>日。</w:t>
      </w:r>
      <w:r>
        <w:rPr>
          <w:rFonts w:hint="eastAsia" w:ascii="宋体" w:hAnsi="宋体" w:cs="宋体"/>
          <w:color w:val="auto"/>
          <w:sz w:val="21"/>
          <w:szCs w:val="21"/>
          <w:highlight w:val="none"/>
          <w:lang w:val="en-US" w:eastAsia="zh-CN"/>
        </w:rPr>
        <w:t>服务费用</w:t>
      </w:r>
      <w:r>
        <w:rPr>
          <w:rFonts w:hint="eastAsia" w:ascii="宋体" w:hAnsi="宋体" w:eastAsia="宋体" w:cs="宋体"/>
          <w:color w:val="auto"/>
          <w:sz w:val="21"/>
          <w:szCs w:val="21"/>
          <w:highlight w:val="none"/>
          <w:lang w:val="zh-CN" w:eastAsia="zh-CN"/>
        </w:rPr>
        <w:t>包括服务单位为完成本用户需求所产生的全部费用，包括但不限于（1）专业咨询、资料收集（含购买）、材料撰写、项目辅导、人员培训、项目成果文件编制、成果文件印刷、往来询证函费（除银行询证函费用外）等费用；（2）服务期间人员工资、管理费、交通费、通讯费、餐饮、差旅费、保险费等一切费用；（3）所有应支付的对专利权、著作权、商标权或其他知识产权而需要向其他方支付的知识产权使用费等；（4）合理利润、</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val="zh-CN" w:eastAsia="zh-CN"/>
        </w:rPr>
        <w:t>人</w:t>
      </w:r>
      <w:r>
        <w:rPr>
          <w:rFonts w:hint="eastAsia" w:ascii="宋体" w:hAnsi="宋体" w:eastAsia="宋体" w:cs="宋体"/>
          <w:color w:val="auto"/>
          <w:sz w:val="21"/>
          <w:szCs w:val="21"/>
          <w:highlight w:val="none"/>
          <w:lang w:val="zh-CN" w:eastAsia="zh-CN"/>
        </w:rPr>
        <w:t>销项税额以外的税费等；（5）法律法规、商业公认、</w:t>
      </w:r>
      <w:r>
        <w:rPr>
          <w:rFonts w:hint="eastAsia" w:ascii="宋体" w:hAnsi="宋体" w:cs="宋体"/>
          <w:color w:val="auto"/>
          <w:sz w:val="21"/>
          <w:szCs w:val="21"/>
          <w:highlight w:val="none"/>
          <w:lang w:val="zh-CN" w:eastAsia="zh-CN"/>
        </w:rPr>
        <w:t>竞争性磋商文件</w:t>
      </w:r>
      <w:r>
        <w:rPr>
          <w:rFonts w:hint="eastAsia" w:ascii="宋体" w:hAnsi="宋体" w:eastAsia="宋体" w:cs="宋体"/>
          <w:color w:val="auto"/>
          <w:sz w:val="21"/>
          <w:szCs w:val="21"/>
          <w:highlight w:val="none"/>
          <w:lang w:val="zh-CN" w:eastAsia="zh-CN"/>
        </w:rPr>
        <w:t>规定由</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val="zh-CN" w:eastAsia="zh-CN"/>
        </w:rPr>
        <w:t>人</w:t>
      </w:r>
      <w:r>
        <w:rPr>
          <w:rFonts w:hint="eastAsia" w:ascii="宋体" w:hAnsi="宋体" w:eastAsia="宋体" w:cs="宋体"/>
          <w:color w:val="auto"/>
          <w:sz w:val="21"/>
          <w:szCs w:val="21"/>
          <w:highlight w:val="none"/>
          <w:lang w:val="zh-CN" w:eastAsia="zh-CN"/>
        </w:rPr>
        <w:t>承担的其他费用。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服务费用采用分次付款方式，具体如下：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（一）</w:t>
      </w:r>
      <w:r>
        <w:rPr>
          <w:rFonts w:hint="eastAsia" w:ascii="宋体" w:hAnsi="宋体" w:cs="宋体"/>
          <w:color w:val="auto"/>
          <w:sz w:val="21"/>
          <w:szCs w:val="21"/>
          <w:highlight w:val="none"/>
          <w:lang w:val="en-US" w:eastAsia="zh-CN"/>
        </w:rPr>
        <w:t>成交人</w:t>
      </w:r>
      <w:r>
        <w:rPr>
          <w:rFonts w:hint="eastAsia" w:ascii="宋体" w:hAnsi="宋体" w:eastAsia="宋体" w:cs="宋体"/>
          <w:color w:val="auto"/>
          <w:sz w:val="21"/>
          <w:szCs w:val="21"/>
          <w:highlight w:val="none"/>
          <w:lang w:val="zh-CN" w:eastAsia="zh-CN"/>
        </w:rPr>
        <w:t>完成智汇公司净资产审计工作，出具净资产审计报告，并向委托人提供请款报告、等额真实有效的增值税专用发票，经委托人审核无误后15个工作日内向</w:t>
      </w:r>
      <w:r>
        <w:rPr>
          <w:rFonts w:hint="eastAsia" w:ascii="宋体" w:hAnsi="宋体" w:cs="宋体"/>
          <w:color w:val="auto"/>
          <w:sz w:val="21"/>
          <w:szCs w:val="21"/>
          <w:highlight w:val="none"/>
          <w:lang w:val="en-US" w:eastAsia="zh-CN"/>
        </w:rPr>
        <w:t>成交人</w:t>
      </w:r>
      <w:r>
        <w:rPr>
          <w:rFonts w:hint="eastAsia" w:ascii="宋体" w:hAnsi="宋体" w:eastAsia="宋体" w:cs="宋体"/>
          <w:color w:val="auto"/>
          <w:sz w:val="21"/>
          <w:szCs w:val="21"/>
          <w:highlight w:val="none"/>
          <w:lang w:val="zh-CN" w:eastAsia="zh-CN"/>
        </w:rPr>
        <w:t>一次性支付净资产审计费用</w:t>
      </w:r>
      <w:r>
        <w:rPr>
          <w:rFonts w:hint="eastAsia" w:ascii="宋体" w:hAnsi="宋体" w:cs="宋体"/>
          <w:color w:val="auto"/>
          <w:sz w:val="21"/>
          <w:szCs w:val="21"/>
          <w:highlight w:val="none"/>
          <w:lang w:val="en-US" w:eastAsia="zh-CN"/>
        </w:rPr>
        <w:t>及对应增值税</w:t>
      </w:r>
      <w:r>
        <w:rPr>
          <w:rFonts w:hint="eastAsia" w:ascii="宋体" w:hAnsi="宋体" w:eastAsia="宋体" w:cs="宋体"/>
          <w:color w:val="auto"/>
          <w:sz w:val="21"/>
          <w:szCs w:val="21"/>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（二）</w:t>
      </w:r>
      <w:r>
        <w:rPr>
          <w:rFonts w:hint="eastAsia" w:ascii="宋体" w:hAnsi="宋体" w:cs="宋体"/>
          <w:color w:val="auto"/>
          <w:sz w:val="21"/>
          <w:szCs w:val="21"/>
          <w:highlight w:val="none"/>
          <w:lang w:val="en-US" w:eastAsia="zh-CN"/>
        </w:rPr>
        <w:t>成交人</w:t>
      </w:r>
      <w:r>
        <w:rPr>
          <w:rFonts w:hint="eastAsia" w:ascii="宋体" w:hAnsi="宋体" w:eastAsia="宋体" w:cs="宋体"/>
          <w:color w:val="auto"/>
          <w:sz w:val="21"/>
          <w:szCs w:val="21"/>
          <w:highlight w:val="none"/>
          <w:lang w:val="zh-CN" w:eastAsia="zh-CN"/>
        </w:rPr>
        <w:t>完成智汇公司清算审计工作，出具清算审计报告，并协助智汇公司完成税务注销工作，向委托人提供请款报告、等额真实有效的增值税专用发票，经委托人审核无误后15个工作日内向</w:t>
      </w:r>
      <w:r>
        <w:rPr>
          <w:rFonts w:hint="eastAsia" w:ascii="宋体" w:hAnsi="宋体" w:cs="宋体"/>
          <w:color w:val="auto"/>
          <w:sz w:val="21"/>
          <w:szCs w:val="21"/>
          <w:highlight w:val="none"/>
          <w:lang w:val="en-US" w:eastAsia="zh-CN"/>
        </w:rPr>
        <w:t>成交让人</w:t>
      </w:r>
      <w:r>
        <w:rPr>
          <w:rFonts w:hint="eastAsia" w:ascii="宋体" w:hAnsi="宋体" w:eastAsia="宋体" w:cs="宋体"/>
          <w:color w:val="auto"/>
          <w:sz w:val="21"/>
          <w:szCs w:val="21"/>
          <w:highlight w:val="none"/>
          <w:lang w:val="zh-CN" w:eastAsia="zh-CN"/>
        </w:rPr>
        <w:t>一次性支付清算审计费用</w:t>
      </w:r>
      <w:r>
        <w:rPr>
          <w:rFonts w:hint="eastAsia" w:ascii="宋体" w:hAnsi="宋体" w:cs="宋体"/>
          <w:color w:val="auto"/>
          <w:sz w:val="21"/>
          <w:szCs w:val="21"/>
          <w:highlight w:val="none"/>
          <w:lang w:val="en-US" w:eastAsia="zh-CN"/>
        </w:rPr>
        <w:t>及对应增值税</w:t>
      </w:r>
      <w:r>
        <w:rPr>
          <w:rFonts w:hint="eastAsia" w:ascii="宋体" w:hAnsi="宋体" w:eastAsia="宋体" w:cs="宋体"/>
          <w:color w:val="auto"/>
          <w:sz w:val="21"/>
          <w:szCs w:val="21"/>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（三）</w:t>
      </w:r>
      <w:r>
        <w:rPr>
          <w:rFonts w:hint="eastAsia" w:ascii="宋体" w:hAnsi="宋体" w:cs="宋体"/>
          <w:color w:val="auto"/>
          <w:sz w:val="21"/>
          <w:szCs w:val="21"/>
          <w:highlight w:val="none"/>
          <w:lang w:val="en-US" w:eastAsia="zh-CN"/>
        </w:rPr>
        <w:t>成交人</w:t>
      </w:r>
      <w:r>
        <w:rPr>
          <w:rFonts w:hint="eastAsia" w:ascii="宋体" w:hAnsi="宋体" w:eastAsia="宋体" w:cs="宋体"/>
          <w:color w:val="auto"/>
          <w:sz w:val="21"/>
          <w:szCs w:val="21"/>
          <w:highlight w:val="none"/>
          <w:lang w:val="zh-CN" w:eastAsia="zh-CN"/>
        </w:rPr>
        <w:t>完成吸收合并过程所有财税服务工作，出具财税指导意见及相关报告，向委托人提供请款报告、等额真实有效的增值税专用发票，经委托人审核无误后15个工作日内向</w:t>
      </w:r>
      <w:r>
        <w:rPr>
          <w:rFonts w:hint="eastAsia" w:ascii="宋体" w:hAnsi="宋体" w:cs="宋体"/>
          <w:color w:val="auto"/>
          <w:sz w:val="21"/>
          <w:szCs w:val="21"/>
          <w:highlight w:val="none"/>
          <w:lang w:val="en-US" w:eastAsia="zh-CN"/>
        </w:rPr>
        <w:t>成交人</w:t>
      </w:r>
      <w:r>
        <w:rPr>
          <w:rFonts w:hint="eastAsia" w:ascii="宋体" w:hAnsi="宋体" w:eastAsia="宋体" w:cs="宋体"/>
          <w:color w:val="auto"/>
          <w:sz w:val="21"/>
          <w:szCs w:val="21"/>
          <w:highlight w:val="none"/>
          <w:lang w:val="zh-CN" w:eastAsia="zh-CN"/>
        </w:rPr>
        <w:t>一次性支付财税服务费用</w:t>
      </w:r>
      <w:r>
        <w:rPr>
          <w:rFonts w:hint="eastAsia" w:ascii="宋体" w:hAnsi="宋体" w:cs="宋体"/>
          <w:color w:val="auto"/>
          <w:sz w:val="21"/>
          <w:szCs w:val="21"/>
          <w:highlight w:val="none"/>
          <w:lang w:val="en-US" w:eastAsia="zh-CN"/>
        </w:rPr>
        <w:t>及对应增值税</w:t>
      </w:r>
      <w:r>
        <w:rPr>
          <w:rFonts w:hint="eastAsia" w:ascii="宋体" w:hAnsi="宋体" w:eastAsia="宋体" w:cs="宋体"/>
          <w:color w:val="auto"/>
          <w:sz w:val="21"/>
          <w:szCs w:val="21"/>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zh-CN" w:eastAsia="zh-CN"/>
        </w:rPr>
        <w:t>六、违约责任与损失</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下列任何情况发生时，取消</w:t>
      </w:r>
      <w:r>
        <w:rPr>
          <w:rFonts w:hint="eastAsia" w:ascii="宋体" w:hAnsi="宋体" w:cs="宋体"/>
          <w:color w:val="auto"/>
          <w:sz w:val="21"/>
          <w:szCs w:val="21"/>
          <w:highlight w:val="none"/>
          <w:lang w:val="en-US" w:eastAsia="zh-CN"/>
        </w:rPr>
        <w:t>成交人</w:t>
      </w:r>
      <w:r>
        <w:rPr>
          <w:rFonts w:hint="eastAsia" w:ascii="宋体" w:hAnsi="宋体" w:eastAsia="宋体" w:cs="宋体"/>
          <w:color w:val="auto"/>
          <w:sz w:val="21"/>
          <w:szCs w:val="21"/>
          <w:highlight w:val="none"/>
          <w:lang w:val="zh-CN" w:eastAsia="zh-CN"/>
        </w:rPr>
        <w:t>服务资格，并追究其经济和法律责任：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（一）隐瞒审计发现的问题；</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（二）与被审计单位串通舞弊的行为；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（三）利用受聘工作从被审计单位获取不正当利益；</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（四）将审计结果及咨询服务成果用于与本用户需求事项无关目的；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（五）违反保密纪律；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（六）向被审计单位提出与审计工作无关的要求；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（七）利用审计职权或知晓的被审计单位的商业秘密和内部信息，为自己和他人谋利等违反职业道德的行为；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（八）违反保密条款。</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zh-CN"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zh-CN" w:eastAsia="zh-CN"/>
        </w:rPr>
        <w:t>七、争端的解决</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合同执行过程中发生的任何争议，如双方不能通过友好协商解决，任何一方可向采购人所在地有管辖权的人民法院提起诉讼。</w:t>
      </w:r>
    </w:p>
    <w:p>
      <w:pPr>
        <w:spacing w:line="360" w:lineRule="auto"/>
        <w:ind w:firstLine="420" w:firstLineChars="200"/>
        <w:rPr>
          <w:rFonts w:hint="eastAsia" w:ascii="宋体" w:hAnsi="宋体" w:eastAsia="宋体" w:cs="宋体"/>
          <w:color w:val="auto"/>
          <w:sz w:val="21"/>
          <w:szCs w:val="21"/>
          <w:highlight w:val="none"/>
          <w:lang w:val="zh-CN" w:eastAsia="zh-CN"/>
        </w:rPr>
      </w:pPr>
    </w:p>
    <w:p>
      <w:pPr>
        <w:spacing w:line="360" w:lineRule="auto"/>
        <w:ind w:firstLine="420" w:firstLineChars="200"/>
        <w:rPr>
          <w:rFonts w:hint="eastAsia" w:ascii="宋体" w:hAnsi="宋体" w:eastAsia="宋体" w:cs="宋体"/>
          <w:color w:val="auto"/>
          <w:sz w:val="21"/>
          <w:szCs w:val="21"/>
          <w:highlight w:val="none"/>
          <w:lang w:val="zh-CN" w:eastAsia="zh-CN"/>
        </w:rPr>
      </w:pPr>
    </w:p>
    <w:p>
      <w:pPr>
        <w:spacing w:line="360" w:lineRule="auto"/>
        <w:ind w:firstLine="420" w:firstLineChars="200"/>
        <w:rPr>
          <w:rFonts w:hint="eastAsia" w:ascii="宋体" w:hAnsi="宋体" w:eastAsia="宋体" w:cs="宋体"/>
          <w:color w:val="auto"/>
          <w:sz w:val="21"/>
          <w:szCs w:val="21"/>
          <w:highlight w:val="none"/>
          <w:lang w:val="zh-CN" w:eastAsia="zh-CN"/>
        </w:rPr>
      </w:pPr>
    </w:p>
    <w:p>
      <w:pPr>
        <w:spacing w:line="360" w:lineRule="auto"/>
        <w:ind w:firstLine="420" w:firstLineChars="200"/>
        <w:rPr>
          <w:rFonts w:hint="eastAsia" w:ascii="宋体" w:hAnsi="宋体" w:eastAsia="宋体" w:cs="宋体"/>
          <w:color w:val="auto"/>
          <w:sz w:val="21"/>
          <w:szCs w:val="21"/>
          <w:highlight w:val="none"/>
          <w:lang w:val="zh-CN" w:eastAsia="zh-CN"/>
        </w:rPr>
      </w:pPr>
    </w:p>
    <w:p>
      <w:pPr>
        <w:spacing w:line="360" w:lineRule="auto"/>
        <w:ind w:firstLine="420" w:firstLineChars="200"/>
        <w:rPr>
          <w:rFonts w:hint="eastAsia" w:ascii="宋体" w:hAnsi="宋体" w:eastAsia="宋体" w:cs="宋体"/>
          <w:color w:val="auto"/>
          <w:sz w:val="21"/>
          <w:szCs w:val="21"/>
          <w:highlight w:val="none"/>
          <w:lang w:val="zh-CN" w:eastAsia="zh-CN"/>
        </w:rPr>
      </w:pPr>
    </w:p>
    <w:p>
      <w:pPr>
        <w:spacing w:line="360" w:lineRule="auto"/>
        <w:ind w:firstLine="420" w:firstLineChars="200"/>
        <w:rPr>
          <w:rFonts w:hint="eastAsia" w:ascii="宋体" w:hAnsi="宋体" w:eastAsia="宋体" w:cs="宋体"/>
          <w:color w:val="auto"/>
          <w:sz w:val="21"/>
          <w:szCs w:val="21"/>
          <w:highlight w:val="none"/>
          <w:lang w:val="zh-CN" w:eastAsia="zh-CN"/>
        </w:rPr>
      </w:pPr>
    </w:p>
    <w:p>
      <w:pPr>
        <w:spacing w:line="360" w:lineRule="auto"/>
        <w:ind w:firstLine="420" w:firstLineChars="200"/>
        <w:rPr>
          <w:rFonts w:hint="eastAsia" w:ascii="宋体" w:hAnsi="宋体" w:eastAsia="宋体" w:cs="宋体"/>
          <w:color w:val="auto"/>
          <w:sz w:val="21"/>
          <w:szCs w:val="21"/>
          <w:highlight w:val="none"/>
          <w:lang w:val="zh-CN" w:eastAsia="zh-CN"/>
        </w:rPr>
      </w:pPr>
    </w:p>
    <w:p>
      <w:pPr>
        <w:spacing w:line="360" w:lineRule="auto"/>
        <w:ind w:firstLine="420" w:firstLineChars="200"/>
        <w:rPr>
          <w:rFonts w:hint="eastAsia" w:ascii="宋体" w:hAnsi="宋体" w:cs="宋体"/>
          <w:color w:val="auto"/>
          <w:sz w:val="21"/>
          <w:szCs w:val="21"/>
          <w:highlight w:val="none"/>
          <w:lang w:val="en-US" w:eastAsia="zh-CN"/>
        </w:rPr>
      </w:pPr>
    </w:p>
    <w:p>
      <w:pPr>
        <w:spacing w:line="360" w:lineRule="auto"/>
        <w:ind w:firstLine="420" w:firstLineChars="200"/>
        <w:rPr>
          <w:rFonts w:hint="default" w:ascii="宋体" w:hAnsi="宋体" w:cs="宋体"/>
          <w:color w:val="auto"/>
          <w:sz w:val="21"/>
          <w:szCs w:val="21"/>
          <w:highlight w:val="none"/>
          <w:lang w:val="en-US" w:eastAsia="zh-CN"/>
        </w:rPr>
      </w:pPr>
    </w:p>
    <w:p>
      <w:pPr>
        <w:pStyle w:val="2"/>
        <w:pageBreakBefore/>
        <w:tabs>
          <w:tab w:val="left" w:pos="1080"/>
        </w:tabs>
        <w:spacing w:line="360" w:lineRule="auto"/>
        <w:ind w:left="567" w:hanging="567"/>
        <w:jc w:val="center"/>
        <w:rPr>
          <w:rFonts w:hint="eastAsia" w:ascii="宋体" w:hAnsi="宋体" w:eastAsia="宋体" w:cs="宋体"/>
          <w:b/>
          <w:bCs/>
          <w:color w:val="auto"/>
          <w:kern w:val="44"/>
          <w:sz w:val="32"/>
          <w:szCs w:val="32"/>
          <w:highlight w:val="none"/>
          <w:lang w:val="zh-CN"/>
        </w:rPr>
      </w:pPr>
      <w:bookmarkStart w:id="268" w:name="_Toc22795"/>
      <w:bookmarkStart w:id="269" w:name="_Toc16289"/>
      <w:bookmarkStart w:id="270" w:name="_Toc21372"/>
      <w:r>
        <w:rPr>
          <w:rFonts w:hint="eastAsia" w:ascii="宋体" w:hAnsi="宋体" w:eastAsia="宋体" w:cs="宋体"/>
          <w:b/>
          <w:bCs/>
          <w:color w:val="auto"/>
          <w:kern w:val="44"/>
          <w:sz w:val="32"/>
          <w:szCs w:val="32"/>
          <w:highlight w:val="none"/>
          <w:lang w:val="zh-CN"/>
        </w:rPr>
        <w:t>第四篇</w:t>
      </w:r>
      <w:r>
        <w:rPr>
          <w:rFonts w:hint="eastAsia" w:ascii="宋体" w:hAnsi="宋体" w:eastAsia="宋体" w:cs="宋体"/>
          <w:b/>
          <w:bCs/>
          <w:color w:val="auto"/>
          <w:kern w:val="44"/>
          <w:sz w:val="32"/>
          <w:szCs w:val="32"/>
          <w:highlight w:val="none"/>
          <w:lang w:val="en-US" w:eastAsia="zh-CN"/>
        </w:rPr>
        <w:t xml:space="preserve"> </w:t>
      </w:r>
      <w:r>
        <w:rPr>
          <w:rFonts w:hint="eastAsia" w:ascii="宋体" w:hAnsi="宋体" w:eastAsia="宋体" w:cs="宋体"/>
          <w:b/>
          <w:bCs/>
          <w:color w:val="auto"/>
          <w:kern w:val="44"/>
          <w:sz w:val="32"/>
          <w:szCs w:val="32"/>
          <w:highlight w:val="none"/>
          <w:lang w:val="zh-CN"/>
        </w:rPr>
        <w:t>合同条款格式</w:t>
      </w:r>
      <w:bookmarkEnd w:id="268"/>
      <w:bookmarkEnd w:id="269"/>
      <w:bookmarkEnd w:id="270"/>
    </w:p>
    <w:bookmarkEnd w:id="262"/>
    <w:bookmarkEnd w:id="263"/>
    <w:bookmarkEnd w:id="264"/>
    <w:bookmarkEnd w:id="265"/>
    <w:bookmarkEnd w:id="266"/>
    <w:bookmarkEnd w:id="267"/>
    <w:p>
      <w:pPr>
        <w:pStyle w:val="22"/>
        <w:rPr>
          <w:rFonts w:hint="eastAsia" w:ascii="宋体" w:hAnsi="宋体" w:eastAsia="宋体" w:cs="宋体"/>
          <w:color w:val="auto"/>
          <w:highlight w:val="none"/>
          <w:lang w:eastAsia="zh-Hans"/>
        </w:rPr>
      </w:pPr>
      <w:bookmarkStart w:id="271" w:name="_Toc521918113"/>
      <w:bookmarkStart w:id="272" w:name="_Toc450662895"/>
    </w:p>
    <w:p>
      <w:pPr>
        <w:jc w:val="center"/>
        <w:rPr>
          <w:rFonts w:hint="eastAsia" w:ascii="宋体" w:hAnsi="宋体" w:eastAsia="宋体" w:cs="宋体"/>
          <w:b/>
          <w:bCs/>
          <w:color w:val="auto"/>
          <w:sz w:val="44"/>
          <w:szCs w:val="44"/>
          <w:highlight w:val="none"/>
          <w:lang w:eastAsia="zh-Hans"/>
        </w:rPr>
      </w:pPr>
      <w:bookmarkStart w:id="273" w:name="_Hlk112684431"/>
    </w:p>
    <w:bookmarkEnd w:id="273"/>
    <w:p>
      <w:pPr>
        <w:spacing w:line="360" w:lineRule="auto"/>
        <w:jc w:val="center"/>
        <w:rPr>
          <w:rFonts w:hint="default" w:ascii="宋体" w:hAnsi="宋体" w:eastAsia="宋体" w:cs="宋体"/>
          <w:b/>
          <w:bCs/>
          <w:color w:val="auto"/>
          <w:sz w:val="44"/>
          <w:szCs w:val="44"/>
          <w:highlight w:val="none"/>
          <w:lang w:val="en-US"/>
        </w:rPr>
      </w:pPr>
      <w:r>
        <w:rPr>
          <w:rFonts w:hint="eastAsia" w:ascii="宋体" w:hAnsi="宋体" w:cs="宋体"/>
          <w:b/>
          <w:bCs/>
          <w:color w:val="auto"/>
          <w:sz w:val="44"/>
          <w:szCs w:val="44"/>
          <w:highlight w:val="none"/>
          <w:lang w:eastAsia="zh-CN"/>
        </w:rPr>
        <w:t>审计及财税服务采购</w:t>
      </w:r>
      <w:r>
        <w:rPr>
          <w:rFonts w:hint="eastAsia" w:ascii="宋体" w:hAnsi="宋体" w:cs="宋体"/>
          <w:b/>
          <w:bCs/>
          <w:color w:val="auto"/>
          <w:sz w:val="44"/>
          <w:szCs w:val="44"/>
          <w:highlight w:val="none"/>
          <w:lang w:val="en-US" w:eastAsia="zh-CN"/>
        </w:rPr>
        <w:t>合同</w:t>
      </w:r>
    </w:p>
    <w:p>
      <w:pPr>
        <w:spacing w:line="360" w:lineRule="auto"/>
        <w:jc w:val="center"/>
        <w:rPr>
          <w:rFonts w:hint="eastAsia" w:ascii="宋体" w:hAnsi="宋体" w:eastAsia="宋体" w:cs="宋体"/>
          <w:b/>
          <w:bCs/>
          <w:color w:val="auto"/>
          <w:sz w:val="44"/>
          <w:szCs w:val="44"/>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spacing w:line="360" w:lineRule="auto"/>
        <w:ind w:left="0" w:leftChars="0" w:firstLine="1680" w:firstLineChars="6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合同编号：</w:t>
      </w:r>
    </w:p>
    <w:p>
      <w:pPr>
        <w:spacing w:line="360" w:lineRule="auto"/>
        <w:ind w:left="0" w:leftChars="0" w:firstLine="1680" w:firstLineChars="6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甲方：</w:t>
      </w:r>
      <w:r>
        <w:rPr>
          <w:rFonts w:hint="eastAsia" w:ascii="宋体" w:hAnsi="宋体" w:eastAsia="宋体" w:cs="宋体"/>
          <w:color w:val="auto"/>
          <w:sz w:val="28"/>
          <w:szCs w:val="28"/>
          <w:highlight w:val="none"/>
          <w:u w:val="single"/>
        </w:rPr>
        <w:t>东莞市众源环境投资有限公司</w:t>
      </w:r>
    </w:p>
    <w:p>
      <w:pPr>
        <w:spacing w:line="360" w:lineRule="auto"/>
        <w:ind w:left="0" w:leftChars="0" w:firstLine="1680" w:firstLineChars="6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乙方：</w:t>
      </w:r>
      <w:r>
        <w:rPr>
          <w:rFonts w:hint="eastAsia" w:ascii="宋体" w:hAnsi="宋体" w:eastAsia="宋体" w:cs="宋体"/>
          <w:color w:val="auto"/>
          <w:sz w:val="28"/>
          <w:szCs w:val="28"/>
          <w:highlight w:val="none"/>
          <w:u w:val="single"/>
        </w:rPr>
        <w:t xml:space="preserve">                          </w:t>
      </w:r>
    </w:p>
    <w:p>
      <w:pPr>
        <w:spacing w:line="360" w:lineRule="auto"/>
        <w:ind w:firstLine="1120" w:firstLineChars="400"/>
        <w:rPr>
          <w:rFonts w:hint="eastAsia" w:ascii="宋体" w:hAnsi="宋体" w:eastAsia="宋体" w:cs="宋体"/>
          <w:color w:val="auto"/>
          <w:sz w:val="28"/>
          <w:szCs w:val="28"/>
          <w:highlight w:val="none"/>
        </w:rPr>
      </w:pPr>
    </w:p>
    <w:p>
      <w:pPr>
        <w:autoSpaceDE w:val="0"/>
        <w:autoSpaceDN w:val="0"/>
        <w:adjustRightInd w:val="0"/>
        <w:spacing w:line="360" w:lineRule="auto"/>
        <w:ind w:firstLine="2217" w:firstLineChars="792"/>
        <w:jc w:val="left"/>
        <w:rPr>
          <w:rFonts w:hint="eastAsia" w:ascii="宋体" w:hAnsi="宋体" w:eastAsia="宋体" w:cs="宋体"/>
          <w:b/>
          <w:bCs/>
          <w:color w:val="auto"/>
          <w:kern w:val="0"/>
          <w:sz w:val="28"/>
          <w:szCs w:val="28"/>
          <w:highlight w:val="none"/>
        </w:rPr>
      </w:pPr>
      <w:r>
        <w:rPr>
          <w:rFonts w:hint="eastAsia" w:ascii="宋体" w:hAnsi="宋体" w:eastAsia="宋体" w:cs="宋体"/>
          <w:color w:val="auto"/>
          <w:sz w:val="28"/>
          <w:szCs w:val="28"/>
          <w:highlight w:val="none"/>
        </w:rPr>
        <w:t>签订日期：</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年  月   日</w:t>
      </w:r>
    </w:p>
    <w:p>
      <w:pPr>
        <w:spacing w:line="540" w:lineRule="exact"/>
        <w:ind w:right="-358" w:rightChars="-149" w:firstLine="422" w:firstLineChars="200"/>
        <w:rPr>
          <w:rFonts w:hint="eastAsia" w:ascii="宋体" w:hAnsi="宋体" w:eastAsia="宋体" w:cs="宋体"/>
          <w:b/>
          <w:bCs/>
          <w:color w:val="auto"/>
          <w:sz w:val="21"/>
          <w:szCs w:val="21"/>
          <w:highlight w:val="none"/>
        </w:rPr>
      </w:pPr>
    </w:p>
    <w:p>
      <w:pPr>
        <w:rPr>
          <w:rFonts w:hint="eastAsia" w:ascii="宋体" w:hAnsi="宋体" w:eastAsia="宋体" w:cs="宋体"/>
          <w:color w:val="auto"/>
          <w:sz w:val="21"/>
          <w:szCs w:val="21"/>
          <w:highlight w:val="none"/>
        </w:rPr>
      </w:pPr>
      <w:bookmarkStart w:id="274" w:name="_Toc20774"/>
      <w:bookmarkStart w:id="275" w:name="_Toc29174"/>
      <w:r>
        <w:rPr>
          <w:rFonts w:hint="eastAsia" w:ascii="宋体" w:hAnsi="宋体" w:eastAsia="宋体" w:cs="宋体"/>
          <w:color w:val="auto"/>
          <w:sz w:val="21"/>
          <w:szCs w:val="21"/>
          <w:highlight w:val="none"/>
        </w:rPr>
        <w:br w:type="page"/>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bCs/>
          <w:color w:val="auto"/>
          <w:sz w:val="21"/>
          <w:szCs w:val="21"/>
          <w:highlight w:val="none"/>
          <w:shd w:val="clear" w:color="auto" w:fill="FFFFFF"/>
          <w:lang w:val="en-US" w:eastAsia="zh-CN"/>
        </w:rPr>
      </w:pPr>
      <w:bookmarkStart w:id="276" w:name="_Toc11413"/>
      <w:r>
        <w:rPr>
          <w:rFonts w:hint="eastAsia" w:ascii="宋体" w:hAnsi="宋体" w:eastAsia="宋体" w:cs="宋体"/>
          <w:b/>
          <w:bCs/>
          <w:color w:val="auto"/>
          <w:sz w:val="21"/>
          <w:szCs w:val="21"/>
          <w:highlight w:val="none"/>
          <w:shd w:val="clear" w:color="auto" w:fill="FFFFFF"/>
        </w:rPr>
        <w:t>甲方：</w:t>
      </w:r>
      <w:r>
        <w:rPr>
          <w:rFonts w:hint="eastAsia" w:ascii="宋体" w:hAnsi="宋体" w:eastAsia="宋体" w:cs="宋体"/>
          <w:b/>
          <w:bCs/>
          <w:color w:val="auto"/>
          <w:sz w:val="21"/>
          <w:szCs w:val="21"/>
          <w:highlight w:val="none"/>
          <w:shd w:val="clear" w:color="auto" w:fill="FFFFFF"/>
          <w:lang w:val="en-US" w:eastAsia="zh-CN"/>
        </w:rPr>
        <w:t>东莞市众源环境投资有限公司</w:t>
      </w:r>
    </w:p>
    <w:p>
      <w:pPr>
        <w:pStyle w:val="73"/>
        <w:keepNext w:val="0"/>
        <w:keepLines w:val="0"/>
        <w:pageBreakBefore w:val="0"/>
        <w:kinsoku/>
        <w:wordWrap/>
        <w:overflowPunct/>
        <w:topLinePunct w:val="0"/>
        <w:bidi w:val="0"/>
        <w:adjustRightInd w:val="0"/>
        <w:snapToGrid w:val="0"/>
        <w:spacing w:line="360" w:lineRule="auto"/>
        <w:jc w:val="both"/>
        <w:textAlignment w:val="auto"/>
        <w:rPr>
          <w:rFonts w:hint="eastAsia" w:ascii="宋体" w:hAnsi="宋体" w:eastAsia="宋体" w:cs="宋体"/>
          <w:bCs/>
          <w:color w:val="auto"/>
          <w:sz w:val="21"/>
          <w:szCs w:val="21"/>
          <w:highlight w:val="none"/>
          <w:shd w:val="clear" w:color="auto" w:fill="FFFFFF"/>
        </w:rPr>
      </w:pPr>
    </w:p>
    <w:p>
      <w:pPr>
        <w:pStyle w:val="73"/>
        <w:keepNext w:val="0"/>
        <w:keepLines w:val="0"/>
        <w:pageBreakBefore w:val="0"/>
        <w:kinsoku/>
        <w:wordWrap/>
        <w:overflowPunct/>
        <w:topLinePunct w:val="0"/>
        <w:bidi w:val="0"/>
        <w:adjustRightInd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shd w:val="clear" w:color="auto" w:fill="FFFFFF"/>
        </w:rPr>
        <w:t>乙方：</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cs="宋体"/>
          <w:color w:val="auto"/>
          <w:sz w:val="21"/>
          <w:szCs w:val="21"/>
          <w:highlight w:val="none"/>
          <w:lang w:val="en-US" w:eastAsia="zh-CN"/>
        </w:rPr>
        <w:t>委托</w:t>
      </w:r>
      <w:r>
        <w:rPr>
          <w:rFonts w:hint="eastAsia" w:ascii="宋体" w:hAnsi="宋体" w:eastAsia="宋体" w:cs="宋体"/>
          <w:color w:val="auto"/>
          <w:sz w:val="21"/>
          <w:szCs w:val="21"/>
          <w:highlight w:val="none"/>
          <w:u w:val="single"/>
        </w:rPr>
        <w:t>东莞市水务集团实业发展有限公司</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下称“实业公司”）</w:t>
      </w:r>
      <w:r>
        <w:rPr>
          <w:rFonts w:hint="eastAsia" w:ascii="宋体" w:hAnsi="宋体" w:eastAsia="宋体" w:cs="宋体"/>
          <w:color w:val="auto"/>
          <w:sz w:val="21"/>
          <w:szCs w:val="21"/>
          <w:highlight w:val="none"/>
        </w:rPr>
        <w:t>通过</w:t>
      </w:r>
      <w:r>
        <w:rPr>
          <w:rFonts w:hint="eastAsia" w:ascii="宋体" w:hAnsi="宋体" w:cs="宋体"/>
          <w:color w:val="auto"/>
          <w:sz w:val="21"/>
          <w:szCs w:val="21"/>
          <w:highlight w:val="none"/>
          <w:lang w:val="en-US" w:eastAsia="zh-CN"/>
        </w:rPr>
        <w:t>竞争性磋商方式</w:t>
      </w:r>
      <w:r>
        <w:rPr>
          <w:rFonts w:hint="eastAsia" w:ascii="宋体" w:hAnsi="宋体" w:eastAsia="宋体" w:cs="宋体"/>
          <w:color w:val="auto"/>
          <w:sz w:val="21"/>
          <w:szCs w:val="21"/>
          <w:highlight w:val="none"/>
        </w:rPr>
        <w:t>确定乙方为</w:t>
      </w:r>
      <w:r>
        <w:rPr>
          <w:rFonts w:hint="eastAsia" w:ascii="宋体" w:hAnsi="宋体" w:eastAsia="宋体" w:cs="宋体"/>
          <w:color w:val="auto"/>
          <w:sz w:val="21"/>
          <w:szCs w:val="21"/>
          <w:highlight w:val="none"/>
          <w:u w:val="single"/>
        </w:rPr>
        <w:t>东莞市水务集团实业发展有限公司审计及财税服务采购项目</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项目名称</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rPr>
        <w:t>的服务单位，甲乙双方本着诚实守信、平等互利的原则，结合《中华人民共和国民法典》 及其他有关法律、行政法规，订立本合同。</w:t>
      </w:r>
    </w:p>
    <w:p>
      <w:pPr>
        <w:keepNext w:val="0"/>
        <w:keepLines w:val="0"/>
        <w:pageBreakBefore w:val="0"/>
        <w:kinsoku/>
        <w:wordWrap/>
        <w:overflowPunct/>
        <w:topLinePunct w:val="0"/>
        <w:bidi w:val="0"/>
        <w:adjustRightInd w:val="0"/>
        <w:snapToGrid w:val="0"/>
        <w:spacing w:line="360" w:lineRule="auto"/>
        <w:ind w:firstLine="422" w:firstLineChars="200"/>
        <w:jc w:val="left"/>
        <w:textAlignment w:val="auto"/>
        <w:rPr>
          <w:rFonts w:hint="eastAsia" w:ascii="宋体" w:hAnsi="宋体" w:eastAsia="宋体" w:cs="宋体"/>
          <w:b/>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第一条 服务范围</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形式</w:t>
      </w:r>
      <w:r>
        <w:rPr>
          <w:rFonts w:hint="eastAsia" w:ascii="宋体" w:hAnsi="宋体" w:eastAsia="宋体" w:cs="宋体"/>
          <w:b/>
          <w:color w:val="auto"/>
          <w:sz w:val="21"/>
          <w:szCs w:val="21"/>
          <w:highlight w:val="none"/>
        </w:rPr>
        <w:t>及服务期限</w:t>
      </w:r>
    </w:p>
    <w:p>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）服务范围：</w:t>
      </w:r>
    </w:p>
    <w:p>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根据甲方</w:t>
      </w:r>
      <w:r>
        <w:rPr>
          <w:rFonts w:hint="eastAsia" w:ascii="宋体" w:hAnsi="宋体" w:eastAsia="宋体" w:cs="宋体"/>
          <w:bCs w:val="0"/>
          <w:color w:val="auto"/>
          <w:sz w:val="21"/>
          <w:szCs w:val="21"/>
          <w:highlight w:val="none"/>
          <w:lang w:val="en-US" w:eastAsia="zh-CN"/>
        </w:rPr>
        <w:t>要求</w:t>
      </w:r>
      <w:r>
        <w:rPr>
          <w:rFonts w:hint="eastAsia" w:ascii="宋体" w:hAnsi="宋体" w:eastAsia="宋体" w:cs="宋体"/>
          <w:bCs/>
          <w:color w:val="auto"/>
          <w:sz w:val="21"/>
          <w:szCs w:val="21"/>
          <w:highlight w:val="none"/>
          <w:lang w:val="en-US" w:eastAsia="zh-CN"/>
        </w:rPr>
        <w:t>对</w:t>
      </w:r>
      <w:r>
        <w:rPr>
          <w:rFonts w:hint="eastAsia" w:ascii="宋体" w:hAnsi="宋体" w:eastAsia="宋体" w:cs="宋体"/>
          <w:b w:val="0"/>
          <w:bCs/>
          <w:color w:val="auto"/>
          <w:sz w:val="21"/>
          <w:szCs w:val="21"/>
          <w:highlight w:val="none"/>
          <w:u w:val="none"/>
          <w:lang w:val="en-US" w:eastAsia="zh-CN" w:bidi="ar"/>
        </w:rPr>
        <w:t>东莞市智汇水务科技有限公司</w:t>
      </w:r>
      <w:r>
        <w:rPr>
          <w:rFonts w:hint="eastAsia" w:ascii="宋体" w:hAnsi="宋体" w:cs="宋体"/>
          <w:b w:val="0"/>
          <w:bCs/>
          <w:color w:val="auto"/>
          <w:sz w:val="21"/>
          <w:szCs w:val="21"/>
          <w:highlight w:val="none"/>
          <w:u w:val="none"/>
          <w:lang w:val="en-US" w:eastAsia="zh-CN" w:bidi="ar"/>
        </w:rPr>
        <w:t>(下称“智汇公司”）</w:t>
      </w:r>
      <w:r>
        <w:rPr>
          <w:rFonts w:hint="eastAsia" w:ascii="宋体" w:hAnsi="宋体" w:eastAsia="宋体" w:cs="宋体"/>
          <w:bCs/>
          <w:color w:val="auto"/>
          <w:sz w:val="21"/>
          <w:szCs w:val="21"/>
          <w:highlight w:val="none"/>
          <w:lang w:val="en-US" w:eastAsia="zh-CN"/>
        </w:rPr>
        <w:t>进行</w:t>
      </w:r>
      <w:r>
        <w:rPr>
          <w:rFonts w:hint="eastAsia" w:ascii="宋体" w:hAnsi="宋体" w:eastAsia="宋体" w:cs="宋体"/>
          <w:bCs/>
          <w:color w:val="auto"/>
          <w:kern w:val="2"/>
          <w:sz w:val="21"/>
          <w:szCs w:val="21"/>
          <w:highlight w:val="none"/>
          <w:lang w:val="en-US" w:eastAsia="zh-CN" w:bidi="ar"/>
        </w:rPr>
        <w:t>净资产审计服务、清算审计服务及财税咨询服务等，并出具</w:t>
      </w:r>
      <w:r>
        <w:rPr>
          <w:rFonts w:hint="eastAsia" w:ascii="宋体" w:hAnsi="宋体" w:eastAsia="宋体" w:cs="宋体"/>
          <w:bCs/>
          <w:color w:val="auto"/>
          <w:sz w:val="21"/>
          <w:szCs w:val="21"/>
          <w:highlight w:val="none"/>
          <w:lang w:eastAsia="zh-CN"/>
        </w:rPr>
        <w:t>专项咨询</w:t>
      </w:r>
      <w:r>
        <w:rPr>
          <w:rFonts w:hint="eastAsia" w:ascii="宋体" w:hAnsi="宋体" w:eastAsia="宋体" w:cs="宋体"/>
          <w:color w:val="auto"/>
          <w:sz w:val="21"/>
          <w:szCs w:val="21"/>
          <w:highlight w:val="none"/>
          <w:lang w:eastAsia="zh-CN"/>
        </w:rPr>
        <w:t>报告</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服务形式包括但不限于线上对接、线下</w:t>
      </w:r>
      <w:r>
        <w:rPr>
          <w:rFonts w:hint="eastAsia" w:ascii="宋体" w:hAnsi="宋体" w:cs="宋体"/>
          <w:color w:val="auto"/>
          <w:sz w:val="21"/>
          <w:szCs w:val="21"/>
          <w:highlight w:val="none"/>
          <w:lang w:val="en-US" w:eastAsia="zh-CN"/>
        </w:rPr>
        <w:t>坐班（或</w:t>
      </w:r>
      <w:r>
        <w:rPr>
          <w:rFonts w:hint="eastAsia" w:ascii="宋体" w:hAnsi="宋体" w:eastAsia="宋体" w:cs="宋体"/>
          <w:color w:val="auto"/>
          <w:sz w:val="21"/>
          <w:szCs w:val="21"/>
          <w:highlight w:val="none"/>
          <w:lang w:val="en-US" w:eastAsia="zh-CN"/>
        </w:rPr>
        <w:t>走访</w:t>
      </w:r>
      <w:r>
        <w:rPr>
          <w:rFonts w:hint="eastAsia" w:ascii="宋体" w:hAnsi="宋体" w:cs="宋体"/>
          <w:color w:val="auto"/>
          <w:sz w:val="21"/>
          <w:szCs w:val="21"/>
          <w:highlight w:val="none"/>
          <w:lang w:val="en-US" w:eastAsia="zh-CN"/>
        </w:rPr>
        <w:t>）。</w:t>
      </w:r>
    </w:p>
    <w:p>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）服务</w:t>
      </w:r>
      <w:r>
        <w:rPr>
          <w:rFonts w:hint="eastAsia" w:ascii="宋体" w:hAnsi="宋体" w:eastAsia="宋体" w:cs="宋体"/>
          <w:bCs/>
          <w:color w:val="auto"/>
          <w:sz w:val="21"/>
          <w:szCs w:val="21"/>
          <w:highlight w:val="none"/>
        </w:rPr>
        <w:t>期限：</w:t>
      </w:r>
      <w:r>
        <w:rPr>
          <w:rFonts w:hint="eastAsia" w:ascii="宋体" w:hAnsi="宋体" w:eastAsia="宋体" w:cs="宋体"/>
          <w:bCs/>
          <w:color w:val="auto"/>
          <w:sz w:val="21"/>
          <w:szCs w:val="21"/>
          <w:highlight w:val="none"/>
          <w:lang w:val="en-US" w:eastAsia="zh-CN"/>
        </w:rPr>
        <w:t>自签订合同至</w:t>
      </w:r>
      <w:r>
        <w:rPr>
          <w:rFonts w:hint="eastAsia" w:ascii="宋体" w:hAnsi="宋体" w:cs="宋体"/>
          <w:bCs/>
          <w:color w:val="auto"/>
          <w:sz w:val="21"/>
          <w:szCs w:val="21"/>
          <w:highlight w:val="none"/>
          <w:lang w:val="en-US" w:eastAsia="zh-CN"/>
        </w:rPr>
        <w:t>甲方</w:t>
      </w:r>
      <w:r>
        <w:rPr>
          <w:rFonts w:hint="eastAsia" w:ascii="宋体" w:hAnsi="宋体" w:eastAsia="宋体" w:cs="宋体"/>
          <w:bCs/>
          <w:color w:val="auto"/>
          <w:sz w:val="21"/>
          <w:szCs w:val="21"/>
          <w:highlight w:val="none"/>
          <w:lang w:val="en-US" w:eastAsia="zh-CN"/>
        </w:rPr>
        <w:t>完成吸收合并智汇公司止，</w:t>
      </w:r>
      <w:r>
        <w:rPr>
          <w:rFonts w:hint="eastAsia" w:ascii="宋体" w:hAnsi="宋体" w:cs="宋体"/>
          <w:bCs/>
          <w:color w:val="auto"/>
          <w:sz w:val="21"/>
          <w:szCs w:val="21"/>
          <w:highlight w:val="none"/>
          <w:lang w:val="en-US" w:eastAsia="zh-CN"/>
        </w:rPr>
        <w:t>服务期限最长</w:t>
      </w:r>
      <w:r>
        <w:rPr>
          <w:rFonts w:hint="eastAsia" w:ascii="宋体" w:hAnsi="宋体" w:eastAsia="宋体" w:cs="宋体"/>
          <w:bCs/>
          <w:color w:val="auto"/>
          <w:sz w:val="21"/>
          <w:szCs w:val="21"/>
          <w:highlight w:val="none"/>
          <w:lang w:val="en-US" w:eastAsia="zh-CN"/>
        </w:rPr>
        <w:t>至2026年12月31日</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 xml:space="preserve">第二条 </w:t>
      </w:r>
      <w:r>
        <w:rPr>
          <w:rFonts w:hint="eastAsia" w:ascii="宋体" w:hAnsi="宋体" w:eastAsia="宋体" w:cs="宋体"/>
          <w:b/>
          <w:color w:val="auto"/>
          <w:sz w:val="21"/>
          <w:szCs w:val="21"/>
          <w:highlight w:val="none"/>
        </w:rPr>
        <w:t>合同价款及支付方式</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（一）本合同价（即销售额，不含乙方销项税额）为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），其中，净资产审计服务（即销售额，不含乙方销项税额）为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元（大写人民币</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）；清算审计服务（即销售额，不含乙方销项税额）为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元（大写人民币</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）；财税咨询服务（即销售额，不含乙方销项税额）为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元（大写人民币</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在本合同履行过程中，合同</w:t>
      </w:r>
      <w:r>
        <w:rPr>
          <w:rFonts w:hint="eastAsia" w:ascii="宋体" w:hAnsi="宋体" w:eastAsia="宋体" w:cs="宋体"/>
          <w:color w:val="auto"/>
          <w:sz w:val="21"/>
          <w:szCs w:val="21"/>
          <w:highlight w:val="none"/>
        </w:rPr>
        <w:t>价（即销售额，不含乙方销项税额）</w:t>
      </w:r>
      <w:r>
        <w:rPr>
          <w:rFonts w:hint="eastAsia" w:ascii="宋体" w:hAnsi="宋体" w:eastAsia="宋体" w:cs="宋体"/>
          <w:color w:val="auto"/>
          <w:sz w:val="21"/>
          <w:szCs w:val="21"/>
          <w:highlight w:val="none"/>
          <w:lang w:val="zh-CN"/>
        </w:rPr>
        <w:t>不随法律法规政策、物价、人工、服务期调整而进行调整，</w:t>
      </w:r>
      <w:r>
        <w:rPr>
          <w:rFonts w:hint="eastAsia" w:ascii="宋体" w:hAnsi="宋体" w:eastAsia="宋体" w:cs="宋体"/>
          <w:color w:val="auto"/>
          <w:sz w:val="21"/>
          <w:szCs w:val="21"/>
          <w:highlight w:val="none"/>
        </w:rPr>
        <w:t>未经甲方书面确认，乙方无权增加任何费用。若出现合同约定的销售折扣情形，甲、乙双方协商一致后降低合同价。</w:t>
      </w:r>
    </w:p>
    <w:p>
      <w:pPr>
        <w:pStyle w:val="156"/>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（二）依法计得并根据本合同约定确定的销项税额由甲方承担。根据</w:t>
      </w:r>
      <w:r>
        <w:rPr>
          <w:rFonts w:hint="eastAsia" w:ascii="宋体" w:hAnsi="宋体" w:eastAsia="宋体" w:cs="宋体"/>
          <w:color w:val="auto"/>
          <w:sz w:val="21"/>
          <w:szCs w:val="21"/>
          <w:highlight w:val="none"/>
          <w:lang w:val="zh-CN"/>
        </w:rPr>
        <w:t>《中华人民共和国增值税</w:t>
      </w:r>
      <w:r>
        <w:rPr>
          <w:rFonts w:hint="eastAsia" w:ascii="宋体" w:hAnsi="宋体" w:eastAsia="宋体" w:cs="宋体"/>
          <w:color w:val="auto"/>
          <w:sz w:val="21"/>
          <w:szCs w:val="21"/>
          <w:highlight w:val="none"/>
        </w:rPr>
        <w:t>暂行</w:t>
      </w:r>
      <w:r>
        <w:rPr>
          <w:rFonts w:hint="eastAsia" w:ascii="宋体" w:hAnsi="宋体" w:eastAsia="宋体" w:cs="宋体"/>
          <w:color w:val="auto"/>
          <w:sz w:val="21"/>
          <w:szCs w:val="21"/>
          <w:highlight w:val="none"/>
          <w:lang w:val="zh-CN"/>
        </w:rPr>
        <w:t>条例》（国务院令第691号修订版）</w:t>
      </w:r>
      <w:r>
        <w:rPr>
          <w:rFonts w:hint="eastAsia" w:ascii="宋体" w:hAnsi="宋体" w:eastAsia="宋体" w:cs="宋体"/>
          <w:color w:val="auto"/>
          <w:sz w:val="21"/>
          <w:szCs w:val="21"/>
          <w:highlight w:val="none"/>
        </w:rPr>
        <w:t>及当前税务部门的相关规定，本合同项目的增值税税率</w:t>
      </w:r>
      <w:r>
        <w:rPr>
          <w:rFonts w:hint="eastAsia" w:ascii="宋体" w:hAnsi="宋体" w:eastAsia="宋体" w:cs="宋体"/>
          <w:color w:val="auto"/>
          <w:spacing w:val="-3"/>
          <w:sz w:val="21"/>
          <w:szCs w:val="21"/>
          <w:highlight w:val="none"/>
        </w:rPr>
        <w:t>暂定</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 xml:space="preserve"> 对应的销项税额暂定为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，其中，净资产审计服务增值税税率</w:t>
      </w:r>
      <w:r>
        <w:rPr>
          <w:rFonts w:hint="eastAsia" w:ascii="宋体" w:hAnsi="宋体" w:eastAsia="宋体" w:cs="宋体"/>
          <w:color w:val="auto"/>
          <w:spacing w:val="-3"/>
          <w:sz w:val="21"/>
          <w:szCs w:val="21"/>
          <w:highlight w:val="none"/>
        </w:rPr>
        <w:t>暂定</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 xml:space="preserve"> 对应的销项税额暂定为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；清算审计服务增值税税率</w:t>
      </w:r>
      <w:r>
        <w:rPr>
          <w:rFonts w:hint="eastAsia" w:ascii="宋体" w:hAnsi="宋体" w:eastAsia="宋体" w:cs="宋体"/>
          <w:color w:val="auto"/>
          <w:spacing w:val="-3"/>
          <w:sz w:val="21"/>
          <w:szCs w:val="21"/>
          <w:highlight w:val="none"/>
        </w:rPr>
        <w:t>暂定</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 xml:space="preserve"> 对应的销项税额暂定为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；财税咨询服务增值税税率</w:t>
      </w:r>
      <w:r>
        <w:rPr>
          <w:rFonts w:hint="eastAsia" w:ascii="宋体" w:hAnsi="宋体" w:eastAsia="宋体" w:cs="宋体"/>
          <w:color w:val="auto"/>
          <w:spacing w:val="-3"/>
          <w:sz w:val="21"/>
          <w:szCs w:val="21"/>
          <w:highlight w:val="none"/>
        </w:rPr>
        <w:t>暂定</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 xml:space="preserve"> 对应的销项税额暂定为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乙方的增值税销项税额按实结算；但因乙方未按合同约定提供服务、未根据合同约定提供合法、完整的请款资料等原因导致销项税额增加的，相应损失由乙方承担。</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因乙方未按法定税率计算税额或未根据本合同约定出具对应税额的增值税专用发票等乙方原因导致甲方多支付税额的，乙方必须</w:t>
      </w:r>
      <w:r>
        <w:rPr>
          <w:rFonts w:hint="eastAsia" w:ascii="宋体" w:hAnsi="宋体" w:cs="宋体"/>
          <w:color w:val="auto"/>
          <w:sz w:val="21"/>
          <w:szCs w:val="21"/>
          <w:highlight w:val="none"/>
          <w:lang w:val="en-US" w:eastAsia="zh-CN"/>
        </w:rPr>
        <w:t>将相应金额款项</w:t>
      </w:r>
      <w:r>
        <w:rPr>
          <w:rFonts w:hint="eastAsia" w:ascii="宋体" w:hAnsi="宋体" w:eastAsia="宋体" w:cs="宋体"/>
          <w:color w:val="auto"/>
          <w:sz w:val="21"/>
          <w:szCs w:val="21"/>
          <w:highlight w:val="none"/>
        </w:rPr>
        <w:t>退还甲方，给甲方造成损失的，乙方须向甲方或其权属公司赔偿相应损失。</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（三）合同价税合计暂定为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），其中，净资产审计服务</w:t>
      </w:r>
      <w:r>
        <w:rPr>
          <w:rFonts w:hint="eastAsia" w:ascii="宋体" w:hAnsi="宋体" w:cs="宋体"/>
          <w:color w:val="auto"/>
          <w:sz w:val="21"/>
          <w:szCs w:val="21"/>
          <w:highlight w:val="none"/>
          <w:lang w:val="en-US" w:eastAsia="zh-CN"/>
        </w:rPr>
        <w:t>价税合计暂定</w:t>
      </w:r>
      <w:r>
        <w:rPr>
          <w:rFonts w:hint="eastAsia" w:ascii="宋体" w:hAnsi="宋体" w:eastAsia="宋体" w:cs="宋体"/>
          <w:color w:val="auto"/>
          <w:sz w:val="21"/>
          <w:szCs w:val="21"/>
          <w:highlight w:val="none"/>
        </w:rPr>
        <w:t>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元（大写人民币</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）；清算审计服务</w:t>
      </w:r>
      <w:r>
        <w:rPr>
          <w:rFonts w:hint="eastAsia" w:ascii="宋体" w:hAnsi="宋体" w:cs="宋体"/>
          <w:color w:val="auto"/>
          <w:sz w:val="21"/>
          <w:szCs w:val="21"/>
          <w:highlight w:val="none"/>
          <w:lang w:val="en-US" w:eastAsia="zh-CN"/>
        </w:rPr>
        <w:t>价税合计暂定</w:t>
      </w:r>
      <w:r>
        <w:rPr>
          <w:rFonts w:hint="eastAsia" w:ascii="宋体" w:hAnsi="宋体" w:eastAsia="宋体" w:cs="宋体"/>
          <w:color w:val="auto"/>
          <w:sz w:val="21"/>
          <w:szCs w:val="21"/>
          <w:highlight w:val="none"/>
        </w:rPr>
        <w:t>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元（大写人民币</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）；财税咨询服务</w:t>
      </w:r>
      <w:r>
        <w:rPr>
          <w:rFonts w:hint="eastAsia" w:ascii="宋体" w:hAnsi="宋体" w:cs="宋体"/>
          <w:color w:val="auto"/>
          <w:sz w:val="21"/>
          <w:szCs w:val="21"/>
          <w:highlight w:val="none"/>
          <w:lang w:val="en-US" w:eastAsia="zh-CN"/>
        </w:rPr>
        <w:t>价税合计暂定</w:t>
      </w:r>
      <w:r>
        <w:rPr>
          <w:rFonts w:hint="eastAsia" w:ascii="宋体" w:hAnsi="宋体" w:eastAsia="宋体" w:cs="宋体"/>
          <w:color w:val="auto"/>
          <w:sz w:val="21"/>
          <w:szCs w:val="21"/>
          <w:highlight w:val="none"/>
        </w:rPr>
        <w:t>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元（大写人民币</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合同履行期间根据本条第（二）项规定调整销项税额的，结算合同价税合计对应调整。</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（四）合同价为乙方完成本合同项下义务的全部费用，</w:t>
      </w:r>
      <w:r>
        <w:rPr>
          <w:rFonts w:hint="eastAsia" w:ascii="宋体" w:hAnsi="宋体" w:eastAsia="宋体" w:cs="宋体"/>
          <w:color w:val="auto"/>
          <w:sz w:val="21"/>
          <w:szCs w:val="21"/>
          <w:highlight w:val="none"/>
          <w:lang w:val="zh-CN"/>
        </w:rPr>
        <w:t>包括但不限于</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en-US" w:eastAsia="zh-CN"/>
        </w:rPr>
        <w:t>1.</w:t>
      </w:r>
      <w:r>
        <w:rPr>
          <w:rFonts w:hint="eastAsia" w:ascii="宋体" w:hAnsi="宋体" w:eastAsia="宋体" w:cs="宋体"/>
          <w:b w:val="0"/>
          <w:bCs w:val="0"/>
          <w:color w:val="auto"/>
          <w:sz w:val="21"/>
          <w:szCs w:val="21"/>
          <w:highlight w:val="none"/>
          <w:u w:val="none"/>
          <w:lang w:val="zh-CN"/>
        </w:rPr>
        <w:t>专业咨询、资料收集（含购买）、材料撰写、项目辅导、人员培训、项目成果文件编制、成果文件印刷、往来询证函费（除银行询证函费用外）等费用；</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en-US" w:eastAsia="zh-CN"/>
        </w:rPr>
        <w:t>2.</w:t>
      </w:r>
      <w:r>
        <w:rPr>
          <w:rFonts w:hint="eastAsia" w:ascii="宋体" w:hAnsi="宋体" w:eastAsia="宋体" w:cs="宋体"/>
          <w:b w:val="0"/>
          <w:bCs w:val="0"/>
          <w:color w:val="auto"/>
          <w:sz w:val="21"/>
          <w:szCs w:val="21"/>
          <w:highlight w:val="none"/>
          <w:u w:val="none"/>
          <w:lang w:val="zh-CN"/>
        </w:rPr>
        <w:t>服务期间人员工资、管理费、交通费、通讯费、餐饮、差旅费、保险费等一切费用；</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en-US" w:eastAsia="zh-CN"/>
        </w:rPr>
        <w:t>3.</w:t>
      </w:r>
      <w:r>
        <w:rPr>
          <w:rFonts w:hint="eastAsia" w:ascii="宋体" w:hAnsi="宋体" w:eastAsia="宋体" w:cs="宋体"/>
          <w:b w:val="0"/>
          <w:bCs w:val="0"/>
          <w:color w:val="auto"/>
          <w:sz w:val="21"/>
          <w:szCs w:val="21"/>
          <w:highlight w:val="none"/>
          <w:u w:val="none"/>
          <w:lang w:val="zh-CN"/>
        </w:rPr>
        <w:t>所有应支付的对专利权、著作权、商标权或其他知识产权而需要向其他方支付的知识产权使用费等；</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en-US" w:eastAsia="zh-CN"/>
        </w:rPr>
        <w:t>4.</w:t>
      </w:r>
      <w:r>
        <w:rPr>
          <w:rFonts w:hint="eastAsia" w:ascii="宋体" w:hAnsi="宋体" w:eastAsia="宋体" w:cs="宋体"/>
          <w:b w:val="0"/>
          <w:bCs w:val="0"/>
          <w:color w:val="auto"/>
          <w:sz w:val="21"/>
          <w:szCs w:val="21"/>
          <w:highlight w:val="none"/>
          <w:u w:val="none"/>
          <w:lang w:val="zh-CN"/>
        </w:rPr>
        <w:t>合理利润、</w:t>
      </w:r>
      <w:r>
        <w:rPr>
          <w:rFonts w:hint="eastAsia" w:ascii="宋体" w:hAnsi="宋体" w:cs="宋体"/>
          <w:b w:val="0"/>
          <w:bCs w:val="0"/>
          <w:color w:val="auto"/>
          <w:sz w:val="21"/>
          <w:szCs w:val="21"/>
          <w:highlight w:val="none"/>
          <w:u w:val="none"/>
          <w:lang w:val="en-US" w:eastAsia="zh-CN"/>
        </w:rPr>
        <w:t>乙方</w:t>
      </w:r>
      <w:r>
        <w:rPr>
          <w:rFonts w:hint="eastAsia" w:ascii="宋体" w:hAnsi="宋体" w:eastAsia="宋体" w:cs="宋体"/>
          <w:b w:val="0"/>
          <w:bCs w:val="0"/>
          <w:color w:val="auto"/>
          <w:sz w:val="21"/>
          <w:szCs w:val="21"/>
          <w:highlight w:val="none"/>
          <w:u w:val="none"/>
          <w:lang w:val="zh-CN"/>
        </w:rPr>
        <w:t>销项税额以外的税费等；</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u w:val="none"/>
          <w:lang w:val="en-US" w:eastAsia="zh-CN"/>
        </w:rPr>
        <w:t>5.</w:t>
      </w:r>
      <w:r>
        <w:rPr>
          <w:rFonts w:hint="eastAsia" w:ascii="宋体" w:hAnsi="宋体" w:eastAsia="宋体" w:cs="宋体"/>
          <w:b w:val="0"/>
          <w:bCs w:val="0"/>
          <w:color w:val="auto"/>
          <w:sz w:val="21"/>
          <w:szCs w:val="21"/>
          <w:highlight w:val="none"/>
          <w:u w:val="none"/>
          <w:lang w:val="zh-CN"/>
        </w:rPr>
        <w:t>法律法规、商业公认、竞争性磋商文件规定由</w:t>
      </w:r>
      <w:r>
        <w:rPr>
          <w:rFonts w:hint="eastAsia" w:ascii="宋体" w:hAnsi="宋体" w:eastAsia="宋体" w:cs="宋体"/>
          <w:b w:val="0"/>
          <w:bCs w:val="0"/>
          <w:color w:val="auto"/>
          <w:sz w:val="21"/>
          <w:szCs w:val="21"/>
          <w:highlight w:val="none"/>
          <w:u w:val="none"/>
          <w:lang w:val="en-US" w:eastAsia="zh-CN"/>
        </w:rPr>
        <w:t>乙方</w:t>
      </w:r>
      <w:r>
        <w:rPr>
          <w:rFonts w:hint="eastAsia" w:ascii="宋体" w:hAnsi="宋体" w:eastAsia="宋体" w:cs="宋体"/>
          <w:b w:val="0"/>
          <w:bCs w:val="0"/>
          <w:color w:val="auto"/>
          <w:sz w:val="21"/>
          <w:szCs w:val="21"/>
          <w:highlight w:val="none"/>
          <w:u w:val="none"/>
          <w:lang w:val="zh-CN"/>
        </w:rPr>
        <w:t>承担的其他费用</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合同的履约过程中，乙方根据本合同约定需向甲方支付违约金、赔偿金、或其他应付费用等款项的，乙方必须向甲方支付完相关款项后，甲方才根据本合同约定向乙方支付合同价和税额。若因乙方未能支付前述费用，甲方有权直接从未付合同款项中直接扣除，且乙方必须按照扣除前述费用前的合同价（销售额）开具增值税专用发票，保证增值税税额符合法律规定。</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（六）服务费用</w:t>
      </w:r>
      <w:r>
        <w:rPr>
          <w:rFonts w:hint="eastAsia" w:ascii="宋体" w:hAnsi="宋体" w:eastAsia="宋体" w:cs="宋体"/>
          <w:color w:val="auto"/>
          <w:sz w:val="21"/>
          <w:szCs w:val="21"/>
          <w:highlight w:val="none"/>
          <w:lang w:val="en-US" w:eastAsia="zh-CN"/>
        </w:rPr>
        <w:t>按阶段</w:t>
      </w:r>
      <w:r>
        <w:rPr>
          <w:rFonts w:hint="eastAsia" w:ascii="宋体" w:hAnsi="宋体" w:eastAsia="宋体" w:cs="宋体"/>
          <w:color w:val="auto"/>
          <w:sz w:val="21"/>
          <w:szCs w:val="21"/>
          <w:highlight w:val="none"/>
        </w:rPr>
        <w:t>采用分次</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rPr>
        <w:t>，具体如下：</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1.乙方</w:t>
      </w:r>
      <w:r>
        <w:rPr>
          <w:rFonts w:hint="eastAsia" w:ascii="宋体" w:hAnsi="宋体" w:eastAsia="宋体" w:cs="宋体"/>
          <w:color w:val="auto"/>
          <w:sz w:val="21"/>
          <w:szCs w:val="21"/>
          <w:highlight w:val="none"/>
        </w:rPr>
        <w:t>完成智汇公司净资产审计工作，出具净资产审计报告，并向</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提供请款报告、等额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真实</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有效的增值税专用发票，经</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审核无误后15个工作日内向</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一次性支付净资产审计</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费用</w:t>
      </w:r>
      <w:r>
        <w:rPr>
          <w:rFonts w:hint="eastAsia" w:ascii="宋体" w:hAnsi="宋体" w:cs="宋体"/>
          <w:color w:val="auto"/>
          <w:sz w:val="21"/>
          <w:szCs w:val="21"/>
          <w:highlight w:val="none"/>
          <w:lang w:val="en-US" w:eastAsia="zh-CN"/>
        </w:rPr>
        <w:t>及对应增值税</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2.乙方</w:t>
      </w:r>
      <w:r>
        <w:rPr>
          <w:rFonts w:hint="eastAsia" w:ascii="宋体" w:hAnsi="宋体" w:eastAsia="宋体" w:cs="宋体"/>
          <w:color w:val="auto"/>
          <w:sz w:val="21"/>
          <w:szCs w:val="21"/>
          <w:highlight w:val="none"/>
        </w:rPr>
        <w:t>完成智汇公司清算审计工作，出具清算审计报告，并协助智汇公司完成税务注销工作，向</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提供请款报告、等额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真实</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有效的增值税专用发票，经</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审核无误后15个工作日内向</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一次性支付清算审计</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费用</w:t>
      </w:r>
      <w:r>
        <w:rPr>
          <w:rFonts w:hint="eastAsia" w:ascii="宋体" w:hAnsi="宋体" w:cs="宋体"/>
          <w:color w:val="auto"/>
          <w:sz w:val="21"/>
          <w:szCs w:val="21"/>
          <w:highlight w:val="none"/>
          <w:lang w:val="en-US" w:eastAsia="zh-CN"/>
        </w:rPr>
        <w:t>及对应增值税</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3.乙方</w:t>
      </w:r>
      <w:r>
        <w:rPr>
          <w:rFonts w:hint="eastAsia" w:ascii="宋体" w:hAnsi="宋体" w:eastAsia="宋体" w:cs="宋体"/>
          <w:color w:val="auto"/>
          <w:sz w:val="21"/>
          <w:szCs w:val="21"/>
          <w:highlight w:val="none"/>
        </w:rPr>
        <w:t>完成吸收合并过程所有财税服务工作，出具财税指导意见及相关报告，向</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提供请款报告、等额真实有效的增值税专用发票，经</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审核无误后15个工作日内向服务单位一次性支付财税</w:t>
      </w:r>
      <w:r>
        <w:rPr>
          <w:rFonts w:hint="eastAsia" w:ascii="宋体" w:hAnsi="宋体" w:cs="宋体"/>
          <w:color w:val="auto"/>
          <w:sz w:val="21"/>
          <w:szCs w:val="21"/>
          <w:highlight w:val="none"/>
          <w:lang w:val="en-US" w:eastAsia="zh-CN"/>
        </w:rPr>
        <w:t>咨询</w:t>
      </w:r>
      <w:r>
        <w:rPr>
          <w:rFonts w:hint="eastAsia" w:ascii="宋体" w:hAnsi="宋体" w:eastAsia="宋体" w:cs="宋体"/>
          <w:color w:val="auto"/>
          <w:sz w:val="21"/>
          <w:szCs w:val="21"/>
          <w:highlight w:val="none"/>
        </w:rPr>
        <w:t>服务费用</w:t>
      </w:r>
      <w:r>
        <w:rPr>
          <w:rFonts w:hint="eastAsia" w:ascii="宋体" w:hAnsi="宋体" w:cs="宋体"/>
          <w:color w:val="auto"/>
          <w:sz w:val="21"/>
          <w:szCs w:val="21"/>
          <w:highlight w:val="none"/>
          <w:lang w:val="en-US" w:eastAsia="zh-CN"/>
        </w:rPr>
        <w:t>及对应增值税</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乙方逾期提交请款报告及发票，或请款报告及发票不符合税务机关、甲方要求的，甲方有权顺延付款，且无需承担逾期付款的违约责任，乙方不得以此为由拒绝履行合同。由于乙方提供的发票不符合税法规定，给甲方造成的损失由乙方承担赔偿责任，乙方不得以此延迟而拒绝履行合同义务。</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（七）乙方收款账户信息</w:t>
      </w:r>
    </w:p>
    <w:p>
      <w:pPr>
        <w:keepNext w:val="0"/>
        <w:keepLines w:val="0"/>
        <w:pageBreakBefore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户名：</w:t>
      </w:r>
    </w:p>
    <w:p>
      <w:pPr>
        <w:keepNext w:val="0"/>
        <w:keepLines w:val="0"/>
        <w:pageBreakBefore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w:t>
      </w:r>
    </w:p>
    <w:p>
      <w:pPr>
        <w:keepNext w:val="0"/>
        <w:keepLines w:val="0"/>
        <w:pageBreakBefore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p>
      <w:pPr>
        <w:keepNext w:val="0"/>
        <w:keepLines w:val="0"/>
        <w:pageBreakBefore w:val="0"/>
        <w:numPr>
          <w:ilvl w:val="0"/>
          <w:numId w:val="12"/>
        </w:numPr>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p>
      <w:pPr>
        <w:keepNext w:val="0"/>
        <w:keepLines w:val="0"/>
        <w:pageBreakBefore w:val="0"/>
        <w:numPr>
          <w:ilvl w:val="0"/>
          <w:numId w:val="0"/>
        </w:numPr>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（一）净资产审计服务 </w:t>
      </w:r>
    </w:p>
    <w:p>
      <w:pPr>
        <w:keepNext w:val="0"/>
        <w:keepLines w:val="0"/>
        <w:pageBreakBefore w:val="0"/>
        <w:numPr>
          <w:ilvl w:val="0"/>
          <w:numId w:val="0"/>
        </w:numPr>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r>
        <w:rPr>
          <w:rFonts w:hint="eastAsia" w:ascii="宋体" w:hAnsi="宋体" w:cs="宋体"/>
          <w:color w:val="auto"/>
          <w:kern w:val="0"/>
          <w:sz w:val="21"/>
          <w:szCs w:val="21"/>
          <w:highlight w:val="none"/>
          <w:lang w:eastAsia="zh-CN" w:bidi="ar"/>
        </w:rPr>
        <w:t>划转基准日</w:t>
      </w:r>
      <w:r>
        <w:rPr>
          <w:rFonts w:hint="eastAsia" w:ascii="宋体" w:hAnsi="宋体" w:eastAsia="宋体" w:cs="宋体"/>
          <w:color w:val="auto"/>
          <w:kern w:val="0"/>
          <w:sz w:val="21"/>
          <w:szCs w:val="21"/>
          <w:highlight w:val="none"/>
          <w:lang w:bidi="ar"/>
        </w:rPr>
        <w:t>：暂定2025年7月31日，最终以</w:t>
      </w:r>
      <w:r>
        <w:rPr>
          <w:rFonts w:hint="eastAsia" w:ascii="宋体" w:hAnsi="宋体" w:eastAsia="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bidi="ar"/>
        </w:rPr>
        <w:t>通知为准；</w:t>
      </w:r>
    </w:p>
    <w:p>
      <w:pPr>
        <w:keepNext w:val="0"/>
        <w:keepLines w:val="0"/>
        <w:pageBreakBefore w:val="0"/>
        <w:numPr>
          <w:ilvl w:val="0"/>
          <w:numId w:val="0"/>
        </w:numPr>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2、对智汇公司划转基准日净资产财务数据进行审计，并按要求出具相应的净资产审计报告。报告需对净资产的真实性、合法性发表专业意见，为企业管理层、股东、债权人等利益相关方提供可靠的决策依据。</w:t>
      </w:r>
    </w:p>
    <w:p>
      <w:pPr>
        <w:keepNext w:val="0"/>
        <w:keepLines w:val="0"/>
        <w:pageBreakBefore w:val="0"/>
        <w:numPr>
          <w:ilvl w:val="0"/>
          <w:numId w:val="0"/>
        </w:numPr>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（二）清算审计服务</w:t>
      </w:r>
    </w:p>
    <w:p>
      <w:pPr>
        <w:keepNext w:val="0"/>
        <w:keepLines w:val="0"/>
        <w:pageBreakBefore w:val="0"/>
        <w:numPr>
          <w:ilvl w:val="0"/>
          <w:numId w:val="0"/>
        </w:numPr>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bidi="ar"/>
        </w:rPr>
      </w:pPr>
      <w:bookmarkStart w:id="277" w:name="OLE_LINK4"/>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bidi="ar"/>
        </w:rPr>
        <w:t>应结合东莞市水务集团实业发展有限公司提供的清算注销工作计划安排</w:t>
      </w:r>
      <w:bookmarkEnd w:id="277"/>
      <w:r>
        <w:rPr>
          <w:rFonts w:hint="eastAsia" w:ascii="宋体" w:hAnsi="宋体" w:eastAsia="宋体" w:cs="宋体"/>
          <w:color w:val="auto"/>
          <w:kern w:val="0"/>
          <w:sz w:val="21"/>
          <w:szCs w:val="21"/>
          <w:highlight w:val="none"/>
          <w:lang w:bidi="ar"/>
        </w:rPr>
        <w:t>，出具智汇公司清算审计报告，并协助智汇公司完成税务注销工作。</w:t>
      </w:r>
    </w:p>
    <w:p>
      <w:pPr>
        <w:keepNext w:val="0"/>
        <w:keepLines w:val="0"/>
        <w:pageBreakBefore w:val="0"/>
        <w:numPr>
          <w:ilvl w:val="0"/>
          <w:numId w:val="0"/>
        </w:numPr>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（三）财税服务</w:t>
      </w:r>
    </w:p>
    <w:p>
      <w:pPr>
        <w:keepNext w:val="0"/>
        <w:keepLines w:val="0"/>
        <w:pageBreakBefore w:val="0"/>
        <w:numPr>
          <w:ilvl w:val="0"/>
          <w:numId w:val="0"/>
        </w:numPr>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围绕吸收合并过程中涉及的财税问题提供服务工作，主要内容包括但不限于以下方面：    </w:t>
      </w:r>
    </w:p>
    <w:p>
      <w:pPr>
        <w:keepNext w:val="0"/>
        <w:keepLines w:val="0"/>
        <w:pageBreakBefore w:val="0"/>
        <w:numPr>
          <w:ilvl w:val="0"/>
          <w:numId w:val="0"/>
        </w:numPr>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1、提供吸收合并过程中涉及的财税政策解读及合规建议；</w:t>
      </w:r>
    </w:p>
    <w:p>
      <w:pPr>
        <w:keepNext w:val="0"/>
        <w:keepLines w:val="0"/>
        <w:pageBreakBefore w:val="0"/>
        <w:numPr>
          <w:ilvl w:val="0"/>
          <w:numId w:val="0"/>
        </w:numPr>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2、提供吸收合并后</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bidi="ar"/>
        </w:rPr>
        <w:t>及其母公司实业公司财务合并、账务处理及税务处理的专业指导，协助</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bidi="ar"/>
        </w:rPr>
        <w:t>完成吸收合并相关的税务申报，包括特殊性税务处理备案、免税申报、留抵进项税转移、税款清算等，确保资料完整、流程合法合规；</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3、针对吸收合并过程及智汇公司税务注销过程中发现的历史税务问题或税务机关提出的质疑或疑问，提供财税意见支持，必要时出具相关书面意见，并协助合并双方与其主管税务机关沟通协调，解决争议。</w:t>
      </w:r>
    </w:p>
    <w:p>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 xml:space="preserve">第四条 </w:t>
      </w:r>
      <w:r>
        <w:rPr>
          <w:rFonts w:hint="eastAsia" w:ascii="宋体" w:hAnsi="宋体" w:eastAsia="宋体" w:cs="宋体"/>
          <w:b/>
          <w:color w:val="auto"/>
          <w:sz w:val="21"/>
          <w:szCs w:val="21"/>
          <w:highlight w:val="none"/>
        </w:rPr>
        <w:t>服务要求</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（一）前期工作要求：乙方应按照</w:t>
      </w:r>
      <w:r>
        <w:rPr>
          <w:rFonts w:hint="eastAsia" w:ascii="宋体" w:hAnsi="宋体" w:cs="宋体"/>
          <w:color w:val="auto"/>
          <w:kern w:val="0"/>
          <w:sz w:val="21"/>
          <w:szCs w:val="21"/>
          <w:highlight w:val="none"/>
          <w:lang w:val="en-US" w:eastAsia="zh-CN" w:bidi="ar"/>
        </w:rPr>
        <w:t>用户需求书（附件二）</w:t>
      </w:r>
      <w:r>
        <w:rPr>
          <w:rFonts w:hint="eastAsia" w:ascii="宋体" w:hAnsi="宋体" w:eastAsia="宋体" w:cs="宋体"/>
          <w:color w:val="auto"/>
          <w:kern w:val="0"/>
          <w:sz w:val="21"/>
          <w:szCs w:val="21"/>
          <w:highlight w:val="none"/>
          <w:lang w:val="en-US" w:eastAsia="zh-CN" w:bidi="ar"/>
        </w:rPr>
        <w:t>、实际情况和任务目标要求，制定审计工作方案及实施计划。</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（二）进度管理要求：在审计、财税服务实施过程中，乙方应按计划及时出具并向甲方报送节点成果报告。</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line="360" w:lineRule="auto"/>
        <w:ind w:firstLine="420" w:firstLineChars="20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（三）成果提交要求：</w:t>
      </w:r>
      <w:r>
        <w:rPr>
          <w:rFonts w:hint="eastAsia" w:ascii="宋体" w:hAnsi="宋体" w:cs="宋体"/>
          <w:color w:val="auto"/>
          <w:kern w:val="0"/>
          <w:sz w:val="21"/>
          <w:szCs w:val="21"/>
          <w:highlight w:val="none"/>
          <w:lang w:val="en-US" w:eastAsia="zh-CN" w:bidi="ar"/>
        </w:rPr>
        <w:t>乙方应在合同签署时明确告知甲方需要提供的审计资料，并积极协助甲方收集、提供审计资料。甲方提供审计资料后如乙方认为需要补充，应于甲方提供审计资料后的2个自然日内书面反馈，否则视为甲方已完成提供审计资料义务，从甲方提供审计资料之次日起起算乙方应出具审计报告的期限。</w:t>
      </w:r>
      <w:r>
        <w:rPr>
          <w:rFonts w:hint="eastAsia" w:ascii="宋体" w:hAnsi="宋体" w:eastAsia="宋体" w:cs="宋体"/>
          <w:b w:val="0"/>
          <w:bCs w:val="0"/>
          <w:color w:val="auto"/>
          <w:kern w:val="0"/>
          <w:sz w:val="21"/>
          <w:szCs w:val="21"/>
          <w:highlight w:val="none"/>
          <w:lang w:val="en-US" w:eastAsia="zh-CN" w:bidi="ar"/>
        </w:rPr>
        <w:t>乙方需在甲方提供审计资料后30个自然日内出具净资产审计报告、清算审计报告，在甲方提出财税咨询服务需求2个自然日内提供指导意见，在甲方完成吸收合并工作后15个自然日内将吸收合并过程中的涉税政策、办理流程、涉税咨询服务指导意见等形成报告等成果文件</w:t>
      </w:r>
      <w:r>
        <w:rPr>
          <w:rFonts w:hint="eastAsia" w:ascii="宋体" w:hAnsi="宋体" w:cs="宋体"/>
          <w:b w:val="0"/>
          <w:bCs w:val="0"/>
          <w:color w:val="auto"/>
          <w:kern w:val="0"/>
          <w:sz w:val="21"/>
          <w:szCs w:val="21"/>
          <w:highlight w:val="none"/>
          <w:lang w:val="en-US" w:eastAsia="zh-CN" w:bidi="ar"/>
        </w:rPr>
        <w:t>，</w:t>
      </w:r>
      <w:r>
        <w:rPr>
          <w:rFonts w:hint="eastAsia" w:ascii="宋体" w:hAnsi="宋体" w:eastAsia="宋体" w:cs="宋体"/>
          <w:b w:val="0"/>
          <w:bCs w:val="0"/>
          <w:color w:val="auto"/>
          <w:kern w:val="0"/>
          <w:sz w:val="21"/>
          <w:szCs w:val="21"/>
          <w:highlight w:val="none"/>
          <w:lang w:val="en-US" w:eastAsia="zh-CN" w:bidi="ar"/>
        </w:rPr>
        <w:t>盖章版书面报告</w:t>
      </w:r>
      <w:r>
        <w:rPr>
          <w:rFonts w:hint="eastAsia" w:ascii="宋体" w:hAnsi="宋体" w:eastAsia="宋体" w:cs="宋体"/>
          <w:color w:val="auto"/>
          <w:kern w:val="0"/>
          <w:sz w:val="21"/>
          <w:szCs w:val="21"/>
          <w:highlight w:val="none"/>
          <w:lang w:val="en-US" w:eastAsia="zh-CN" w:bidi="ar"/>
        </w:rPr>
        <w:t>一式三份</w:t>
      </w:r>
      <w:r>
        <w:rPr>
          <w:rFonts w:hint="eastAsia" w:ascii="宋体" w:hAnsi="宋体" w:cs="宋体"/>
          <w:color w:val="auto"/>
          <w:kern w:val="0"/>
          <w:sz w:val="21"/>
          <w:szCs w:val="21"/>
          <w:highlight w:val="none"/>
          <w:lang w:val="en-US" w:eastAsia="zh-CN" w:bidi="ar"/>
        </w:rPr>
        <w:t>提交甲方</w:t>
      </w:r>
      <w:r>
        <w:rPr>
          <w:rFonts w:hint="eastAsia" w:ascii="宋体" w:hAnsi="宋体" w:eastAsia="宋体" w:cs="宋体"/>
          <w:b w:val="0"/>
          <w:bCs w:val="0"/>
          <w:color w:val="auto"/>
          <w:kern w:val="0"/>
          <w:sz w:val="21"/>
          <w:szCs w:val="21"/>
          <w:highlight w:val="none"/>
          <w:lang w:val="en-US" w:eastAsia="zh-CN" w:bidi="ar"/>
        </w:rPr>
        <w:t>。</w:t>
      </w:r>
    </w:p>
    <w:p>
      <w:pPr>
        <w:keepNext w:val="0"/>
        <w:keepLines w:val="0"/>
        <w:pageBreakBefore w:val="0"/>
        <w:numPr>
          <w:ilvl w:val="0"/>
          <w:numId w:val="0"/>
        </w:numPr>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四）成果运用要求：乙方须保证，按要求对审计及财税服务全过程提供的文件信息履行保密义务。对审计服务、财税服务过程中产生的所有成果文件信息，乙方应做好科学归档工作，服务结束后应全部交付甲方并按</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实际要求履行解释义务。</w:t>
      </w:r>
    </w:p>
    <w:p>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第五条 甲方权利和义务</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（一）甲方有权要求乙方按</w:t>
      </w:r>
      <w:r>
        <w:rPr>
          <w:rFonts w:hint="eastAsia" w:ascii="宋体" w:hAnsi="宋体" w:eastAsia="宋体" w:cs="宋体"/>
          <w:color w:val="auto"/>
          <w:sz w:val="21"/>
          <w:szCs w:val="21"/>
          <w:highlight w:val="none"/>
          <w:lang w:val="en-US" w:eastAsia="zh-CN"/>
        </w:rPr>
        <w:t>用户需求书、</w:t>
      </w:r>
      <w:r>
        <w:rPr>
          <w:rFonts w:hint="eastAsia" w:ascii="宋体" w:hAnsi="宋体" w:eastAsia="宋体" w:cs="宋体"/>
          <w:color w:val="auto"/>
          <w:sz w:val="21"/>
          <w:szCs w:val="21"/>
          <w:highlight w:val="none"/>
        </w:rPr>
        <w:t>合同约定提供</w:t>
      </w:r>
      <w:r>
        <w:rPr>
          <w:rFonts w:hint="eastAsia" w:ascii="宋体" w:hAnsi="宋体" w:eastAsia="宋体" w:cs="宋体"/>
          <w:color w:val="auto"/>
          <w:sz w:val="21"/>
          <w:szCs w:val="21"/>
          <w:highlight w:val="none"/>
          <w:lang w:val="en-US" w:eastAsia="zh-CN"/>
        </w:rPr>
        <w:t>服务对接人员、</w:t>
      </w:r>
      <w:r>
        <w:rPr>
          <w:rFonts w:hint="eastAsia" w:ascii="宋体" w:hAnsi="宋体" w:eastAsia="宋体" w:cs="宋体"/>
          <w:color w:val="auto"/>
          <w:sz w:val="21"/>
          <w:szCs w:val="21"/>
          <w:highlight w:val="none"/>
        </w:rPr>
        <w:t>成果文件和咨询服务。</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（二）甲方应及时向乙方提供履行本合同范围内服务所需的信息和内部相关资料，并且甲方需要为乙方提供必要的人员安排、场地等现场工作支持。</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（三）甲方有义务协调和组织各有关方面人员,对乙方项目结果予以审议。</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（四）在合同履行期间，甲方要求终止或解除合同，乙方未开始工作的，双方互不追究各方责任；已开始工作的，甲方根据经其确认的乙方已进行的实际工作量据实结算相关费用。</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（五）甲方有权对乙方履行本合同的情况进行监督，对乙方不符合本合同的行为要求整改。如发现乙方违反本合同有关规定或承诺的，甲方有权追究乙方的违约责任。</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（六）甲方有权要求乙方对其所提交的成果文件进行解释、说明或解答</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提出的质询等。</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（七）在合同履行期间，根据实际需要，甲方有权对服务内容、要求等进行调整，乙方应当遵守执行，并不得以此为由要求甲方支付任何补偿或赔偿。</w:t>
      </w:r>
    </w:p>
    <w:p>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第六条 乙方权利和义务</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（一）本合同履行过程中，乙方的服务人员应保持相对稳定，以保证服务工作正常进行。乙方指定项目</w:t>
      </w:r>
      <w:r>
        <w:rPr>
          <w:rFonts w:hint="eastAsia" w:ascii="宋体" w:hAnsi="宋体" w:eastAsia="宋体" w:cs="宋体"/>
          <w:color w:val="auto"/>
          <w:sz w:val="21"/>
          <w:szCs w:val="21"/>
          <w:highlight w:val="none"/>
          <w:lang w:val="en-US" w:eastAsia="zh-CN"/>
        </w:rPr>
        <w:t>联系</w:t>
      </w:r>
      <w:r>
        <w:rPr>
          <w:rFonts w:hint="eastAsia" w:ascii="宋体" w:hAnsi="宋体" w:eastAsia="宋体" w:cs="宋体"/>
          <w:color w:val="auto"/>
          <w:sz w:val="21"/>
          <w:szCs w:val="21"/>
          <w:highlight w:val="none"/>
        </w:rPr>
        <w:t>人（姓名：【】；联系电话：【】）负责与甲方的日常对接。</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（二）认真完成本合同的规定的服务内容，确保相关的指导服务依法依规，符合甲方合法的利益，与甲方形成良好的互动沟通，形成的文件、报告等应确保真实、合法，不得弄虚作假。</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（三）乙方应对最终成果文件出现的遗漏或错误无条件负责修改或补充，使其符合甲方要求。</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（四）保障甲方的利益，保守甲方的商业和技术机密，不得向任何不相关的第三方透露甲方任何数据文字等信息，否则应承担给甲方造成的损失。</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（五）乙方保证其提供的资料不会侵犯任何第三方的知识产权或其他任何权利，否则由乙方承担相应的法律责任以及给甲方造成损失的赔偿责任。</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（六）乙方保证按照合同约定内容和服务方式以及甲方提出的工作进度</w:t>
      </w:r>
      <w:r>
        <w:rPr>
          <w:rFonts w:hint="eastAsia" w:ascii="宋体" w:hAnsi="宋体" w:cs="宋体"/>
          <w:color w:val="auto"/>
          <w:sz w:val="21"/>
          <w:szCs w:val="21"/>
          <w:highlight w:val="none"/>
          <w:lang w:val="en-US" w:eastAsia="zh-CN"/>
        </w:rPr>
        <w:t>要求</w:t>
      </w:r>
      <w:r>
        <w:rPr>
          <w:rFonts w:hint="eastAsia" w:ascii="宋体" w:hAnsi="宋体" w:eastAsia="宋体" w:cs="宋体"/>
          <w:color w:val="auto"/>
          <w:sz w:val="21"/>
          <w:szCs w:val="21"/>
          <w:highlight w:val="none"/>
        </w:rPr>
        <w:t>，按时完成甲方委托的</w:t>
      </w:r>
      <w:r>
        <w:rPr>
          <w:rFonts w:hint="eastAsia" w:ascii="宋体" w:hAnsi="宋体" w:cs="宋体"/>
          <w:color w:val="auto"/>
          <w:sz w:val="21"/>
          <w:szCs w:val="21"/>
          <w:highlight w:val="none"/>
          <w:lang w:val="en-US" w:eastAsia="zh-CN"/>
        </w:rPr>
        <w:t>各项</w:t>
      </w:r>
      <w:r>
        <w:rPr>
          <w:rFonts w:hint="eastAsia" w:ascii="宋体" w:hAnsi="宋体" w:eastAsia="宋体" w:cs="宋体"/>
          <w:color w:val="auto"/>
          <w:sz w:val="21"/>
          <w:szCs w:val="21"/>
          <w:highlight w:val="none"/>
        </w:rPr>
        <w:t>工作。</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（七）未经甲方书面同意，乙方不得将本合同或合同项下服务内容全部或部分转让给第三方执行。</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bCs/>
          <w:color w:val="auto"/>
          <w:sz w:val="21"/>
          <w:szCs w:val="21"/>
          <w:highlight w:val="none"/>
          <w:shd w:val="clear" w:color="auto" w:fill="FFFFFF"/>
        </w:rPr>
      </w:pPr>
      <w:r>
        <w:rPr>
          <w:rFonts w:hint="eastAsia" w:ascii="宋体" w:hAnsi="宋体" w:eastAsia="宋体" w:cs="宋体"/>
          <w:color w:val="auto"/>
          <w:sz w:val="21"/>
          <w:szCs w:val="21"/>
          <w:highlight w:val="none"/>
        </w:rPr>
        <w:t>（八）乙方有义务及时回复甲方所提出的与项目有关的问题。</w:t>
      </w:r>
    </w:p>
    <w:p>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第七条 违约责任</w:t>
      </w:r>
    </w:p>
    <w:p>
      <w:pPr>
        <w:keepNext w:val="0"/>
        <w:keepLines w:val="0"/>
        <w:pageBreakBefore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shd w:val="clear" w:color="auto" w:fill="FFFFFF"/>
        </w:rPr>
        <w:t>在本合同履行期间，</w:t>
      </w:r>
      <w:r>
        <w:rPr>
          <w:rFonts w:hint="eastAsia" w:ascii="宋体" w:hAnsi="宋体" w:eastAsia="宋体" w:cs="宋体"/>
          <w:color w:val="auto"/>
          <w:sz w:val="21"/>
          <w:szCs w:val="21"/>
          <w:highlight w:val="none"/>
        </w:rPr>
        <w:t>无论何种原因，乙方均不得消极怠工或拒不履行合同义务，如有违反，甲方有权就违约事宜提出改正，如乙方仍拒不改正的，甲方有权解除合同，要求乙方按合同价的20%承担违约金，同时并有权委托第三方继续履行本合同义务，由此产生的费用及给甲方造成的一切损失由乙方承担。</w:t>
      </w:r>
    </w:p>
    <w:p>
      <w:pPr>
        <w:keepNext w:val="0"/>
        <w:keepLines w:val="0"/>
        <w:pageBreakBefore w:val="0"/>
        <w:kinsoku/>
        <w:wordWrap/>
        <w:overflowPunct/>
        <w:topLinePunct w:val="0"/>
        <w:bidi w:val="0"/>
        <w:adjustRightInd w:val="0"/>
        <w:snapToGrid w:val="0"/>
        <w:spacing w:line="360" w:lineRule="auto"/>
        <w:ind w:firstLine="420" w:firstLineChars="200"/>
        <w:contextualSpacing/>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shd w:val="clear" w:color="auto" w:fill="FFFFFF"/>
        </w:rPr>
        <w:t>乙方应按合同约定完成咨询服务工作，按期提交</w:t>
      </w:r>
      <w:r>
        <w:rPr>
          <w:rFonts w:hint="eastAsia" w:ascii="宋体" w:hAnsi="宋体" w:cs="宋体"/>
          <w:color w:val="auto"/>
          <w:sz w:val="21"/>
          <w:szCs w:val="21"/>
          <w:highlight w:val="none"/>
          <w:shd w:val="clear" w:color="auto" w:fill="FFFFFF"/>
          <w:lang w:val="en-US" w:eastAsia="zh-CN"/>
        </w:rPr>
        <w:t>符合合同要求的</w:t>
      </w:r>
      <w:r>
        <w:rPr>
          <w:rFonts w:hint="eastAsia" w:ascii="宋体" w:hAnsi="宋体" w:eastAsia="宋体" w:cs="宋体"/>
          <w:color w:val="auto"/>
          <w:sz w:val="21"/>
          <w:szCs w:val="21"/>
          <w:highlight w:val="none"/>
          <w:shd w:val="clear" w:color="auto" w:fill="FFFFFF"/>
        </w:rPr>
        <w:t>工作成果，</w:t>
      </w:r>
      <w:r>
        <w:rPr>
          <w:rFonts w:hint="eastAsia" w:ascii="宋体" w:hAnsi="宋体" w:eastAsia="宋体" w:cs="宋体"/>
          <w:color w:val="auto"/>
          <w:sz w:val="21"/>
          <w:szCs w:val="21"/>
          <w:highlight w:val="none"/>
        </w:rPr>
        <w:t>如因非甲方原因造成逾期的</w:t>
      </w:r>
      <w:r>
        <w:rPr>
          <w:rFonts w:hint="eastAsia" w:ascii="宋体" w:hAnsi="宋体" w:eastAsia="宋体" w:cs="宋体"/>
          <w:color w:val="auto"/>
          <w:sz w:val="21"/>
          <w:szCs w:val="21"/>
          <w:highlight w:val="none"/>
          <w:shd w:val="clear" w:color="auto" w:fill="FFFFFF"/>
        </w:rPr>
        <w:t>，每逾期一日，甲方有权要求乙方按合同价</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shd w:val="clear" w:color="auto" w:fill="FFFFFF"/>
        </w:rPr>
        <w:t>的标准向甲方支付违约金，逾期超过10日的，甲方还有权单方解除本合同，不予支付任何服务费用，</w:t>
      </w:r>
      <w:r>
        <w:rPr>
          <w:rFonts w:hint="eastAsia" w:ascii="宋体" w:hAnsi="宋体" w:cs="宋体"/>
          <w:color w:val="auto"/>
          <w:sz w:val="21"/>
          <w:szCs w:val="21"/>
          <w:highlight w:val="none"/>
          <w:shd w:val="clear" w:color="auto" w:fill="FFFFFF"/>
          <w:lang w:val="en-US" w:eastAsia="zh-CN"/>
        </w:rPr>
        <w:t>且</w:t>
      </w:r>
      <w:r>
        <w:rPr>
          <w:rFonts w:hint="eastAsia" w:ascii="宋体" w:hAnsi="宋体" w:eastAsia="宋体" w:cs="宋体"/>
          <w:color w:val="auto"/>
          <w:sz w:val="21"/>
          <w:szCs w:val="21"/>
          <w:highlight w:val="none"/>
          <w:shd w:val="clear" w:color="auto" w:fill="FFFFFF"/>
        </w:rPr>
        <w:t>乙方</w:t>
      </w:r>
      <w:r>
        <w:rPr>
          <w:rFonts w:hint="eastAsia" w:ascii="宋体" w:hAnsi="宋体" w:cs="宋体"/>
          <w:color w:val="auto"/>
          <w:sz w:val="21"/>
          <w:szCs w:val="21"/>
          <w:highlight w:val="none"/>
          <w:shd w:val="clear" w:color="auto" w:fill="FFFFFF"/>
          <w:lang w:val="en-US" w:eastAsia="zh-CN"/>
        </w:rPr>
        <w:t>应当</w:t>
      </w:r>
      <w:r>
        <w:rPr>
          <w:rFonts w:hint="eastAsia" w:ascii="宋体" w:hAnsi="宋体" w:eastAsia="宋体" w:cs="宋体"/>
          <w:color w:val="auto"/>
          <w:sz w:val="21"/>
          <w:szCs w:val="21"/>
          <w:highlight w:val="none"/>
          <w:shd w:val="clear" w:color="auto" w:fill="FFFFFF"/>
        </w:rPr>
        <w:t>按合同价的20%</w:t>
      </w:r>
      <w:r>
        <w:rPr>
          <w:rFonts w:hint="eastAsia" w:ascii="宋体" w:hAnsi="宋体" w:cs="宋体"/>
          <w:color w:val="auto"/>
          <w:sz w:val="21"/>
          <w:szCs w:val="21"/>
          <w:highlight w:val="none"/>
          <w:shd w:val="clear" w:color="auto" w:fill="FFFFFF"/>
          <w:lang w:val="en-US" w:eastAsia="zh-CN"/>
        </w:rPr>
        <w:t>支付违约金</w:t>
      </w:r>
      <w:r>
        <w:rPr>
          <w:rFonts w:hint="eastAsia" w:ascii="宋体" w:hAnsi="宋体" w:cs="宋体"/>
          <w:color w:val="auto"/>
          <w:sz w:val="21"/>
          <w:szCs w:val="21"/>
          <w:highlight w:val="none"/>
          <w:shd w:val="clear" w:color="auto" w:fill="FFFFFF"/>
          <w:lang w:eastAsia="zh-CN"/>
        </w:rPr>
        <w:t>，</w:t>
      </w:r>
      <w:r>
        <w:rPr>
          <w:rFonts w:hint="eastAsia" w:ascii="宋体" w:hAnsi="宋体" w:cs="宋体"/>
          <w:color w:val="auto"/>
          <w:sz w:val="21"/>
          <w:szCs w:val="21"/>
          <w:highlight w:val="none"/>
          <w:shd w:val="clear" w:color="auto" w:fill="FFFFFF"/>
          <w:lang w:val="en-US" w:eastAsia="zh-CN"/>
        </w:rPr>
        <w:t>同时甲方</w:t>
      </w:r>
      <w:r>
        <w:rPr>
          <w:rFonts w:hint="eastAsia" w:ascii="宋体" w:hAnsi="宋体" w:eastAsia="宋体" w:cs="宋体"/>
          <w:color w:val="auto"/>
          <w:sz w:val="21"/>
          <w:szCs w:val="21"/>
          <w:highlight w:val="none"/>
          <w:shd w:val="clear" w:color="auto" w:fill="FFFFFF"/>
        </w:rPr>
        <w:t>有权委托第三方继续履行本合同义务，由此产生的费用及给甲方造成的一切损失由乙方承担。违约金不足以赔偿甲方损失的，乙方需继续赔偿。</w:t>
      </w:r>
    </w:p>
    <w:p>
      <w:pPr>
        <w:keepNext w:val="0"/>
        <w:keepLines w:val="0"/>
        <w:pageBreakBefore w:val="0"/>
        <w:kinsoku/>
        <w:wordWrap/>
        <w:overflowPunct/>
        <w:topLinePunct w:val="0"/>
        <w:bidi w:val="0"/>
        <w:adjustRightInd w:val="0"/>
        <w:snapToGrid w:val="0"/>
        <w:spacing w:line="360" w:lineRule="auto"/>
        <w:ind w:firstLine="420" w:firstLineChars="200"/>
        <w:contextualSpacing/>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shd w:val="clear" w:color="auto" w:fill="FFFFFF"/>
        </w:rPr>
        <w:t>对成果文件出现的遗漏或错误，乙方应无条件负责在2</w:t>
      </w:r>
      <w:r>
        <w:rPr>
          <w:rFonts w:hint="eastAsia" w:ascii="宋体" w:hAnsi="宋体" w:cs="宋体"/>
          <w:color w:val="auto"/>
          <w:sz w:val="21"/>
          <w:szCs w:val="21"/>
          <w:highlight w:val="none"/>
          <w:shd w:val="clear" w:color="auto" w:fill="FFFFFF"/>
          <w:lang w:val="en-US" w:eastAsia="zh-CN"/>
        </w:rPr>
        <w:t>个自然</w:t>
      </w:r>
      <w:r>
        <w:rPr>
          <w:rFonts w:hint="eastAsia" w:ascii="宋体" w:hAnsi="宋体" w:eastAsia="宋体" w:cs="宋体"/>
          <w:color w:val="auto"/>
          <w:sz w:val="21"/>
          <w:szCs w:val="21"/>
          <w:highlight w:val="none"/>
          <w:shd w:val="clear" w:color="auto" w:fill="FFFFFF"/>
        </w:rPr>
        <w:t>日内修改或补充。乙方怠于修改、补充成果文件或经3次补充修善后仍无法达到甲方要求的，甲方有权解除本合同，不予支付任何费用，并要求乙方按合同价的20%</w:t>
      </w:r>
      <w:r>
        <w:rPr>
          <w:rFonts w:hint="eastAsia" w:ascii="宋体" w:hAnsi="宋体" w:cs="宋体"/>
          <w:color w:val="auto"/>
          <w:sz w:val="21"/>
          <w:szCs w:val="21"/>
          <w:highlight w:val="none"/>
          <w:shd w:val="clear" w:color="auto" w:fill="FFFFFF"/>
          <w:lang w:val="en-US" w:eastAsia="zh-CN"/>
        </w:rPr>
        <w:t>支付违约金</w:t>
      </w:r>
      <w:r>
        <w:rPr>
          <w:rFonts w:hint="eastAsia" w:ascii="宋体" w:hAnsi="宋体" w:eastAsia="宋体" w:cs="宋体"/>
          <w:color w:val="auto"/>
          <w:sz w:val="21"/>
          <w:szCs w:val="21"/>
          <w:highlight w:val="none"/>
          <w:shd w:val="clear" w:color="auto" w:fill="FFFFFF"/>
        </w:rPr>
        <w:t>。由此造成甲方损失的，乙方应当予以赔偿。</w:t>
      </w:r>
    </w:p>
    <w:p>
      <w:pPr>
        <w:keepNext w:val="0"/>
        <w:keepLines w:val="0"/>
        <w:pageBreakBefore w:val="0"/>
        <w:kinsoku/>
        <w:wordWrap/>
        <w:overflowPunct/>
        <w:topLinePunct w:val="0"/>
        <w:bidi w:val="0"/>
        <w:adjustRightInd w:val="0"/>
        <w:snapToGrid w:val="0"/>
        <w:spacing w:line="360" w:lineRule="auto"/>
        <w:ind w:firstLine="420" w:firstLineChars="200"/>
        <w:contextualSpacing/>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（四）</w:t>
      </w:r>
      <w:r>
        <w:rPr>
          <w:rFonts w:hint="eastAsia" w:ascii="宋体" w:hAnsi="宋体" w:eastAsia="宋体" w:cs="宋体"/>
          <w:color w:val="auto"/>
          <w:sz w:val="21"/>
          <w:szCs w:val="21"/>
          <w:highlight w:val="none"/>
          <w:shd w:val="clear" w:color="auto" w:fill="FFFFFF"/>
        </w:rPr>
        <w:t>由于乙方提交的成果文件遗漏或错误等原因造成甲方经济损失的，乙方除无条件负责采取补救措施外，应免收受损失部分的咨询服务费，并应对造成的损失（包括但不限于甲方及相关单位损失赔偿、第三人侵权赔偿责任等）承担赔偿责任。同时，乙方应按合同价的20%向甲方支付违约金。</w:t>
      </w:r>
    </w:p>
    <w:p>
      <w:pPr>
        <w:keepNext w:val="0"/>
        <w:keepLines w:val="0"/>
        <w:pageBreakBefore w:val="0"/>
        <w:kinsoku/>
        <w:wordWrap/>
        <w:overflowPunct/>
        <w:topLinePunct w:val="0"/>
        <w:bidi w:val="0"/>
        <w:adjustRightInd w:val="0"/>
        <w:snapToGrid w:val="0"/>
        <w:spacing w:line="360" w:lineRule="auto"/>
        <w:ind w:firstLine="420" w:firstLineChars="200"/>
        <w:contextualSpacing/>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shd w:val="clear" w:color="auto" w:fill="FFFFFF"/>
        </w:rPr>
        <w:t>乙方工作人员在履行合同过程中，存在疏忽、失职、过错等给甲方造成损失或侵害的，包括但不限于甲方的财产损失、由此导致的甲方对第三方承担的法律责任，乙方应对此承担全部赔偿责任。</w:t>
      </w:r>
    </w:p>
    <w:p>
      <w:pPr>
        <w:keepNext w:val="0"/>
        <w:keepLines w:val="0"/>
        <w:pageBreakBefore w:val="0"/>
        <w:kinsoku/>
        <w:wordWrap/>
        <w:overflowPunct/>
        <w:topLinePunct w:val="0"/>
        <w:bidi w:val="0"/>
        <w:adjustRightInd w:val="0"/>
        <w:snapToGrid w:val="0"/>
        <w:spacing w:line="360" w:lineRule="auto"/>
        <w:ind w:firstLine="420" w:firstLineChars="200"/>
        <w:contextualSpacing/>
        <w:textAlignment w:val="auto"/>
        <w:rPr>
          <w:rFonts w:hint="eastAsia" w:ascii="宋体" w:hAnsi="宋体" w:eastAsia="宋体" w:cs="宋体"/>
          <w:b/>
          <w:bCs/>
          <w:color w:val="auto"/>
          <w:sz w:val="21"/>
          <w:szCs w:val="21"/>
          <w:highlight w:val="none"/>
          <w:shd w:val="clear" w:color="auto" w:fill="FFFFFF"/>
        </w:rPr>
      </w:pPr>
      <w:r>
        <w:rPr>
          <w:rFonts w:hint="eastAsia" w:ascii="宋体" w:hAnsi="宋体" w:eastAsia="宋体" w:cs="宋体"/>
          <w:color w:val="auto"/>
          <w:sz w:val="21"/>
          <w:szCs w:val="21"/>
          <w:highlight w:val="none"/>
        </w:rPr>
        <w:t>（六）</w:t>
      </w:r>
      <w:r>
        <w:rPr>
          <w:rFonts w:hint="eastAsia" w:ascii="宋体" w:hAnsi="宋体" w:eastAsia="宋体" w:cs="宋体"/>
          <w:color w:val="auto"/>
          <w:sz w:val="21"/>
          <w:szCs w:val="21"/>
          <w:highlight w:val="none"/>
          <w:shd w:val="clear" w:color="auto" w:fill="FFFFFF"/>
        </w:rPr>
        <w:t>因乙方违反本合同约定产生的违约金、赔偿金等，甲方有权在未付服务费中直接扣除，如造成甲方损失，且实际损失高于违约金的，甲方有权另行追偿。</w:t>
      </w:r>
    </w:p>
    <w:p>
      <w:pPr>
        <w:keepNext w:val="0"/>
        <w:keepLines w:val="0"/>
        <w:pageBreakBefore w:val="0"/>
        <w:kinsoku/>
        <w:wordWrap/>
        <w:overflowPunct/>
        <w:topLinePunct w:val="0"/>
        <w:bidi w:val="0"/>
        <w:adjustRightInd w:val="0"/>
        <w:snapToGrid w:val="0"/>
        <w:spacing w:line="360" w:lineRule="auto"/>
        <w:ind w:firstLine="420" w:firstLineChars="200"/>
        <w:contextualSpacing/>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（七）</w:t>
      </w:r>
      <w:r>
        <w:rPr>
          <w:rFonts w:hint="eastAsia" w:ascii="宋体" w:hAnsi="宋体" w:eastAsia="宋体" w:cs="宋体"/>
          <w:color w:val="auto"/>
          <w:sz w:val="21"/>
          <w:szCs w:val="21"/>
          <w:highlight w:val="none"/>
          <w:shd w:val="clear" w:color="auto" w:fill="FFFFFF"/>
        </w:rPr>
        <w:t>若乙方未经甲方书面同意，将本合同或本合同项下服务内容全部或部分转让给第三方的，甲方有权单方解除合同，不予支付任何费用，并要求乙方支付合同价的20%的违约金，违约金不足以弥补甲方损失的，甲方有权继续向乙方追索。</w:t>
      </w:r>
    </w:p>
    <w:p>
      <w:pPr>
        <w:keepNext w:val="0"/>
        <w:keepLines w:val="0"/>
        <w:pageBreakBefore w:val="0"/>
        <w:kinsoku/>
        <w:wordWrap/>
        <w:overflowPunct/>
        <w:topLinePunct w:val="0"/>
        <w:bidi w:val="0"/>
        <w:adjustRightInd w:val="0"/>
        <w:snapToGrid w:val="0"/>
        <w:spacing w:line="360" w:lineRule="auto"/>
        <w:ind w:firstLine="420" w:firstLineChars="200"/>
        <w:contextualSpacing/>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（八）</w:t>
      </w:r>
      <w:r>
        <w:rPr>
          <w:rFonts w:hint="eastAsia" w:ascii="宋体" w:hAnsi="宋体" w:eastAsia="宋体" w:cs="宋体"/>
          <w:color w:val="auto"/>
          <w:sz w:val="21"/>
          <w:szCs w:val="21"/>
          <w:highlight w:val="none"/>
          <w:shd w:val="clear" w:color="auto" w:fill="FFFFFF"/>
        </w:rPr>
        <w:t>乙方保证对其在讨论、签订、履行本合同过程中所获悉的属于甲方的且无法从公开渠道获得的文件资料及项目信息予以严格保密并应采取相应的保密措施，保证其自身及工作人员不私下使用或向任何第三方泄露，否则，视为乙方违约，甲方有权要求乙方支付合同价的20%的违约金，且乙方须承担由此给甲方造成的一切损失。乙方及其工作人员的保密义务不因本合同的终止而终止，直至相关保密信息被合法公开时止。</w:t>
      </w:r>
    </w:p>
    <w:p>
      <w:pPr>
        <w:keepNext w:val="0"/>
        <w:keepLines w:val="0"/>
        <w:pageBreakBefore w:val="0"/>
        <w:kinsoku/>
        <w:wordWrap/>
        <w:overflowPunct/>
        <w:topLinePunct w:val="0"/>
        <w:bidi w:val="0"/>
        <w:adjustRightInd w:val="0"/>
        <w:snapToGrid w:val="0"/>
        <w:spacing w:line="360" w:lineRule="auto"/>
        <w:ind w:firstLine="420" w:firstLineChars="200"/>
        <w:contextualSpacing/>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（九）在本合同项下，甲方的损失包括但不限于甲方另行委托第三方提供咨询服务所产生的差价、诉讼费/仲裁费、律师费、保全费、担保费、差旅费等。</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十</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除合同约定外，</w:t>
      </w:r>
      <w:r>
        <w:rPr>
          <w:rFonts w:hint="eastAsia" w:ascii="宋体" w:hAnsi="宋体" w:cs="宋体"/>
          <w:color w:val="auto"/>
          <w:sz w:val="21"/>
          <w:szCs w:val="21"/>
          <w:highlight w:val="none"/>
          <w:shd w:val="clear" w:color="auto" w:fill="FFFFFF"/>
          <w:lang w:val="en-US" w:eastAsia="zh-CN"/>
        </w:rPr>
        <w:t>乙方或乙方人员</w:t>
      </w:r>
      <w:r>
        <w:rPr>
          <w:rFonts w:hint="eastAsia" w:ascii="宋体" w:hAnsi="宋体" w:eastAsia="宋体" w:cs="宋体"/>
          <w:color w:val="auto"/>
          <w:sz w:val="21"/>
          <w:szCs w:val="21"/>
          <w:highlight w:val="none"/>
        </w:rPr>
        <w:t>发生下列任何情况时，</w:t>
      </w:r>
      <w:r>
        <w:rPr>
          <w:rFonts w:hint="eastAsia" w:ascii="宋体" w:hAnsi="宋体" w:eastAsia="宋体" w:cs="宋体"/>
          <w:color w:val="auto"/>
          <w:sz w:val="21"/>
          <w:szCs w:val="21"/>
          <w:highlight w:val="none"/>
          <w:lang w:val="en-US" w:eastAsia="zh-CN"/>
        </w:rPr>
        <w:t>甲方有权</w:t>
      </w:r>
      <w:r>
        <w:rPr>
          <w:rFonts w:hint="eastAsia" w:ascii="宋体" w:hAnsi="宋体" w:cs="宋体"/>
          <w:color w:val="auto"/>
          <w:sz w:val="21"/>
          <w:szCs w:val="21"/>
          <w:highlight w:val="none"/>
          <w:lang w:val="en-US" w:eastAsia="zh-CN"/>
        </w:rPr>
        <w:t>单方面终止本合同</w:t>
      </w:r>
      <w:r>
        <w:rPr>
          <w:rFonts w:hint="eastAsia" w:ascii="宋体" w:hAnsi="宋体" w:eastAsia="宋体" w:cs="宋体"/>
          <w:color w:val="auto"/>
          <w:sz w:val="21"/>
          <w:szCs w:val="21"/>
          <w:highlight w:val="none"/>
        </w:rPr>
        <w:t>，并追究</w:t>
      </w:r>
      <w:r>
        <w:rPr>
          <w:rFonts w:hint="default" w:ascii="宋体" w:hAnsi="宋体" w:eastAsia="宋体" w:cs="宋体"/>
          <w:color w:val="auto"/>
          <w:sz w:val="21"/>
          <w:szCs w:val="21"/>
          <w:highlight w:val="none"/>
          <w:lang w:val="en-US"/>
        </w:rPr>
        <w:t>其</w:t>
      </w:r>
      <w:r>
        <w:rPr>
          <w:rFonts w:hint="eastAsia" w:ascii="宋体" w:hAnsi="宋体" w:eastAsia="宋体" w:cs="宋体"/>
          <w:color w:val="auto"/>
          <w:sz w:val="21"/>
          <w:szCs w:val="21"/>
          <w:highlight w:val="none"/>
        </w:rPr>
        <w:t>经济和法律责任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包括1.</w:t>
      </w:r>
      <w:r>
        <w:rPr>
          <w:rFonts w:hint="eastAsia" w:ascii="宋体" w:hAnsi="宋体" w:eastAsia="宋体" w:cs="宋体"/>
          <w:color w:val="auto"/>
          <w:sz w:val="21"/>
          <w:szCs w:val="21"/>
          <w:highlight w:val="none"/>
        </w:rPr>
        <w:t>隐瞒审计发现的问题；</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与被审计单位串通舞弊的行为；</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利用受聘工作从被审计单位获取不正当利益；</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将审计结果</w:t>
      </w:r>
      <w:r>
        <w:rPr>
          <w:rFonts w:hint="eastAsia" w:ascii="宋体" w:hAnsi="宋体" w:eastAsia="宋体" w:cs="宋体"/>
          <w:color w:val="auto"/>
          <w:sz w:val="21"/>
          <w:szCs w:val="21"/>
          <w:highlight w:val="none"/>
          <w:lang w:val="en-US" w:eastAsia="zh-CN"/>
        </w:rPr>
        <w:t>及咨询服务成果</w:t>
      </w:r>
      <w:r>
        <w:rPr>
          <w:rFonts w:hint="eastAsia" w:ascii="宋体" w:hAnsi="宋体" w:eastAsia="宋体" w:cs="宋体"/>
          <w:color w:val="auto"/>
          <w:sz w:val="21"/>
          <w:szCs w:val="21"/>
          <w:highlight w:val="none"/>
        </w:rPr>
        <w:t>用于与</w:t>
      </w:r>
      <w:r>
        <w:rPr>
          <w:rFonts w:hint="eastAsia" w:ascii="宋体" w:hAnsi="宋体" w:eastAsia="宋体" w:cs="宋体"/>
          <w:color w:val="auto"/>
          <w:sz w:val="21"/>
          <w:szCs w:val="21"/>
          <w:highlight w:val="none"/>
          <w:lang w:val="en-US" w:eastAsia="zh-CN"/>
        </w:rPr>
        <w:t>本用户需求</w:t>
      </w:r>
      <w:r>
        <w:rPr>
          <w:rFonts w:hint="eastAsia" w:ascii="宋体" w:hAnsi="宋体" w:eastAsia="宋体" w:cs="宋体"/>
          <w:color w:val="auto"/>
          <w:sz w:val="21"/>
          <w:szCs w:val="21"/>
          <w:highlight w:val="none"/>
        </w:rPr>
        <w:t>事项无关目的；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违反保密纪律；</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向被审计单位提出与审计工作无关的要求；</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利用审计职权或知晓的被审计单位的商业秘密和内部信息，为自己和他人谋利等违反职业道德的行为；</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违反保密条款。</w:t>
      </w:r>
    </w:p>
    <w:p>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第八条 知识产权的归属及保密</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（一）甲方对本合同产生的所有工作成果（包括最终成果及半成品）享有完全、独立、排他的所有权和知识产权，</w:t>
      </w:r>
      <w:r>
        <w:rPr>
          <w:rFonts w:hint="eastAsia" w:ascii="宋体" w:hAnsi="宋体" w:eastAsia="宋体" w:cs="宋体"/>
          <w:bCs w:val="0"/>
          <w:color w:val="auto"/>
          <w:kern w:val="0"/>
          <w:sz w:val="21"/>
          <w:szCs w:val="21"/>
          <w:highlight w:val="none"/>
          <w:lang w:val="en-US" w:eastAsia="zh-CN" w:bidi="ar-SA"/>
        </w:rPr>
        <w:t>乙方应保证提供</w:t>
      </w:r>
      <w:r>
        <w:rPr>
          <w:rFonts w:hint="eastAsia" w:ascii="宋体" w:hAnsi="宋体" w:eastAsia="宋体" w:cs="宋体"/>
          <w:color w:val="auto"/>
          <w:sz w:val="21"/>
          <w:szCs w:val="21"/>
          <w:highlight w:val="none"/>
        </w:rPr>
        <w:t>工作成果</w:t>
      </w:r>
      <w:r>
        <w:rPr>
          <w:rFonts w:hint="eastAsia" w:ascii="宋体" w:hAnsi="宋体" w:cs="宋体"/>
          <w:color w:val="auto"/>
          <w:sz w:val="21"/>
          <w:szCs w:val="21"/>
          <w:highlight w:val="none"/>
          <w:lang w:val="en-US" w:eastAsia="zh-CN"/>
        </w:rPr>
        <w:t>或</w:t>
      </w:r>
      <w:r>
        <w:rPr>
          <w:rFonts w:hint="eastAsia" w:ascii="宋体" w:hAnsi="宋体" w:cs="宋体"/>
          <w:bCs w:val="0"/>
          <w:color w:val="auto"/>
          <w:kern w:val="0"/>
          <w:sz w:val="21"/>
          <w:szCs w:val="21"/>
          <w:highlight w:val="none"/>
          <w:lang w:val="en-US" w:eastAsia="zh-CN" w:bidi="ar-SA"/>
        </w:rPr>
        <w:t>服务</w:t>
      </w:r>
      <w:r>
        <w:rPr>
          <w:rFonts w:hint="eastAsia" w:ascii="宋体" w:hAnsi="宋体" w:eastAsia="宋体" w:cs="宋体"/>
          <w:bCs w:val="0"/>
          <w:color w:val="auto"/>
          <w:kern w:val="0"/>
          <w:sz w:val="21"/>
          <w:szCs w:val="21"/>
          <w:highlight w:val="none"/>
          <w:lang w:val="en-US" w:eastAsia="zh-CN" w:bidi="ar-SA"/>
        </w:rPr>
        <w:t>不侵犯第三方的合法权益，如第三方以本合同</w:t>
      </w:r>
      <w:r>
        <w:rPr>
          <w:rFonts w:hint="eastAsia" w:ascii="宋体" w:hAnsi="宋体" w:eastAsia="宋体" w:cs="宋体"/>
          <w:color w:val="auto"/>
          <w:sz w:val="21"/>
          <w:szCs w:val="21"/>
          <w:highlight w:val="none"/>
        </w:rPr>
        <w:t>工作成果</w:t>
      </w:r>
      <w:r>
        <w:rPr>
          <w:rFonts w:hint="eastAsia" w:ascii="宋体" w:hAnsi="宋体" w:cs="宋体"/>
          <w:color w:val="auto"/>
          <w:sz w:val="21"/>
          <w:szCs w:val="21"/>
          <w:highlight w:val="none"/>
          <w:lang w:val="en-US" w:eastAsia="zh-CN"/>
        </w:rPr>
        <w:t>或</w:t>
      </w:r>
      <w:r>
        <w:rPr>
          <w:rFonts w:hint="eastAsia" w:ascii="宋体" w:hAnsi="宋体" w:cs="宋体"/>
          <w:bCs w:val="0"/>
          <w:color w:val="auto"/>
          <w:kern w:val="0"/>
          <w:sz w:val="21"/>
          <w:szCs w:val="21"/>
          <w:highlight w:val="none"/>
          <w:lang w:val="en-US" w:eastAsia="zh-CN" w:bidi="ar-SA"/>
        </w:rPr>
        <w:t>服务</w:t>
      </w:r>
      <w:r>
        <w:rPr>
          <w:rFonts w:hint="eastAsia" w:ascii="宋体" w:hAnsi="宋体" w:eastAsia="宋体" w:cs="宋体"/>
          <w:bCs w:val="0"/>
          <w:color w:val="auto"/>
          <w:kern w:val="0"/>
          <w:sz w:val="21"/>
          <w:szCs w:val="21"/>
          <w:highlight w:val="none"/>
          <w:lang w:val="en-US" w:eastAsia="zh-CN" w:bidi="ar-SA"/>
        </w:rPr>
        <w:t>侵权为由提起侵权主张，乙方须与第三方交涉并承担由此发生的一切责任、费用和经济赔偿。由于乙方提供的</w:t>
      </w:r>
      <w:r>
        <w:rPr>
          <w:rFonts w:hint="eastAsia" w:ascii="宋体" w:hAnsi="宋体" w:eastAsia="宋体" w:cs="宋体"/>
          <w:color w:val="auto"/>
          <w:sz w:val="21"/>
          <w:szCs w:val="21"/>
          <w:highlight w:val="none"/>
        </w:rPr>
        <w:t>工作成果</w:t>
      </w:r>
      <w:r>
        <w:rPr>
          <w:rFonts w:hint="eastAsia" w:ascii="宋体" w:hAnsi="宋体" w:cs="宋体"/>
          <w:color w:val="auto"/>
          <w:sz w:val="21"/>
          <w:szCs w:val="21"/>
          <w:highlight w:val="none"/>
          <w:lang w:val="en-US" w:eastAsia="zh-CN"/>
        </w:rPr>
        <w:t>或</w:t>
      </w:r>
      <w:r>
        <w:rPr>
          <w:rFonts w:hint="eastAsia" w:ascii="宋体" w:hAnsi="宋体" w:cs="宋体"/>
          <w:bCs w:val="0"/>
          <w:color w:val="auto"/>
          <w:kern w:val="0"/>
          <w:sz w:val="21"/>
          <w:szCs w:val="21"/>
          <w:highlight w:val="none"/>
          <w:lang w:val="en-US" w:eastAsia="zh-CN" w:bidi="ar-SA"/>
        </w:rPr>
        <w:t>服务</w:t>
      </w:r>
      <w:r>
        <w:rPr>
          <w:rFonts w:hint="eastAsia" w:ascii="宋体" w:hAnsi="宋体" w:eastAsia="宋体" w:cs="宋体"/>
          <w:bCs w:val="0"/>
          <w:color w:val="auto"/>
          <w:kern w:val="0"/>
          <w:sz w:val="21"/>
          <w:szCs w:val="21"/>
          <w:highlight w:val="none"/>
          <w:lang w:val="en-US" w:eastAsia="zh-CN" w:bidi="ar-SA"/>
        </w:rPr>
        <w:t>的任何一部分不符合知识产权规定，由乙方承担因此给甲方造成的全部损失（包括但不限于甲方为维护自身权益所支付的律师费、诉讼费、鉴定费、差旅费以及甲方依法向第三方支付的赔偿款等全部费用）</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应该严格遵守国家、地方关于知识产权保护的有关规定，保证在未经甲方书面授权情况下，不将甲方提供的相关信息、资料和本项目方案、报告及技术研究等成果以复印、转存、拷贝、摄影等方式公开或向外泄露给乙方以外的任何单位与个人，乙方应该严格限定甲方提供的相关参考资料等研究成果的阅读范围。合同解除/终止后，乙方依然要对上述资料承担保密义务，直至相关信息被依法公开为止。乙方违反本款约定的，按照本合同第七条第</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八</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款约定向甲方承担违约责任。</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）乙方对甲方提供的有关项目的资料妥善保管，在完成本合同规定的工作内容后</w:t>
      </w:r>
      <w:r>
        <w:rPr>
          <w:rFonts w:hint="eastAsia" w:ascii="宋体" w:hAnsi="宋体" w:cs="宋体"/>
          <w:color w:val="auto"/>
          <w:sz w:val="21"/>
          <w:szCs w:val="21"/>
          <w:highlight w:val="none"/>
          <w:lang w:val="en-US" w:eastAsia="zh-CN"/>
        </w:rPr>
        <w:t>按甲方要求的时间</w:t>
      </w:r>
      <w:r>
        <w:rPr>
          <w:rFonts w:hint="eastAsia" w:ascii="宋体" w:hAnsi="宋体" w:eastAsia="宋体" w:cs="宋体"/>
          <w:color w:val="auto"/>
          <w:sz w:val="21"/>
          <w:szCs w:val="21"/>
          <w:highlight w:val="none"/>
        </w:rPr>
        <w:t>归还甲方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如有任何遗失或损毁且无法弥补，甲方有权</w:t>
      </w:r>
      <w:r>
        <w:rPr>
          <w:rFonts w:hint="eastAsia" w:ascii="宋体" w:hAnsi="宋体" w:eastAsia="宋体" w:cs="宋体"/>
          <w:color w:val="auto"/>
          <w:sz w:val="21"/>
          <w:szCs w:val="21"/>
          <w:highlight w:val="none"/>
          <w:shd w:val="clear" w:color="auto" w:fill="FFFFFF"/>
        </w:rPr>
        <w:t>要求乙方按合同价的20%</w:t>
      </w:r>
      <w:r>
        <w:rPr>
          <w:rFonts w:hint="eastAsia" w:ascii="宋体" w:hAnsi="宋体" w:cs="宋体"/>
          <w:color w:val="auto"/>
          <w:sz w:val="21"/>
          <w:szCs w:val="21"/>
          <w:highlight w:val="none"/>
          <w:shd w:val="clear" w:color="auto" w:fill="FFFFFF"/>
          <w:lang w:val="en-US" w:eastAsia="zh-CN"/>
        </w:rPr>
        <w:t>支付违约金</w:t>
      </w:r>
      <w:r>
        <w:rPr>
          <w:rFonts w:hint="eastAsia" w:ascii="宋体" w:hAnsi="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违约金不足以赔偿甲方损失的，乙方需继续赔偿</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第九条 不可抗力</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color w:val="auto"/>
          <w:sz w:val="21"/>
          <w:szCs w:val="21"/>
          <w:highlight w:val="none"/>
        </w:rPr>
      </w:pPr>
      <w:r>
        <w:rPr>
          <w:rFonts w:hint="eastAsia" w:cstheme="minorBidi"/>
          <w:b w:val="0"/>
          <w:bCs/>
          <w:color w:val="auto"/>
          <w:kern w:val="0"/>
          <w:sz w:val="21"/>
          <w:szCs w:val="21"/>
          <w:highlight w:val="none"/>
          <w:lang w:val="en-US" w:eastAsia="zh-CN" w:bidi="ar-SA"/>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r>
        <w:rPr>
          <w:rFonts w:hint="eastAsia" w:ascii="宋体" w:hAnsi="宋体" w:eastAsia="宋体" w:cs="宋体"/>
          <w:color w:val="auto"/>
          <w:sz w:val="21"/>
          <w:szCs w:val="21"/>
          <w:highlight w:val="none"/>
          <w:shd w:val="clear" w:color="auto" w:fill="FFFFFF"/>
        </w:rPr>
        <w:t>。</w:t>
      </w:r>
    </w:p>
    <w:p>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第十条 争议解决</w:t>
      </w:r>
    </w:p>
    <w:p>
      <w:pPr>
        <w:keepNext w:val="0"/>
        <w:keepLines w:val="0"/>
        <w:pageBreakBefore w:val="0"/>
        <w:kinsoku/>
        <w:wordWrap/>
        <w:overflowPunct/>
        <w:topLinePunct w:val="0"/>
        <w:bidi w:val="0"/>
        <w:adjustRightInd w:val="0"/>
        <w:snapToGrid w:val="0"/>
        <w:spacing w:line="360" w:lineRule="auto"/>
        <w:ind w:firstLine="420" w:firstLineChars="200"/>
        <w:contextualSpacing/>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双方在履约中发生争执和分歧，双方应通过友好协商解决，如不能通过友好协商解决的，任何一方均可向甲方住所地有管辖权的人民法院提起诉讼解决。</w:t>
      </w:r>
    </w:p>
    <w:p>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第十一条 合同生效及份数</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份，乙方执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份，具有同等法律效力，本合同自双方法定代表人或授权代表签字并盖章之日起生效至合同项下全部义务履行完毕时终止。</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（二）本合同附件为本合同不可分割内容，与本合同同时生效、同具法律效力。当本合同附件与本合同内容不一致时，以本合同为准。</w:t>
      </w:r>
    </w:p>
    <w:p>
      <w:pPr>
        <w:keepNext w:val="0"/>
        <w:keepLines w:val="0"/>
        <w:pageBreakBefore w:val="0"/>
        <w:tabs>
          <w:tab w:val="left" w:pos="4678"/>
        </w:tabs>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附件一：阳光合作告知函</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附件二：用户需求书</w:t>
      </w:r>
    </w:p>
    <w:p>
      <w:pPr>
        <w:keepNext w:val="0"/>
        <w:keepLines w:val="0"/>
        <w:pageBreakBefore w:val="0"/>
        <w:tabs>
          <w:tab w:val="left" w:pos="4678"/>
        </w:tabs>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附件三：报价表</w:t>
      </w:r>
    </w:p>
    <w:p>
      <w:pPr>
        <w:keepNext w:val="0"/>
        <w:keepLines w:val="0"/>
        <w:pageBreakBefore w:val="0"/>
        <w:kinsoku/>
        <w:wordWrap/>
        <w:overflowPunct/>
        <w:topLinePunct w:val="0"/>
        <w:bidi w:val="0"/>
        <w:adjustRightInd w:val="0"/>
        <w:snapToGrid w:val="0"/>
        <w:spacing w:line="360" w:lineRule="auto"/>
        <w:ind w:firstLine="426" w:firstLineChars="202"/>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（以下无正文内容为签字盖章页）</w:t>
      </w:r>
    </w:p>
    <w:p>
      <w:pPr>
        <w:pStyle w:val="22"/>
        <w:jc w:val="both"/>
        <w:rPr>
          <w:rFonts w:hint="eastAsia" w:ascii="宋体" w:hAnsi="宋体" w:eastAsia="宋体" w:cs="宋体"/>
          <w:color w:val="auto"/>
          <w:sz w:val="21"/>
          <w:szCs w:val="21"/>
          <w:highlight w:val="none"/>
        </w:rPr>
      </w:pPr>
    </w:p>
    <w:p>
      <w:pPr>
        <w:pStyle w:val="22"/>
        <w:rPr>
          <w:rFonts w:hint="eastAsia" w:ascii="宋体" w:hAnsi="宋体" w:eastAsia="宋体" w:cs="宋体"/>
          <w:color w:val="auto"/>
          <w:sz w:val="21"/>
          <w:szCs w:val="21"/>
          <w:highlight w:val="none"/>
        </w:rPr>
      </w:pPr>
    </w:p>
    <w:tbl>
      <w:tblPr>
        <w:tblStyle w:val="56"/>
        <w:tblW w:w="9804" w:type="dxa"/>
        <w:tblInd w:w="-2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8"/>
        <w:gridCol w:w="240"/>
        <w:gridCol w:w="4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028" w:type="dxa"/>
            <w:tcBorders>
              <w:tl2br w:val="nil"/>
              <w:tr2bl w:val="nil"/>
            </w:tcBorders>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甲方（盖章）：</w:t>
            </w:r>
          </w:p>
        </w:tc>
        <w:tc>
          <w:tcPr>
            <w:tcW w:w="240" w:type="dxa"/>
            <w:tcBorders>
              <w:tl2br w:val="nil"/>
              <w:tr2bl w:val="nil"/>
            </w:tcBorders>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tc>
        <w:tc>
          <w:tcPr>
            <w:tcW w:w="4536" w:type="dxa"/>
            <w:tcBorders>
              <w:tl2br w:val="nil"/>
              <w:tr2bl w:val="nil"/>
            </w:tcBorders>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乙方（盖章）：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028" w:type="dxa"/>
            <w:tcBorders>
              <w:tl2br w:val="nil"/>
              <w:tr2bl w:val="nil"/>
            </w:tcBorders>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法定代表人/授权代表：</w:t>
            </w:r>
          </w:p>
          <w:p>
            <w:pPr>
              <w:pStyle w:val="22"/>
              <w:keepNext w:val="0"/>
              <w:keepLines w:val="0"/>
              <w:suppressLineNumbers w:val="0"/>
              <w:spacing w:before="0" w:beforeAutospacing="0" w:after="0" w:afterAutospacing="0"/>
              <w:ind w:left="0"/>
              <w:rPr>
                <w:rFonts w:hint="eastAsia" w:ascii="宋体" w:hAnsi="宋体" w:eastAsia="宋体" w:cs="宋体"/>
                <w:color w:val="auto"/>
                <w:sz w:val="21"/>
                <w:szCs w:val="21"/>
                <w:highlight w:val="none"/>
              </w:rPr>
            </w:pPr>
          </w:p>
        </w:tc>
        <w:tc>
          <w:tcPr>
            <w:tcW w:w="240" w:type="dxa"/>
            <w:tcBorders>
              <w:tl2br w:val="nil"/>
              <w:tr2bl w:val="nil"/>
            </w:tcBorders>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tc>
        <w:tc>
          <w:tcPr>
            <w:tcW w:w="4536" w:type="dxa"/>
            <w:tcBorders>
              <w:tl2br w:val="nil"/>
              <w:tr2bl w:val="nil"/>
            </w:tcBorders>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w:t>
            </w:r>
            <w:r>
              <w:rPr>
                <w:rFonts w:hint="eastAsia" w:ascii="宋体" w:hAnsi="宋体" w:eastAsia="宋体" w:cs="宋体"/>
                <w:color w:val="auto"/>
                <w:sz w:val="21"/>
                <w:szCs w:val="21"/>
                <w:highlight w:val="none"/>
                <w:lang w:eastAsia="zh-CN"/>
              </w:rPr>
              <w:t>执行事务合伙人</w:t>
            </w:r>
            <w:r>
              <w:rPr>
                <w:rFonts w:hint="eastAsia" w:ascii="宋体" w:hAnsi="宋体" w:eastAsia="宋体" w:cs="宋体"/>
                <w:color w:val="auto"/>
                <w:sz w:val="21"/>
                <w:szCs w:val="21"/>
                <w:highlight w:val="none"/>
              </w:rPr>
              <w:t>/授权代表：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028" w:type="dxa"/>
            <w:tcBorders>
              <w:tl2br w:val="nil"/>
              <w:tr2bl w:val="nil"/>
            </w:tcBorders>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240" w:type="dxa"/>
            <w:tcBorders>
              <w:tl2br w:val="nil"/>
              <w:tr2bl w:val="nil"/>
            </w:tcBorders>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tc>
        <w:tc>
          <w:tcPr>
            <w:tcW w:w="4536" w:type="dxa"/>
            <w:tcBorders>
              <w:tl2br w:val="nil"/>
              <w:tr2bl w:val="nil"/>
            </w:tcBorders>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028" w:type="dxa"/>
            <w:tcBorders>
              <w:tl2br w:val="nil"/>
              <w:tr2bl w:val="nil"/>
            </w:tcBorders>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240" w:type="dxa"/>
            <w:tcBorders>
              <w:tl2br w:val="nil"/>
              <w:tr2bl w:val="nil"/>
            </w:tcBorders>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tc>
        <w:tc>
          <w:tcPr>
            <w:tcW w:w="4536" w:type="dxa"/>
            <w:tcBorders>
              <w:tl2br w:val="nil"/>
              <w:tr2bl w:val="nil"/>
            </w:tcBorders>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028" w:type="dxa"/>
            <w:tcBorders>
              <w:tl2br w:val="nil"/>
              <w:tr2bl w:val="nil"/>
            </w:tcBorders>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w:t>
            </w:r>
          </w:p>
        </w:tc>
        <w:tc>
          <w:tcPr>
            <w:tcW w:w="240" w:type="dxa"/>
            <w:tcBorders>
              <w:tl2br w:val="nil"/>
              <w:tr2bl w:val="nil"/>
            </w:tcBorders>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tc>
        <w:tc>
          <w:tcPr>
            <w:tcW w:w="4536" w:type="dxa"/>
            <w:tcBorders>
              <w:tl2br w:val="nil"/>
              <w:tr2bl w:val="nil"/>
            </w:tcBorders>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w:t>
            </w:r>
          </w:p>
        </w:tc>
      </w:tr>
    </w:tbl>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bookmarkEnd w:id="276"/>
    <w:p>
      <w:pPr>
        <w:pStyle w:val="23"/>
        <w:ind w:firstLine="210"/>
        <w:rPr>
          <w:rFonts w:hint="eastAsia" w:ascii="宋体" w:hAnsi="宋体" w:eastAsia="宋体" w:cs="宋体"/>
          <w:color w:val="auto"/>
          <w:sz w:val="21"/>
          <w:szCs w:val="21"/>
          <w:highlight w:val="none"/>
        </w:rPr>
      </w:pPr>
    </w:p>
    <w:p>
      <w:pPr>
        <w:pStyle w:val="23"/>
        <w:ind w:firstLine="210"/>
        <w:rPr>
          <w:rFonts w:hint="eastAsia" w:ascii="宋体" w:hAnsi="宋体" w:eastAsia="宋体" w:cs="宋体"/>
          <w:color w:val="auto"/>
          <w:sz w:val="21"/>
          <w:szCs w:val="21"/>
          <w:highlight w:val="none"/>
        </w:rPr>
      </w:pPr>
    </w:p>
    <w:p>
      <w:pPr>
        <w:pageBreakBefore/>
        <w:autoSpaceDE w:val="0"/>
        <w:autoSpaceDN w:val="0"/>
        <w:adjustRightInd w:val="0"/>
        <w:spacing w:line="360" w:lineRule="auto"/>
        <w:ind w:left="238"/>
        <w:jc w:val="left"/>
        <w:outlineLvl w:val="1"/>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附件1：阳光合作告知函</w:t>
      </w:r>
    </w:p>
    <w:p>
      <w:pPr>
        <w:spacing w:line="58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阳光合作告知函</w:t>
      </w:r>
    </w:p>
    <w:p>
      <w:pPr>
        <w:spacing w:line="560" w:lineRule="exact"/>
        <w:rPr>
          <w:rFonts w:hint="eastAsia" w:ascii="宋体" w:hAnsi="宋体" w:eastAsia="宋体" w:cs="宋体"/>
          <w:b/>
          <w:bCs/>
          <w:color w:val="auto"/>
          <w:sz w:val="32"/>
          <w:szCs w:val="32"/>
          <w:highlight w:val="none"/>
        </w:rPr>
      </w:pPr>
    </w:p>
    <w:p>
      <w:pPr>
        <w:spacing w:line="56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632"/>
        <w:snapToGrid w:val="0"/>
        <w:spacing w:line="580" w:lineRule="exact"/>
        <w:ind w:firstLine="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（乙方）单位名称 </w:t>
      </w:r>
      <w:r>
        <w:rPr>
          <w:rFonts w:hint="eastAsia" w:ascii="宋体" w:hAnsi="宋体" w:eastAsia="宋体" w:cs="宋体"/>
          <w:color w:val="auto"/>
          <w:highlight w:val="none"/>
        </w:rPr>
        <w:t>：</w:t>
      </w:r>
    </w:p>
    <w:p>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为保证我公司人员廉洁从业，规范和鼓励诚信交易行为，防止腐败和商业贿赂发生，推动双方建立阳光合作关系，现将我方推行阳光合作的相关管理规定函告如下：</w:t>
      </w:r>
    </w:p>
    <w:p>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一、我方负责对本单位有关人员进行阳光合作教育和管理。</w:t>
      </w:r>
    </w:p>
    <w:p>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二、我方人员有责任向贵方介绍本单位有关阳光合作的相关规定。</w:t>
      </w:r>
    </w:p>
    <w:p>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三、我方人员应本着诚实守信、公平公开、平等互利原则开展交易合作，遵守国家相关法律法规。</w:t>
      </w:r>
    </w:p>
    <w:p>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四、我方人员应廉洁从业，自觉抵制商业贿赂及不正当交易行为，在交易业务中涉及本人、亲属或其他相关人员时，应主动提请回避。</w:t>
      </w:r>
    </w:p>
    <w:p>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五、在业务合作过程中，我方人员不得有以下违法违规行为：</w:t>
      </w:r>
    </w:p>
    <w:p>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（一）合作过程中通过各种方式向贵方索贿、行贿，或为亲属、其他相关人员索取其他协助或服务； </w:t>
      </w:r>
    </w:p>
    <w:p>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合作过程中通过各种方式收受贵方财物、服务，或为他人谋取不正当利益，包括但不限于：实物、现金、有价证券、礼券等有价物品（以下统称“财物”），不得参加贵方提供的旅游或其他可能影响职务廉洁的活动；</w:t>
      </w:r>
    </w:p>
    <w:p>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（三）擅自截留、挪用或侵占贵方财物； </w:t>
      </w:r>
    </w:p>
    <w:p>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（四）以各种形式参与民间借贷，帮助贵方过桥借贷； </w:t>
      </w:r>
    </w:p>
    <w:p>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（五）参与黄、赌、毒等违法犯罪活动；</w:t>
      </w:r>
    </w:p>
    <w:p>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（六）其他违反国家法律法规和违反廉洁从业的行为。 </w:t>
      </w:r>
    </w:p>
    <w:p>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六、在业务合作期间，我方有权通过回访等方式监督阳光合作执行情况。贵方及贵方人员发现我方任何人员任何形式的行贿、索贿、受贿或其他违反阳光合作的行为，可及时向我方举报。</w:t>
      </w:r>
    </w:p>
    <w:p>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七、烦请贵方及贵方人员在投诉举报时，积极配合我方的相关调查工作，并提供联系方式等，便于我方纪检监察机构联系与调查核实。我方承诺对贵方的投诉举报人进行保密。</w:t>
      </w:r>
    </w:p>
    <w:p>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八、贵方投诉举报的情况，经查证属实，我方将视情节轻重和影响恶劣程度对相关人员进行内部处理；构成犯罪的，依法移送司法机关处置，并将调查结果及时向贵方反馈。</w:t>
      </w:r>
    </w:p>
    <w:p>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九、如贵方经办人员或其他相关人员主动诱使我方人员作出本告知函第五点列明的违法违规行为的，我方有权终止双方的合作，由此造成的损失由贵方承担。</w:t>
      </w:r>
    </w:p>
    <w:p>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十、我方对如实举报和严格遵守阳光合作精神的合作方，在同等条件下给予后续合作的优先权。</w:t>
      </w:r>
    </w:p>
    <w:p>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十一、</w:t>
      </w:r>
      <w:bookmarkStart w:id="278" w:name="OLE_LINK1"/>
      <w:r>
        <w:rPr>
          <w:rFonts w:hint="eastAsia" w:ascii="宋体" w:hAnsi="宋体" w:eastAsia="宋体" w:cs="宋体"/>
          <w:color w:val="auto"/>
          <w:highlight w:val="none"/>
        </w:rPr>
        <w:t>其他</w:t>
      </w:r>
    </w:p>
    <w:p>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（一）本告知函所言“其他相关人员”是指经办人以外的与合作项目有直接或间接利益关系的人员，包括但不仅限于项目经办人的亲友。</w:t>
      </w:r>
    </w:p>
    <w:bookmarkEnd w:id="278"/>
    <w:p>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（二）我方常设投诉举报受理部门及联系方式： </w:t>
      </w:r>
    </w:p>
    <w:p>
      <w:pPr>
        <w:pStyle w:val="632"/>
        <w:snapToGrid w:val="0"/>
        <w:spacing w:line="58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1.投诉举报受理部门：</w:t>
      </w:r>
      <w:r>
        <w:rPr>
          <w:rFonts w:hint="eastAsia" w:ascii="宋体" w:hAnsi="宋体" w:eastAsia="宋体" w:cs="宋体"/>
          <w:color w:val="auto"/>
          <w:highlight w:val="none"/>
        </w:rPr>
        <w:t>东莞市水务集团有限公司纪检监察部；</w:t>
      </w:r>
    </w:p>
    <w:p>
      <w:pPr>
        <w:pStyle w:val="632"/>
        <w:snapToGrid w:val="0"/>
        <w:spacing w:line="58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2.投诉举报电话：</w:t>
      </w:r>
      <w:r>
        <w:rPr>
          <w:rFonts w:hint="eastAsia" w:ascii="宋体" w:hAnsi="宋体" w:eastAsia="宋体" w:cs="宋体"/>
          <w:color w:val="auto"/>
          <w:highlight w:val="none"/>
        </w:rPr>
        <w:t>0769–28823293（星期一至星期五：8:30-17:30）；</w:t>
      </w:r>
    </w:p>
    <w:p>
      <w:pPr>
        <w:pStyle w:val="632"/>
        <w:snapToGrid w:val="0"/>
        <w:spacing w:line="58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3.联系地址：</w:t>
      </w:r>
      <w:r>
        <w:rPr>
          <w:rFonts w:hint="eastAsia" w:ascii="宋体" w:hAnsi="宋体" w:eastAsia="宋体" w:cs="宋体"/>
          <w:color w:val="auto"/>
          <w:highlight w:val="none"/>
        </w:rPr>
        <w:t>东莞市东城街道育华路1号；</w:t>
      </w:r>
    </w:p>
    <w:p>
      <w:pPr>
        <w:pStyle w:val="632"/>
        <w:snapToGrid w:val="0"/>
        <w:spacing w:line="58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4.邮编：</w:t>
      </w:r>
      <w:r>
        <w:rPr>
          <w:rFonts w:hint="eastAsia" w:ascii="宋体" w:hAnsi="宋体" w:eastAsia="宋体" w:cs="宋体"/>
          <w:color w:val="auto"/>
          <w:highlight w:val="none"/>
        </w:rPr>
        <w:t>523000。</w:t>
      </w:r>
    </w:p>
    <w:p>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让我们共同为建立健康、公平的商业秩序和实现双赢而努力。</w:t>
      </w:r>
    </w:p>
    <w:p>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特此致函。</w:t>
      </w:r>
    </w:p>
    <w:p>
      <w:pPr>
        <w:pStyle w:val="632"/>
        <w:snapToGrid w:val="0"/>
        <w:spacing w:line="580" w:lineRule="exact"/>
        <w:ind w:firstLine="420" w:firstLineChars="200"/>
        <w:rPr>
          <w:rFonts w:hint="eastAsia" w:ascii="宋体" w:hAnsi="宋体" w:eastAsia="宋体" w:cs="宋体"/>
          <w:color w:val="auto"/>
          <w:highlight w:val="none"/>
        </w:rPr>
      </w:pPr>
    </w:p>
    <w:p>
      <w:pPr>
        <w:pStyle w:val="632"/>
        <w:snapToGrid w:val="0"/>
        <w:spacing w:line="580" w:lineRule="exact"/>
        <w:jc w:val="righ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（甲方）单位名称</w:t>
      </w:r>
    </w:p>
    <w:p>
      <w:pPr>
        <w:pStyle w:val="632"/>
        <w:snapToGrid w:val="0"/>
        <w:spacing w:line="58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279" w:name="设计变更通知单"/>
      <w:bookmarkEnd w:id="279"/>
      <w:bookmarkStart w:id="280" w:name="现场签证通知单"/>
      <w:bookmarkEnd w:id="280"/>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632"/>
        <w:snapToGrid w:val="0"/>
        <w:spacing w:line="580" w:lineRule="exact"/>
        <w:ind w:firstLine="7560" w:firstLineChars="3600"/>
        <w:rPr>
          <w:rFonts w:hint="eastAsia" w:ascii="宋体" w:hAnsi="宋体" w:eastAsia="宋体" w:cs="宋体"/>
          <w:color w:val="auto"/>
          <w:highlight w:val="none"/>
        </w:rPr>
      </w:pPr>
    </w:p>
    <w:p>
      <w:pPr>
        <w:pStyle w:val="632"/>
        <w:snapToGrid w:val="0"/>
        <w:spacing w:line="580" w:lineRule="exact"/>
        <w:ind w:firstLine="0"/>
        <w:jc w:val="center"/>
        <w:rPr>
          <w:rFonts w:hint="eastAsia" w:ascii="宋体" w:hAnsi="宋体" w:eastAsia="宋体" w:cs="宋体"/>
          <w:color w:val="auto"/>
          <w:sz w:val="48"/>
          <w:szCs w:val="48"/>
          <w:highlight w:val="none"/>
          <w:lang w:val="zh-CN"/>
        </w:rPr>
      </w:pPr>
      <w:r>
        <w:rPr>
          <w:rFonts w:hint="eastAsia" w:ascii="宋体" w:hAnsi="宋体" w:eastAsia="宋体" w:cs="宋体"/>
          <w:color w:val="auto"/>
          <w:sz w:val="48"/>
          <w:szCs w:val="48"/>
          <w:highlight w:val="none"/>
          <w:lang w:val="zh-CN"/>
        </w:rPr>
        <w:t>阳光合作告知函回执</w:t>
      </w:r>
    </w:p>
    <w:p>
      <w:pPr>
        <w:pStyle w:val="632"/>
        <w:snapToGrid w:val="0"/>
        <w:spacing w:line="58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632"/>
        <w:snapToGrid w:val="0"/>
        <w:spacing w:line="580" w:lineRule="exact"/>
        <w:ind w:firstLine="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编号：</w:t>
      </w:r>
      <w:r>
        <w:rPr>
          <w:rFonts w:hint="eastAsia" w:ascii="宋体" w:hAnsi="宋体" w:eastAsia="宋体" w:cs="宋体"/>
          <w:color w:val="auto"/>
          <w:highlight w:val="none"/>
        </w:rPr>
        <w:t xml:space="preserve">   </w:t>
      </w:r>
    </w:p>
    <w:p>
      <w:pPr>
        <w:pStyle w:val="632"/>
        <w:snapToGrid w:val="0"/>
        <w:spacing w:line="580" w:lineRule="exact"/>
        <w:ind w:firstLine="0"/>
        <w:jc w:val="center"/>
        <w:rPr>
          <w:rFonts w:hint="eastAsia" w:ascii="宋体" w:hAnsi="宋体" w:eastAsia="宋体" w:cs="宋体"/>
          <w:color w:val="auto"/>
          <w:highlight w:val="none"/>
          <w:lang w:val="zh-CN"/>
        </w:rPr>
      </w:pPr>
    </w:p>
    <w:p>
      <w:pPr>
        <w:autoSpaceDE w:val="0"/>
        <w:autoSpaceDN w:val="0"/>
        <w:adjustRightInd w:val="0"/>
        <w:spacing w:line="580" w:lineRule="exact"/>
        <w:ind w:firstLine="525" w:firstLineChars="25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lang w:val="zh-CN"/>
        </w:rPr>
        <w:t>我单位于</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日收到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公司</w:t>
      </w:r>
      <w:r>
        <w:rPr>
          <w:rFonts w:hint="eastAsia" w:ascii="宋体" w:hAnsi="宋体" w:eastAsia="宋体" w:cs="宋体"/>
          <w:color w:val="auto"/>
          <w:sz w:val="21"/>
          <w:szCs w:val="21"/>
          <w:highlight w:val="none"/>
          <w:lang w:val="zh-CN"/>
        </w:rPr>
        <w:t>的《阳光合作告知</w:t>
      </w:r>
      <w:r>
        <w:rPr>
          <w:rFonts w:hint="eastAsia" w:ascii="宋体" w:hAnsi="宋体" w:eastAsia="宋体" w:cs="宋体"/>
          <w:color w:val="auto"/>
          <w:kern w:val="0"/>
          <w:sz w:val="21"/>
          <w:szCs w:val="21"/>
          <w:highlight w:val="none"/>
          <w:lang w:val="zh-CN"/>
        </w:rPr>
        <w:t>函</w:t>
      </w:r>
      <w:r>
        <w:rPr>
          <w:rFonts w:hint="eastAsia" w:ascii="宋体" w:hAnsi="宋体" w:eastAsia="宋体" w:cs="宋体"/>
          <w:color w:val="auto"/>
          <w:sz w:val="21"/>
          <w:szCs w:val="21"/>
          <w:highlight w:val="none"/>
          <w:lang w:val="zh-CN"/>
        </w:rPr>
        <w:t>》</w:t>
      </w:r>
      <w:r>
        <w:rPr>
          <w:rFonts w:hint="eastAsia" w:ascii="宋体" w:hAnsi="宋体" w:eastAsia="宋体" w:cs="宋体"/>
          <w:color w:val="auto"/>
          <w:kern w:val="0"/>
          <w:sz w:val="21"/>
          <w:szCs w:val="21"/>
          <w:highlight w:val="none"/>
          <w:lang w:val="zh-CN"/>
        </w:rPr>
        <w:t>，承诺理解</w:t>
      </w:r>
      <w:r>
        <w:rPr>
          <w:rFonts w:hint="eastAsia" w:ascii="宋体" w:hAnsi="宋体" w:cs="宋体"/>
          <w:color w:val="auto"/>
          <w:kern w:val="0"/>
          <w:sz w:val="21"/>
          <w:szCs w:val="21"/>
          <w:highlight w:val="none"/>
          <w:lang w:val="en-US" w:eastAsia="zh-CN"/>
        </w:rPr>
        <w:t>并同意</w:t>
      </w:r>
      <w:r>
        <w:rPr>
          <w:rFonts w:hint="eastAsia" w:ascii="宋体" w:hAnsi="宋体" w:eastAsia="宋体" w:cs="宋体"/>
          <w:color w:val="auto"/>
          <w:kern w:val="0"/>
          <w:sz w:val="21"/>
          <w:szCs w:val="21"/>
          <w:highlight w:val="none"/>
          <w:lang w:val="zh-CN"/>
        </w:rPr>
        <w:t>函告内容并告知相关人员严格执行其中规定。</w:t>
      </w:r>
    </w:p>
    <w:p>
      <w:pPr>
        <w:autoSpaceDE w:val="0"/>
        <w:autoSpaceDN w:val="0"/>
        <w:adjustRightInd w:val="0"/>
        <w:snapToGrid w:val="0"/>
        <w:spacing w:line="580" w:lineRule="exact"/>
        <w:jc w:val="left"/>
        <w:rPr>
          <w:rFonts w:hint="eastAsia" w:ascii="宋体" w:hAnsi="宋体" w:eastAsia="宋体" w:cs="宋体"/>
          <w:color w:val="auto"/>
          <w:sz w:val="21"/>
          <w:szCs w:val="21"/>
          <w:highlight w:val="none"/>
          <w:lang w:val="zh-CN"/>
        </w:rPr>
      </w:pPr>
    </w:p>
    <w:p>
      <w:pPr>
        <w:pStyle w:val="632"/>
        <w:snapToGrid w:val="0"/>
        <w:spacing w:line="580" w:lineRule="exact"/>
        <w:jc w:val="righ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公司（盖章）</w:t>
      </w:r>
    </w:p>
    <w:p>
      <w:pPr>
        <w:autoSpaceDE w:val="0"/>
        <w:autoSpaceDN w:val="0"/>
        <w:adjustRightInd w:val="0"/>
        <w:snapToGrid w:val="0"/>
        <w:spacing w:line="580" w:lineRule="exact"/>
        <w:ind w:right="1280"/>
        <w:jc w:val="right"/>
        <w:rPr>
          <w:rFonts w:hint="eastAsia" w:ascii="宋体" w:hAnsi="宋体" w:eastAsia="宋体" w:cs="宋体"/>
          <w:color w:val="auto"/>
          <w:sz w:val="21"/>
          <w:szCs w:val="21"/>
          <w:highlight w:val="none"/>
        </w:rPr>
      </w:pPr>
    </w:p>
    <w:p>
      <w:pPr>
        <w:autoSpaceDE w:val="0"/>
        <w:autoSpaceDN w:val="0"/>
        <w:adjustRightInd w:val="0"/>
        <w:snapToGrid w:val="0"/>
        <w:spacing w:line="580" w:lineRule="exact"/>
        <w:ind w:right="12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kern w:val="2"/>
          <w:sz w:val="21"/>
          <w:highlight w:val="none"/>
          <w:lang w:val="zh-CN"/>
        </w:rPr>
        <w:t>/</w:t>
      </w:r>
      <w:r>
        <w:rPr>
          <w:rFonts w:hint="eastAsia" w:ascii="宋体" w:hAnsi="宋体" w:cs="宋体"/>
          <w:color w:val="auto"/>
          <w:kern w:val="2"/>
          <w:sz w:val="21"/>
          <w:highlight w:val="none"/>
          <w:lang w:val="zh-CN"/>
        </w:rPr>
        <w:t>执行事务合伙人</w:t>
      </w:r>
      <w:r>
        <w:rPr>
          <w:rFonts w:hint="eastAsia" w:ascii="宋体" w:hAnsi="宋体" w:eastAsia="宋体" w:cs="宋体"/>
          <w:color w:val="auto"/>
          <w:sz w:val="21"/>
          <w:szCs w:val="21"/>
          <w:highlight w:val="none"/>
        </w:rPr>
        <w:t>：</w:t>
      </w:r>
    </w:p>
    <w:p>
      <w:pPr>
        <w:autoSpaceDE w:val="0"/>
        <w:autoSpaceDN w:val="0"/>
        <w:adjustRightInd w:val="0"/>
        <w:snapToGrid w:val="0"/>
        <w:spacing w:line="580" w:lineRule="exact"/>
        <w:ind w:right="1280"/>
        <w:jc w:val="right"/>
        <w:rPr>
          <w:rFonts w:hint="eastAsia" w:ascii="宋体" w:hAnsi="宋体" w:eastAsia="宋体" w:cs="宋体"/>
          <w:color w:val="auto"/>
          <w:sz w:val="21"/>
          <w:szCs w:val="21"/>
          <w:highlight w:val="none"/>
        </w:rPr>
      </w:pPr>
    </w:p>
    <w:p>
      <w:pPr>
        <w:pStyle w:val="22"/>
        <w:rPr>
          <w:rFonts w:hint="eastAsia" w:ascii="宋体" w:hAnsi="宋体" w:eastAsia="宋体" w:cs="宋体"/>
          <w:color w:val="auto"/>
          <w:sz w:val="21"/>
          <w:szCs w:val="21"/>
          <w:highlight w:val="none"/>
        </w:rPr>
      </w:pPr>
    </w:p>
    <w:p>
      <w:pPr>
        <w:autoSpaceDE w:val="0"/>
        <w:autoSpaceDN w:val="0"/>
        <w:adjustRightInd w:val="0"/>
        <w:snapToGrid w:val="0"/>
        <w:spacing w:line="580" w:lineRule="exact"/>
        <w:jc w:val="righ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360" w:lineRule="auto"/>
        <w:rPr>
          <w:rFonts w:hint="eastAsia" w:ascii="宋体" w:hAnsi="宋体" w:eastAsia="宋体" w:cs="宋体"/>
          <w:color w:val="auto"/>
          <w:sz w:val="21"/>
          <w:szCs w:val="21"/>
          <w:highlight w:val="none"/>
        </w:rPr>
      </w:pPr>
    </w:p>
    <w:p>
      <w:pPr>
        <w:keepNext w:val="0"/>
        <w:keepLines w:val="0"/>
        <w:pageBreakBefore/>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sz w:val="21"/>
          <w:szCs w:val="21"/>
          <w:highlight w:val="none"/>
          <w:u w:val="none"/>
          <w:lang w:val="en-US" w:eastAsia="zh-CN"/>
        </w:rPr>
      </w:pPr>
    </w:p>
    <w:bookmarkEnd w:id="274"/>
    <w:bookmarkEnd w:id="275"/>
    <w:p>
      <w:pPr>
        <w:spacing w:line="360" w:lineRule="auto"/>
        <w:ind w:firstLine="0" w:firstLineChars="0"/>
        <w:jc w:val="center"/>
        <w:outlineLvl w:val="0"/>
        <w:rPr>
          <w:rFonts w:hint="eastAsia" w:ascii="宋体" w:hAnsi="宋体" w:eastAsia="宋体" w:cs="宋体"/>
          <w:b/>
          <w:bCs/>
          <w:color w:val="auto"/>
          <w:kern w:val="44"/>
          <w:sz w:val="32"/>
          <w:szCs w:val="32"/>
          <w:highlight w:val="none"/>
          <w:lang w:val="zh-CN"/>
        </w:rPr>
      </w:pPr>
      <w:bookmarkStart w:id="281" w:name="_Toc14798"/>
      <w:bookmarkStart w:id="282" w:name="_Toc10309"/>
      <w:bookmarkStart w:id="283" w:name="_Toc20772"/>
      <w:r>
        <w:rPr>
          <w:rFonts w:hint="eastAsia" w:ascii="宋体" w:hAnsi="宋体" w:eastAsia="宋体" w:cs="宋体"/>
          <w:b/>
          <w:bCs/>
          <w:color w:val="auto"/>
          <w:kern w:val="44"/>
          <w:sz w:val="32"/>
          <w:szCs w:val="32"/>
          <w:highlight w:val="none"/>
          <w:lang w:val="zh-CN"/>
        </w:rPr>
        <w:t>第</w:t>
      </w:r>
      <w:r>
        <w:rPr>
          <w:rFonts w:hint="eastAsia" w:ascii="宋体" w:hAnsi="宋体" w:eastAsia="宋体" w:cs="宋体"/>
          <w:b/>
          <w:bCs/>
          <w:color w:val="auto"/>
          <w:kern w:val="44"/>
          <w:sz w:val="32"/>
          <w:szCs w:val="32"/>
          <w:highlight w:val="none"/>
          <w:lang w:val="en-US" w:eastAsia="zh-CN"/>
        </w:rPr>
        <w:t>五</w:t>
      </w:r>
      <w:r>
        <w:rPr>
          <w:rFonts w:hint="eastAsia" w:ascii="宋体" w:hAnsi="宋体" w:eastAsia="宋体" w:cs="宋体"/>
          <w:b/>
          <w:bCs/>
          <w:color w:val="auto"/>
          <w:kern w:val="44"/>
          <w:sz w:val="32"/>
          <w:szCs w:val="32"/>
          <w:highlight w:val="none"/>
          <w:lang w:val="zh-CN"/>
        </w:rPr>
        <w:t>篇</w:t>
      </w:r>
      <w:r>
        <w:rPr>
          <w:rFonts w:hint="eastAsia" w:ascii="宋体" w:hAnsi="宋体" w:eastAsia="宋体" w:cs="宋体"/>
          <w:b/>
          <w:bCs/>
          <w:color w:val="auto"/>
          <w:kern w:val="44"/>
          <w:sz w:val="32"/>
          <w:szCs w:val="32"/>
          <w:highlight w:val="none"/>
          <w:lang w:val="en-US" w:eastAsia="zh-CN"/>
        </w:rPr>
        <w:t xml:space="preserve"> </w:t>
      </w:r>
      <w:r>
        <w:rPr>
          <w:rFonts w:hint="eastAsia" w:ascii="宋体" w:hAnsi="宋体" w:eastAsia="宋体" w:cs="宋体"/>
          <w:b/>
          <w:bCs/>
          <w:color w:val="auto"/>
          <w:kern w:val="44"/>
          <w:sz w:val="32"/>
          <w:szCs w:val="32"/>
          <w:highlight w:val="none"/>
          <w:lang w:val="zh-CN"/>
        </w:rPr>
        <w:t>响应文件格式</w:t>
      </w:r>
      <w:bookmarkEnd w:id="271"/>
      <w:bookmarkEnd w:id="272"/>
      <w:bookmarkEnd w:id="281"/>
      <w:bookmarkEnd w:id="282"/>
      <w:bookmarkEnd w:id="283"/>
    </w:p>
    <w:p>
      <w:pPr>
        <w:pStyle w:val="24"/>
        <w:spacing w:line="360" w:lineRule="auto"/>
        <w:jc w:val="center"/>
        <w:rPr>
          <w:rFonts w:hint="eastAsia" w:ascii="宋体" w:hAnsi="宋体" w:eastAsia="宋体" w:cs="宋体"/>
          <w:color w:val="auto"/>
          <w:sz w:val="84"/>
          <w:highlight w:val="none"/>
        </w:rPr>
      </w:pPr>
      <w:bookmarkStart w:id="284" w:name="_Toc22486"/>
      <w:bookmarkStart w:id="285" w:name="_Toc27736"/>
      <w:bookmarkStart w:id="286" w:name="_Toc19008822"/>
      <w:bookmarkStart w:id="287" w:name="_Toc1123949"/>
      <w:bookmarkStart w:id="288" w:name="_Toc521918114"/>
      <w:bookmarkStart w:id="289" w:name="_Toc56076622"/>
      <w:bookmarkStart w:id="290" w:name="_Toc54334003"/>
      <w:bookmarkStart w:id="291" w:name="_Toc490169461"/>
      <w:bookmarkStart w:id="292" w:name="_Toc495907130"/>
      <w:bookmarkStart w:id="293" w:name="_Toc79146596"/>
      <w:bookmarkStart w:id="294" w:name="_Toc9074"/>
      <w:bookmarkStart w:id="295" w:name="_Toc497746558"/>
      <w:bookmarkStart w:id="296" w:name="_Toc5098067"/>
    </w:p>
    <w:p>
      <w:pPr>
        <w:pStyle w:val="24"/>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lang w:val="en-US" w:eastAsia="zh-CN"/>
        </w:rPr>
        <w:t>响 应</w:t>
      </w:r>
      <w:r>
        <w:rPr>
          <w:rFonts w:hint="eastAsia" w:ascii="宋体" w:hAnsi="宋体" w:eastAsia="宋体" w:cs="宋体"/>
          <w:color w:val="auto"/>
          <w:sz w:val="84"/>
          <w:highlight w:val="none"/>
        </w:rPr>
        <w:t xml:space="preserve"> 文 件</w:t>
      </w:r>
    </w:p>
    <w:p>
      <w:pPr>
        <w:pStyle w:val="24"/>
        <w:spacing w:line="360" w:lineRule="auto"/>
        <w:rPr>
          <w:rFonts w:hint="eastAsia" w:ascii="宋体" w:hAnsi="宋体" w:eastAsia="宋体" w:cs="宋体"/>
          <w:color w:val="auto"/>
          <w:highlight w:val="none"/>
        </w:rPr>
      </w:pPr>
    </w:p>
    <w:p>
      <w:pPr>
        <w:pStyle w:val="24"/>
        <w:spacing w:line="360" w:lineRule="auto"/>
        <w:rPr>
          <w:rFonts w:hint="eastAsia" w:ascii="宋体" w:hAnsi="宋体" w:eastAsia="宋体" w:cs="宋体"/>
          <w:color w:val="auto"/>
          <w:highlight w:val="none"/>
        </w:rPr>
      </w:pPr>
    </w:p>
    <w:p>
      <w:pPr>
        <w:pStyle w:val="24"/>
        <w:spacing w:line="360" w:lineRule="auto"/>
        <w:rPr>
          <w:rFonts w:hint="eastAsia" w:ascii="宋体" w:hAnsi="宋体" w:eastAsia="宋体" w:cs="宋体"/>
          <w:color w:val="auto"/>
          <w:highlight w:val="none"/>
        </w:rPr>
      </w:pPr>
    </w:p>
    <w:p>
      <w:pPr>
        <w:pStyle w:val="24"/>
        <w:spacing w:line="360" w:lineRule="auto"/>
        <w:rPr>
          <w:rFonts w:hint="eastAsia" w:ascii="宋体" w:hAnsi="宋体" w:eastAsia="宋体" w:cs="宋体"/>
          <w:color w:val="auto"/>
          <w:highlight w:val="none"/>
        </w:rPr>
      </w:pPr>
    </w:p>
    <w:p>
      <w:pPr>
        <w:pStyle w:val="24"/>
        <w:spacing w:line="360" w:lineRule="auto"/>
        <w:rPr>
          <w:rFonts w:hint="eastAsia" w:ascii="宋体" w:hAnsi="宋体" w:eastAsia="宋体" w:cs="宋体"/>
          <w:color w:val="auto"/>
          <w:highlight w:val="none"/>
        </w:rPr>
      </w:pPr>
    </w:p>
    <w:p>
      <w:pPr>
        <w:pStyle w:val="24"/>
        <w:spacing w:line="360" w:lineRule="auto"/>
        <w:rPr>
          <w:rFonts w:hint="eastAsia" w:ascii="宋体" w:hAnsi="宋体" w:eastAsia="宋体" w:cs="宋体"/>
          <w:color w:val="auto"/>
          <w:highlight w:val="none"/>
        </w:rPr>
      </w:pPr>
    </w:p>
    <w:p>
      <w:pPr>
        <w:pStyle w:val="24"/>
        <w:spacing w:line="360" w:lineRule="auto"/>
        <w:rPr>
          <w:rFonts w:hint="eastAsia" w:ascii="宋体" w:hAnsi="宋体" w:eastAsia="宋体" w:cs="宋体"/>
          <w:color w:val="auto"/>
          <w:highlight w:val="none"/>
        </w:rPr>
      </w:pPr>
    </w:p>
    <w:p>
      <w:pPr>
        <w:pStyle w:val="24"/>
        <w:spacing w:line="360" w:lineRule="auto"/>
        <w:rPr>
          <w:rFonts w:hint="eastAsia" w:ascii="宋体" w:hAnsi="宋体" w:eastAsia="宋体" w:cs="宋体"/>
          <w:color w:val="auto"/>
          <w:highlight w:val="none"/>
        </w:rPr>
      </w:pPr>
    </w:p>
    <w:p>
      <w:pPr>
        <w:pStyle w:val="24"/>
        <w:spacing w:line="360" w:lineRule="auto"/>
        <w:rPr>
          <w:rFonts w:hint="eastAsia" w:ascii="宋体" w:hAnsi="宋体" w:eastAsia="宋体" w:cs="宋体"/>
          <w:color w:val="auto"/>
          <w:highlight w:val="none"/>
          <w:u w:val="none"/>
        </w:rPr>
      </w:pPr>
    </w:p>
    <w:p>
      <w:pPr>
        <w:pStyle w:val="24"/>
        <w:spacing w:line="360" w:lineRule="auto"/>
        <w:ind w:firstLine="600" w:firstLineChars="200"/>
        <w:rPr>
          <w:rFonts w:hint="eastAsia" w:ascii="宋体" w:hAnsi="宋体" w:eastAsia="宋体" w:cs="宋体"/>
          <w:color w:val="auto"/>
          <w:sz w:val="30"/>
          <w:highlight w:val="none"/>
          <w:u w:val="none"/>
          <w:lang w:eastAsia="zh-CN"/>
        </w:rPr>
      </w:pPr>
      <w:r>
        <w:rPr>
          <w:rFonts w:hint="eastAsia" w:ascii="宋体" w:hAnsi="宋体" w:eastAsia="宋体" w:cs="宋体"/>
          <w:color w:val="auto"/>
          <w:sz w:val="30"/>
          <w:highlight w:val="none"/>
          <w:u w:val="none"/>
          <w:lang w:val="en-US" w:eastAsia="zh-CN"/>
        </w:rPr>
        <w:t>采购</w:t>
      </w:r>
      <w:r>
        <w:rPr>
          <w:rFonts w:hint="eastAsia" w:ascii="宋体" w:hAnsi="宋体" w:eastAsia="宋体" w:cs="宋体"/>
          <w:color w:val="auto"/>
          <w:sz w:val="30"/>
          <w:highlight w:val="none"/>
          <w:u w:val="none"/>
        </w:rPr>
        <w:t>编号：</w:t>
      </w:r>
      <w:r>
        <w:rPr>
          <w:rFonts w:hint="eastAsia" w:ascii="宋体" w:hAnsi="宋体" w:eastAsia="宋体" w:cs="宋体"/>
          <w:b w:val="0"/>
          <w:bCs w:val="0"/>
          <w:color w:val="auto"/>
          <w:sz w:val="30"/>
          <w:highlight w:val="none"/>
          <w:u w:val="single"/>
          <w:lang w:eastAsia="zh-CN"/>
        </w:rPr>
        <w:t>0832-SFCX25DG115C</w:t>
      </w:r>
    </w:p>
    <w:p>
      <w:pPr>
        <w:pStyle w:val="24"/>
        <w:spacing w:line="360" w:lineRule="auto"/>
        <w:ind w:left="2878" w:leftChars="519" w:hanging="1632" w:hangingChars="544"/>
        <w:rPr>
          <w:rFonts w:hint="eastAsia" w:ascii="宋体" w:hAnsi="宋体" w:eastAsia="宋体" w:cs="宋体"/>
          <w:color w:val="auto"/>
          <w:sz w:val="30"/>
          <w:highlight w:val="none"/>
          <w:u w:val="none"/>
        </w:rPr>
      </w:pPr>
      <w:r>
        <w:rPr>
          <w:rFonts w:hint="eastAsia" w:ascii="宋体" w:hAnsi="宋体" w:eastAsia="宋体" w:cs="宋体"/>
          <w:color w:val="auto"/>
          <w:sz w:val="30"/>
          <w:highlight w:val="none"/>
          <w:u w:val="none"/>
        </w:rPr>
        <w:t>项目名称：</w:t>
      </w:r>
      <w:r>
        <w:rPr>
          <w:rFonts w:hint="eastAsia" w:ascii="宋体" w:hAnsi="宋体" w:eastAsia="宋体" w:cs="宋体"/>
          <w:b w:val="0"/>
          <w:bCs w:val="0"/>
          <w:color w:val="auto"/>
          <w:sz w:val="30"/>
          <w:highlight w:val="none"/>
          <w:u w:val="single"/>
          <w:lang w:eastAsia="zh-CN"/>
        </w:rPr>
        <w:t>东莞市水务集团实业发展有限公司审计及财税服务采购项目</w:t>
      </w:r>
    </w:p>
    <w:p>
      <w:pPr>
        <w:pStyle w:val="24"/>
        <w:spacing w:line="360" w:lineRule="auto"/>
        <w:ind w:firstLine="600" w:firstLineChars="200"/>
        <w:rPr>
          <w:rFonts w:hint="eastAsia" w:ascii="宋体" w:hAnsi="宋体" w:eastAsia="宋体" w:cs="宋体"/>
          <w:color w:val="auto"/>
          <w:sz w:val="30"/>
          <w:highlight w:val="none"/>
          <w:u w:val="none"/>
          <w:lang w:val="en-US" w:eastAsia="zh-CN"/>
        </w:rPr>
      </w:pPr>
      <w:r>
        <w:rPr>
          <w:rFonts w:hint="eastAsia" w:ascii="宋体" w:hAnsi="宋体" w:eastAsia="宋体" w:cs="宋体"/>
          <w:color w:val="auto"/>
          <w:sz w:val="30"/>
          <w:highlight w:val="none"/>
          <w:u w:val="none"/>
          <w:lang w:val="en-US" w:eastAsia="zh-CN"/>
        </w:rPr>
        <w:t>响应文件内容：</w:t>
      </w:r>
      <w:r>
        <w:rPr>
          <w:rFonts w:hint="eastAsia" w:ascii="宋体" w:hAnsi="宋体" w:eastAsia="宋体" w:cs="宋体"/>
          <w:color w:val="auto"/>
          <w:sz w:val="30"/>
          <w:highlight w:val="none"/>
          <w:u w:val="single"/>
          <w:lang w:val="en-US" w:eastAsia="zh-CN"/>
        </w:rPr>
        <w:t xml:space="preserve">响应文件商务部分 </w:t>
      </w:r>
    </w:p>
    <w:p>
      <w:pPr>
        <w:pStyle w:val="24"/>
        <w:spacing w:line="360" w:lineRule="auto"/>
        <w:ind w:firstLine="600" w:firstLineChars="200"/>
        <w:rPr>
          <w:rFonts w:hint="eastAsia" w:ascii="宋体" w:hAnsi="宋体" w:eastAsia="宋体" w:cs="宋体"/>
          <w:color w:val="auto"/>
          <w:sz w:val="30"/>
          <w:highlight w:val="none"/>
          <w:u w:val="none"/>
          <w:lang w:eastAsia="zh-CN"/>
        </w:rPr>
      </w:pPr>
      <w:r>
        <w:rPr>
          <w:rFonts w:hint="eastAsia" w:ascii="宋体" w:hAnsi="宋体" w:eastAsia="宋体" w:cs="宋体"/>
          <w:color w:val="auto"/>
          <w:sz w:val="30"/>
          <w:highlight w:val="none"/>
          <w:u w:val="none"/>
          <w:lang w:val="en-US" w:eastAsia="zh-CN"/>
        </w:rPr>
        <w:t>采购</w:t>
      </w:r>
      <w:r>
        <w:rPr>
          <w:rFonts w:hint="eastAsia" w:ascii="宋体" w:hAnsi="宋体" w:eastAsia="宋体" w:cs="宋体"/>
          <w:color w:val="auto"/>
          <w:sz w:val="30"/>
          <w:highlight w:val="none"/>
          <w:u w:val="none"/>
        </w:rPr>
        <w:t>人：</w:t>
      </w:r>
      <w:r>
        <w:rPr>
          <w:rFonts w:hint="eastAsia" w:ascii="宋体" w:hAnsi="宋体" w:eastAsia="宋体" w:cs="宋体"/>
          <w:b w:val="0"/>
          <w:bCs w:val="0"/>
          <w:color w:val="auto"/>
          <w:sz w:val="30"/>
          <w:highlight w:val="none"/>
          <w:u w:val="single"/>
          <w:lang w:eastAsia="zh-CN"/>
        </w:rPr>
        <w:t>东莞市水务集团实业发展有限公司</w:t>
      </w:r>
    </w:p>
    <w:p>
      <w:pPr>
        <w:pStyle w:val="24"/>
        <w:spacing w:line="360" w:lineRule="auto"/>
        <w:ind w:firstLine="600" w:firstLineChars="200"/>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u w:val="none"/>
          <w:lang w:val="en-US" w:eastAsia="zh-CN"/>
        </w:rPr>
        <w:t>供应商</w:t>
      </w:r>
      <w:r>
        <w:rPr>
          <w:rFonts w:hint="eastAsia" w:ascii="宋体" w:hAnsi="宋体" w:eastAsia="宋体" w:cs="宋体"/>
          <w:color w:val="auto"/>
          <w:sz w:val="30"/>
          <w:highlight w:val="none"/>
          <w:u w:val="none"/>
        </w:rPr>
        <w:t>：</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lang w:val="en-US" w:eastAsia="zh-CN"/>
        </w:rPr>
        <w:t xml:space="preserve">            </w:t>
      </w:r>
      <w:r>
        <w:rPr>
          <w:rFonts w:hint="eastAsia" w:ascii="宋体" w:hAnsi="宋体" w:eastAsia="宋体" w:cs="宋体"/>
          <w:color w:val="auto"/>
          <w:sz w:val="30"/>
          <w:highlight w:val="none"/>
          <w:u w:val="single"/>
        </w:rPr>
        <w:t xml:space="preserve">    </w:t>
      </w:r>
    </w:p>
    <w:p>
      <w:pPr>
        <w:pStyle w:val="24"/>
        <w:spacing w:line="360" w:lineRule="auto"/>
        <w:ind w:firstLine="600" w:firstLineChars="200"/>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keepNext w:val="0"/>
        <w:keepLines w:val="0"/>
        <w:pageBreakBefore/>
        <w:widowControl w:val="0"/>
        <w:kinsoku/>
        <w:wordWrap/>
        <w:overflowPunct/>
        <w:topLinePunct w:val="0"/>
        <w:autoSpaceDE w:val="0"/>
        <w:autoSpaceDN w:val="0"/>
        <w:bidi w:val="0"/>
        <w:adjustRightInd w:val="0"/>
        <w:snapToGrid/>
        <w:textAlignment w:val="auto"/>
        <w:rPr>
          <w:rFonts w:hint="eastAsia" w:ascii="宋体" w:hAnsi="宋体" w:eastAsia="宋体" w:cs="宋体"/>
          <w:color w:val="auto"/>
          <w:sz w:val="30"/>
          <w:szCs w:val="30"/>
          <w:highlight w:val="none"/>
        </w:rPr>
      </w:pPr>
    </w:p>
    <w:p>
      <w:pPr>
        <w:bidi w:val="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响应</w:t>
      </w:r>
      <w:r>
        <w:rPr>
          <w:rFonts w:hint="eastAsia" w:ascii="宋体" w:hAnsi="宋体" w:eastAsia="宋体" w:cs="宋体"/>
          <w:b/>
          <w:bCs/>
          <w:color w:val="auto"/>
          <w:sz w:val="30"/>
          <w:szCs w:val="30"/>
          <w:highlight w:val="none"/>
        </w:rPr>
        <w:t>文件商务评审部分索引表</w:t>
      </w:r>
    </w:p>
    <w:p>
      <w:pPr>
        <w:pStyle w:val="73"/>
        <w:rPr>
          <w:rFonts w:hint="eastAsia" w:ascii="宋体" w:hAnsi="宋体" w:eastAsia="宋体" w:cs="宋体"/>
          <w:color w:val="auto"/>
          <w:highlight w:val="none"/>
        </w:rPr>
      </w:pPr>
    </w:p>
    <w:tbl>
      <w:tblPr>
        <w:tblStyle w:val="55"/>
        <w:tblW w:w="499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892"/>
        <w:gridCol w:w="2449"/>
        <w:gridCol w:w="3314"/>
        <w:gridCol w:w="26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94" w:hRule="atLeast"/>
          <w:jc w:val="center"/>
        </w:trPr>
        <w:tc>
          <w:tcPr>
            <w:tcW w:w="481"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18"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项目</w:t>
            </w:r>
          </w:p>
        </w:tc>
        <w:tc>
          <w:tcPr>
            <w:tcW w:w="1785"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文件上的满分值</w:t>
            </w:r>
          </w:p>
        </w:tc>
        <w:tc>
          <w:tcPr>
            <w:tcW w:w="1414" w:type="pct"/>
            <w:tcBorders>
              <w:lef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481"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481"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481"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481" w:type="pct"/>
            <w:tcBorders>
              <w:top w:val="single" w:color="auto" w:sz="6" w:space="0"/>
              <w:left w:val="single" w:color="auto" w:sz="4" w:space="0"/>
              <w:bottom w:val="outset" w:color="808080" w:sz="6" w:space="0"/>
              <w:right w:val="single" w:color="auto" w:sz="6"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tcBorders>
              <w:top w:val="single" w:color="auto" w:sz="6" w:space="0"/>
              <w:left w:val="single" w:color="auto" w:sz="6" w:space="0"/>
              <w:bottom w:val="outset" w:color="808080" w:sz="6" w:space="0"/>
              <w:right w:val="single" w:color="auto" w:sz="6"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tcBorders>
              <w:top w:val="single" w:color="auto" w:sz="6" w:space="0"/>
              <w:left w:val="single" w:color="auto" w:sz="6" w:space="0"/>
              <w:bottom w:val="outset" w:color="808080" w:sz="6" w:space="0"/>
              <w:right w:val="single" w:color="auto" w:sz="6"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top w:val="single" w:color="auto" w:sz="6" w:space="0"/>
              <w:left w:val="single" w:color="auto" w:sz="4" w:space="0"/>
              <w:bottom w:val="outset" w:color="808080" w:sz="6" w:space="0"/>
              <w:right w:val="single" w:color="auto" w:sz="6"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800" w:type="pct"/>
            <w:gridSpan w:val="2"/>
            <w:tcBorders>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合计</w:t>
            </w:r>
          </w:p>
        </w:tc>
        <w:tc>
          <w:tcPr>
            <w:tcW w:w="1785" w:type="pct"/>
            <w:tcBorders>
              <w:bottom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bl>
    <w:p>
      <w:pPr>
        <w:bidi w:val="0"/>
        <w:rPr>
          <w:rFonts w:hint="eastAsia" w:ascii="宋体" w:hAnsi="宋体" w:eastAsia="宋体" w:cs="宋体"/>
          <w:color w:val="auto"/>
          <w:highlight w:val="none"/>
        </w:rPr>
      </w:pPr>
    </w:p>
    <w:p>
      <w:pPr>
        <w:pStyle w:val="3"/>
        <w:keepNext w:val="0"/>
        <w:keepLines w:val="0"/>
        <w:pageBreakBefore/>
        <w:widowControl w:val="0"/>
        <w:kinsoku/>
        <w:wordWrap/>
        <w:overflowPunct/>
        <w:topLinePunct w:val="0"/>
        <w:autoSpaceDE w:val="0"/>
        <w:autoSpaceDN w:val="0"/>
        <w:bidi w:val="0"/>
        <w:adjustRightInd w:val="0"/>
        <w:snapToGrid/>
        <w:textAlignment w:val="auto"/>
        <w:rPr>
          <w:rFonts w:hint="eastAsia" w:ascii="宋体" w:hAnsi="宋体" w:eastAsia="宋体" w:cs="宋体"/>
          <w:b/>
          <w:color w:val="auto"/>
          <w:sz w:val="32"/>
          <w:szCs w:val="32"/>
          <w:highlight w:val="none"/>
        </w:rPr>
      </w:pPr>
      <w:bookmarkStart w:id="297" w:name="_Toc26395"/>
      <w:bookmarkStart w:id="298" w:name="_Toc11398"/>
      <w:bookmarkStart w:id="299" w:name="_Toc28428"/>
      <w:bookmarkStart w:id="300" w:name="_Toc29318"/>
      <w:r>
        <w:rPr>
          <w:rFonts w:hint="eastAsia" w:ascii="宋体" w:hAnsi="宋体" w:eastAsia="宋体" w:cs="宋体"/>
          <w:b/>
          <w:color w:val="auto"/>
          <w:sz w:val="32"/>
          <w:szCs w:val="32"/>
          <w:highlight w:val="none"/>
        </w:rPr>
        <w:t>一、</w:t>
      </w:r>
      <w:r>
        <w:rPr>
          <w:rFonts w:hint="eastAsia" w:ascii="宋体" w:hAnsi="宋体" w:eastAsia="宋体" w:cs="宋体"/>
          <w:b/>
          <w:color w:val="auto"/>
          <w:sz w:val="32"/>
          <w:szCs w:val="32"/>
          <w:highlight w:val="none"/>
          <w:lang w:val="en-US" w:eastAsia="zh-CN"/>
        </w:rPr>
        <w:t>磋商</w:t>
      </w:r>
      <w:r>
        <w:rPr>
          <w:rFonts w:hint="eastAsia" w:ascii="宋体" w:hAnsi="宋体" w:eastAsia="宋体" w:cs="宋体"/>
          <w:b/>
          <w:color w:val="auto"/>
          <w:sz w:val="32"/>
          <w:szCs w:val="32"/>
          <w:highlight w:val="none"/>
        </w:rPr>
        <w:t>函格式</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pPr>
        <w:spacing w:line="360" w:lineRule="auto"/>
        <w:jc w:val="center"/>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en-US" w:eastAsia="zh-CN"/>
        </w:rPr>
        <w:t>磋 商</w:t>
      </w:r>
      <w:r>
        <w:rPr>
          <w:rFonts w:hint="eastAsia" w:ascii="宋体" w:hAnsi="宋体" w:eastAsia="宋体" w:cs="宋体"/>
          <w:b/>
          <w:bCs/>
          <w:color w:val="auto"/>
          <w:kern w:val="2"/>
          <w:sz w:val="30"/>
          <w:szCs w:val="30"/>
          <w:highlight w:val="none"/>
          <w:lang w:val="zh-CN"/>
        </w:rPr>
        <w:t xml:space="preserve"> 函</w:t>
      </w:r>
    </w:p>
    <w:p>
      <w:pPr>
        <w:spacing w:line="360" w:lineRule="auto"/>
        <w:jc w:val="both"/>
        <w:rPr>
          <w:rFonts w:hint="eastAsia" w:ascii="宋体" w:hAnsi="宋体" w:eastAsia="宋体" w:cs="宋体"/>
          <w:color w:val="auto"/>
          <w:kern w:val="2"/>
          <w:sz w:val="21"/>
          <w:szCs w:val="21"/>
          <w:highlight w:val="none"/>
          <w:lang w:val="zh-CN"/>
        </w:rPr>
      </w:pPr>
    </w:p>
    <w:p>
      <w:pPr>
        <w:autoSpaceDE/>
        <w:autoSpaceDN/>
        <w:spacing w:line="470" w:lineRule="exact"/>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致：</w:t>
      </w:r>
      <w:r>
        <w:rPr>
          <w:rFonts w:hint="eastAsia" w:ascii="宋体" w:hAnsi="宋体" w:cs="宋体"/>
          <w:color w:val="auto"/>
          <w:kern w:val="2"/>
          <w:sz w:val="21"/>
          <w:szCs w:val="21"/>
          <w:highlight w:val="none"/>
          <w:lang w:val="zh-CN"/>
        </w:rPr>
        <w:t>东莞市水务集团实业发展有限公司</w:t>
      </w:r>
    </w:p>
    <w:p>
      <w:pPr>
        <w:autoSpaceDE/>
        <w:autoSpaceDN/>
        <w:spacing w:line="470" w:lineRule="exact"/>
        <w:jc w:val="both"/>
        <w:rPr>
          <w:rFonts w:hint="eastAsia" w:ascii="宋体" w:hAnsi="宋体" w:eastAsia="宋体" w:cs="宋体"/>
          <w:color w:val="auto"/>
          <w:kern w:val="2"/>
          <w:sz w:val="21"/>
          <w:szCs w:val="21"/>
          <w:highlight w:val="none"/>
        </w:rPr>
      </w:pPr>
    </w:p>
    <w:p>
      <w:pPr>
        <w:widowControl/>
        <w:autoSpaceDE/>
        <w:autoSpaceDN/>
        <w:spacing w:line="470" w:lineRule="exact"/>
        <w:ind w:firstLine="424" w:firstLineChars="202"/>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根据贵方为</w:t>
      </w:r>
      <w:r>
        <w:rPr>
          <w:rFonts w:hint="eastAsia" w:ascii="宋体" w:hAnsi="宋体" w:cs="宋体"/>
          <w:color w:val="auto"/>
          <w:sz w:val="21"/>
          <w:szCs w:val="21"/>
          <w:highlight w:val="none"/>
          <w:u w:val="single"/>
          <w:lang w:eastAsia="zh-CN"/>
        </w:rPr>
        <w:t>东莞市水务集团实业发展有限公司审计及财税服务采购项目</w:t>
      </w:r>
      <w:r>
        <w:rPr>
          <w:rFonts w:hint="eastAsia" w:ascii="宋体" w:hAnsi="宋体" w:eastAsia="宋体" w:cs="宋体"/>
          <w:color w:val="auto"/>
          <w:kern w:val="2"/>
          <w:sz w:val="21"/>
          <w:szCs w:val="21"/>
          <w:highlight w:val="none"/>
          <w:lang w:val="zh-CN"/>
        </w:rPr>
        <w:t>(采购编号：</w:t>
      </w:r>
      <w:r>
        <w:rPr>
          <w:rFonts w:hint="eastAsia" w:ascii="宋体" w:hAnsi="宋体" w:cs="宋体"/>
          <w:color w:val="auto"/>
          <w:kern w:val="2"/>
          <w:sz w:val="21"/>
          <w:szCs w:val="21"/>
          <w:highlight w:val="none"/>
          <w:lang w:val="zh-CN"/>
        </w:rPr>
        <w:t>0832-SFCX25DG115C</w:t>
      </w:r>
      <w:r>
        <w:rPr>
          <w:rFonts w:hint="eastAsia" w:ascii="宋体" w:hAnsi="宋体" w:eastAsia="宋体" w:cs="宋体"/>
          <w:color w:val="auto"/>
          <w:kern w:val="2"/>
          <w:sz w:val="21"/>
          <w:szCs w:val="21"/>
          <w:highlight w:val="none"/>
          <w:lang w:val="zh-CN"/>
        </w:rPr>
        <w:t>)的</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邀请，我方</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（供应商名称）作为供应商正式授权</w:t>
      </w:r>
      <w:r>
        <w:rPr>
          <w:rFonts w:hint="eastAsia" w:ascii="宋体" w:hAnsi="宋体" w:eastAsia="宋体" w:cs="宋体"/>
          <w:color w:val="auto"/>
          <w:kern w:val="2"/>
          <w:sz w:val="21"/>
          <w:szCs w:val="21"/>
          <w:highlight w:val="none"/>
          <w:u w:val="single"/>
          <w:lang w:val="zh-CN"/>
        </w:rPr>
        <w:t>　　（</w:t>
      </w:r>
      <w:r>
        <w:rPr>
          <w:rFonts w:hint="eastAsia" w:ascii="宋体" w:hAnsi="宋体" w:eastAsia="宋体" w:cs="宋体"/>
          <w:color w:val="auto"/>
          <w:kern w:val="2"/>
          <w:sz w:val="21"/>
          <w:szCs w:val="21"/>
          <w:highlight w:val="none"/>
          <w:lang w:val="zh-CN"/>
        </w:rPr>
        <w:t>授权代表全名，职务）代表我方进行有关本次</w:t>
      </w:r>
      <w:r>
        <w:rPr>
          <w:rFonts w:hint="eastAsia" w:ascii="宋体" w:hAnsi="宋体" w:eastAsia="宋体" w:cs="宋体"/>
          <w:color w:val="auto"/>
          <w:kern w:val="2"/>
          <w:sz w:val="21"/>
          <w:szCs w:val="21"/>
          <w:highlight w:val="none"/>
          <w:lang w:val="en-US" w:eastAsia="zh-CN"/>
        </w:rPr>
        <w:t>竞争性磋商</w:t>
      </w:r>
      <w:r>
        <w:rPr>
          <w:rFonts w:hint="eastAsia" w:ascii="宋体" w:hAnsi="宋体" w:eastAsia="宋体" w:cs="宋体"/>
          <w:color w:val="auto"/>
          <w:kern w:val="2"/>
          <w:sz w:val="21"/>
          <w:szCs w:val="21"/>
          <w:highlight w:val="none"/>
          <w:lang w:val="zh-CN"/>
        </w:rPr>
        <w:t>的一切事宜。</w:t>
      </w:r>
    </w:p>
    <w:p>
      <w:pPr>
        <w:autoSpaceDE/>
        <w:autoSpaceDN/>
        <w:spacing w:line="470" w:lineRule="exact"/>
        <w:ind w:firstLine="42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在此提交的响应文件，包括如下等内容，并已单独密封封装：</w:t>
      </w:r>
    </w:p>
    <w:p>
      <w:pPr>
        <w:autoSpaceDE/>
        <w:autoSpaceDN/>
        <w:spacing w:line="470" w:lineRule="exact"/>
        <w:ind w:left="718"/>
        <w:jc w:val="both"/>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一</w:t>
      </w:r>
      <w:r>
        <w:rPr>
          <w:rFonts w:hint="eastAsia" w:ascii="宋体" w:hAnsi="宋体" w:eastAsia="宋体" w:cs="宋体"/>
          <w:color w:val="auto"/>
          <w:kern w:val="2"/>
          <w:sz w:val="21"/>
          <w:szCs w:val="21"/>
          <w:highlight w:val="none"/>
          <w:lang w:val="zh-CN"/>
        </w:rPr>
        <w:t>）响应文件</w:t>
      </w:r>
      <w:r>
        <w:rPr>
          <w:rFonts w:hint="eastAsia" w:ascii="宋体" w:hAnsi="宋体" w:cs="宋体"/>
          <w:color w:val="auto"/>
          <w:kern w:val="2"/>
          <w:sz w:val="21"/>
          <w:szCs w:val="21"/>
          <w:highlight w:val="none"/>
          <w:lang w:val="en-US" w:eastAsia="zh-CN"/>
        </w:rPr>
        <w:t>电子文件</w:t>
      </w:r>
    </w:p>
    <w:p>
      <w:pPr>
        <w:autoSpaceDE/>
        <w:autoSpaceDN/>
        <w:spacing w:line="470" w:lineRule="exact"/>
        <w:ind w:left="718"/>
        <w:jc w:val="both"/>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二</w:t>
      </w: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（正本</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份，副本</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份）；</w:t>
      </w:r>
    </w:p>
    <w:p>
      <w:pPr>
        <w:autoSpaceDE/>
        <w:autoSpaceDN/>
        <w:spacing w:line="470" w:lineRule="exact"/>
        <w:ind w:left="71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我方已完全明白竞争性磋商文件的所有条款要求，并重申以下几点：</w:t>
      </w:r>
    </w:p>
    <w:p>
      <w:pPr>
        <w:autoSpaceDE/>
        <w:autoSpaceDN/>
        <w:spacing w:line="470" w:lineRule="exact"/>
        <w:ind w:left="71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（—）我方决定参加采购编号为</w:t>
      </w:r>
      <w:r>
        <w:rPr>
          <w:rFonts w:hint="eastAsia" w:ascii="宋体" w:hAnsi="宋体" w:cs="宋体"/>
          <w:color w:val="auto"/>
          <w:kern w:val="2"/>
          <w:sz w:val="21"/>
          <w:szCs w:val="21"/>
          <w:highlight w:val="none"/>
          <w:lang w:val="zh-CN"/>
        </w:rPr>
        <w:t>0832-SFCX25DG115C</w:t>
      </w:r>
      <w:r>
        <w:rPr>
          <w:rFonts w:hint="eastAsia" w:ascii="宋体" w:hAnsi="宋体" w:eastAsia="宋体" w:cs="宋体"/>
          <w:color w:val="auto"/>
          <w:kern w:val="2"/>
          <w:sz w:val="21"/>
          <w:szCs w:val="21"/>
          <w:highlight w:val="none"/>
          <w:lang w:val="zh-CN"/>
        </w:rPr>
        <w:t>的</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w:t>
      </w:r>
    </w:p>
    <w:p>
      <w:pPr>
        <w:autoSpaceDE/>
        <w:autoSpaceDN/>
        <w:spacing w:line="470" w:lineRule="exact"/>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（二）本响应文件的有效期自递交响应文件截止日后90日有效，如</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，有效期将延至合同终止日为止；</w:t>
      </w:r>
    </w:p>
    <w:p>
      <w:pPr>
        <w:autoSpaceDE/>
        <w:autoSpaceDN/>
        <w:spacing w:line="470" w:lineRule="exact"/>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（三）我方已详细研究了竞争性磋商文件的所有内容包括修正文（如有）和所有已提供的参考资料以及有关附件并完全明白，我方放弃在此方面提出含糊意见或误解的一切权力；</w:t>
      </w:r>
    </w:p>
    <w:p>
      <w:pPr>
        <w:autoSpaceDE/>
        <w:autoSpaceDN/>
        <w:spacing w:line="470" w:lineRule="exact"/>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（四）我方明白并愿意在规定的递交响应文件截止时间和日期之后，</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有效期之内撤回</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则按无效响应处理或取消成交资格</w:t>
      </w:r>
      <w:r>
        <w:rPr>
          <w:rFonts w:hint="eastAsia" w:ascii="宋体" w:hAnsi="宋体" w:eastAsia="宋体" w:cs="宋体"/>
          <w:color w:val="auto"/>
          <w:kern w:val="2"/>
          <w:sz w:val="21"/>
          <w:szCs w:val="21"/>
          <w:highlight w:val="none"/>
          <w:lang w:val="zh-CN"/>
        </w:rPr>
        <w:t>；</w:t>
      </w:r>
    </w:p>
    <w:p>
      <w:pPr>
        <w:autoSpaceDE/>
        <w:autoSpaceDN/>
        <w:spacing w:line="470" w:lineRule="exact"/>
        <w:ind w:left="71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（五）我方同意按照贵方可能提出的要求而提供与</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有关的任何其它数据或信息；</w:t>
      </w:r>
    </w:p>
    <w:p>
      <w:pPr>
        <w:autoSpaceDE/>
        <w:autoSpaceDN/>
        <w:spacing w:line="470" w:lineRule="exact"/>
        <w:ind w:left="71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（六）我方理解贵方不一定接受最低报价或任何贵方可能收到的报价；</w:t>
      </w:r>
    </w:p>
    <w:p>
      <w:pPr>
        <w:autoSpaceDE/>
        <w:autoSpaceDN/>
        <w:spacing w:line="470" w:lineRule="exact"/>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（七）我方如果成交，将保证履行竞争性磋商文件以及竞争性磋商文件修改书（如有）中的全部责任和义务，按质、按量、按期完成《合同书》中的全部任务；</w:t>
      </w:r>
    </w:p>
    <w:p>
      <w:pPr>
        <w:autoSpaceDE/>
        <w:autoSpaceDN/>
        <w:spacing w:line="470" w:lineRule="exact"/>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（八）保证响应文件中所有资料均真实有效，否则按无效</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处理或可取消成交资格，并愿意接受按弄虚作假骗取成交的有关规定进行处理；</w:t>
      </w:r>
    </w:p>
    <w:p>
      <w:pPr>
        <w:autoSpaceDE/>
        <w:autoSpaceDN/>
        <w:spacing w:line="470" w:lineRule="exact"/>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（九）若我方</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后，我方一定按照竞争性磋商文件的要求和响应文件的承诺签订和履行合同，否则贵方可取消我方</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资格，我方愿意接受</w:t>
      </w:r>
      <w:r>
        <w:rPr>
          <w:rFonts w:hint="eastAsia" w:ascii="宋体" w:hAnsi="宋体" w:eastAsia="宋体" w:cs="宋体"/>
          <w:color w:val="auto"/>
          <w:kern w:val="2"/>
          <w:sz w:val="21"/>
          <w:szCs w:val="21"/>
          <w:highlight w:val="none"/>
          <w:lang w:val="en-US" w:eastAsia="zh-CN"/>
        </w:rPr>
        <w:t>竞争性磋商文件内相关</w:t>
      </w:r>
      <w:r>
        <w:rPr>
          <w:rFonts w:hint="eastAsia" w:ascii="宋体" w:hAnsi="宋体" w:eastAsia="宋体" w:cs="宋体"/>
          <w:color w:val="auto"/>
          <w:kern w:val="2"/>
          <w:sz w:val="21"/>
          <w:szCs w:val="21"/>
          <w:highlight w:val="none"/>
          <w:lang w:val="zh-CN"/>
        </w:rPr>
        <w:t>违约</w:t>
      </w:r>
      <w:r>
        <w:rPr>
          <w:rFonts w:hint="eastAsia" w:ascii="宋体" w:hAnsi="宋体" w:eastAsia="宋体" w:cs="宋体"/>
          <w:color w:val="auto"/>
          <w:kern w:val="2"/>
          <w:sz w:val="21"/>
          <w:szCs w:val="21"/>
          <w:highlight w:val="none"/>
          <w:lang w:val="en-US" w:eastAsia="zh-CN"/>
        </w:rPr>
        <w:t>责任和处置措施</w:t>
      </w:r>
      <w:r>
        <w:rPr>
          <w:rFonts w:hint="eastAsia" w:ascii="宋体" w:hAnsi="宋体" w:eastAsia="宋体" w:cs="宋体"/>
          <w:color w:val="auto"/>
          <w:kern w:val="2"/>
          <w:sz w:val="21"/>
          <w:szCs w:val="21"/>
          <w:highlight w:val="none"/>
          <w:lang w:val="zh-CN"/>
        </w:rPr>
        <w:t>；</w:t>
      </w:r>
    </w:p>
    <w:p>
      <w:pPr>
        <w:autoSpaceDE/>
        <w:autoSpaceDN/>
        <w:spacing w:line="470" w:lineRule="exact"/>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（十）若我方获得成交后，核查出响应文件内容前后不一致，我方愿按最高标准的承诺履约义务；</w:t>
      </w:r>
    </w:p>
    <w:p>
      <w:pPr>
        <w:autoSpaceDE/>
        <w:autoSpaceDN/>
        <w:spacing w:line="470" w:lineRule="exact"/>
        <w:ind w:left="71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（十一）所有与本</w:t>
      </w:r>
      <w:r>
        <w:rPr>
          <w:rFonts w:hint="eastAsia" w:ascii="宋体" w:hAnsi="宋体" w:eastAsia="宋体" w:cs="宋体"/>
          <w:color w:val="auto"/>
          <w:kern w:val="2"/>
          <w:sz w:val="21"/>
          <w:szCs w:val="21"/>
          <w:highlight w:val="none"/>
          <w:lang w:val="en-US" w:eastAsia="zh-CN"/>
        </w:rPr>
        <w:t>次竞争性磋商</w:t>
      </w:r>
      <w:r>
        <w:rPr>
          <w:rFonts w:hint="eastAsia" w:ascii="宋体" w:hAnsi="宋体" w:eastAsia="宋体" w:cs="宋体"/>
          <w:color w:val="auto"/>
          <w:kern w:val="2"/>
          <w:sz w:val="21"/>
          <w:szCs w:val="21"/>
          <w:highlight w:val="none"/>
          <w:lang w:val="zh-CN"/>
        </w:rPr>
        <w:t>有关的函件请发往下列地址：</w:t>
      </w:r>
    </w:p>
    <w:p>
      <w:pPr>
        <w:autoSpaceDE/>
        <w:autoSpaceDN/>
        <w:spacing w:line="470" w:lineRule="exact"/>
        <w:ind w:firstLine="840" w:firstLineChars="400"/>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地  　址：　　　　　　　　　　　</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邮政编码：</w:t>
      </w:r>
      <w:r>
        <w:rPr>
          <w:rFonts w:hint="eastAsia" w:ascii="宋体" w:hAnsi="宋体" w:eastAsia="宋体" w:cs="宋体"/>
          <w:color w:val="auto"/>
          <w:kern w:val="2"/>
          <w:sz w:val="21"/>
          <w:szCs w:val="21"/>
          <w:highlight w:val="none"/>
          <w:u w:val="single"/>
          <w:lang w:val="zh-CN"/>
        </w:rPr>
        <w:t xml:space="preserve">　　　　　　　　　 　 </w:t>
      </w:r>
    </w:p>
    <w:p>
      <w:pPr>
        <w:autoSpaceDE/>
        <w:autoSpaceDN/>
        <w:spacing w:line="470" w:lineRule="exact"/>
        <w:ind w:firstLine="840" w:firstLineChars="400"/>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电　　话：　　　　　　　　　　　</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传　　真：</w:t>
      </w:r>
      <w:r>
        <w:rPr>
          <w:rFonts w:hint="eastAsia" w:ascii="宋体" w:hAnsi="宋体" w:eastAsia="宋体" w:cs="宋体"/>
          <w:color w:val="auto"/>
          <w:kern w:val="2"/>
          <w:sz w:val="21"/>
          <w:szCs w:val="21"/>
          <w:highlight w:val="none"/>
          <w:u w:val="single"/>
          <w:lang w:val="zh-CN"/>
        </w:rPr>
        <w:t>　　　　　　　　　　　</w:t>
      </w:r>
    </w:p>
    <w:p>
      <w:pPr>
        <w:autoSpaceDE/>
        <w:autoSpaceDN/>
        <w:spacing w:line="470" w:lineRule="exact"/>
        <w:ind w:firstLine="840" w:firstLineChars="4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网    站：                      电子邮箱：</w:t>
      </w:r>
      <w:r>
        <w:rPr>
          <w:rFonts w:hint="eastAsia" w:ascii="宋体" w:hAnsi="宋体" w:eastAsia="宋体" w:cs="宋体"/>
          <w:color w:val="auto"/>
          <w:kern w:val="2"/>
          <w:sz w:val="21"/>
          <w:szCs w:val="21"/>
          <w:highlight w:val="none"/>
          <w:u w:val="single"/>
          <w:lang w:val="zh-CN"/>
        </w:rPr>
        <w:t xml:space="preserve">                      </w:t>
      </w:r>
    </w:p>
    <w:p>
      <w:pPr>
        <w:autoSpaceDE/>
        <w:autoSpaceDN/>
        <w:spacing w:line="470" w:lineRule="exact"/>
        <w:ind w:firstLine="840" w:firstLineChars="400"/>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代表姓名：　　　　　　　　　　　职　　务：</w:t>
      </w:r>
      <w:r>
        <w:rPr>
          <w:rFonts w:hint="eastAsia" w:ascii="宋体" w:hAnsi="宋体" w:eastAsia="宋体" w:cs="宋体"/>
          <w:color w:val="auto"/>
          <w:kern w:val="2"/>
          <w:sz w:val="21"/>
          <w:szCs w:val="21"/>
          <w:highlight w:val="none"/>
          <w:u w:val="single"/>
          <w:lang w:val="zh-CN"/>
        </w:rPr>
        <w:t xml:space="preserve">　　　　　　　　　　 </w:t>
      </w:r>
    </w:p>
    <w:p>
      <w:pPr>
        <w:autoSpaceDE/>
        <w:autoSpaceDN/>
        <w:spacing w:line="480" w:lineRule="exact"/>
        <w:ind w:left="631" w:leftChars="88" w:hanging="420" w:hangingChars="200"/>
        <w:jc w:val="both"/>
        <w:rPr>
          <w:rFonts w:hint="eastAsia" w:ascii="宋体" w:hAnsi="宋体" w:eastAsia="宋体" w:cs="宋体"/>
          <w:color w:val="auto"/>
          <w:kern w:val="2"/>
          <w:sz w:val="21"/>
          <w:szCs w:val="21"/>
          <w:highlight w:val="none"/>
          <w:u w:val="single"/>
          <w:lang w:val="zh-CN"/>
        </w:rPr>
      </w:pPr>
    </w:p>
    <w:p>
      <w:pPr>
        <w:autoSpaceDE/>
        <w:autoSpaceDN/>
        <w:spacing w:line="480" w:lineRule="exact"/>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 xml:space="preserve">                       </w:t>
      </w:r>
    </w:p>
    <w:p>
      <w:pPr>
        <w:autoSpaceDE/>
        <w:autoSpaceDN/>
        <w:spacing w:line="480" w:lineRule="exact"/>
        <w:ind w:right="17" w:firstLine="4935" w:firstLineChars="23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 </w:t>
      </w:r>
    </w:p>
    <w:p>
      <w:pPr>
        <w:autoSpaceDE/>
        <w:autoSpaceDN/>
        <w:spacing w:line="480" w:lineRule="exact"/>
        <w:ind w:firstLine="3150" w:firstLineChars="1500"/>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供应商：（加盖供应商公章）</w:t>
      </w:r>
    </w:p>
    <w:p>
      <w:pPr>
        <w:autoSpaceDE/>
        <w:autoSpaceDN/>
        <w:spacing w:line="480" w:lineRule="exact"/>
        <w:ind w:firstLine="3150" w:firstLineChars="15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法定代表人/</w:t>
      </w:r>
      <w:r>
        <w:rPr>
          <w:rFonts w:hint="eastAsia" w:ascii="宋体" w:hAnsi="宋体" w:cs="宋体"/>
          <w:color w:val="auto"/>
          <w:kern w:val="2"/>
          <w:sz w:val="21"/>
          <w:highlight w:val="none"/>
          <w:lang w:val="zh-CN"/>
        </w:rPr>
        <w:t>执行事务合伙人</w:t>
      </w:r>
      <w:r>
        <w:rPr>
          <w:rFonts w:hint="eastAsia" w:ascii="宋体" w:hAnsi="宋体" w:eastAsia="宋体" w:cs="宋体"/>
          <w:color w:val="auto"/>
          <w:kern w:val="2"/>
          <w:sz w:val="21"/>
          <w:highlight w:val="none"/>
          <w:lang w:val="zh-CN"/>
        </w:rPr>
        <w:t xml:space="preserve">或其授权代表签名（或盖私章）：    </w:t>
      </w:r>
    </w:p>
    <w:p>
      <w:pPr>
        <w:autoSpaceDE/>
        <w:autoSpaceDN/>
        <w:spacing w:line="480" w:lineRule="exact"/>
        <w:ind w:firstLine="3150" w:firstLineChars="1500"/>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日期：</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 xml:space="preserve">日 </w:t>
      </w:r>
    </w:p>
    <w:p>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pPr>
        <w:pStyle w:val="3"/>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bookmarkStart w:id="301" w:name="_Toc495907131"/>
      <w:bookmarkStart w:id="302" w:name="_Toc497746559"/>
      <w:bookmarkStart w:id="303" w:name="_Toc29778"/>
      <w:bookmarkStart w:id="304" w:name="_Toc19008823"/>
      <w:bookmarkStart w:id="305" w:name="_Toc14190"/>
      <w:bookmarkStart w:id="306" w:name="_Toc5098068"/>
      <w:bookmarkStart w:id="307" w:name="_Toc15830"/>
      <w:bookmarkStart w:id="308" w:name="_Toc12121"/>
      <w:bookmarkStart w:id="309" w:name="_Toc490169462"/>
      <w:bookmarkStart w:id="310" w:name="_Toc14924"/>
      <w:bookmarkStart w:id="311" w:name="_Toc56076623"/>
      <w:bookmarkStart w:id="312" w:name="_Toc79146597"/>
      <w:bookmarkStart w:id="313" w:name="_Toc18310"/>
      <w:bookmarkStart w:id="314" w:name="_Toc5046"/>
      <w:bookmarkStart w:id="315" w:name="_Toc1123950"/>
      <w:bookmarkStart w:id="316" w:name="_Toc521918115"/>
      <w:bookmarkStart w:id="317" w:name="_Toc54334004"/>
      <w:r>
        <w:rPr>
          <w:rFonts w:hint="eastAsia" w:ascii="宋体" w:hAnsi="宋体" w:eastAsia="宋体" w:cs="宋体"/>
          <w:b/>
          <w:color w:val="auto"/>
          <w:sz w:val="32"/>
          <w:szCs w:val="32"/>
          <w:highlight w:val="none"/>
        </w:rPr>
        <w:t>二、</w:t>
      </w:r>
      <w:r>
        <w:rPr>
          <w:rFonts w:hint="eastAsia" w:ascii="宋体" w:hAnsi="宋体" w:eastAsia="宋体" w:cs="宋体"/>
          <w:b/>
          <w:color w:val="auto"/>
          <w:sz w:val="32"/>
          <w:szCs w:val="32"/>
          <w:highlight w:val="none"/>
          <w:lang w:eastAsia="zh-CN"/>
        </w:rPr>
        <w:t>磋商承诺书</w:t>
      </w:r>
      <w:r>
        <w:rPr>
          <w:rFonts w:hint="eastAsia" w:ascii="宋体" w:hAnsi="宋体" w:eastAsia="宋体" w:cs="宋体"/>
          <w:b/>
          <w:color w:val="auto"/>
          <w:sz w:val="32"/>
          <w:szCs w:val="32"/>
          <w:highlight w:val="none"/>
        </w:rPr>
        <w:t>格式</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21"/>
          <w:szCs w:val="21"/>
          <w:highlight w:val="none"/>
        </w:rPr>
        <w:cr/>
      </w:r>
      <w:r>
        <w:rPr>
          <w:rFonts w:hint="eastAsia" w:ascii="宋体" w:hAnsi="宋体" w:eastAsia="宋体" w:cs="宋体"/>
          <w:b/>
          <w:color w:val="auto"/>
          <w:sz w:val="30"/>
          <w:szCs w:val="30"/>
          <w:highlight w:val="none"/>
          <w:lang w:eastAsia="zh-CN"/>
        </w:rPr>
        <w:t>磋商承诺书</w:t>
      </w:r>
    </w:p>
    <w:p>
      <w:pPr>
        <w:jc w:val="center"/>
        <w:rPr>
          <w:rFonts w:hint="eastAsia" w:ascii="宋体" w:hAnsi="宋体" w:eastAsia="宋体" w:cs="宋体"/>
          <w:b/>
          <w:color w:val="auto"/>
          <w:sz w:val="32"/>
          <w:szCs w:val="32"/>
          <w:highlight w:val="none"/>
        </w:rPr>
      </w:pPr>
    </w:p>
    <w:p>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名称）</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已完整阅读了</w:t>
      </w:r>
      <w:r>
        <w:rPr>
          <w:rFonts w:hint="eastAsia" w:ascii="宋体" w:hAnsi="宋体" w:cs="宋体"/>
          <w:color w:val="auto"/>
          <w:sz w:val="21"/>
          <w:szCs w:val="21"/>
          <w:highlight w:val="none"/>
          <w:lang w:eastAsia="zh-CN"/>
        </w:rPr>
        <w:t>东莞市水务集团实业发展有限公司审计及财税服务采购项目</w:t>
      </w:r>
      <w:r>
        <w:rPr>
          <w:rFonts w:hint="eastAsia" w:ascii="宋体" w:hAnsi="宋体" w:eastAsia="宋体" w:cs="宋体"/>
          <w:color w:val="auto"/>
          <w:sz w:val="21"/>
          <w:szCs w:val="21"/>
          <w:highlight w:val="none"/>
        </w:rPr>
        <w:t>（采购编号：</w:t>
      </w:r>
      <w:r>
        <w:rPr>
          <w:rFonts w:hint="eastAsia" w:ascii="宋体" w:hAnsi="宋体" w:cs="宋体"/>
          <w:color w:val="auto"/>
          <w:sz w:val="21"/>
          <w:szCs w:val="21"/>
          <w:highlight w:val="none"/>
          <w:lang w:eastAsia="zh-CN"/>
        </w:rPr>
        <w:t>0832-SFCX25DG115C</w:t>
      </w:r>
      <w:r>
        <w:rPr>
          <w:rFonts w:hint="eastAsia" w:ascii="宋体" w:hAnsi="宋体" w:eastAsia="宋体" w:cs="宋体"/>
          <w:color w:val="auto"/>
          <w:sz w:val="21"/>
          <w:szCs w:val="21"/>
          <w:highlight w:val="none"/>
        </w:rPr>
        <w:t>）竞争性磋商文件的所有内容（包括澄清，以及所有已提供的参考资料和有关附件），并完全理解上述文件所表达的意思，该项目递交响应文件时间截止后，我方承诺不再对上述文件内容进行询问或质疑。</w:t>
      </w:r>
    </w:p>
    <w:p>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我方承诺，若我方存在通过弄虚作假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虚假响应</w:t>
      </w:r>
      <w:r>
        <w:rPr>
          <w:rFonts w:hint="eastAsia" w:ascii="宋体" w:hAnsi="宋体" w:eastAsia="宋体" w:cs="宋体"/>
          <w:color w:val="auto"/>
          <w:kern w:val="0"/>
          <w:sz w:val="21"/>
          <w:szCs w:val="21"/>
          <w:highlight w:val="none"/>
          <w:lang w:val="en-US" w:eastAsia="zh-CN"/>
        </w:rPr>
        <w:t>竞争性磋商</w:t>
      </w:r>
      <w:r>
        <w:rPr>
          <w:rFonts w:hint="eastAsia" w:ascii="宋体" w:hAnsi="宋体" w:eastAsia="宋体" w:cs="宋体"/>
          <w:color w:val="auto"/>
          <w:kern w:val="0"/>
          <w:sz w:val="21"/>
          <w:szCs w:val="21"/>
          <w:highlight w:val="none"/>
        </w:rPr>
        <w:t>文件要求</w:t>
      </w:r>
      <w:r>
        <w:rPr>
          <w:rFonts w:hint="eastAsia" w:ascii="宋体" w:hAnsi="宋体" w:eastAsia="宋体" w:cs="宋体"/>
          <w:color w:val="auto"/>
          <w:sz w:val="21"/>
          <w:szCs w:val="21"/>
          <w:highlight w:val="none"/>
        </w:rPr>
        <w:t>等手段骗取</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的，采购人有权或协助主管部门认定我方严重失信的不良行为，纳入相关企业信用“黑名单”，限制我方参与依法必须招标项目的投标，并向行政主管部门报送结果。同时，采购人有权根据《关于对环境保护领域失信生产经营单位及其有关人员开展联合惩戒的合作备忘录》等规定，通过“信用中国”网站向社会公示我方的失信行为，实现“一处失信、处处受限”。</w:t>
      </w:r>
    </w:p>
    <w:p>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若我方在</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或履行本合同过程中存在提供虚假材料、虚假响应</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文件要求等弄虚作假行为，或未能根据</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须知第29.2款约定按时提供原件核查的，因此导致我方无法参与东莞市水务集团有限公司相关招标采购活动的，由我方自行承担全部后果。</w:t>
      </w: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80" w:firstLineChars="200"/>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ind w:firstLine="2940" w:firstLineChars="1400"/>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供应商：（加盖供应商公章）</w:t>
      </w:r>
    </w:p>
    <w:p>
      <w:pPr>
        <w:spacing w:line="360" w:lineRule="auto"/>
        <w:ind w:firstLine="2940" w:firstLineChars="14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法定代表人/</w:t>
      </w:r>
      <w:r>
        <w:rPr>
          <w:rFonts w:hint="eastAsia" w:ascii="宋体" w:hAnsi="宋体" w:cs="宋体"/>
          <w:color w:val="auto"/>
          <w:kern w:val="2"/>
          <w:sz w:val="21"/>
          <w:highlight w:val="none"/>
          <w:lang w:val="zh-CN"/>
        </w:rPr>
        <w:t>执行事务合伙人</w:t>
      </w:r>
      <w:r>
        <w:rPr>
          <w:rFonts w:hint="eastAsia" w:ascii="宋体" w:hAnsi="宋体" w:eastAsia="宋体" w:cs="宋体"/>
          <w:color w:val="auto"/>
          <w:kern w:val="2"/>
          <w:sz w:val="21"/>
          <w:highlight w:val="none"/>
          <w:lang w:val="zh-CN"/>
        </w:rPr>
        <w:t>或其授权代表签名（或盖私章）：</w:t>
      </w:r>
    </w:p>
    <w:p>
      <w:pPr>
        <w:spacing w:line="360" w:lineRule="auto"/>
        <w:ind w:firstLine="2940" w:firstLineChars="1400"/>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日期：</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 xml:space="preserve">日 </w:t>
      </w:r>
    </w:p>
    <w:p>
      <w:pPr>
        <w:spacing w:line="360" w:lineRule="auto"/>
        <w:rPr>
          <w:rFonts w:hint="eastAsia" w:ascii="宋体" w:hAnsi="宋体" w:eastAsia="宋体" w:cs="宋体"/>
          <w:color w:val="auto"/>
          <w:highlight w:val="none"/>
        </w:rPr>
      </w:pPr>
      <w:bookmarkStart w:id="318" w:name="_Toc316896755"/>
      <w:bookmarkStart w:id="319" w:name="_Toc311032584"/>
      <w:bookmarkStart w:id="320" w:name="_Toc326768876"/>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pageBreakBefore/>
        <w:autoSpaceDE w:val="0"/>
        <w:autoSpaceDN w:val="0"/>
        <w:adjustRightInd w:val="0"/>
        <w:spacing w:line="360" w:lineRule="auto"/>
        <w:jc w:val="left"/>
        <w:outlineLvl w:val="1"/>
        <w:rPr>
          <w:rFonts w:hint="eastAsia" w:ascii="宋体" w:hAnsi="宋体" w:eastAsia="宋体" w:cs="宋体"/>
          <w:b/>
          <w:color w:val="auto"/>
          <w:kern w:val="44"/>
          <w:sz w:val="32"/>
          <w:szCs w:val="32"/>
          <w:highlight w:val="none"/>
        </w:rPr>
      </w:pPr>
      <w:bookmarkStart w:id="321" w:name="_Toc142508364"/>
      <w:bookmarkStart w:id="322" w:name="_Toc25698"/>
      <w:bookmarkStart w:id="323" w:name="_Toc102860069"/>
      <w:bookmarkStart w:id="324" w:name="_Toc17805"/>
      <w:bookmarkStart w:id="325" w:name="_Toc12587"/>
      <w:bookmarkStart w:id="326" w:name="_Toc5075"/>
      <w:bookmarkStart w:id="327" w:name="_Toc24336"/>
      <w:bookmarkStart w:id="328" w:name="_Toc82182546"/>
      <w:bookmarkStart w:id="329" w:name="_Toc25507"/>
      <w:bookmarkStart w:id="330" w:name="_Toc102860413"/>
      <w:bookmarkStart w:id="331" w:name="_Toc94107204"/>
      <w:bookmarkStart w:id="332" w:name="_Toc104991870"/>
      <w:bookmarkStart w:id="333" w:name="_Toc86764083"/>
      <w:bookmarkStart w:id="334" w:name="_Toc29910"/>
      <w:bookmarkStart w:id="335" w:name="_Toc140596923"/>
      <w:bookmarkStart w:id="336" w:name="_Toc1618"/>
      <w:r>
        <w:rPr>
          <w:rFonts w:hint="eastAsia" w:ascii="宋体" w:hAnsi="宋体" w:eastAsia="宋体" w:cs="宋体"/>
          <w:b/>
          <w:color w:val="auto"/>
          <w:kern w:val="44"/>
          <w:sz w:val="32"/>
          <w:szCs w:val="32"/>
          <w:highlight w:val="none"/>
        </w:rPr>
        <w:t>三、供货及/或提供服务过程承诺函格式</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pPr>
        <w:autoSpaceDE w:val="0"/>
        <w:autoSpaceDN w:val="0"/>
        <w:adjustRightInd w:val="0"/>
        <w:spacing w:line="360" w:lineRule="auto"/>
        <w:jc w:val="center"/>
        <w:rPr>
          <w:rFonts w:hint="eastAsia"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致</w:t>
      </w:r>
      <w:r>
        <w:rPr>
          <w:rFonts w:hint="eastAsia" w:ascii="宋体" w:hAnsi="宋体" w:cs="宋体"/>
          <w:color w:val="auto"/>
          <w:sz w:val="21"/>
          <w:szCs w:val="21"/>
          <w:highlight w:val="none"/>
          <w:lang w:eastAsia="zh-CN"/>
        </w:rPr>
        <w:t>东莞市水务集团实业发展有限公司</w:t>
      </w:r>
      <w:r>
        <w:rPr>
          <w:rFonts w:hint="eastAsia" w:ascii="宋体" w:hAnsi="宋体" w:eastAsia="宋体" w:cs="宋体"/>
          <w:color w:val="auto"/>
          <w:kern w:val="0"/>
          <w:sz w:val="21"/>
          <w:szCs w:val="21"/>
          <w:highlight w:val="none"/>
        </w:rPr>
        <w:t>：</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名称）为</w:t>
      </w:r>
      <w:r>
        <w:rPr>
          <w:rFonts w:hint="eastAsia" w:ascii="宋体" w:hAnsi="宋体" w:eastAsia="宋体" w:cs="宋体"/>
          <w:color w:val="auto"/>
          <w:kern w:val="0"/>
          <w:sz w:val="21"/>
          <w:szCs w:val="21"/>
          <w:highlight w:val="none"/>
          <w:lang w:val="en-US" w:eastAsia="zh-CN"/>
        </w:rPr>
        <w:t>采购人的</w:t>
      </w:r>
      <w:r>
        <w:rPr>
          <w:rFonts w:hint="eastAsia" w:ascii="宋体" w:hAnsi="宋体" w:cs="宋体"/>
          <w:color w:val="auto"/>
          <w:kern w:val="0"/>
          <w:sz w:val="21"/>
          <w:szCs w:val="21"/>
          <w:highlight w:val="none"/>
          <w:lang w:eastAsia="zh-CN"/>
        </w:rPr>
        <w:t>东莞市水务集团实业发展有限公司审计及财税服务采购项目</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编号：</w:t>
      </w:r>
      <w:r>
        <w:rPr>
          <w:rFonts w:hint="eastAsia" w:ascii="宋体" w:hAnsi="宋体" w:cs="宋体"/>
          <w:color w:val="auto"/>
          <w:kern w:val="2"/>
          <w:sz w:val="21"/>
          <w:szCs w:val="21"/>
          <w:highlight w:val="none"/>
          <w:lang w:val="zh-CN"/>
        </w:rPr>
        <w:t>0832-SFCX25DG115C</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val="en-US" w:eastAsia="zh-CN"/>
        </w:rPr>
        <w:t>响应报价</w:t>
      </w:r>
      <w:r>
        <w:rPr>
          <w:rFonts w:hint="eastAsia" w:ascii="宋体" w:hAnsi="宋体" w:eastAsia="宋体" w:cs="宋体"/>
          <w:color w:val="auto"/>
          <w:kern w:val="0"/>
          <w:sz w:val="21"/>
          <w:szCs w:val="21"/>
          <w:highlight w:val="none"/>
        </w:rPr>
        <w:t>单位，为确保供货及/或提供服务过程中的人身、财产安全，我方承诺，如我方获得</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资格，将严格按照下列要求开展工作。</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1、我方承诺将严格遵守国家、地方政府有关安全生产及劳动保护的法律法规、标准、规定，贯彻执行</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人的各项安全管理规章制度。</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2、我方承诺将依法参加工伤保险，为安排至</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人从事本项目的工作人员缴纳保险费，并为从事危险作业的人员办理意外伤害保险。</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3、我方承诺服从</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的安全管理，保证作业区域的现场文明安全管理达标，现场临时用电、机器设备、安全防护齐全、完好，并接受和配合</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的安全监督检查，我方提供到</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现场作业的所有安全装置、防护设施必须依据经</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审批后的安全技术方案进行搭设、安装，同时我方无条件保证安全防护设施使用的搭设材料的质量安全，在用于安全防护的物资进场前将有关物资的材质证明报</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，经</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确认后方可使用。</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4、我方承诺携带进场的机器设备、机具必须是合格产品，并对携带进场的机器设备、机具安全负责管理、维护及检查，对</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和自查发现的安全隐患落实整改措施。如我方使用不合格机器设备、机具造成事故的，由我方自行承担责任。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人所属设备、电器、管线及其他设施等，承诺事先征得</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代表的同意，并采取安全防护措施。</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场所遵守</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人的一切规章制度和安全条例，服从</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的监督。我方在提供服务过程中，如因违反</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相关规章制度、安全条例，或因不服从</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监督而发生安全事故的，其结果与责任均由我方负责，</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无须承担任何结果与责任。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7、我方承诺协助和指导</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进行货物的储存，对</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的储存方式、方法、储存数量、仓库的安全设施设备、安全生产规章制度等是否符合国家标准或者国家有关规定提出合理的建议，并进行技术指导。</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8、我方车辆在</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场所行驶时，将严格遵守厂区道路限行，限速和限重要求，如因我方未遵守前述要求，对厂区/</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人（含其人员）、我方人员、第三方造成损失的，由我方承担赔偿责任。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10、因我方原因，造成我方损失，由我方自负，给</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造成财产损失和人员伤害，我方承担全部责任，并全额赔偿</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11、非因</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原因，造成我方损失的，</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无需承担任何责任，由我方自行承担全部责任。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12、我方承诺严格遵守法律法规以及</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的安全管理要求，并接受</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的安全生产工作协调和监督，积极消除安全隐患。安全管理的基本要求包括但不限于以下条款：</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①禁火区内严禁吸烟、动火。有火灾危险的作业区域，我方承诺配置足够的灭火设施。</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②我方承诺焊接、气割作业时两瓶距离必须达到5M及以上，气瓶距可能产生火花的电器、设备和其它火源的间距必须达到10M及以上。</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③我方承诺不在厂内道路、消防通道内搭建临时建筑或堆放物资。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④我方承诺电动工具、电焊机等均具有漏电保护器和相应的安全防护装置。</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⑤我方承诺用电设施符合要求，杜绝电线乱接、乱拉，刀闸和开关无盖，在电器设施上堆放物品等行为。</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⑥我方承诺防雷、防静电设施及用电设施有良好接地。</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主管领导。</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13、我方承诺接受</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的检查与监督，并主动配合，做好安全工作，凡有违反上述条款的即视为我方违约，</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有权视情况从货物/服务价款中扣除</w:t>
      </w:r>
      <w:r>
        <w:rPr>
          <w:rFonts w:hint="eastAsia" w:ascii="宋体" w:hAnsi="宋体" w:eastAsia="宋体" w:cs="宋体"/>
          <w:color w:val="auto"/>
          <w:kern w:val="0"/>
          <w:sz w:val="21"/>
          <w:szCs w:val="21"/>
          <w:highlight w:val="none"/>
          <w:lang w:val="en-US" w:eastAsia="zh-CN"/>
        </w:rPr>
        <w:t>2000</w:t>
      </w:r>
      <w:r>
        <w:rPr>
          <w:rFonts w:hint="eastAsia" w:ascii="宋体" w:hAnsi="宋体" w:eastAsia="宋体" w:cs="宋体"/>
          <w:color w:val="auto"/>
          <w:kern w:val="0"/>
          <w:sz w:val="21"/>
          <w:szCs w:val="21"/>
          <w:highlight w:val="none"/>
        </w:rPr>
        <w:t>元/次作为违约金。</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如因我方违反上述条款造成安全生产事故的，我方将承担由此引发的一切责任与后果，如造成</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损失的，我方将予以足额赔偿。</w:t>
      </w:r>
    </w:p>
    <w:p>
      <w:pPr>
        <w:autoSpaceDE w:val="0"/>
        <w:autoSpaceDN w:val="0"/>
        <w:adjustRightInd w:val="0"/>
        <w:spacing w:line="360" w:lineRule="auto"/>
        <w:ind w:firstLine="504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pPr>
        <w:autoSpaceDE w:val="0"/>
        <w:autoSpaceDN w:val="0"/>
        <w:adjustRightInd w:val="0"/>
        <w:spacing w:line="360" w:lineRule="auto"/>
        <w:ind w:firstLine="2940" w:firstLineChars="1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公章）</w:t>
      </w:r>
    </w:p>
    <w:p>
      <w:pPr>
        <w:autoSpaceDE w:val="0"/>
        <w:autoSpaceDN w:val="0"/>
        <w:adjustRightInd w:val="0"/>
        <w:spacing w:line="360" w:lineRule="auto"/>
        <w:ind w:firstLine="2940" w:firstLineChars="14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w:t>
      </w:r>
      <w:r>
        <w:rPr>
          <w:rFonts w:hint="eastAsia" w:ascii="宋体" w:hAnsi="宋体" w:cs="宋体"/>
          <w:color w:val="auto"/>
          <w:sz w:val="21"/>
          <w:szCs w:val="21"/>
          <w:highlight w:val="none"/>
          <w:lang w:val="zh-CN"/>
        </w:rPr>
        <w:t>执行事务合伙人</w:t>
      </w:r>
      <w:r>
        <w:rPr>
          <w:rFonts w:hint="eastAsia" w:ascii="宋体" w:hAnsi="宋体" w:eastAsia="宋体" w:cs="宋体"/>
          <w:color w:val="auto"/>
          <w:sz w:val="21"/>
          <w:szCs w:val="21"/>
          <w:highlight w:val="none"/>
          <w:lang w:val="zh-CN"/>
        </w:rPr>
        <w:t>或其授权代表签名（或盖私章）：</w:t>
      </w:r>
    </w:p>
    <w:p>
      <w:pPr>
        <w:autoSpaceDE w:val="0"/>
        <w:autoSpaceDN w:val="0"/>
        <w:adjustRightInd w:val="0"/>
        <w:spacing w:line="360" w:lineRule="auto"/>
        <w:ind w:right="420" w:firstLine="2940" w:firstLineChars="14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日期：   年   月   日</w:t>
      </w:r>
    </w:p>
    <w:p>
      <w:pPr>
        <w:pStyle w:val="3"/>
        <w:pageBreakBefore/>
        <w:rPr>
          <w:rFonts w:hint="eastAsia" w:ascii="宋体" w:hAnsi="宋体" w:eastAsia="宋体" w:cs="宋体"/>
          <w:b/>
          <w:color w:val="auto"/>
          <w:sz w:val="32"/>
          <w:szCs w:val="32"/>
          <w:highlight w:val="none"/>
        </w:rPr>
      </w:pPr>
      <w:bookmarkStart w:id="337" w:name="_Toc8924"/>
      <w:bookmarkStart w:id="338" w:name="_Toc20459"/>
      <w:bookmarkStart w:id="339" w:name="_Toc495907132"/>
      <w:bookmarkStart w:id="340" w:name="_Toc56076624"/>
      <w:bookmarkStart w:id="341" w:name="_Toc19153"/>
      <w:bookmarkStart w:id="342" w:name="_Toc14689"/>
      <w:bookmarkStart w:id="343" w:name="_Toc497746560"/>
      <w:bookmarkStart w:id="344" w:name="_Toc5098069"/>
      <w:bookmarkStart w:id="345" w:name="_Toc490169463"/>
      <w:bookmarkStart w:id="346" w:name="_Toc1123951"/>
      <w:bookmarkStart w:id="347" w:name="_Toc19008824"/>
      <w:bookmarkStart w:id="348" w:name="_Toc521918116"/>
      <w:bookmarkStart w:id="349" w:name="_Toc16943"/>
      <w:bookmarkStart w:id="350" w:name="_Toc28286"/>
      <w:bookmarkStart w:id="351" w:name="_Toc3270"/>
      <w:bookmarkStart w:id="352" w:name="_Toc79146598"/>
      <w:bookmarkStart w:id="353" w:name="_Toc54334005"/>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、首次报价表格式</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pPr>
        <w:spacing w:line="360" w:lineRule="auto"/>
        <w:jc w:val="left"/>
        <w:rPr>
          <w:rFonts w:hint="eastAsia" w:ascii="宋体" w:hAnsi="宋体" w:eastAsia="宋体" w:cs="宋体"/>
          <w:b/>
          <w:bCs/>
          <w:color w:val="auto"/>
          <w:kern w:val="2"/>
          <w:sz w:val="30"/>
          <w:szCs w:val="30"/>
          <w:highlight w:val="none"/>
          <w:lang w:val="zh-CN"/>
        </w:rPr>
      </w:pPr>
      <w:bookmarkStart w:id="354" w:name="_Toc1294"/>
      <w:bookmarkStart w:id="355" w:name="_Toc24175"/>
      <w:bookmarkStart w:id="356" w:name="_Toc2395_WPSOffice_Level3"/>
      <w:bookmarkStart w:id="357" w:name="_Toc104991873"/>
      <w:bookmarkStart w:id="358" w:name="_Toc142508367"/>
      <w:bookmarkStart w:id="359" w:name="_Toc140596926"/>
      <w:bookmarkStart w:id="360" w:name="_Toc102860072"/>
      <w:bookmarkStart w:id="361" w:name="_Toc94107207"/>
      <w:bookmarkStart w:id="362" w:name="_Toc102860416"/>
      <w:bookmarkStart w:id="363" w:name="_Toc15425"/>
      <w:bookmarkStart w:id="364" w:name="_Toc521576296"/>
      <w:bookmarkStart w:id="365" w:name="_Toc532576763"/>
      <w:bookmarkStart w:id="366" w:name="_Toc521918117"/>
      <w:bookmarkStart w:id="367" w:name="_Toc521918314"/>
      <w:bookmarkStart w:id="368" w:name="_Toc519153435"/>
      <w:bookmarkStart w:id="369" w:name="_Toc522047376"/>
      <w:r>
        <w:rPr>
          <w:rFonts w:hint="eastAsia" w:ascii="宋体" w:hAnsi="宋体" w:eastAsia="宋体" w:cs="宋体"/>
          <w:b/>
          <w:bCs/>
          <w:color w:val="auto"/>
          <w:kern w:val="2"/>
          <w:sz w:val="30"/>
          <w:szCs w:val="30"/>
          <w:highlight w:val="none"/>
          <w:lang w:val="zh-CN"/>
        </w:rPr>
        <w:t xml:space="preserve">4.1 </w:t>
      </w:r>
      <w:r>
        <w:rPr>
          <w:rFonts w:hint="eastAsia" w:ascii="宋体" w:hAnsi="宋体" w:eastAsia="宋体" w:cs="宋体"/>
          <w:b/>
          <w:bCs/>
          <w:color w:val="auto"/>
          <w:kern w:val="2"/>
          <w:sz w:val="30"/>
          <w:szCs w:val="30"/>
          <w:highlight w:val="none"/>
          <w:lang w:val="en-US" w:eastAsia="zh-CN"/>
        </w:rPr>
        <w:t>响应</w:t>
      </w:r>
      <w:r>
        <w:rPr>
          <w:rFonts w:hint="eastAsia" w:ascii="宋体" w:hAnsi="宋体" w:eastAsia="宋体" w:cs="宋体"/>
          <w:b/>
          <w:bCs/>
          <w:color w:val="auto"/>
          <w:kern w:val="2"/>
          <w:sz w:val="30"/>
          <w:szCs w:val="30"/>
          <w:highlight w:val="none"/>
          <w:lang w:val="zh-CN"/>
        </w:rPr>
        <w:t>报价表</w:t>
      </w:r>
      <w:bookmarkEnd w:id="354"/>
      <w:bookmarkEnd w:id="355"/>
      <w:bookmarkEnd w:id="356"/>
      <w:bookmarkEnd w:id="357"/>
      <w:bookmarkEnd w:id="358"/>
      <w:bookmarkEnd w:id="359"/>
      <w:bookmarkEnd w:id="360"/>
      <w:bookmarkEnd w:id="361"/>
      <w:bookmarkEnd w:id="362"/>
      <w:bookmarkEnd w:id="363"/>
    </w:p>
    <w:p>
      <w:pPr>
        <w:spacing w:line="360" w:lineRule="auto"/>
        <w:jc w:val="center"/>
        <w:rPr>
          <w:rFonts w:hint="eastAsia" w:ascii="宋体" w:hAnsi="宋体" w:eastAsia="宋体" w:cs="宋体"/>
          <w:b/>
          <w:bCs/>
          <w:color w:val="auto"/>
          <w:kern w:val="2"/>
          <w:sz w:val="30"/>
          <w:szCs w:val="30"/>
          <w:highlight w:val="none"/>
          <w:lang w:val="zh-CN"/>
        </w:rPr>
      </w:pPr>
    </w:p>
    <w:p>
      <w:pPr>
        <w:spacing w:line="360" w:lineRule="auto"/>
        <w:jc w:val="center"/>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zh-CN"/>
        </w:rPr>
        <w:t>首次报价</w:t>
      </w:r>
      <w:bookmarkEnd w:id="364"/>
      <w:bookmarkEnd w:id="365"/>
      <w:bookmarkEnd w:id="366"/>
      <w:bookmarkEnd w:id="367"/>
      <w:bookmarkEnd w:id="368"/>
      <w:bookmarkEnd w:id="369"/>
      <w:r>
        <w:rPr>
          <w:rFonts w:hint="eastAsia" w:ascii="宋体" w:hAnsi="宋体" w:eastAsia="宋体" w:cs="宋体"/>
          <w:b/>
          <w:bCs/>
          <w:color w:val="auto"/>
          <w:kern w:val="2"/>
          <w:sz w:val="30"/>
          <w:szCs w:val="30"/>
          <w:highlight w:val="none"/>
          <w:lang w:val="zh-CN"/>
        </w:rPr>
        <w:t>表</w:t>
      </w:r>
    </w:p>
    <w:p>
      <w:pPr>
        <w:pStyle w:val="32"/>
        <w:spacing w:line="360" w:lineRule="auto"/>
        <w:ind w:left="1054" w:hanging="1054" w:hangingChars="5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项目名称：</w:t>
      </w:r>
      <w:r>
        <w:rPr>
          <w:rFonts w:hint="eastAsia" w:ascii="宋体" w:hAnsi="宋体" w:eastAsia="宋体" w:cs="宋体"/>
          <w:color w:val="auto"/>
          <w:sz w:val="21"/>
          <w:szCs w:val="21"/>
          <w:highlight w:val="none"/>
          <w:u w:val="single"/>
          <w:lang w:eastAsia="zh-CN"/>
        </w:rPr>
        <w:t>东莞市水务集团实业发展有限公司审计及财税服务采购项目</w:t>
      </w:r>
    </w:p>
    <w:p>
      <w:pPr>
        <w:pStyle w:val="32"/>
        <w:spacing w:line="360" w:lineRule="auto"/>
        <w:rPr>
          <w:rFonts w:hint="eastAsia" w:ascii="宋体" w:hAnsi="宋体" w:eastAsia="宋体" w:cs="宋体"/>
          <w:b w:val="0"/>
          <w:color w:val="auto"/>
          <w:sz w:val="21"/>
          <w:szCs w:val="21"/>
          <w:highlight w:val="none"/>
          <w:u w:val="single"/>
          <w:lang w:eastAsia="zh-CN"/>
        </w:rPr>
      </w:pPr>
      <w:r>
        <w:rPr>
          <w:rFonts w:hint="eastAsia" w:ascii="宋体" w:hAnsi="宋体" w:eastAsia="宋体" w:cs="宋体"/>
          <w:b/>
          <w:color w:val="auto"/>
          <w:sz w:val="21"/>
          <w:szCs w:val="21"/>
          <w:highlight w:val="none"/>
        </w:rPr>
        <w:t>采购编号：</w:t>
      </w:r>
      <w:r>
        <w:rPr>
          <w:rFonts w:hint="eastAsia" w:ascii="宋体" w:hAnsi="宋体" w:eastAsia="宋体" w:cs="宋体"/>
          <w:b w:val="0"/>
          <w:color w:val="auto"/>
          <w:sz w:val="21"/>
          <w:szCs w:val="21"/>
          <w:highlight w:val="none"/>
          <w:u w:val="single"/>
          <w:lang w:eastAsia="zh-CN"/>
        </w:rPr>
        <w:t>0832-SFCX25DG115C</w:t>
      </w:r>
    </w:p>
    <w:tbl>
      <w:tblPr>
        <w:tblStyle w:val="55"/>
        <w:tblW w:w="480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23"/>
        <w:gridCol w:w="3314"/>
        <w:gridCol w:w="3359"/>
        <w:gridCol w:w="13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51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spacing w:before="0" w:beforeAutospacing="0" w:after="0" w:afterAutospacing="0" w:line="240" w:lineRule="auto"/>
              <w:ind w:left="0" w:right="0"/>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85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spacing w:before="0" w:beforeAutospacing="0" w:after="0" w:afterAutospacing="0" w:line="240" w:lineRule="auto"/>
              <w:ind w:left="0" w:right="0"/>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名称</w:t>
            </w:r>
          </w:p>
        </w:tc>
        <w:tc>
          <w:tcPr>
            <w:tcW w:w="188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spacing w:before="0" w:beforeAutospacing="0" w:after="0" w:afterAutospacing="0" w:line="240" w:lineRule="auto"/>
              <w:ind w:left="0" w:right="0"/>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bCs w:val="0"/>
                <w:color w:val="auto"/>
                <w:kern w:val="2"/>
                <w:sz w:val="21"/>
                <w:szCs w:val="21"/>
                <w:highlight w:val="none"/>
                <w:lang w:val="en-US" w:eastAsia="zh-CN" w:bidi="ar-SA"/>
              </w:rPr>
              <w:t>响应报价（元，</w:t>
            </w:r>
            <w:r>
              <w:rPr>
                <w:rFonts w:hint="eastAsia" w:ascii="宋体" w:hAnsi="宋体" w:eastAsia="宋体" w:cs="宋体"/>
                <w:b/>
                <w:bCs w:val="0"/>
                <w:color w:val="auto"/>
                <w:kern w:val="0"/>
                <w:sz w:val="21"/>
                <w:szCs w:val="21"/>
                <w:highlight w:val="none"/>
              </w:rPr>
              <w:t>不含销项税）</w:t>
            </w:r>
          </w:p>
        </w:tc>
        <w:tc>
          <w:tcPr>
            <w:tcW w:w="74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spacing w:before="0" w:beforeAutospacing="0" w:after="0" w:afterAutospacing="0" w:line="240" w:lineRule="auto"/>
              <w:ind w:left="0" w:right="0"/>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517" w:type="pct"/>
            <w:tcBorders>
              <w:top w:val="single" w:color="auto" w:sz="4" w:space="0"/>
              <w:left w:val="single" w:color="auto" w:sz="4" w:space="0"/>
              <w:right w:val="single" w:color="auto" w:sz="4" w:space="0"/>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855" w:type="pc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东莞市水务集团实业发展有限公司审计及财税服务采购项目</w:t>
            </w:r>
          </w:p>
        </w:tc>
        <w:tc>
          <w:tcPr>
            <w:tcW w:w="1880" w:type="pct"/>
            <w:tcBorders>
              <w:top w:val="single" w:color="auto" w:sz="4" w:space="0"/>
              <w:left w:val="single" w:color="auto" w:sz="4" w:space="0"/>
              <w:right w:val="single" w:color="auto" w:sz="4" w:space="0"/>
            </w:tcBorders>
            <w:vAlign w:val="center"/>
          </w:tcPr>
          <w:p>
            <w:pPr>
              <w:keepNext w:val="0"/>
              <w:keepLines w:val="0"/>
              <w:suppressLineNumbers w:val="0"/>
              <w:tabs>
                <w:tab w:val="left" w:pos="8610"/>
              </w:tabs>
              <w:autoSpaceDE/>
              <w:autoSpaceDN/>
              <w:adjustRightInd/>
              <w:spacing w:before="0" w:beforeAutospacing="0" w:after="0" w:afterAutospacing="0" w:line="360" w:lineRule="auto"/>
              <w:ind w:left="0" w:right="0"/>
              <w:jc w:val="left"/>
              <w:outlineLvl w:val="9"/>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u w:val="none"/>
                <w:lang w:val="en-US" w:eastAsia="zh-CN"/>
              </w:rPr>
              <w:t>小写：</w:t>
            </w:r>
            <w:r>
              <w:rPr>
                <w:rFonts w:hint="eastAsia" w:ascii="宋体" w:hAnsi="宋体" w:eastAsia="宋体" w:cs="宋体"/>
                <w:color w:val="auto"/>
                <w:kern w:val="0"/>
                <w:sz w:val="21"/>
                <w:szCs w:val="21"/>
                <w:highlight w:val="none"/>
                <w:u w:val="single"/>
                <w:lang w:val="en-US" w:eastAsia="zh-CN"/>
              </w:rPr>
              <w:t xml:space="preserve">                    </w:t>
            </w:r>
          </w:p>
        </w:tc>
        <w:tc>
          <w:tcPr>
            <w:tcW w:w="746" w:type="pct"/>
            <w:tcBorders>
              <w:top w:val="single" w:color="auto" w:sz="4" w:space="0"/>
              <w:left w:val="single" w:color="auto" w:sz="4" w:space="0"/>
              <w:right w:val="single" w:color="auto" w:sz="4" w:space="0"/>
            </w:tcBorders>
            <w:vAlign w:val="center"/>
          </w:tcPr>
          <w:p>
            <w:pPr>
              <w:keepNext w:val="0"/>
              <w:keepLines w:val="0"/>
              <w:suppressLineNumbers w:val="0"/>
              <w:tabs>
                <w:tab w:val="left" w:pos="8610"/>
              </w:tabs>
              <w:autoSpaceDE/>
              <w:autoSpaceDN/>
              <w:adjustRightInd/>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为1.2《各阶段报价明细表》合计不含税金额</w:t>
            </w:r>
          </w:p>
        </w:tc>
      </w:tr>
    </w:tbl>
    <w:p>
      <w:pPr>
        <w:pStyle w:val="32"/>
        <w:spacing w:line="360" w:lineRule="auto"/>
        <w:rPr>
          <w:rFonts w:hint="eastAsia" w:ascii="宋体" w:hAnsi="宋体" w:eastAsia="宋体" w:cs="宋体"/>
          <w:b w:val="0"/>
          <w:color w:val="auto"/>
          <w:sz w:val="21"/>
          <w:szCs w:val="21"/>
          <w:highlight w:val="none"/>
          <w:u w:val="single"/>
          <w:lang w:eastAsia="zh-CN"/>
        </w:rPr>
      </w:pPr>
    </w:p>
    <w:p>
      <w:pPr>
        <w:pStyle w:val="32"/>
        <w:spacing w:line="360" w:lineRule="auto"/>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pPr>
        <w:autoSpaceDE w:val="0"/>
        <w:autoSpaceDN w:val="0"/>
        <w:adjustRightInd w:val="0"/>
        <w:snapToGrid w:val="0"/>
        <w:spacing w:line="360" w:lineRule="auto"/>
        <w:ind w:left="612" w:leftChars="18" w:hanging="569" w:hangingChars="270"/>
        <w:jc w:val="left"/>
        <w:outlineLvl w:val="9"/>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备注：</w:t>
      </w:r>
    </w:p>
    <w:p>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 w:val="0"/>
          <w:bCs/>
          <w:color w:val="auto"/>
          <w:kern w:val="0"/>
          <w:sz w:val="21"/>
          <w:szCs w:val="21"/>
          <w:highlight w:val="none"/>
          <w:u w:val="none"/>
        </w:rPr>
      </w:pPr>
      <w:r>
        <w:rPr>
          <w:rFonts w:hint="eastAsia" w:ascii="宋体" w:hAnsi="宋体" w:eastAsia="宋体" w:cs="宋体"/>
          <w:b w:val="0"/>
          <w:bCs/>
          <w:color w:val="auto"/>
          <w:kern w:val="0"/>
          <w:sz w:val="21"/>
          <w:szCs w:val="21"/>
          <w:highlight w:val="none"/>
          <w:u w:val="none"/>
        </w:rPr>
        <w:t>（1）</w:t>
      </w:r>
      <w:r>
        <w:rPr>
          <w:rFonts w:hint="eastAsia" w:ascii="宋体" w:hAnsi="宋体" w:eastAsia="宋体" w:cs="宋体"/>
          <w:b/>
          <w:color w:val="auto"/>
          <w:kern w:val="0"/>
          <w:sz w:val="21"/>
          <w:szCs w:val="21"/>
          <w:highlight w:val="none"/>
          <w:u w:val="single"/>
        </w:rPr>
        <w:t>本项目响应报价为不含税价，即为《中华人民共和国增值税暂行条例》（国务院令第691号修订版）规定的销售额</w:t>
      </w:r>
      <w:r>
        <w:rPr>
          <w:rFonts w:hint="eastAsia" w:ascii="宋体" w:hAnsi="宋体" w:eastAsia="宋体" w:cs="宋体"/>
          <w:b/>
          <w:color w:val="auto"/>
          <w:kern w:val="0"/>
          <w:sz w:val="21"/>
          <w:szCs w:val="21"/>
          <w:highlight w:val="none"/>
          <w:u w:val="none"/>
        </w:rPr>
        <w:t>。</w:t>
      </w:r>
      <w:r>
        <w:rPr>
          <w:rFonts w:hint="eastAsia" w:ascii="宋体" w:hAnsi="宋体" w:eastAsia="宋体" w:cs="宋体"/>
          <w:b w:val="0"/>
          <w:bCs/>
          <w:color w:val="auto"/>
          <w:kern w:val="0"/>
          <w:sz w:val="21"/>
          <w:szCs w:val="21"/>
          <w:highlight w:val="none"/>
          <w:u w:val="none"/>
        </w:rPr>
        <w:t>本竞争性磋商文件所称的不含税价是指不含本采购项目的</w:t>
      </w:r>
      <w:r>
        <w:rPr>
          <w:rFonts w:hint="eastAsia" w:ascii="宋体" w:hAnsi="宋体" w:eastAsia="宋体" w:cs="宋体"/>
          <w:b w:val="0"/>
          <w:bCs/>
          <w:color w:val="auto"/>
          <w:kern w:val="0"/>
          <w:sz w:val="21"/>
          <w:szCs w:val="21"/>
          <w:highlight w:val="none"/>
          <w:u w:val="none"/>
          <w:lang w:eastAsia="zh-CN"/>
        </w:rPr>
        <w:t>供应商</w:t>
      </w:r>
      <w:r>
        <w:rPr>
          <w:rFonts w:hint="eastAsia" w:ascii="宋体" w:hAnsi="宋体" w:eastAsia="宋体" w:cs="宋体"/>
          <w:b w:val="0"/>
          <w:bCs/>
          <w:color w:val="auto"/>
          <w:kern w:val="0"/>
          <w:sz w:val="21"/>
          <w:szCs w:val="21"/>
          <w:highlight w:val="none"/>
          <w:u w:val="none"/>
        </w:rPr>
        <w:t>销项税额，包含了</w:t>
      </w:r>
      <w:r>
        <w:rPr>
          <w:rFonts w:hint="eastAsia" w:ascii="宋体" w:hAnsi="宋体" w:eastAsia="宋体" w:cs="宋体"/>
          <w:b w:val="0"/>
          <w:bCs/>
          <w:color w:val="auto"/>
          <w:kern w:val="0"/>
          <w:sz w:val="21"/>
          <w:szCs w:val="21"/>
          <w:highlight w:val="none"/>
          <w:u w:val="none"/>
          <w:lang w:eastAsia="zh-CN"/>
        </w:rPr>
        <w:t>供应商</w:t>
      </w:r>
      <w:r>
        <w:rPr>
          <w:rFonts w:hint="eastAsia" w:ascii="宋体" w:hAnsi="宋体" w:eastAsia="宋体" w:cs="宋体"/>
          <w:b w:val="0"/>
          <w:bCs/>
          <w:color w:val="auto"/>
          <w:kern w:val="0"/>
          <w:sz w:val="21"/>
          <w:szCs w:val="21"/>
          <w:highlight w:val="none"/>
          <w:u w:val="none"/>
        </w:rPr>
        <w:t>完成合同义务（含</w:t>
      </w:r>
      <w:r>
        <w:rPr>
          <w:rFonts w:hint="eastAsia" w:ascii="宋体" w:hAnsi="宋体" w:eastAsia="宋体" w:cs="宋体"/>
          <w:b w:val="0"/>
          <w:bCs/>
          <w:color w:val="auto"/>
          <w:kern w:val="0"/>
          <w:sz w:val="21"/>
          <w:szCs w:val="21"/>
          <w:highlight w:val="none"/>
          <w:u w:val="none"/>
          <w:lang w:eastAsia="zh-CN"/>
        </w:rPr>
        <w:t>供应商</w:t>
      </w:r>
      <w:r>
        <w:rPr>
          <w:rFonts w:hint="eastAsia" w:ascii="宋体" w:hAnsi="宋体" w:eastAsia="宋体" w:cs="宋体"/>
          <w:b w:val="0"/>
          <w:bCs/>
          <w:color w:val="auto"/>
          <w:kern w:val="0"/>
          <w:sz w:val="21"/>
          <w:szCs w:val="21"/>
          <w:highlight w:val="none"/>
          <w:u w:val="none"/>
        </w:rPr>
        <w:t>代缴代扣、分包及委外服务、施工、采购货物等所产生的价税）的其他全部费用。</w:t>
      </w:r>
      <w:r>
        <w:rPr>
          <w:rFonts w:hint="eastAsia" w:ascii="宋体" w:hAnsi="宋体" w:eastAsia="宋体" w:cs="宋体"/>
          <w:b w:val="0"/>
          <w:bCs/>
          <w:color w:val="auto"/>
          <w:kern w:val="0"/>
          <w:sz w:val="21"/>
          <w:szCs w:val="21"/>
          <w:highlight w:val="none"/>
          <w:u w:val="none"/>
          <w:lang w:val="zh-CN"/>
        </w:rPr>
        <w:t>本采购项目的销项税额由</w:t>
      </w:r>
      <w:r>
        <w:rPr>
          <w:rFonts w:hint="eastAsia" w:ascii="宋体" w:hAnsi="宋体" w:eastAsia="宋体" w:cs="宋体"/>
          <w:b w:val="0"/>
          <w:bCs/>
          <w:color w:val="auto"/>
          <w:kern w:val="0"/>
          <w:sz w:val="21"/>
          <w:szCs w:val="21"/>
          <w:highlight w:val="none"/>
          <w:u w:val="none"/>
          <w:lang w:val="en-US" w:eastAsia="zh-CN"/>
        </w:rPr>
        <w:t>采购人</w:t>
      </w:r>
      <w:r>
        <w:rPr>
          <w:rFonts w:hint="eastAsia" w:ascii="宋体" w:hAnsi="宋体" w:eastAsia="宋体" w:cs="宋体"/>
          <w:b w:val="0"/>
          <w:bCs/>
          <w:color w:val="auto"/>
          <w:kern w:val="0"/>
          <w:sz w:val="21"/>
          <w:szCs w:val="21"/>
          <w:highlight w:val="none"/>
          <w:u w:val="none"/>
          <w:lang w:val="zh-CN"/>
        </w:rPr>
        <w:t>承担</w:t>
      </w:r>
      <w:r>
        <w:rPr>
          <w:rFonts w:hint="eastAsia" w:ascii="宋体" w:hAnsi="宋体" w:eastAsia="宋体" w:cs="宋体"/>
          <w:b w:val="0"/>
          <w:bCs/>
          <w:color w:val="auto"/>
          <w:kern w:val="0"/>
          <w:sz w:val="21"/>
          <w:szCs w:val="21"/>
          <w:highlight w:val="none"/>
          <w:u w:val="none"/>
        </w:rPr>
        <w:t>，不计入</w:t>
      </w:r>
      <w:r>
        <w:rPr>
          <w:rFonts w:hint="eastAsia" w:ascii="宋体" w:hAnsi="宋体" w:eastAsia="宋体" w:cs="宋体"/>
          <w:b w:val="0"/>
          <w:bCs/>
          <w:color w:val="auto"/>
          <w:kern w:val="0"/>
          <w:sz w:val="21"/>
          <w:szCs w:val="21"/>
          <w:highlight w:val="none"/>
          <w:u w:val="none"/>
          <w:lang w:val="en-US" w:eastAsia="zh-CN"/>
        </w:rPr>
        <w:t>响应</w:t>
      </w:r>
      <w:r>
        <w:rPr>
          <w:rFonts w:hint="eastAsia" w:ascii="宋体" w:hAnsi="宋体" w:eastAsia="宋体" w:cs="宋体"/>
          <w:b w:val="0"/>
          <w:bCs/>
          <w:color w:val="auto"/>
          <w:kern w:val="0"/>
          <w:sz w:val="21"/>
          <w:szCs w:val="21"/>
          <w:highlight w:val="none"/>
          <w:u w:val="none"/>
        </w:rPr>
        <w:t>报价。</w:t>
      </w:r>
    </w:p>
    <w:p>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bCs w:val="0"/>
          <w:color w:val="auto"/>
          <w:sz w:val="21"/>
          <w:szCs w:val="21"/>
          <w:highlight w:val="none"/>
          <w:u w:val="single"/>
          <w:lang w:val="en-US" w:eastAsia="zh-CN"/>
        </w:rPr>
        <w:t>供应商</w:t>
      </w:r>
      <w:r>
        <w:rPr>
          <w:rFonts w:hint="default" w:ascii="宋体" w:hAnsi="宋体" w:eastAsia="宋体" w:cs="宋体"/>
          <w:b/>
          <w:bCs w:val="0"/>
          <w:color w:val="auto"/>
          <w:sz w:val="21"/>
          <w:szCs w:val="21"/>
          <w:highlight w:val="none"/>
          <w:u w:val="single"/>
          <w:lang w:val="en-US"/>
        </w:rPr>
        <w:t>的</w:t>
      </w:r>
      <w:r>
        <w:rPr>
          <w:rFonts w:hint="eastAsia" w:ascii="宋体" w:hAnsi="宋体" w:eastAsia="宋体" w:cs="宋体"/>
          <w:b/>
          <w:bCs w:val="0"/>
          <w:color w:val="auto"/>
          <w:sz w:val="21"/>
          <w:szCs w:val="21"/>
          <w:highlight w:val="none"/>
          <w:u w:val="single"/>
          <w:lang w:val="en-US" w:eastAsia="zh-CN"/>
        </w:rPr>
        <w:t>响应</w:t>
      </w:r>
      <w:r>
        <w:rPr>
          <w:rFonts w:hint="eastAsia" w:ascii="宋体" w:hAnsi="宋体" w:eastAsia="宋体" w:cs="宋体"/>
          <w:b/>
          <w:bCs w:val="0"/>
          <w:color w:val="auto"/>
          <w:sz w:val="21"/>
          <w:szCs w:val="21"/>
          <w:highlight w:val="none"/>
          <w:u w:val="single"/>
        </w:rPr>
        <w:t>报价</w:t>
      </w:r>
      <w:r>
        <w:rPr>
          <w:rFonts w:hint="eastAsia" w:ascii="宋体" w:hAnsi="宋体" w:eastAsia="宋体" w:cs="宋体"/>
          <w:b/>
          <w:bCs w:val="0"/>
          <w:color w:val="auto"/>
          <w:kern w:val="0"/>
          <w:sz w:val="21"/>
          <w:szCs w:val="21"/>
          <w:highlight w:val="none"/>
          <w:u w:val="single"/>
        </w:rPr>
        <w:t>高</w:t>
      </w:r>
      <w:r>
        <w:rPr>
          <w:rFonts w:hint="eastAsia" w:ascii="宋体" w:hAnsi="宋体" w:eastAsia="宋体" w:cs="宋体"/>
          <w:b/>
          <w:bCs w:val="0"/>
          <w:color w:val="auto"/>
          <w:sz w:val="21"/>
          <w:szCs w:val="21"/>
          <w:highlight w:val="none"/>
          <w:u w:val="single"/>
        </w:rPr>
        <w:t>于最高限价的，该</w:t>
      </w:r>
      <w:r>
        <w:rPr>
          <w:rFonts w:hint="eastAsia" w:ascii="宋体" w:hAnsi="宋体" w:eastAsia="宋体" w:cs="宋体"/>
          <w:b/>
          <w:bCs w:val="0"/>
          <w:color w:val="auto"/>
          <w:sz w:val="21"/>
          <w:szCs w:val="21"/>
          <w:highlight w:val="none"/>
          <w:u w:val="single"/>
          <w:lang w:val="en-US" w:eastAsia="zh-CN"/>
        </w:rPr>
        <w:t>供应商</w:t>
      </w:r>
      <w:r>
        <w:rPr>
          <w:rFonts w:hint="eastAsia" w:ascii="宋体" w:hAnsi="宋体" w:eastAsia="宋体" w:cs="宋体"/>
          <w:b/>
          <w:bCs w:val="0"/>
          <w:color w:val="auto"/>
          <w:sz w:val="21"/>
          <w:szCs w:val="21"/>
          <w:highlight w:val="none"/>
          <w:u w:val="single"/>
        </w:rPr>
        <w:t>的</w:t>
      </w:r>
      <w:r>
        <w:rPr>
          <w:rFonts w:hint="eastAsia" w:ascii="宋体" w:hAnsi="宋体" w:eastAsia="宋体" w:cs="宋体"/>
          <w:b/>
          <w:bCs w:val="0"/>
          <w:color w:val="auto"/>
          <w:sz w:val="21"/>
          <w:szCs w:val="21"/>
          <w:highlight w:val="none"/>
          <w:u w:val="single"/>
          <w:lang w:val="en-US" w:eastAsia="zh-CN"/>
        </w:rPr>
        <w:t>响应</w:t>
      </w:r>
      <w:r>
        <w:rPr>
          <w:rFonts w:hint="eastAsia" w:ascii="宋体" w:hAnsi="宋体" w:eastAsia="宋体" w:cs="宋体"/>
          <w:b/>
          <w:bCs w:val="0"/>
          <w:color w:val="auto"/>
          <w:sz w:val="21"/>
          <w:szCs w:val="21"/>
          <w:highlight w:val="none"/>
          <w:u w:val="single"/>
        </w:rPr>
        <w:t>文件将被视为无效</w:t>
      </w:r>
      <w:r>
        <w:rPr>
          <w:rFonts w:hint="eastAsia" w:ascii="宋体" w:hAnsi="宋体" w:eastAsia="宋体" w:cs="宋体"/>
          <w:b/>
          <w:bCs w:val="0"/>
          <w:color w:val="auto"/>
          <w:sz w:val="21"/>
          <w:szCs w:val="21"/>
          <w:highlight w:val="none"/>
          <w:u w:val="single"/>
          <w:lang w:val="en-US" w:eastAsia="zh-CN"/>
        </w:rPr>
        <w:t>响应</w:t>
      </w:r>
      <w:r>
        <w:rPr>
          <w:rFonts w:hint="eastAsia" w:ascii="宋体" w:hAnsi="宋体" w:eastAsia="宋体" w:cs="宋体"/>
          <w:b w:val="0"/>
          <w:bCs/>
          <w:color w:val="auto"/>
          <w:sz w:val="21"/>
          <w:szCs w:val="21"/>
          <w:highlight w:val="none"/>
        </w:rPr>
        <w:t>。</w:t>
      </w:r>
    </w:p>
    <w:p>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（3）对不同文字文本</w:t>
      </w:r>
      <w:r>
        <w:rPr>
          <w:rFonts w:hint="eastAsia" w:ascii="宋体" w:hAnsi="宋体" w:eastAsia="宋体" w:cs="宋体"/>
          <w:b w:val="0"/>
          <w:bCs/>
          <w:color w:val="auto"/>
          <w:sz w:val="21"/>
          <w:szCs w:val="21"/>
          <w:highlight w:val="none"/>
          <w:lang w:val="en-US" w:eastAsia="zh-CN"/>
        </w:rPr>
        <w:t>响应</w:t>
      </w:r>
      <w:r>
        <w:rPr>
          <w:rFonts w:hint="eastAsia" w:ascii="宋体" w:hAnsi="宋体" w:eastAsia="宋体" w:cs="宋体"/>
          <w:b w:val="0"/>
          <w:bCs/>
          <w:color w:val="auto"/>
          <w:sz w:val="21"/>
          <w:szCs w:val="21"/>
          <w:highlight w:val="none"/>
        </w:rPr>
        <w:t>文件的解释发生异议的，以中文文本为准。</w:t>
      </w:r>
    </w:p>
    <w:p>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w:t>
      </w:r>
      <w:r>
        <w:rPr>
          <w:rFonts w:hint="eastAsia" w:ascii="宋体" w:hAnsi="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lang w:val="zh-CN"/>
        </w:rPr>
        <w:t>）</w:t>
      </w:r>
      <w:r>
        <w:rPr>
          <w:rFonts w:hint="eastAsia" w:ascii="宋体" w:hAnsi="宋体" w:eastAsia="宋体" w:cs="宋体"/>
          <w:b/>
          <w:bCs w:val="0"/>
          <w:color w:val="auto"/>
          <w:kern w:val="0"/>
          <w:sz w:val="21"/>
          <w:szCs w:val="21"/>
          <w:highlight w:val="none"/>
          <w:u w:val="single"/>
          <w:lang w:val="zh-CN"/>
        </w:rPr>
        <w:t>本表一式</w:t>
      </w:r>
      <w:r>
        <w:rPr>
          <w:rFonts w:hint="eastAsia" w:ascii="宋体" w:hAnsi="宋体" w:eastAsia="宋体" w:cs="宋体"/>
          <w:b/>
          <w:bCs w:val="0"/>
          <w:color w:val="auto"/>
          <w:kern w:val="0"/>
          <w:sz w:val="21"/>
          <w:szCs w:val="21"/>
          <w:highlight w:val="none"/>
          <w:u w:val="single"/>
          <w:lang w:val="en-US" w:eastAsia="zh-CN"/>
        </w:rPr>
        <w:t>一</w:t>
      </w:r>
      <w:r>
        <w:rPr>
          <w:rFonts w:hint="eastAsia" w:ascii="宋体" w:hAnsi="宋体" w:eastAsia="宋体" w:cs="宋体"/>
          <w:b/>
          <w:bCs w:val="0"/>
          <w:color w:val="auto"/>
          <w:kern w:val="0"/>
          <w:sz w:val="21"/>
          <w:szCs w:val="21"/>
          <w:highlight w:val="none"/>
          <w:u w:val="single"/>
          <w:lang w:val="zh-CN"/>
        </w:rPr>
        <w:t>份，编入响应文件商务文件</w:t>
      </w:r>
      <w:r>
        <w:rPr>
          <w:rFonts w:hint="eastAsia" w:ascii="宋体" w:hAnsi="宋体" w:eastAsia="宋体" w:cs="宋体"/>
          <w:b/>
          <w:bCs w:val="0"/>
          <w:color w:val="auto"/>
          <w:kern w:val="0"/>
          <w:sz w:val="21"/>
          <w:szCs w:val="21"/>
          <w:highlight w:val="none"/>
          <w:u w:val="single"/>
          <w:lang w:val="en-US" w:eastAsia="zh-CN"/>
        </w:rPr>
        <w:t>一起提交</w:t>
      </w:r>
      <w:r>
        <w:rPr>
          <w:rFonts w:hint="eastAsia" w:ascii="宋体" w:hAnsi="宋体" w:eastAsia="宋体" w:cs="宋体"/>
          <w:bCs/>
          <w:color w:val="auto"/>
          <w:kern w:val="0"/>
          <w:sz w:val="21"/>
          <w:szCs w:val="21"/>
          <w:highlight w:val="none"/>
          <w:lang w:val="zh-CN"/>
        </w:rPr>
        <w:t>。</w:t>
      </w:r>
    </w:p>
    <w:p>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w:t>
      </w:r>
      <w:r>
        <w:rPr>
          <w:rFonts w:hint="eastAsia" w:ascii="宋体" w:hAnsi="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lang w:val="zh-CN"/>
        </w:rPr>
        <w:t>）</w:t>
      </w:r>
      <w:r>
        <w:rPr>
          <w:rFonts w:hint="eastAsia" w:ascii="宋体" w:hAnsi="宋体" w:cs="宋体"/>
          <w:bCs/>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报价保留小数点后两位。</w:t>
      </w:r>
    </w:p>
    <w:p>
      <w:pPr>
        <w:spacing w:line="360" w:lineRule="auto"/>
        <w:ind w:firstLine="0"/>
        <w:jc w:val="both"/>
        <w:rPr>
          <w:rFonts w:hint="eastAsia" w:ascii="宋体" w:hAnsi="宋体" w:eastAsia="宋体" w:cs="宋体"/>
          <w:color w:val="auto"/>
          <w:kern w:val="2"/>
          <w:sz w:val="21"/>
          <w:highlight w:val="none"/>
          <w:lang w:val="zh-CN"/>
        </w:rPr>
      </w:pPr>
    </w:p>
    <w:p>
      <w:pPr>
        <w:spacing w:line="360" w:lineRule="auto"/>
        <w:ind w:firstLine="3150" w:firstLineChars="1500"/>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供应商：（加盖供应商公章）</w:t>
      </w:r>
    </w:p>
    <w:p>
      <w:pPr>
        <w:spacing w:line="360" w:lineRule="auto"/>
        <w:ind w:firstLine="3150" w:firstLineChars="15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法定代表人/执行事务合伙人或其授权代表签名（或盖私章）：</w:t>
      </w:r>
    </w:p>
    <w:p>
      <w:pPr>
        <w:spacing w:line="360" w:lineRule="auto"/>
        <w:ind w:firstLine="3150" w:firstLineChars="15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日期：   年    月   日</w:t>
      </w:r>
    </w:p>
    <w:p>
      <w:pPr>
        <w:spacing w:line="360" w:lineRule="auto"/>
        <w:ind w:firstLine="0"/>
        <w:jc w:val="both"/>
        <w:rPr>
          <w:rFonts w:hint="eastAsia" w:ascii="宋体" w:hAnsi="宋体" w:eastAsia="宋体" w:cs="宋体"/>
          <w:color w:val="auto"/>
          <w:kern w:val="2"/>
          <w:sz w:val="21"/>
          <w:highlight w:val="none"/>
          <w:lang w:val="zh-CN"/>
        </w:rPr>
      </w:pPr>
    </w:p>
    <w:p>
      <w:pPr>
        <w:rPr>
          <w:rFonts w:hint="eastAsia" w:ascii="宋体" w:hAnsi="宋体" w:cs="宋体"/>
          <w:color w:val="auto"/>
          <w:kern w:val="2"/>
          <w:highlight w:val="none"/>
          <w:lang w:val="en-US" w:eastAsia="zh-CN"/>
        </w:rPr>
      </w:pPr>
      <w:r>
        <w:rPr>
          <w:rFonts w:hint="eastAsia" w:ascii="宋体" w:hAnsi="宋体" w:cs="宋体"/>
          <w:color w:val="auto"/>
          <w:kern w:val="2"/>
          <w:highlight w:val="none"/>
          <w:lang w:val="en-US" w:eastAsia="zh-CN"/>
        </w:rPr>
        <w:br w:type="page"/>
      </w:r>
    </w:p>
    <w:p>
      <w:pPr>
        <w:spacing w:line="360" w:lineRule="auto"/>
        <w:jc w:val="left"/>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t>4.</w:t>
      </w:r>
      <w:r>
        <w:rPr>
          <w:rFonts w:hint="eastAsia" w:ascii="宋体" w:hAnsi="宋体" w:eastAsia="宋体" w:cs="宋体"/>
          <w:b/>
          <w:bCs/>
          <w:color w:val="auto"/>
          <w:kern w:val="2"/>
          <w:sz w:val="30"/>
          <w:szCs w:val="30"/>
          <w:highlight w:val="none"/>
          <w:lang w:val="en-US" w:eastAsia="zh-CN"/>
        </w:rPr>
        <w:t>2</w:t>
      </w:r>
      <w:r>
        <w:rPr>
          <w:rFonts w:hint="eastAsia" w:ascii="宋体" w:hAnsi="宋体" w:eastAsia="宋体" w:cs="宋体"/>
          <w:b/>
          <w:bCs/>
          <w:color w:val="auto"/>
          <w:kern w:val="2"/>
          <w:sz w:val="30"/>
          <w:szCs w:val="30"/>
          <w:highlight w:val="none"/>
          <w:lang w:val="zh-CN"/>
        </w:rPr>
        <w:t xml:space="preserve"> </w:t>
      </w:r>
      <w:r>
        <w:rPr>
          <w:rFonts w:hint="eastAsia" w:ascii="宋体" w:hAnsi="宋体" w:eastAsia="宋体" w:cs="宋体"/>
          <w:b/>
          <w:bCs/>
          <w:color w:val="auto"/>
          <w:kern w:val="2"/>
          <w:sz w:val="30"/>
          <w:szCs w:val="30"/>
          <w:highlight w:val="none"/>
          <w:lang w:val="en-US" w:eastAsia="zh-CN"/>
        </w:rPr>
        <w:t>分项报价</w:t>
      </w:r>
      <w:r>
        <w:rPr>
          <w:rFonts w:hint="eastAsia" w:ascii="宋体" w:hAnsi="宋体" w:eastAsia="宋体" w:cs="宋体"/>
          <w:b/>
          <w:bCs/>
          <w:color w:val="auto"/>
          <w:kern w:val="2"/>
          <w:sz w:val="30"/>
          <w:szCs w:val="30"/>
          <w:highlight w:val="none"/>
          <w:lang w:val="zh-CN"/>
        </w:rPr>
        <w:t>表</w:t>
      </w:r>
    </w:p>
    <w:p>
      <w:pPr>
        <w:spacing w:line="360" w:lineRule="auto"/>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分项</w:t>
      </w:r>
      <w:r>
        <w:rPr>
          <w:rFonts w:ascii="宋体" w:hAnsi="宋体" w:eastAsia="宋体" w:cs="宋体"/>
          <w:b/>
          <w:bCs/>
          <w:color w:val="auto"/>
          <w:sz w:val="30"/>
          <w:szCs w:val="30"/>
          <w:highlight w:val="none"/>
          <w:lang w:val="zh-CN"/>
        </w:rPr>
        <w:t>报价表</w:t>
      </w:r>
    </w:p>
    <w:p>
      <w:pPr>
        <w:autoSpaceDE w:val="0"/>
        <w:autoSpaceDN w:val="0"/>
        <w:adjustRightInd w:val="0"/>
        <w:spacing w:line="360" w:lineRule="auto"/>
        <w:jc w:val="center"/>
        <w:rPr>
          <w:rFonts w:ascii="宋体" w:hAnsi="宋体" w:eastAsia="宋体" w:cs="宋体"/>
          <w:b/>
          <w:bCs/>
          <w:color w:val="auto"/>
          <w:sz w:val="30"/>
          <w:szCs w:val="30"/>
          <w:highlight w:val="none"/>
          <w:lang w:val="zh-CN"/>
        </w:rPr>
      </w:pPr>
    </w:p>
    <w:p>
      <w:pPr>
        <w:pStyle w:val="32"/>
        <w:spacing w:line="360" w:lineRule="auto"/>
        <w:ind w:left="1054" w:hanging="1054" w:hangingChars="5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项目名称：</w:t>
      </w:r>
      <w:r>
        <w:rPr>
          <w:rFonts w:hint="eastAsia" w:ascii="宋体" w:hAnsi="宋体" w:eastAsia="宋体" w:cs="宋体"/>
          <w:color w:val="auto"/>
          <w:sz w:val="21"/>
          <w:szCs w:val="21"/>
          <w:highlight w:val="none"/>
          <w:u w:val="single"/>
          <w:lang w:eastAsia="zh-CN"/>
        </w:rPr>
        <w:t>东莞市水务集团实业发展有限公司审计及财税服务采购项目</w:t>
      </w:r>
    </w:p>
    <w:p>
      <w:pPr>
        <w:spacing w:line="360" w:lineRule="auto"/>
        <w:rPr>
          <w:rFonts w:ascii="宋体" w:hAnsi="宋体" w:eastAsia="宋体" w:cs="宋体"/>
          <w:color w:val="auto"/>
          <w:kern w:val="0"/>
          <w:sz w:val="21"/>
          <w:szCs w:val="21"/>
          <w:highlight w:val="none"/>
          <w:u w:val="single"/>
        </w:rPr>
      </w:pPr>
      <w:r>
        <w:rPr>
          <w:rFonts w:hint="eastAsia" w:ascii="宋体" w:hAnsi="宋体" w:eastAsia="宋体" w:cs="宋体"/>
          <w:b/>
          <w:color w:val="auto"/>
          <w:sz w:val="21"/>
          <w:szCs w:val="21"/>
          <w:highlight w:val="none"/>
        </w:rPr>
        <w:t>采购编号：</w:t>
      </w:r>
      <w:r>
        <w:rPr>
          <w:rFonts w:hint="eastAsia" w:ascii="宋体" w:hAnsi="宋体" w:cs="宋体"/>
          <w:b w:val="0"/>
          <w:color w:val="auto"/>
          <w:sz w:val="21"/>
          <w:szCs w:val="21"/>
          <w:highlight w:val="none"/>
          <w:u w:val="single"/>
          <w:lang w:eastAsia="zh-CN"/>
        </w:rPr>
        <w:t>0832-SFCX25DG115C</w:t>
      </w:r>
    </w:p>
    <w:tbl>
      <w:tblPr>
        <w:tblStyle w:val="56"/>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4"/>
        <w:gridCol w:w="2744"/>
        <w:gridCol w:w="2745"/>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804" w:type="dxa"/>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服务阶段</w:t>
            </w:r>
          </w:p>
        </w:tc>
        <w:tc>
          <w:tcPr>
            <w:tcW w:w="2744" w:type="dxa"/>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服务成果</w:t>
            </w:r>
          </w:p>
        </w:tc>
        <w:tc>
          <w:tcPr>
            <w:tcW w:w="2745" w:type="dxa"/>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不含税响应报价（元）</w:t>
            </w:r>
          </w:p>
        </w:tc>
        <w:tc>
          <w:tcPr>
            <w:tcW w:w="1053" w:type="dxa"/>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804" w:type="dxa"/>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净资产审计阶段</w:t>
            </w:r>
          </w:p>
        </w:tc>
        <w:tc>
          <w:tcPr>
            <w:tcW w:w="2744" w:type="dxa"/>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净资产审计报告</w:t>
            </w:r>
          </w:p>
        </w:tc>
        <w:tc>
          <w:tcPr>
            <w:tcW w:w="2745"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val="0"/>
                <w:bCs/>
                <w:color w:val="auto"/>
                <w:sz w:val="21"/>
                <w:szCs w:val="21"/>
                <w:highlight w:val="none"/>
                <w:vertAlign w:val="baseline"/>
                <w:lang w:val="zh-CN"/>
              </w:rPr>
            </w:pPr>
          </w:p>
        </w:tc>
        <w:tc>
          <w:tcPr>
            <w:tcW w:w="1053"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val="0"/>
                <w:bCs/>
                <w:color w:val="auto"/>
                <w:sz w:val="21"/>
                <w:szCs w:val="21"/>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804" w:type="dxa"/>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清算审计阶段</w:t>
            </w:r>
          </w:p>
        </w:tc>
        <w:tc>
          <w:tcPr>
            <w:tcW w:w="2744" w:type="dxa"/>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清算审计报告</w:t>
            </w:r>
          </w:p>
        </w:tc>
        <w:tc>
          <w:tcPr>
            <w:tcW w:w="2745"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val="0"/>
                <w:bCs/>
                <w:color w:val="auto"/>
                <w:sz w:val="21"/>
                <w:szCs w:val="21"/>
                <w:highlight w:val="none"/>
                <w:vertAlign w:val="baseline"/>
                <w:lang w:val="zh-CN"/>
              </w:rPr>
            </w:pPr>
          </w:p>
        </w:tc>
        <w:tc>
          <w:tcPr>
            <w:tcW w:w="1053"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val="0"/>
                <w:bCs/>
                <w:color w:val="auto"/>
                <w:sz w:val="21"/>
                <w:szCs w:val="21"/>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804" w:type="dxa"/>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财税服务阶段</w:t>
            </w:r>
          </w:p>
        </w:tc>
        <w:tc>
          <w:tcPr>
            <w:tcW w:w="2744" w:type="dxa"/>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吸收合并过程中涉及的财税问题提供相关服务</w:t>
            </w:r>
          </w:p>
        </w:tc>
        <w:tc>
          <w:tcPr>
            <w:tcW w:w="2745"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val="0"/>
                <w:bCs/>
                <w:color w:val="auto"/>
                <w:sz w:val="21"/>
                <w:szCs w:val="21"/>
                <w:highlight w:val="none"/>
                <w:vertAlign w:val="baseline"/>
                <w:lang w:val="zh-CN"/>
              </w:rPr>
            </w:pPr>
          </w:p>
        </w:tc>
        <w:tc>
          <w:tcPr>
            <w:tcW w:w="1053"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val="0"/>
                <w:bCs/>
                <w:color w:val="auto"/>
                <w:sz w:val="21"/>
                <w:szCs w:val="21"/>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804"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合计（</w:t>
            </w:r>
            <w:r>
              <w:rPr>
                <w:rFonts w:hint="eastAsia" w:ascii="宋体" w:hAnsi="宋体" w:cs="宋体"/>
                <w:b w:val="0"/>
                <w:bCs/>
                <w:color w:val="auto"/>
                <w:sz w:val="21"/>
                <w:szCs w:val="21"/>
                <w:highlight w:val="none"/>
              </w:rPr>
              <w:t>不含税</w:t>
            </w:r>
            <w:r>
              <w:rPr>
                <w:rFonts w:hint="eastAsia" w:ascii="宋体" w:hAnsi="宋体" w:cs="宋体"/>
                <w:b w:val="0"/>
                <w:bCs/>
                <w:color w:val="auto"/>
                <w:sz w:val="21"/>
                <w:szCs w:val="21"/>
                <w:highlight w:val="none"/>
                <w:lang w:val="en-US" w:eastAsia="zh-CN"/>
              </w:rPr>
              <w:t>响应</w:t>
            </w:r>
            <w:r>
              <w:rPr>
                <w:rFonts w:hint="eastAsia" w:ascii="宋体" w:hAnsi="宋体" w:cs="宋体"/>
                <w:b w:val="0"/>
                <w:bCs/>
                <w:color w:val="auto"/>
                <w:sz w:val="21"/>
                <w:szCs w:val="21"/>
                <w:highlight w:val="none"/>
              </w:rPr>
              <w:t>报价</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元</w:t>
            </w:r>
            <w:r>
              <w:rPr>
                <w:rFonts w:hint="eastAsia" w:ascii="宋体" w:hAnsi="宋体" w:cs="宋体"/>
                <w:b w:val="0"/>
                <w:bCs/>
                <w:color w:val="auto"/>
                <w:sz w:val="21"/>
                <w:szCs w:val="21"/>
                <w:highlight w:val="none"/>
                <w:vertAlign w:val="baseline"/>
                <w:lang w:val="en-US" w:eastAsia="zh-CN"/>
              </w:rPr>
              <w:t>）</w:t>
            </w:r>
          </w:p>
        </w:tc>
        <w:tc>
          <w:tcPr>
            <w:tcW w:w="6542" w:type="dxa"/>
            <w:gridSpan w:val="3"/>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val="0"/>
                <w:bCs/>
                <w:color w:val="auto"/>
                <w:sz w:val="21"/>
                <w:szCs w:val="21"/>
                <w:highlight w:val="none"/>
                <w:vertAlign w:val="baseline"/>
                <w:lang w:val="zh-CN"/>
              </w:rPr>
            </w:pPr>
          </w:p>
        </w:tc>
      </w:tr>
    </w:tbl>
    <w:p>
      <w:pPr>
        <w:autoSpaceDE w:val="0"/>
        <w:autoSpaceDN w:val="0"/>
        <w:adjustRightInd w:val="0"/>
        <w:spacing w:line="360" w:lineRule="auto"/>
        <w:jc w:val="left"/>
        <w:rPr>
          <w:rFonts w:ascii="宋体" w:hAnsi="宋体" w:eastAsia="宋体" w:cs="宋体"/>
          <w:b/>
          <w:color w:val="auto"/>
          <w:kern w:val="0"/>
          <w:szCs w:val="21"/>
          <w:highlight w:val="none"/>
        </w:rPr>
      </w:pPr>
    </w:p>
    <w:p>
      <w:pPr>
        <w:autoSpaceDE w:val="0"/>
        <w:autoSpaceDN w:val="0"/>
        <w:adjustRightInd w:val="0"/>
        <w:spacing w:line="360"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p>
      <w:pPr>
        <w:autoSpaceDE w:val="0"/>
        <w:autoSpaceDN w:val="0"/>
        <w:adjustRightInd w:val="0"/>
        <w:spacing w:line="360" w:lineRule="auto"/>
        <w:ind w:left="467" w:leftChars="18" w:hanging="424" w:hangingChars="202"/>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（1）此表为</w:t>
      </w:r>
      <w:r>
        <w:rPr>
          <w:rFonts w:hint="eastAsia" w:ascii="宋体" w:hAnsi="宋体" w:eastAsia="宋体" w:cs="宋体"/>
          <w:color w:val="auto"/>
          <w:kern w:val="0"/>
          <w:sz w:val="21"/>
          <w:szCs w:val="21"/>
          <w:highlight w:val="none"/>
          <w:lang w:val="en-US" w:eastAsia="zh-CN"/>
        </w:rPr>
        <w:t>首次</w:t>
      </w:r>
      <w:r>
        <w:rPr>
          <w:rFonts w:hint="eastAsia" w:ascii="宋体" w:hAnsi="宋体" w:eastAsia="宋体" w:cs="宋体"/>
          <w:color w:val="auto"/>
          <w:kern w:val="0"/>
          <w:sz w:val="21"/>
          <w:szCs w:val="21"/>
          <w:highlight w:val="none"/>
        </w:rPr>
        <w:t>报价表的分项报价表，</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应</w:t>
      </w:r>
      <w:r>
        <w:rPr>
          <w:rFonts w:hint="eastAsia" w:ascii="宋体" w:hAnsi="宋体" w:cs="宋体"/>
          <w:color w:val="auto"/>
          <w:kern w:val="0"/>
          <w:sz w:val="21"/>
          <w:szCs w:val="21"/>
          <w:highlight w:val="none"/>
          <w:lang w:val="en-US" w:eastAsia="zh-CN"/>
        </w:rPr>
        <w:t>根据分析报价表中列明的服务阶段分别填写响应报价</w:t>
      </w:r>
      <w:r>
        <w:rPr>
          <w:rFonts w:hint="eastAsia" w:ascii="宋体" w:hAnsi="宋体" w:eastAsia="宋体" w:cs="宋体"/>
          <w:color w:val="auto"/>
          <w:kern w:val="0"/>
          <w:sz w:val="21"/>
          <w:szCs w:val="21"/>
          <w:highlight w:val="none"/>
        </w:rPr>
        <w:t>。</w:t>
      </w:r>
    </w:p>
    <w:p>
      <w:pPr>
        <w:autoSpaceDE w:val="0"/>
        <w:autoSpaceDN w:val="0"/>
        <w:adjustRightInd w:val="0"/>
        <w:spacing w:line="360" w:lineRule="auto"/>
        <w:ind w:left="467" w:leftChars="18" w:hanging="424" w:hangingChars="202"/>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本分项报价表内的“合计”金额应与首次报价表内的响应报价金额一致，若两者不一致时，以首次报价表内的响应报价为准，并参照第二章磋商须知第34.2款修正分项目报价</w:t>
      </w:r>
      <w:r>
        <w:rPr>
          <w:rFonts w:hint="eastAsia" w:ascii="宋体" w:hAnsi="宋体" w:eastAsia="宋体" w:cs="宋体"/>
          <w:color w:val="auto"/>
          <w:kern w:val="0"/>
          <w:sz w:val="21"/>
          <w:szCs w:val="21"/>
          <w:highlight w:val="none"/>
        </w:rPr>
        <w:t>。</w:t>
      </w:r>
    </w:p>
    <w:p>
      <w:pPr>
        <w:autoSpaceDE w:val="0"/>
        <w:autoSpaceDN w:val="0"/>
        <w:adjustRightInd w:val="0"/>
        <w:spacing w:line="360" w:lineRule="auto"/>
        <w:ind w:left="467" w:leftChars="18" w:hanging="424" w:hangingChars="202"/>
        <w:jc w:val="left"/>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w:t>
      </w:r>
      <w:r>
        <w:rPr>
          <w:rFonts w:hint="eastAsia" w:ascii="宋体" w:hAnsi="宋体" w:cs="Times New Roman"/>
          <w:color w:val="auto"/>
          <w:kern w:val="0"/>
          <w:sz w:val="21"/>
          <w:szCs w:val="21"/>
          <w:highlight w:val="none"/>
          <w:lang w:val="en-US" w:eastAsia="zh-CN"/>
        </w:rPr>
        <w:t>3</w:t>
      </w:r>
      <w:r>
        <w:rPr>
          <w:rFonts w:hint="eastAsia" w:ascii="宋体" w:hAnsi="宋体" w:eastAsia="宋体" w:cs="Times New Roman"/>
          <w:color w:val="auto"/>
          <w:kern w:val="0"/>
          <w:sz w:val="21"/>
          <w:szCs w:val="21"/>
          <w:highlight w:val="none"/>
        </w:rPr>
        <w:t>）报价保留小数点后两位。</w:t>
      </w:r>
    </w:p>
    <w:p>
      <w:pPr>
        <w:autoSpaceDE w:val="0"/>
        <w:autoSpaceDN w:val="0"/>
        <w:adjustRightInd w:val="0"/>
        <w:spacing w:line="360" w:lineRule="auto"/>
        <w:ind w:firstLine="315" w:firstLineChars="150"/>
        <w:jc w:val="right"/>
        <w:rPr>
          <w:rFonts w:hint="eastAsia" w:ascii="宋体" w:hAnsi="宋体" w:eastAsia="宋体" w:cs="宋体"/>
          <w:color w:val="auto"/>
          <w:kern w:val="0"/>
          <w:sz w:val="21"/>
          <w:szCs w:val="21"/>
          <w:highlight w:val="none"/>
          <w:lang w:val="en-US" w:eastAsia="zh-CN"/>
        </w:rPr>
      </w:pPr>
    </w:p>
    <w:p>
      <w:pPr>
        <w:autoSpaceDE w:val="0"/>
        <w:autoSpaceDN w:val="0"/>
        <w:adjustRightInd w:val="0"/>
        <w:spacing w:line="360" w:lineRule="auto"/>
        <w:ind w:firstLine="315" w:firstLineChars="150"/>
        <w:jc w:val="right"/>
        <w:rPr>
          <w:rFonts w:hint="eastAsia" w:ascii="宋体" w:hAnsi="宋体" w:eastAsia="宋体" w:cs="宋体"/>
          <w:color w:val="auto"/>
          <w:kern w:val="0"/>
          <w:sz w:val="21"/>
          <w:szCs w:val="21"/>
          <w:highlight w:val="none"/>
          <w:lang w:val="en-US" w:eastAsia="zh-CN"/>
        </w:rPr>
      </w:pPr>
    </w:p>
    <w:p>
      <w:pPr>
        <w:autoSpaceDE w:val="0"/>
        <w:autoSpaceDN w:val="0"/>
        <w:adjustRightInd w:val="0"/>
        <w:spacing w:line="360" w:lineRule="auto"/>
        <w:ind w:firstLine="3150" w:firstLineChars="15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：（加盖</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公章）</w:t>
      </w:r>
    </w:p>
    <w:p>
      <w:pPr>
        <w:autoSpaceDE w:val="0"/>
        <w:autoSpaceDN w:val="0"/>
        <w:adjustRightInd w:val="0"/>
        <w:spacing w:line="360" w:lineRule="auto"/>
        <w:ind w:firstLine="315" w:firstLineChars="150"/>
        <w:jc w:val="left"/>
        <w:rPr>
          <w:rFonts w:hint="eastAsia" w:ascii="宋体" w:hAnsi="宋体" w:eastAsia="宋体" w:cs="宋体"/>
          <w:color w:val="auto"/>
          <w:kern w:val="0"/>
          <w:sz w:val="21"/>
          <w:szCs w:val="21"/>
          <w:highlight w:val="none"/>
          <w:lang w:val="zh-CN" w:eastAsia="zh-CN"/>
        </w:rPr>
      </w:pPr>
    </w:p>
    <w:p>
      <w:pPr>
        <w:autoSpaceDE w:val="0"/>
        <w:autoSpaceDN w:val="0"/>
        <w:adjustRightInd w:val="0"/>
        <w:spacing w:line="360" w:lineRule="auto"/>
        <w:ind w:firstLine="3255" w:firstLineChars="1550"/>
        <w:jc w:val="left"/>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法定代表人/执行事务合伙人或其授权代表签名（或盖私章）：</w:t>
      </w:r>
    </w:p>
    <w:p>
      <w:pPr>
        <w:autoSpaceDE w:val="0"/>
        <w:autoSpaceDN w:val="0"/>
        <w:adjustRightInd w:val="0"/>
        <w:spacing w:line="360" w:lineRule="auto"/>
        <w:ind w:firstLine="315" w:firstLineChars="150"/>
        <w:jc w:val="left"/>
        <w:rPr>
          <w:rFonts w:hint="eastAsia" w:ascii="宋体" w:hAnsi="宋体" w:eastAsia="宋体" w:cs="宋体"/>
          <w:color w:val="auto"/>
          <w:kern w:val="0"/>
          <w:sz w:val="21"/>
          <w:szCs w:val="21"/>
          <w:highlight w:val="none"/>
          <w:lang w:val="en-US" w:eastAsia="zh-CN"/>
        </w:rPr>
      </w:pPr>
    </w:p>
    <w:p>
      <w:pPr>
        <w:autoSpaceDE w:val="0"/>
        <w:autoSpaceDN w:val="0"/>
        <w:adjustRightInd w:val="0"/>
        <w:spacing w:line="360" w:lineRule="auto"/>
        <w:ind w:firstLine="3255" w:firstLineChars="155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日  期：   年   月   日</w:t>
      </w:r>
    </w:p>
    <w:p>
      <w:pPr>
        <w:spacing w:line="360" w:lineRule="auto"/>
        <w:ind w:firstLine="0"/>
        <w:jc w:val="both"/>
        <w:rPr>
          <w:rFonts w:hint="default" w:ascii="宋体" w:hAnsi="宋体" w:eastAsia="宋体" w:cs="宋体"/>
          <w:color w:val="auto"/>
          <w:kern w:val="2"/>
          <w:highlight w:val="none"/>
          <w:lang w:val="en-US" w:eastAsia="zh-CN"/>
        </w:rPr>
      </w:pPr>
    </w:p>
    <w:p>
      <w:pPr>
        <w:pStyle w:val="22"/>
        <w:rPr>
          <w:rFonts w:hint="eastAsia" w:ascii="宋体" w:hAnsi="宋体" w:eastAsia="宋体" w:cs="宋体"/>
          <w:color w:val="auto"/>
          <w:kern w:val="2"/>
          <w:sz w:val="21"/>
          <w:highlight w:val="none"/>
        </w:rPr>
        <w:sectPr>
          <w:headerReference r:id="rId8" w:type="first"/>
          <w:footerReference r:id="rId10" w:type="first"/>
          <w:footerReference r:id="rId9" w:type="default"/>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pPr>
    </w:p>
    <w:p>
      <w:pPr>
        <w:pStyle w:val="3"/>
        <w:rPr>
          <w:rFonts w:hint="eastAsia" w:ascii="宋体" w:hAnsi="宋体" w:eastAsia="宋体" w:cs="宋体"/>
          <w:b/>
          <w:color w:val="auto"/>
          <w:sz w:val="32"/>
          <w:szCs w:val="32"/>
          <w:highlight w:val="none"/>
        </w:rPr>
      </w:pPr>
      <w:bookmarkStart w:id="370" w:name="_Toc54334008"/>
      <w:bookmarkStart w:id="371" w:name="_Toc56076625"/>
      <w:bookmarkStart w:id="372" w:name="_Toc26644"/>
      <w:bookmarkStart w:id="373" w:name="_Toc27788"/>
      <w:bookmarkStart w:id="374" w:name="_Toc25342"/>
      <w:bookmarkStart w:id="375" w:name="_Toc18720"/>
      <w:bookmarkStart w:id="376" w:name="_Toc8153"/>
      <w:bookmarkStart w:id="377" w:name="_Toc2353"/>
      <w:bookmarkStart w:id="378" w:name="_Toc79146599"/>
      <w:bookmarkStart w:id="379" w:name="_Toc12569"/>
      <w:bookmarkStart w:id="380" w:name="_Toc495907133"/>
      <w:bookmarkStart w:id="381" w:name="_Toc497746561"/>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资格证明文件</w:t>
      </w:r>
      <w:bookmarkEnd w:id="370"/>
      <w:bookmarkEnd w:id="371"/>
      <w:bookmarkEnd w:id="372"/>
      <w:bookmarkEnd w:id="373"/>
      <w:bookmarkEnd w:id="374"/>
      <w:bookmarkEnd w:id="375"/>
      <w:bookmarkEnd w:id="376"/>
      <w:bookmarkEnd w:id="377"/>
      <w:bookmarkEnd w:id="378"/>
      <w:bookmarkEnd w:id="379"/>
    </w:p>
    <w:p>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en-US" w:eastAsia="zh-CN"/>
        </w:rPr>
      </w:pPr>
      <w:bookmarkStart w:id="382" w:name="_Toc532576766"/>
      <w:bookmarkStart w:id="383" w:name="_Toc38982592"/>
      <w:bookmarkStart w:id="384" w:name="_Toc522047382"/>
      <w:bookmarkStart w:id="385" w:name="_Toc521576302"/>
      <w:bookmarkStart w:id="386" w:name="_Toc5098071"/>
      <w:bookmarkStart w:id="387" w:name="_Toc19008826"/>
      <w:bookmarkStart w:id="388" w:name="_Toc40288701"/>
      <w:bookmarkStart w:id="389" w:name="_Toc1123953"/>
      <w:bookmarkStart w:id="390" w:name="_Toc56076626"/>
      <w:bookmarkStart w:id="391" w:name="_Toc521918320"/>
      <w:bookmarkStart w:id="392" w:name="_Toc54334009"/>
      <w:bookmarkStart w:id="393" w:name="_Toc79146600"/>
      <w:bookmarkStart w:id="394" w:name="_Toc521918123"/>
      <w:bookmarkStart w:id="395" w:name="_Toc519153441"/>
      <w:r>
        <w:rPr>
          <w:rFonts w:hint="eastAsia" w:ascii="宋体" w:hAnsi="宋体" w:eastAsia="宋体" w:cs="宋体"/>
          <w:b/>
          <w:color w:val="auto"/>
          <w:kern w:val="2"/>
          <w:sz w:val="30"/>
          <w:szCs w:val="30"/>
          <w:highlight w:val="none"/>
          <w:lang w:val="en-US" w:eastAsia="zh-CN"/>
        </w:rPr>
        <w:t>5.1 多证合一营业执照（或事业单位法人证书）复印件</w:t>
      </w:r>
    </w:p>
    <w:p>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en-US" w:eastAsia="zh-CN"/>
        </w:rPr>
      </w:pPr>
    </w:p>
    <w:p>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lang w:val="en-US" w:eastAsia="zh-CN"/>
        </w:rPr>
      </w:pPr>
      <w:bookmarkStart w:id="396" w:name="_Toc1123955"/>
      <w:bookmarkStart w:id="397" w:name="_Toc521918126"/>
      <w:bookmarkStart w:id="398" w:name="_Toc519153444"/>
      <w:bookmarkStart w:id="399" w:name="_Toc521918323"/>
      <w:bookmarkStart w:id="400" w:name="_Toc522047385"/>
      <w:bookmarkStart w:id="401" w:name="_Toc532576769"/>
      <w:bookmarkStart w:id="402" w:name="_Toc5098073"/>
      <w:bookmarkStart w:id="403" w:name="_Toc521576305"/>
      <w:bookmarkStart w:id="404" w:name="_Toc19008829"/>
      <w:bookmarkStart w:id="405" w:name="_Toc54334011"/>
      <w:bookmarkStart w:id="406" w:name="_Toc38982594"/>
      <w:bookmarkStart w:id="407" w:name="_Toc40288703"/>
      <w:bookmarkStart w:id="408" w:name="_Toc56076628"/>
      <w:bookmarkStart w:id="409" w:name="_Toc79146602"/>
      <w:r>
        <w:rPr>
          <w:rFonts w:hint="eastAsia" w:ascii="宋体" w:hAnsi="宋体" w:eastAsia="宋体" w:cs="宋体"/>
          <w:b/>
          <w:color w:val="auto"/>
          <w:kern w:val="2"/>
          <w:sz w:val="30"/>
          <w:szCs w:val="30"/>
          <w:highlight w:val="none"/>
          <w:lang w:val="en-US" w:eastAsia="zh-CN"/>
        </w:rPr>
        <w:t>5.2 开户许可证复印件（基本存款账户）</w:t>
      </w:r>
      <w:bookmarkEnd w:id="396"/>
      <w:bookmarkEnd w:id="397"/>
      <w:bookmarkEnd w:id="398"/>
      <w:bookmarkEnd w:id="399"/>
      <w:bookmarkEnd w:id="400"/>
      <w:bookmarkEnd w:id="401"/>
      <w:bookmarkEnd w:id="402"/>
      <w:bookmarkEnd w:id="403"/>
      <w:r>
        <w:rPr>
          <w:rFonts w:hint="eastAsia" w:ascii="宋体" w:hAnsi="宋体" w:eastAsia="宋体" w:cs="宋体"/>
          <w:b/>
          <w:color w:val="auto"/>
          <w:kern w:val="2"/>
          <w:sz w:val="30"/>
          <w:szCs w:val="30"/>
          <w:highlight w:val="none"/>
          <w:lang w:val="en-US" w:eastAsia="zh-CN"/>
        </w:rPr>
        <w:t>复印件</w:t>
      </w:r>
      <w:bookmarkEnd w:id="404"/>
      <w:r>
        <w:rPr>
          <w:rFonts w:hint="eastAsia" w:ascii="宋体" w:hAnsi="宋体" w:eastAsia="宋体" w:cs="宋体"/>
          <w:b/>
          <w:color w:val="auto"/>
          <w:kern w:val="2"/>
          <w:sz w:val="30"/>
          <w:szCs w:val="30"/>
          <w:highlight w:val="none"/>
          <w:lang w:val="en-US" w:eastAsia="zh-CN"/>
        </w:rPr>
        <w:t>，如供应商企业银行账户开户所在地区已取消企业银行账户许可，供应商应提供基本存款账户开户名称、开户银行、账号、编号等信息及相关备案证明（如有）或其他能证明其为基本存款账户的资料复印件</w:t>
      </w:r>
      <w:bookmarkEnd w:id="405"/>
      <w:bookmarkEnd w:id="406"/>
      <w:bookmarkEnd w:id="407"/>
      <w:bookmarkEnd w:id="408"/>
      <w:bookmarkEnd w:id="409"/>
    </w:p>
    <w:p>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5.3</w:t>
      </w:r>
      <w:r>
        <w:rPr>
          <w:rFonts w:hint="eastAsia" w:ascii="宋体" w:hAnsi="宋体" w:eastAsia="宋体" w:cs="宋体"/>
          <w:b/>
          <w:color w:val="auto"/>
          <w:kern w:val="2"/>
          <w:sz w:val="30"/>
          <w:szCs w:val="30"/>
          <w:highlight w:val="none"/>
        </w:rPr>
        <w:t xml:space="preserve"> </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rFonts w:hint="eastAsia" w:ascii="宋体" w:hAnsi="宋体" w:eastAsia="宋体" w:cs="宋体"/>
          <w:b/>
          <w:color w:val="auto"/>
          <w:kern w:val="2"/>
          <w:sz w:val="30"/>
          <w:szCs w:val="30"/>
          <w:highlight w:val="none"/>
          <w:lang w:eastAsia="zh-CN"/>
        </w:rPr>
        <w:t>法定代表人/</w:t>
      </w:r>
      <w:r>
        <w:rPr>
          <w:rFonts w:hint="eastAsia" w:ascii="宋体" w:hAnsi="宋体" w:cs="宋体"/>
          <w:b/>
          <w:color w:val="auto"/>
          <w:kern w:val="2"/>
          <w:sz w:val="30"/>
          <w:szCs w:val="30"/>
          <w:highlight w:val="none"/>
          <w:lang w:eastAsia="zh-CN"/>
        </w:rPr>
        <w:t>执行事务合伙人</w:t>
      </w:r>
      <w:r>
        <w:rPr>
          <w:rFonts w:hint="eastAsia" w:ascii="宋体" w:hAnsi="宋体" w:eastAsia="宋体" w:cs="宋体"/>
          <w:b/>
          <w:color w:val="auto"/>
          <w:kern w:val="2"/>
          <w:sz w:val="30"/>
          <w:szCs w:val="30"/>
          <w:highlight w:val="none"/>
        </w:rPr>
        <w:t>身份证明书原件、</w:t>
      </w:r>
      <w:r>
        <w:rPr>
          <w:rFonts w:hint="eastAsia" w:ascii="宋体" w:hAnsi="宋体" w:eastAsia="宋体" w:cs="宋体"/>
          <w:b/>
          <w:color w:val="auto"/>
          <w:kern w:val="2"/>
          <w:sz w:val="30"/>
          <w:szCs w:val="30"/>
          <w:highlight w:val="none"/>
          <w:lang w:eastAsia="zh-CN"/>
        </w:rPr>
        <w:t>法定代表人/</w:t>
      </w:r>
      <w:r>
        <w:rPr>
          <w:rFonts w:hint="eastAsia" w:ascii="宋体" w:hAnsi="宋体" w:cs="宋体"/>
          <w:b/>
          <w:color w:val="auto"/>
          <w:kern w:val="2"/>
          <w:sz w:val="30"/>
          <w:szCs w:val="30"/>
          <w:highlight w:val="none"/>
          <w:lang w:eastAsia="zh-CN"/>
        </w:rPr>
        <w:t>执行事务合伙人</w:t>
      </w:r>
      <w:r>
        <w:rPr>
          <w:rFonts w:hint="eastAsia" w:ascii="宋体" w:hAnsi="宋体" w:eastAsia="宋体" w:cs="宋体"/>
          <w:b/>
          <w:color w:val="auto"/>
          <w:kern w:val="2"/>
          <w:sz w:val="30"/>
          <w:szCs w:val="30"/>
          <w:highlight w:val="none"/>
        </w:rPr>
        <w:t>授权书原件格式（</w:t>
      </w:r>
      <w:r>
        <w:rPr>
          <w:rFonts w:hint="eastAsia" w:ascii="宋体" w:hAnsi="宋体" w:eastAsia="宋体" w:cs="宋体"/>
          <w:b/>
          <w:color w:val="auto"/>
          <w:kern w:val="2"/>
          <w:sz w:val="30"/>
          <w:szCs w:val="30"/>
          <w:highlight w:val="none"/>
          <w:lang w:eastAsia="zh-CN"/>
        </w:rPr>
        <w:t>法定代表人/</w:t>
      </w:r>
      <w:r>
        <w:rPr>
          <w:rFonts w:hint="eastAsia" w:ascii="宋体" w:hAnsi="宋体" w:cs="宋体"/>
          <w:b/>
          <w:color w:val="auto"/>
          <w:kern w:val="2"/>
          <w:sz w:val="30"/>
          <w:szCs w:val="30"/>
          <w:highlight w:val="none"/>
          <w:lang w:eastAsia="zh-CN"/>
        </w:rPr>
        <w:t>执行事务合伙人</w:t>
      </w:r>
      <w:r>
        <w:rPr>
          <w:rFonts w:hint="eastAsia" w:ascii="宋体" w:hAnsi="宋体" w:eastAsia="宋体" w:cs="宋体"/>
          <w:b/>
          <w:color w:val="auto"/>
          <w:kern w:val="2"/>
          <w:sz w:val="30"/>
          <w:szCs w:val="30"/>
          <w:highlight w:val="none"/>
          <w:lang w:val="en-US" w:eastAsia="zh-CN"/>
        </w:rPr>
        <w:t>磋商</w:t>
      </w:r>
      <w:r>
        <w:rPr>
          <w:rFonts w:hint="eastAsia" w:ascii="宋体" w:hAnsi="宋体" w:eastAsia="宋体" w:cs="宋体"/>
          <w:b/>
          <w:color w:val="auto"/>
          <w:kern w:val="2"/>
          <w:sz w:val="30"/>
          <w:szCs w:val="30"/>
          <w:highlight w:val="none"/>
        </w:rPr>
        <w:t>时只需提供</w:t>
      </w:r>
      <w:r>
        <w:rPr>
          <w:rFonts w:hint="eastAsia" w:ascii="宋体" w:hAnsi="宋体" w:eastAsia="宋体" w:cs="宋体"/>
          <w:b/>
          <w:color w:val="auto"/>
          <w:kern w:val="2"/>
          <w:sz w:val="30"/>
          <w:szCs w:val="30"/>
          <w:highlight w:val="none"/>
          <w:lang w:eastAsia="zh-CN"/>
        </w:rPr>
        <w:t>法定代表人/</w:t>
      </w:r>
      <w:r>
        <w:rPr>
          <w:rFonts w:hint="eastAsia" w:ascii="宋体" w:hAnsi="宋体" w:cs="宋体"/>
          <w:b/>
          <w:color w:val="auto"/>
          <w:kern w:val="2"/>
          <w:sz w:val="30"/>
          <w:szCs w:val="30"/>
          <w:highlight w:val="none"/>
          <w:lang w:eastAsia="zh-CN"/>
        </w:rPr>
        <w:t>执行事务合伙人</w:t>
      </w:r>
      <w:r>
        <w:rPr>
          <w:rFonts w:hint="eastAsia" w:ascii="宋体" w:hAnsi="宋体" w:eastAsia="宋体" w:cs="宋体"/>
          <w:b/>
          <w:color w:val="auto"/>
          <w:kern w:val="2"/>
          <w:sz w:val="30"/>
          <w:szCs w:val="30"/>
          <w:highlight w:val="none"/>
        </w:rPr>
        <w:t>身份证明书，委托他人为</w:t>
      </w:r>
      <w:r>
        <w:rPr>
          <w:rFonts w:hint="eastAsia" w:ascii="宋体" w:hAnsi="宋体" w:eastAsia="宋体" w:cs="宋体"/>
          <w:b/>
          <w:color w:val="auto"/>
          <w:kern w:val="2"/>
          <w:sz w:val="30"/>
          <w:szCs w:val="30"/>
          <w:highlight w:val="none"/>
          <w:lang w:val="en-US" w:eastAsia="zh-CN"/>
        </w:rPr>
        <w:t>磋商</w:t>
      </w:r>
      <w:r>
        <w:rPr>
          <w:rFonts w:hint="eastAsia" w:ascii="宋体" w:hAnsi="宋体" w:eastAsia="宋体" w:cs="宋体"/>
          <w:b/>
          <w:color w:val="auto"/>
          <w:kern w:val="2"/>
          <w:sz w:val="30"/>
          <w:szCs w:val="30"/>
          <w:highlight w:val="none"/>
        </w:rPr>
        <w:t>代表或签署</w:t>
      </w:r>
      <w:r>
        <w:rPr>
          <w:rFonts w:hint="eastAsia" w:ascii="宋体" w:hAnsi="宋体" w:eastAsia="宋体" w:cs="宋体"/>
          <w:b/>
          <w:color w:val="auto"/>
          <w:kern w:val="2"/>
          <w:sz w:val="30"/>
          <w:szCs w:val="30"/>
          <w:highlight w:val="none"/>
          <w:lang w:val="en-US" w:eastAsia="zh-CN"/>
        </w:rPr>
        <w:t>响应</w:t>
      </w:r>
      <w:r>
        <w:rPr>
          <w:rFonts w:hint="eastAsia" w:ascii="宋体" w:hAnsi="宋体" w:eastAsia="宋体" w:cs="宋体"/>
          <w:b/>
          <w:color w:val="auto"/>
          <w:kern w:val="2"/>
          <w:sz w:val="30"/>
          <w:szCs w:val="30"/>
          <w:highlight w:val="none"/>
        </w:rPr>
        <w:t>文件时需同时提供</w:t>
      </w:r>
      <w:r>
        <w:rPr>
          <w:rFonts w:hint="eastAsia" w:ascii="宋体" w:hAnsi="宋体" w:eastAsia="宋体" w:cs="宋体"/>
          <w:b/>
          <w:color w:val="auto"/>
          <w:kern w:val="2"/>
          <w:sz w:val="30"/>
          <w:szCs w:val="30"/>
          <w:highlight w:val="none"/>
          <w:lang w:eastAsia="zh-CN"/>
        </w:rPr>
        <w:t>法定代表人/</w:t>
      </w:r>
      <w:r>
        <w:rPr>
          <w:rFonts w:hint="eastAsia" w:ascii="宋体" w:hAnsi="宋体" w:cs="宋体"/>
          <w:b/>
          <w:color w:val="auto"/>
          <w:kern w:val="2"/>
          <w:sz w:val="30"/>
          <w:szCs w:val="30"/>
          <w:highlight w:val="none"/>
          <w:lang w:eastAsia="zh-CN"/>
        </w:rPr>
        <w:t>执行事务合伙人</w:t>
      </w:r>
      <w:r>
        <w:rPr>
          <w:rFonts w:hint="eastAsia" w:ascii="宋体" w:hAnsi="宋体" w:eastAsia="宋体" w:cs="宋体"/>
          <w:b/>
          <w:color w:val="auto"/>
          <w:kern w:val="2"/>
          <w:sz w:val="30"/>
          <w:szCs w:val="30"/>
          <w:highlight w:val="none"/>
        </w:rPr>
        <w:t>授权书）</w:t>
      </w:r>
    </w:p>
    <w:p>
      <w:pPr>
        <w:autoSpaceDE/>
        <w:autoSpaceDN/>
        <w:adjustRightInd/>
        <w:spacing w:before="120" w:after="120" w:line="360" w:lineRule="auto"/>
        <w:ind w:firstLine="426" w:firstLineChars="202"/>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w:t>
      </w:r>
      <w:r>
        <w:rPr>
          <w:rFonts w:hint="eastAsia" w:ascii="宋体" w:hAnsi="宋体" w:eastAsia="宋体" w:cs="宋体"/>
          <w:b/>
          <w:color w:val="auto"/>
          <w:kern w:val="2"/>
          <w:sz w:val="21"/>
          <w:szCs w:val="21"/>
          <w:highlight w:val="none"/>
          <w:lang w:eastAsia="zh-CN"/>
        </w:rPr>
        <w:t>法定代表人/</w:t>
      </w:r>
      <w:r>
        <w:rPr>
          <w:rFonts w:hint="eastAsia" w:ascii="宋体" w:hAnsi="宋体" w:cs="宋体"/>
          <w:b/>
          <w:color w:val="auto"/>
          <w:kern w:val="2"/>
          <w:sz w:val="21"/>
          <w:szCs w:val="21"/>
          <w:highlight w:val="none"/>
          <w:lang w:eastAsia="zh-CN"/>
        </w:rPr>
        <w:t>执行事务合伙人</w:t>
      </w:r>
      <w:r>
        <w:rPr>
          <w:rFonts w:hint="eastAsia" w:ascii="宋体" w:hAnsi="宋体" w:eastAsia="宋体" w:cs="宋体"/>
          <w:b/>
          <w:color w:val="auto"/>
          <w:kern w:val="2"/>
          <w:sz w:val="21"/>
          <w:szCs w:val="21"/>
          <w:highlight w:val="none"/>
        </w:rPr>
        <w:t>身份</w:t>
      </w:r>
      <w:r>
        <w:rPr>
          <w:rFonts w:hint="eastAsia" w:ascii="宋体" w:hAnsi="宋体" w:eastAsia="宋体" w:cs="宋体"/>
          <w:b/>
          <w:color w:val="auto"/>
          <w:kern w:val="2"/>
          <w:sz w:val="21"/>
          <w:szCs w:val="24"/>
          <w:highlight w:val="none"/>
        </w:rPr>
        <w:t>证明书</w:t>
      </w:r>
      <w:r>
        <w:rPr>
          <w:rFonts w:hint="eastAsia" w:ascii="宋体" w:hAnsi="宋体" w:eastAsia="宋体" w:cs="宋体"/>
          <w:b/>
          <w:color w:val="auto"/>
          <w:kern w:val="2"/>
          <w:sz w:val="21"/>
          <w:szCs w:val="21"/>
          <w:highlight w:val="none"/>
        </w:rPr>
        <w:t>格式</w:t>
      </w:r>
    </w:p>
    <w:p>
      <w:pPr>
        <w:autoSpaceDE/>
        <w:autoSpaceDN/>
        <w:adjustRightInd/>
        <w:spacing w:before="120" w:after="120" w:line="360" w:lineRule="auto"/>
        <w:ind w:firstLine="608" w:firstLineChars="202"/>
        <w:jc w:val="center"/>
        <w:rPr>
          <w:rFonts w:hint="eastAsia" w:ascii="宋体" w:hAnsi="宋体" w:eastAsia="宋体" w:cs="宋体"/>
          <w:b/>
          <w:color w:val="auto"/>
          <w:kern w:val="2"/>
          <w:sz w:val="30"/>
          <w:szCs w:val="30"/>
          <w:highlight w:val="none"/>
        </w:rPr>
      </w:pPr>
    </w:p>
    <w:p>
      <w:pPr>
        <w:autoSpaceDE/>
        <w:autoSpaceDN/>
        <w:adjustRightInd/>
        <w:spacing w:before="120" w:after="120" w:line="360" w:lineRule="auto"/>
        <w:ind w:firstLine="608" w:firstLineChars="202"/>
        <w:jc w:val="center"/>
        <w:rPr>
          <w:rFonts w:hint="eastAsia" w:ascii="宋体" w:hAnsi="宋体" w:eastAsia="宋体" w:cs="宋体"/>
          <w:b/>
          <w:bCs/>
          <w:color w:val="auto"/>
          <w:kern w:val="2"/>
          <w:sz w:val="30"/>
          <w:szCs w:val="30"/>
          <w:highlight w:val="none"/>
        </w:rPr>
      </w:pPr>
      <w:bookmarkStart w:id="410" w:name="_Toc36971359"/>
      <w:bookmarkStart w:id="411" w:name="_Toc45995270"/>
      <w:r>
        <w:rPr>
          <w:rFonts w:hint="eastAsia" w:ascii="宋体" w:hAnsi="宋体" w:eastAsia="宋体" w:cs="宋体"/>
          <w:b/>
          <w:color w:val="auto"/>
          <w:kern w:val="2"/>
          <w:sz w:val="30"/>
          <w:szCs w:val="30"/>
          <w:highlight w:val="none"/>
          <w:lang w:eastAsia="zh-CN"/>
        </w:rPr>
        <w:t>法定代表人/</w:t>
      </w:r>
      <w:r>
        <w:rPr>
          <w:rFonts w:hint="eastAsia" w:ascii="宋体" w:hAnsi="宋体" w:cs="宋体"/>
          <w:b/>
          <w:color w:val="auto"/>
          <w:kern w:val="2"/>
          <w:sz w:val="30"/>
          <w:szCs w:val="30"/>
          <w:highlight w:val="none"/>
          <w:lang w:eastAsia="zh-CN"/>
        </w:rPr>
        <w:t>执行事务合伙人</w:t>
      </w:r>
      <w:r>
        <w:rPr>
          <w:rFonts w:hint="eastAsia" w:ascii="宋体" w:hAnsi="宋体" w:eastAsia="宋体" w:cs="宋体"/>
          <w:b/>
          <w:color w:val="auto"/>
          <w:kern w:val="2"/>
          <w:sz w:val="30"/>
          <w:szCs w:val="30"/>
          <w:highlight w:val="none"/>
        </w:rPr>
        <w:t>身份证明书</w:t>
      </w:r>
    </w:p>
    <w:p>
      <w:pPr>
        <w:autoSpaceDE/>
        <w:autoSpaceDN/>
        <w:adjustRightInd/>
        <w:spacing w:before="120" w:after="120" w:line="360" w:lineRule="auto"/>
        <w:ind w:firstLine="420" w:firstLineChars="200"/>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先生</w:t>
      </w:r>
      <w:bookmarkEnd w:id="410"/>
      <w:bookmarkEnd w:id="411"/>
      <w:r>
        <w:rPr>
          <w:rFonts w:hint="eastAsia" w:ascii="宋体" w:hAnsi="宋体" w:eastAsia="宋体" w:cs="宋体"/>
          <w:color w:val="auto"/>
          <w:kern w:val="2"/>
          <w:sz w:val="21"/>
          <w:highlight w:val="none"/>
        </w:rPr>
        <w:t>／女士：现任我单位</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职务，为</w:t>
      </w:r>
      <w:r>
        <w:rPr>
          <w:rFonts w:hint="eastAsia" w:ascii="宋体" w:hAnsi="宋体" w:eastAsia="宋体" w:cs="宋体"/>
          <w:color w:val="auto"/>
          <w:kern w:val="2"/>
          <w:sz w:val="21"/>
          <w:highlight w:val="none"/>
          <w:lang w:eastAsia="zh-CN"/>
        </w:rPr>
        <w:t>法定代表人/</w:t>
      </w:r>
      <w:r>
        <w:rPr>
          <w:rFonts w:hint="eastAsia" w:ascii="宋体" w:hAnsi="宋体" w:cs="宋体"/>
          <w:color w:val="auto"/>
          <w:kern w:val="2"/>
          <w:sz w:val="21"/>
          <w:highlight w:val="none"/>
          <w:lang w:eastAsia="zh-CN"/>
        </w:rPr>
        <w:t>执行事务合伙人</w:t>
      </w:r>
      <w:r>
        <w:rPr>
          <w:rFonts w:hint="eastAsia" w:ascii="宋体" w:hAnsi="宋体" w:eastAsia="宋体" w:cs="宋体"/>
          <w:color w:val="auto"/>
          <w:kern w:val="2"/>
          <w:sz w:val="21"/>
          <w:highlight w:val="none"/>
        </w:rPr>
        <w:t>，特此证明。</w:t>
      </w:r>
    </w:p>
    <w:p>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有效日期：</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签发日期：</w:t>
      </w:r>
      <w:r>
        <w:rPr>
          <w:rFonts w:hint="eastAsia" w:ascii="宋体" w:hAnsi="宋体" w:eastAsia="宋体" w:cs="宋体"/>
          <w:color w:val="auto"/>
          <w:kern w:val="2"/>
          <w:sz w:val="21"/>
          <w:highlight w:val="none"/>
          <w:u w:val="single"/>
        </w:rPr>
        <w:t xml:space="preserve">           </w:t>
      </w:r>
    </w:p>
    <w:p>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rPr>
        <w:t>附：代表人性别：</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 xml:space="preserve"> 年龄：</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身份证号码：</w:t>
      </w:r>
      <w:r>
        <w:rPr>
          <w:rFonts w:hint="eastAsia" w:ascii="宋体" w:hAnsi="宋体" w:eastAsia="宋体" w:cs="宋体"/>
          <w:color w:val="auto"/>
          <w:kern w:val="2"/>
          <w:sz w:val="21"/>
          <w:highlight w:val="none"/>
          <w:u w:val="single"/>
        </w:rPr>
        <w:t xml:space="preserve">            </w:t>
      </w:r>
    </w:p>
    <w:p>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营业执照号码：</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 xml:space="preserve">经济性质： </w:t>
      </w:r>
    </w:p>
    <w:p>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rPr>
        <w:t>主营（产）：</w:t>
      </w:r>
    </w:p>
    <w:p>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rPr>
        <w:t>兼营（产）：</w:t>
      </w:r>
    </w:p>
    <w:p>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 xml:space="preserve">附 </w:t>
      </w:r>
      <w:r>
        <w:rPr>
          <w:rFonts w:hint="eastAsia" w:ascii="宋体" w:hAnsi="宋体" w:eastAsia="宋体" w:cs="宋体"/>
          <w:color w:val="auto"/>
          <w:kern w:val="2"/>
          <w:sz w:val="21"/>
          <w:highlight w:val="none"/>
          <w:lang w:eastAsia="zh-CN"/>
        </w:rPr>
        <w:t>法定代表人/</w:t>
      </w:r>
      <w:r>
        <w:rPr>
          <w:rFonts w:hint="eastAsia" w:ascii="宋体" w:hAnsi="宋体" w:cs="宋体"/>
          <w:color w:val="auto"/>
          <w:kern w:val="2"/>
          <w:sz w:val="21"/>
          <w:highlight w:val="none"/>
          <w:lang w:eastAsia="zh-CN"/>
        </w:rPr>
        <w:t>执行事务合伙人</w:t>
      </w:r>
      <w:r>
        <w:rPr>
          <w:rFonts w:hint="eastAsia" w:ascii="宋体" w:hAnsi="宋体" w:eastAsia="宋体" w:cs="宋体"/>
          <w:color w:val="auto"/>
          <w:kern w:val="2"/>
          <w:sz w:val="21"/>
          <w:highlight w:val="none"/>
        </w:rPr>
        <w:t xml:space="preserve">身份证复印件 </w:t>
      </w:r>
    </w:p>
    <w:p>
      <w:pPr>
        <w:autoSpaceDE/>
        <w:autoSpaceDN/>
        <w:adjustRightInd/>
        <w:spacing w:before="120" w:after="120" w:line="360" w:lineRule="auto"/>
        <w:ind w:left="629" w:firstLine="474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供应商：（加盖</w:t>
      </w:r>
      <w:r>
        <w:rPr>
          <w:rFonts w:hint="eastAsia" w:ascii="宋体" w:hAnsi="宋体" w:cs="宋体"/>
          <w:color w:val="auto"/>
          <w:kern w:val="2"/>
          <w:sz w:val="21"/>
          <w:szCs w:val="21"/>
          <w:highlight w:val="none"/>
          <w:lang w:val="zh-CN"/>
        </w:rPr>
        <w:t>供应商公章</w:t>
      </w:r>
      <w:r>
        <w:rPr>
          <w:rFonts w:hint="eastAsia" w:ascii="宋体" w:hAnsi="宋体" w:eastAsia="宋体" w:cs="宋体"/>
          <w:color w:val="auto"/>
          <w:kern w:val="2"/>
          <w:sz w:val="21"/>
          <w:szCs w:val="21"/>
          <w:highlight w:val="none"/>
          <w:lang w:val="zh-CN"/>
        </w:rPr>
        <w:t>）</w:t>
      </w:r>
    </w:p>
    <w:p>
      <w:pPr>
        <w:tabs>
          <w:tab w:val="left" w:pos="525"/>
        </w:tabs>
        <w:autoSpaceDE/>
        <w:autoSpaceDN/>
        <w:adjustRightInd/>
        <w:spacing w:before="120" w:after="120" w:line="360" w:lineRule="auto"/>
        <w:ind w:left="528" w:leftChars="220" w:firstLine="4857" w:firstLineChars="2313"/>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日期：</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年</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月</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日</w:t>
      </w:r>
      <w:r>
        <w:rPr>
          <w:rFonts w:hint="eastAsia" w:ascii="宋体" w:hAnsi="宋体" w:eastAsia="宋体" w:cs="宋体"/>
          <w:b/>
          <w:bCs/>
          <w:color w:val="auto"/>
          <w:kern w:val="2"/>
          <w:sz w:val="21"/>
          <w:szCs w:val="21"/>
          <w:highlight w:val="none"/>
          <w:lang w:val="zh-CN"/>
        </w:rPr>
        <w:t xml:space="preserve"> </w:t>
      </w:r>
    </w:p>
    <w:p>
      <w:pPr>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73660</wp:posOffset>
                </wp:positionV>
                <wp:extent cx="2790825" cy="1962150"/>
                <wp:effectExtent l="4445" t="5080" r="5080" b="13970"/>
                <wp:wrapNone/>
                <wp:docPr id="2" name="文本框 3"/>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jc w:val="center"/>
                              <w:rPr>
                                <w:rFonts w:ascii="宋体" w:hAnsi="宋体"/>
                                <w:sz w:val="21"/>
                                <w:szCs w:val="21"/>
                              </w:rPr>
                            </w:pPr>
                            <w:r>
                              <w:rPr>
                                <w:rFonts w:hint="eastAsia" w:ascii="宋体" w:hAnsi="宋体"/>
                                <w:sz w:val="21"/>
                                <w:szCs w:val="21"/>
                                <w:lang w:eastAsia="zh-CN"/>
                              </w:rPr>
                              <w:t>法定</w:t>
                            </w:r>
                            <w:r>
                              <w:rPr>
                                <w:rFonts w:hint="eastAsia" w:ascii="宋体" w:hAnsi="宋体"/>
                                <w:color w:val="auto"/>
                                <w:sz w:val="21"/>
                                <w:szCs w:val="21"/>
                                <w:lang w:eastAsia="zh-CN"/>
                              </w:rPr>
                              <w:t>代表人/执行事务合伙人</w:t>
                            </w:r>
                            <w:r>
                              <w:rPr>
                                <w:rFonts w:hint="eastAsia" w:ascii="宋体" w:hAnsi="宋体"/>
                                <w:color w:val="auto"/>
                                <w:sz w:val="21"/>
                                <w:szCs w:val="21"/>
                              </w:rPr>
                              <w:t>身份</w:t>
                            </w:r>
                            <w:r>
                              <w:rPr>
                                <w:rFonts w:hint="eastAsia" w:ascii="宋体" w:hAnsi="宋体"/>
                                <w:sz w:val="21"/>
                                <w:szCs w:val="21"/>
                              </w:rPr>
                              <w:t>证反面</w:t>
                            </w:r>
                          </w:p>
                          <w:p>
                            <w:pPr>
                              <w:jc w:val="center"/>
                              <w:rPr>
                                <w:sz w:val="21"/>
                                <w:szCs w:val="21"/>
                              </w:rPr>
                            </w:pPr>
                          </w:p>
                        </w:txbxContent>
                      </wps:txbx>
                      <wps:bodyPr upright="1"/>
                    </wps:wsp>
                  </a:graphicData>
                </a:graphic>
              </wp:anchor>
            </w:drawing>
          </mc:Choice>
          <mc:Fallback>
            <w:pict>
              <v:shape id="文本框 3" o:spid="_x0000_s1026" o:spt="202" type="#_x0000_t202" style="position:absolute;left:0pt;margin-left:246.35pt;margin-top:5.8pt;height:154.5pt;width:219.75pt;z-index:251660288;mso-width-relative:page;mso-height-relative:page;" fillcolor="#FFFFFF" filled="t" stroked="t" coordsize="21600,21600" o:gfxdata="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LXrEnZAAAACgEAAA8AAAAAAAAAAQAg&#10;AAAAIgAAAGRycy9kb3ducmV2LnhtbFBLAQIUABQAAAAIAIdO4kDCMoWeDQIAADcEAAAOAAAAAAAA&#10;AAEAIAAAACgBAABkcnMvZTJvRG9jLnhtbFBLBQYAAAAABgAGAFkBAACn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ascii="宋体" w:hAnsi="宋体"/>
                          <w:sz w:val="21"/>
                          <w:szCs w:val="21"/>
                        </w:rPr>
                      </w:pPr>
                      <w:r>
                        <w:rPr>
                          <w:rFonts w:hint="eastAsia" w:ascii="宋体" w:hAnsi="宋体"/>
                          <w:sz w:val="21"/>
                          <w:szCs w:val="21"/>
                          <w:lang w:eastAsia="zh-CN"/>
                        </w:rPr>
                        <w:t>法定</w:t>
                      </w:r>
                      <w:r>
                        <w:rPr>
                          <w:rFonts w:hint="eastAsia" w:ascii="宋体" w:hAnsi="宋体"/>
                          <w:color w:val="auto"/>
                          <w:sz w:val="21"/>
                          <w:szCs w:val="21"/>
                          <w:lang w:eastAsia="zh-CN"/>
                        </w:rPr>
                        <w:t>代表人/执行事务合伙人</w:t>
                      </w:r>
                      <w:r>
                        <w:rPr>
                          <w:rFonts w:hint="eastAsia" w:ascii="宋体" w:hAnsi="宋体"/>
                          <w:color w:val="auto"/>
                          <w:sz w:val="21"/>
                          <w:szCs w:val="21"/>
                        </w:rPr>
                        <w:t>身份</w:t>
                      </w:r>
                      <w:r>
                        <w:rPr>
                          <w:rFonts w:hint="eastAsia" w:ascii="宋体" w:hAnsi="宋体"/>
                          <w:sz w:val="21"/>
                          <w:szCs w:val="21"/>
                        </w:rPr>
                        <w:t>证反面</w:t>
                      </w:r>
                    </w:p>
                    <w:p>
                      <w:pPr>
                        <w:jc w:val="center"/>
                        <w:rPr>
                          <w:sz w:val="21"/>
                          <w:szCs w:val="21"/>
                        </w:rPr>
                      </w:pPr>
                    </w:p>
                  </w:txbxContent>
                </v:textbox>
              </v:shape>
            </w:pict>
          </mc:Fallback>
        </mc:AlternateContent>
      </w:r>
      <w:r>
        <w:rPr>
          <w:rFonts w:hint="eastAsia" w:ascii="宋体" w:hAnsi="宋体" w:eastAsia="宋体" w:cs="宋体"/>
          <w:color w:val="auto"/>
          <w:kern w:val="2"/>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73660</wp:posOffset>
                </wp:positionV>
                <wp:extent cx="2790825" cy="1962150"/>
                <wp:effectExtent l="4445" t="5080" r="5080" b="13970"/>
                <wp:wrapNone/>
                <wp:docPr id="1" name="文本框 2"/>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jc w:val="center"/>
                              <w:rPr>
                                <w:rFonts w:ascii="宋体" w:hAnsi="宋体"/>
                                <w:sz w:val="21"/>
                                <w:szCs w:val="21"/>
                              </w:rPr>
                            </w:pPr>
                            <w:r>
                              <w:rPr>
                                <w:rFonts w:hint="eastAsia" w:ascii="宋体" w:hAnsi="宋体"/>
                                <w:sz w:val="21"/>
                                <w:szCs w:val="21"/>
                                <w:lang w:eastAsia="zh-CN"/>
                              </w:rPr>
                              <w:t>法</w:t>
                            </w:r>
                            <w:r>
                              <w:rPr>
                                <w:rFonts w:hint="eastAsia" w:ascii="宋体" w:hAnsi="宋体"/>
                                <w:color w:val="auto"/>
                                <w:sz w:val="21"/>
                                <w:szCs w:val="21"/>
                                <w:lang w:eastAsia="zh-CN"/>
                              </w:rPr>
                              <w:t>定代表人/执行事务合伙人</w:t>
                            </w:r>
                            <w:r>
                              <w:rPr>
                                <w:rFonts w:hint="eastAsia" w:ascii="宋体" w:hAnsi="宋体"/>
                                <w:color w:val="auto"/>
                                <w:sz w:val="21"/>
                                <w:szCs w:val="21"/>
                              </w:rPr>
                              <w:t>身份</w:t>
                            </w:r>
                            <w:r>
                              <w:rPr>
                                <w:rFonts w:hint="eastAsia" w:ascii="宋体" w:hAnsi="宋体"/>
                                <w:sz w:val="21"/>
                                <w:szCs w:val="21"/>
                              </w:rPr>
                              <w:t>证正面</w:t>
                            </w:r>
                          </w:p>
                        </w:txbxContent>
                      </wps:txbx>
                      <wps:bodyPr upright="1"/>
                    </wps:wsp>
                  </a:graphicData>
                </a:graphic>
              </wp:anchor>
            </w:drawing>
          </mc:Choice>
          <mc:Fallback>
            <w:pict>
              <v:shape id="文本框 2" o:spid="_x0000_s1026" o:spt="202" type="#_x0000_t202" style="position:absolute;left:0pt;margin-left:4.85pt;margin-top:5.8pt;height:154.5pt;width:219.75pt;z-index:251659264;mso-width-relative:page;mso-height-relative:page;" fillcolor="#FFFFFF" filled="t" stroked="t" coordsize="21600,21600" o:gfxdata="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M6n92AAAAAgBAAAPAAAAAAAAAAEAIAAA&#10;ACIAAABkcnMvZG93bnJldi54bWxQSwECFAAUAAAACACHTuJA71OXCwwCAAA3BAAADgAAAAAAAAAB&#10;ACAAAAAnAQAAZHJzL2Uyb0RvYy54bWxQSwUGAAAAAAYABgBZAQAApQU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ascii="宋体" w:hAnsi="宋体"/>
                          <w:sz w:val="21"/>
                          <w:szCs w:val="21"/>
                        </w:rPr>
                      </w:pPr>
                      <w:r>
                        <w:rPr>
                          <w:rFonts w:hint="eastAsia" w:ascii="宋体" w:hAnsi="宋体"/>
                          <w:sz w:val="21"/>
                          <w:szCs w:val="21"/>
                          <w:lang w:eastAsia="zh-CN"/>
                        </w:rPr>
                        <w:t>法</w:t>
                      </w:r>
                      <w:r>
                        <w:rPr>
                          <w:rFonts w:hint="eastAsia" w:ascii="宋体" w:hAnsi="宋体"/>
                          <w:color w:val="auto"/>
                          <w:sz w:val="21"/>
                          <w:szCs w:val="21"/>
                          <w:lang w:eastAsia="zh-CN"/>
                        </w:rPr>
                        <w:t>定代表人/执行事务合伙人</w:t>
                      </w:r>
                      <w:r>
                        <w:rPr>
                          <w:rFonts w:hint="eastAsia" w:ascii="宋体" w:hAnsi="宋体"/>
                          <w:color w:val="auto"/>
                          <w:sz w:val="21"/>
                          <w:szCs w:val="21"/>
                        </w:rPr>
                        <w:t>身份</w:t>
                      </w:r>
                      <w:r>
                        <w:rPr>
                          <w:rFonts w:hint="eastAsia" w:ascii="宋体" w:hAnsi="宋体"/>
                          <w:sz w:val="21"/>
                          <w:szCs w:val="21"/>
                        </w:rPr>
                        <w:t>证正面</w:t>
                      </w:r>
                    </w:p>
                  </w:txbxContent>
                </v:textbox>
              </v:shape>
            </w:pict>
          </mc:Fallback>
        </mc:AlternateContent>
      </w:r>
    </w:p>
    <w:p>
      <w:pPr>
        <w:rPr>
          <w:rFonts w:hint="eastAsia" w:ascii="宋体" w:hAnsi="宋体" w:eastAsia="宋体" w:cs="宋体"/>
          <w:color w:val="auto"/>
          <w:highlight w:val="none"/>
        </w:rPr>
      </w:pPr>
    </w:p>
    <w:p>
      <w:pPr>
        <w:rPr>
          <w:rFonts w:hint="eastAsia" w:ascii="宋体" w:hAnsi="宋体" w:eastAsia="宋体" w:cs="宋体"/>
          <w:color w:val="auto"/>
          <w:sz w:val="21"/>
          <w:highlight w:val="none"/>
          <w:lang w:val="zh-CN"/>
        </w:rPr>
      </w:pPr>
    </w:p>
    <w:p>
      <w:pPr>
        <w:rPr>
          <w:rFonts w:hint="eastAsia" w:ascii="宋体" w:hAnsi="宋体" w:eastAsia="宋体" w:cs="宋体"/>
          <w:color w:val="auto"/>
          <w:sz w:val="21"/>
          <w:highlight w:val="none"/>
          <w:lang w:val="zh-CN"/>
        </w:rPr>
      </w:pPr>
    </w:p>
    <w:p>
      <w:pPr>
        <w:rPr>
          <w:rFonts w:hint="eastAsia" w:ascii="宋体" w:hAnsi="宋体" w:eastAsia="宋体" w:cs="宋体"/>
          <w:color w:val="auto"/>
          <w:sz w:val="21"/>
          <w:highlight w:val="none"/>
          <w:lang w:val="zh-CN"/>
        </w:rPr>
      </w:pPr>
    </w:p>
    <w:p>
      <w:pPr>
        <w:rPr>
          <w:rFonts w:hint="eastAsia" w:ascii="宋体" w:hAnsi="宋体" w:eastAsia="宋体" w:cs="宋体"/>
          <w:color w:val="auto"/>
          <w:sz w:val="21"/>
          <w:highlight w:val="none"/>
          <w:lang w:val="zh-CN"/>
        </w:rPr>
      </w:pPr>
    </w:p>
    <w:p>
      <w:pPr>
        <w:rPr>
          <w:rFonts w:hint="eastAsia" w:ascii="宋体" w:hAnsi="宋体" w:eastAsia="宋体" w:cs="宋体"/>
          <w:color w:val="auto"/>
          <w:sz w:val="21"/>
          <w:highlight w:val="none"/>
          <w:lang w:val="zh-CN"/>
        </w:rPr>
      </w:pPr>
    </w:p>
    <w:p>
      <w:pPr>
        <w:rPr>
          <w:rFonts w:hint="eastAsia" w:ascii="宋体" w:hAnsi="宋体" w:eastAsia="宋体" w:cs="宋体"/>
          <w:color w:val="auto"/>
          <w:sz w:val="21"/>
          <w:highlight w:val="none"/>
          <w:lang w:val="zh-CN"/>
        </w:rPr>
      </w:pPr>
    </w:p>
    <w:p>
      <w:pPr>
        <w:rPr>
          <w:rFonts w:hint="eastAsia" w:ascii="宋体" w:hAnsi="宋体" w:eastAsia="宋体" w:cs="宋体"/>
          <w:color w:val="auto"/>
          <w:sz w:val="21"/>
          <w:highlight w:val="none"/>
          <w:lang w:val="zh-CN"/>
        </w:rPr>
      </w:pPr>
    </w:p>
    <w:p>
      <w:pPr>
        <w:rPr>
          <w:rFonts w:hint="eastAsia" w:ascii="宋体" w:hAnsi="宋体" w:eastAsia="宋体" w:cs="宋体"/>
          <w:color w:val="auto"/>
          <w:sz w:val="21"/>
          <w:highlight w:val="none"/>
          <w:lang w:val="zh-CN"/>
        </w:rPr>
      </w:pPr>
    </w:p>
    <w:p>
      <w:pPr>
        <w:rPr>
          <w:rFonts w:hint="eastAsia" w:ascii="宋体" w:hAnsi="宋体" w:eastAsia="宋体" w:cs="宋体"/>
          <w:color w:val="auto"/>
          <w:sz w:val="21"/>
          <w:highlight w:val="none"/>
          <w:lang w:val="zh-CN"/>
        </w:rPr>
      </w:pPr>
    </w:p>
    <w:p>
      <w:pPr>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val="0"/>
        <w:autoSpaceDN w:val="0"/>
        <w:bidi w:val="0"/>
        <w:adjustRightInd w:val="0"/>
        <w:snapToGrid/>
        <w:ind w:firstLine="105" w:firstLineChars="5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eastAsia="zh-CN"/>
        </w:rPr>
        <w:t>法定代表人/</w:t>
      </w:r>
      <w:r>
        <w:rPr>
          <w:rFonts w:hint="eastAsia" w:ascii="宋体" w:hAnsi="宋体" w:cs="宋体"/>
          <w:b/>
          <w:color w:val="auto"/>
          <w:sz w:val="21"/>
          <w:szCs w:val="21"/>
          <w:highlight w:val="none"/>
          <w:lang w:eastAsia="zh-CN"/>
        </w:rPr>
        <w:t>执行事务合伙人</w:t>
      </w:r>
      <w:r>
        <w:rPr>
          <w:rFonts w:hint="eastAsia" w:ascii="宋体" w:hAnsi="宋体" w:eastAsia="宋体" w:cs="宋体"/>
          <w:b/>
          <w:color w:val="auto"/>
          <w:sz w:val="21"/>
          <w:szCs w:val="21"/>
          <w:highlight w:val="none"/>
        </w:rPr>
        <w:t>身份证须在有效期限内。</w:t>
      </w:r>
      <w:r>
        <w:rPr>
          <w:rFonts w:hint="eastAsia" w:ascii="宋体" w:hAnsi="宋体" w:eastAsia="宋体" w:cs="宋体"/>
          <w:color w:val="auto"/>
          <w:sz w:val="21"/>
          <w:highlight w:val="none"/>
          <w:lang w:val="zh-CN"/>
        </w:rPr>
        <w:br w:type="page"/>
      </w:r>
      <w:bookmarkEnd w:id="318"/>
      <w:bookmarkEnd w:id="319"/>
      <w:bookmarkEnd w:id="320"/>
      <w:bookmarkStart w:id="412" w:name="_Toc521576303"/>
      <w:bookmarkStart w:id="413" w:name="_Toc521918124"/>
      <w:bookmarkStart w:id="414" w:name="_Toc490169464"/>
      <w:bookmarkStart w:id="415" w:name="_Toc495907134"/>
      <w:bookmarkStart w:id="416" w:name="_Toc521918321"/>
      <w:bookmarkStart w:id="417" w:name="_Toc497746562"/>
      <w:bookmarkStart w:id="418" w:name="_Toc519153442"/>
      <w:bookmarkStart w:id="419" w:name="_Toc532576767"/>
      <w:bookmarkStart w:id="420" w:name="_Toc522047383"/>
      <w:r>
        <w:rPr>
          <w:rFonts w:hint="eastAsia" w:ascii="宋体" w:hAnsi="宋体" w:eastAsia="宋体" w:cs="宋体"/>
          <w:color w:val="auto"/>
          <w:sz w:val="32"/>
          <w:szCs w:val="32"/>
          <w:highlight w:val="none"/>
          <w:lang w:val="zh-CN"/>
        </w:rPr>
        <w:t xml:space="preserve"> </w:t>
      </w:r>
      <w:bookmarkEnd w:id="412"/>
      <w:bookmarkEnd w:id="413"/>
      <w:bookmarkEnd w:id="414"/>
      <w:bookmarkEnd w:id="415"/>
      <w:bookmarkEnd w:id="416"/>
      <w:bookmarkEnd w:id="417"/>
      <w:bookmarkEnd w:id="418"/>
      <w:bookmarkEnd w:id="419"/>
      <w:bookmarkEnd w:id="420"/>
      <w:r>
        <w:rPr>
          <w:rFonts w:hint="eastAsia" w:ascii="宋体" w:hAnsi="宋体" w:eastAsia="宋体" w:cs="宋体"/>
          <w:b/>
          <w:color w:val="auto"/>
          <w:kern w:val="2"/>
          <w:sz w:val="21"/>
          <w:szCs w:val="21"/>
          <w:highlight w:val="none"/>
          <w:lang w:val="zh-CN"/>
        </w:rPr>
        <w:t>（2）</w:t>
      </w:r>
      <w:r>
        <w:rPr>
          <w:rFonts w:hint="eastAsia" w:ascii="宋体" w:hAnsi="宋体" w:eastAsia="宋体" w:cs="宋体"/>
          <w:b/>
          <w:bCs/>
          <w:color w:val="auto"/>
          <w:kern w:val="2"/>
          <w:sz w:val="21"/>
          <w:szCs w:val="21"/>
          <w:highlight w:val="none"/>
          <w:lang w:val="zh-CN"/>
        </w:rPr>
        <w:t>法定代表人/</w:t>
      </w:r>
      <w:r>
        <w:rPr>
          <w:rFonts w:hint="eastAsia" w:ascii="宋体" w:hAnsi="宋体" w:cs="宋体"/>
          <w:b/>
          <w:bCs/>
          <w:color w:val="auto"/>
          <w:kern w:val="2"/>
          <w:sz w:val="21"/>
          <w:szCs w:val="21"/>
          <w:highlight w:val="none"/>
          <w:lang w:val="zh-CN"/>
        </w:rPr>
        <w:t>执行事务合伙人</w:t>
      </w:r>
      <w:r>
        <w:rPr>
          <w:rFonts w:hint="eastAsia" w:ascii="宋体" w:hAnsi="宋体" w:eastAsia="宋体" w:cs="宋体"/>
          <w:b/>
          <w:bCs/>
          <w:color w:val="auto"/>
          <w:kern w:val="2"/>
          <w:sz w:val="21"/>
          <w:szCs w:val="21"/>
          <w:highlight w:val="none"/>
          <w:lang w:val="zh-CN"/>
        </w:rPr>
        <w:t>授权书格式</w:t>
      </w:r>
    </w:p>
    <w:p>
      <w:pPr>
        <w:rPr>
          <w:rFonts w:hint="eastAsia" w:ascii="宋体" w:hAnsi="宋体" w:eastAsia="宋体" w:cs="宋体"/>
          <w:b/>
          <w:bCs/>
          <w:color w:val="auto"/>
          <w:kern w:val="2"/>
          <w:sz w:val="30"/>
          <w:szCs w:val="30"/>
          <w:highlight w:val="none"/>
          <w:lang w:val="zh-CN"/>
        </w:rPr>
      </w:pPr>
    </w:p>
    <w:p>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t>法定代表人/</w:t>
      </w:r>
      <w:r>
        <w:rPr>
          <w:rFonts w:hint="eastAsia" w:ascii="宋体" w:hAnsi="宋体" w:cs="宋体"/>
          <w:b/>
          <w:bCs/>
          <w:color w:val="auto"/>
          <w:kern w:val="2"/>
          <w:sz w:val="30"/>
          <w:szCs w:val="30"/>
          <w:highlight w:val="none"/>
          <w:lang w:val="zh-CN"/>
        </w:rPr>
        <w:t>执行事务合伙人</w:t>
      </w:r>
      <w:r>
        <w:rPr>
          <w:rFonts w:hint="eastAsia" w:ascii="宋体" w:hAnsi="宋体" w:eastAsia="宋体" w:cs="宋体"/>
          <w:b/>
          <w:bCs/>
          <w:color w:val="auto"/>
          <w:kern w:val="2"/>
          <w:sz w:val="30"/>
          <w:szCs w:val="30"/>
          <w:highlight w:val="none"/>
          <w:lang w:val="zh-CN"/>
        </w:rPr>
        <w:t>授权书</w:t>
      </w:r>
    </w:p>
    <w:p>
      <w:pPr>
        <w:spacing w:line="360" w:lineRule="auto"/>
        <w:jc w:val="center"/>
        <w:rPr>
          <w:rFonts w:hint="eastAsia" w:ascii="宋体" w:hAnsi="宋体" w:eastAsia="宋体" w:cs="宋体"/>
          <w:color w:val="auto"/>
          <w:kern w:val="2"/>
          <w:sz w:val="21"/>
          <w:szCs w:val="28"/>
          <w:highlight w:val="none"/>
          <w:lang w:val="zh-CN"/>
        </w:rPr>
      </w:pPr>
    </w:p>
    <w:p>
      <w:pPr>
        <w:autoSpaceDE/>
        <w:autoSpaceDN/>
        <w:adjustRightInd/>
        <w:spacing w:before="120" w:after="120" w:line="360" w:lineRule="auto"/>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致：</w:t>
      </w:r>
      <w:r>
        <w:rPr>
          <w:rFonts w:hint="eastAsia" w:ascii="宋体" w:hAnsi="宋体" w:cs="宋体"/>
          <w:color w:val="auto"/>
          <w:kern w:val="2"/>
          <w:sz w:val="21"/>
          <w:highlight w:val="none"/>
          <w:lang w:val="zh-CN"/>
        </w:rPr>
        <w:t>东莞市水务集团实业发展有限公司</w:t>
      </w:r>
    </w:p>
    <w:p>
      <w:pPr>
        <w:widowControl/>
        <w:spacing w:line="360" w:lineRule="auto"/>
        <w:ind w:firstLine="424" w:firstLineChars="20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highlight w:val="none"/>
          <w:lang w:val="zh-CN"/>
        </w:rPr>
        <w:t>本授权书声明：注册于</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（供应商地址）的</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（供应商名称）在下面签字的</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（法定代表人/</w:t>
      </w:r>
      <w:r>
        <w:rPr>
          <w:rFonts w:hint="eastAsia" w:ascii="宋体" w:hAnsi="宋体" w:cs="宋体"/>
          <w:color w:val="auto"/>
          <w:kern w:val="2"/>
          <w:sz w:val="21"/>
          <w:highlight w:val="none"/>
          <w:lang w:val="zh-CN"/>
        </w:rPr>
        <w:t>执行事务合伙人</w:t>
      </w:r>
      <w:r>
        <w:rPr>
          <w:rFonts w:hint="eastAsia" w:ascii="宋体" w:hAnsi="宋体" w:eastAsia="宋体" w:cs="宋体"/>
          <w:color w:val="auto"/>
          <w:kern w:val="2"/>
          <w:sz w:val="21"/>
          <w:highlight w:val="none"/>
          <w:lang w:val="zh-CN"/>
        </w:rPr>
        <w:t>姓名、职务、身份证号码）代表本公司授权在下面签字或盖私章的</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（被授权人的姓名、职务、身份证号码）为本公司的合法代表人，签署</w:t>
      </w:r>
      <w:r>
        <w:rPr>
          <w:rFonts w:hint="eastAsia" w:ascii="宋体" w:hAnsi="宋体" w:cs="宋体"/>
          <w:color w:val="auto"/>
          <w:kern w:val="2"/>
          <w:sz w:val="21"/>
          <w:highlight w:val="none"/>
          <w:u w:val="single"/>
          <w:lang w:val="zh-CN"/>
        </w:rPr>
        <w:t>东莞市水务集团实业发展有限公司审计及财税服务采购项目</w:t>
      </w:r>
      <w:r>
        <w:rPr>
          <w:rFonts w:hint="eastAsia" w:ascii="宋体" w:hAnsi="宋体" w:eastAsia="宋体" w:cs="宋体"/>
          <w:color w:val="auto"/>
          <w:kern w:val="2"/>
          <w:sz w:val="21"/>
          <w:szCs w:val="21"/>
          <w:highlight w:val="none"/>
          <w:lang w:val="zh-CN"/>
        </w:rPr>
        <w:t>（采购编号：</w:t>
      </w:r>
      <w:r>
        <w:rPr>
          <w:rFonts w:hint="eastAsia" w:ascii="宋体" w:hAnsi="宋体" w:cs="宋体"/>
          <w:color w:val="auto"/>
          <w:kern w:val="2"/>
          <w:sz w:val="21"/>
          <w:szCs w:val="21"/>
          <w:highlight w:val="none"/>
          <w:u w:val="single"/>
          <w:lang w:val="zh-CN"/>
        </w:rPr>
        <w:t>0832-SFCX25DG115C</w:t>
      </w:r>
      <w:r>
        <w:rPr>
          <w:rFonts w:hint="eastAsia" w:ascii="宋体" w:hAnsi="宋体" w:eastAsia="宋体" w:cs="宋体"/>
          <w:color w:val="auto"/>
          <w:kern w:val="2"/>
          <w:sz w:val="21"/>
          <w:szCs w:val="21"/>
          <w:highlight w:val="none"/>
          <w:lang w:val="zh-CN"/>
        </w:rPr>
        <w:t>）的响应文件，</w:t>
      </w:r>
      <w:r>
        <w:rPr>
          <w:rFonts w:hint="eastAsia" w:ascii="宋体" w:hAnsi="宋体" w:eastAsia="宋体" w:cs="宋体"/>
          <w:color w:val="auto"/>
          <w:kern w:val="2"/>
          <w:sz w:val="21"/>
          <w:szCs w:val="21"/>
          <w:highlight w:val="none"/>
        </w:rPr>
        <w:t>代表我公司</w:t>
      </w:r>
      <w:r>
        <w:rPr>
          <w:rFonts w:hint="eastAsia" w:ascii="宋体" w:hAnsi="宋体" w:eastAsia="宋体" w:cs="宋体"/>
          <w:color w:val="auto"/>
          <w:kern w:val="2"/>
          <w:sz w:val="21"/>
          <w:highlight w:val="none"/>
          <w:lang w:val="zh-CN"/>
        </w:rPr>
        <w:t>递交响应文件、参与</w:t>
      </w:r>
      <w:r>
        <w:rPr>
          <w:rFonts w:hint="eastAsia" w:ascii="宋体" w:hAnsi="宋体" w:eastAsia="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、代表我公司应磋商小组的要求对响应文件进行澄清、进行合同谈判、</w:t>
      </w:r>
      <w:r>
        <w:rPr>
          <w:rFonts w:hint="eastAsia" w:ascii="宋体" w:hAnsi="宋体" w:eastAsia="宋体" w:cs="宋体"/>
          <w:color w:val="auto"/>
          <w:kern w:val="2"/>
          <w:sz w:val="21"/>
          <w:highlight w:val="none"/>
          <w:lang w:val="en-US" w:eastAsia="zh-CN"/>
        </w:rPr>
        <w:t>填报最终报价</w:t>
      </w:r>
      <w:r>
        <w:rPr>
          <w:rFonts w:hint="eastAsia" w:ascii="宋体" w:hAnsi="宋体" w:eastAsia="宋体" w:cs="宋体"/>
          <w:color w:val="auto"/>
          <w:kern w:val="2"/>
          <w:sz w:val="21"/>
          <w:highlight w:val="none"/>
          <w:lang w:val="zh-CN"/>
        </w:rPr>
        <w:t>和签署合同，以我公司的名义处理一切与之有关的事宜，</w:t>
      </w:r>
      <w:r>
        <w:rPr>
          <w:rFonts w:hint="eastAsia" w:ascii="宋体" w:hAnsi="宋体" w:eastAsia="宋体" w:cs="宋体"/>
          <w:color w:val="auto"/>
          <w:kern w:val="2"/>
          <w:sz w:val="21"/>
          <w:szCs w:val="21"/>
          <w:highlight w:val="none"/>
        </w:rPr>
        <w:t>我承认代理人全权代表我所签署的本项目响应文件的内容及</w:t>
      </w:r>
      <w:r>
        <w:rPr>
          <w:rFonts w:hint="eastAsia" w:ascii="宋体" w:hAnsi="宋体" w:eastAsia="宋体" w:cs="宋体"/>
          <w:color w:val="auto"/>
          <w:kern w:val="2"/>
          <w:sz w:val="21"/>
          <w:highlight w:val="none"/>
          <w:lang w:val="zh-CN"/>
        </w:rPr>
        <w:t>所进行的上述活动。</w:t>
      </w:r>
    </w:p>
    <w:p>
      <w:pPr>
        <w:autoSpaceDE/>
        <w:autoSpaceDN/>
        <w:adjustRightInd/>
        <w:spacing w:before="120" w:after="12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highlight w:val="none"/>
          <w:lang w:val="zh-CN"/>
        </w:rPr>
        <w:t>本授权书于</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日签字生效，有效期至响应文件失效期止，</w:t>
      </w:r>
      <w:r>
        <w:rPr>
          <w:rFonts w:hint="eastAsia" w:ascii="宋体" w:hAnsi="宋体" w:eastAsia="宋体" w:cs="宋体"/>
          <w:color w:val="auto"/>
          <w:kern w:val="2"/>
          <w:sz w:val="21"/>
          <w:szCs w:val="21"/>
          <w:highlight w:val="none"/>
        </w:rPr>
        <w:t>代理人无转委托权，</w:t>
      </w:r>
      <w:r>
        <w:rPr>
          <w:rFonts w:hint="eastAsia" w:ascii="宋体" w:hAnsi="宋体" w:eastAsia="宋体" w:cs="宋体"/>
          <w:color w:val="auto"/>
          <w:kern w:val="2"/>
          <w:sz w:val="21"/>
          <w:highlight w:val="none"/>
          <w:lang w:val="zh-CN"/>
        </w:rPr>
        <w:t>特此声明。</w:t>
      </w:r>
    </w:p>
    <w:p>
      <w:pPr>
        <w:autoSpaceDE/>
        <w:autoSpaceDN/>
        <w:adjustRightInd/>
        <w:spacing w:before="120" w:after="120" w:line="360" w:lineRule="auto"/>
        <w:ind w:firstLine="277" w:firstLineChars="132"/>
        <w:rPr>
          <w:rFonts w:hint="eastAsia" w:ascii="宋体" w:hAnsi="宋体" w:eastAsia="宋体" w:cs="宋体"/>
          <w:color w:val="auto"/>
          <w:kern w:val="2"/>
          <w:sz w:val="21"/>
          <w:highlight w:val="none"/>
          <w:lang w:val="zh-CN"/>
        </w:rPr>
      </w:pPr>
    </w:p>
    <w:p>
      <w:pPr>
        <w:keepNext w:val="0"/>
        <w:keepLines w:val="0"/>
        <w:pageBreakBefore w:val="0"/>
        <w:widowControl w:val="0"/>
        <w:kinsoku/>
        <w:wordWrap/>
        <w:overflowPunct/>
        <w:topLinePunct w:val="0"/>
        <w:autoSpaceDE/>
        <w:autoSpaceDN/>
        <w:bidi w:val="0"/>
        <w:adjustRightInd/>
        <w:snapToGrid/>
        <w:spacing w:before="120" w:after="120" w:line="360" w:lineRule="auto"/>
        <w:ind w:left="629" w:firstLine="425"/>
        <w:jc w:val="both"/>
        <w:textAlignment w:val="auto"/>
        <w:rPr>
          <w:rFonts w:hint="eastAsia" w:ascii="宋体" w:hAnsi="宋体" w:eastAsia="宋体" w:cs="宋体"/>
          <w:color w:val="auto"/>
          <w:kern w:val="2"/>
          <w:sz w:val="21"/>
          <w:highlight w:val="none"/>
        </w:rPr>
      </w:pPr>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4798" w:firstLineChars="2285"/>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供应商：（加盖供应商公章）</w:t>
      </w:r>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4798" w:firstLineChars="2285"/>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供应商地址：</w:t>
      </w:r>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4798" w:firstLineChars="2285"/>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法定代表人/</w:t>
      </w:r>
      <w:r>
        <w:rPr>
          <w:rFonts w:hint="eastAsia" w:ascii="宋体" w:hAnsi="宋体" w:cs="宋体"/>
          <w:color w:val="auto"/>
          <w:kern w:val="2"/>
          <w:sz w:val="21"/>
          <w:highlight w:val="none"/>
          <w:lang w:val="zh-CN"/>
        </w:rPr>
        <w:t>执行事务合伙人</w:t>
      </w:r>
      <w:r>
        <w:rPr>
          <w:rFonts w:hint="eastAsia" w:ascii="宋体" w:hAnsi="宋体" w:eastAsia="宋体" w:cs="宋体"/>
          <w:color w:val="auto"/>
          <w:kern w:val="2"/>
          <w:sz w:val="21"/>
          <w:highlight w:val="none"/>
          <w:lang w:val="zh-CN"/>
        </w:rPr>
        <w:t>（签名或盖私章）：</w:t>
      </w:r>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4798" w:firstLineChars="2285"/>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职　　　务：</w:t>
      </w:r>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4798" w:firstLineChars="2285"/>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被授权人（签名或盖私章）：</w:t>
      </w:r>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4798" w:firstLineChars="2285"/>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职　　　务：</w:t>
      </w:r>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4798" w:firstLineChars="2285"/>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被授权人联系手机：</w:t>
      </w:r>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4798" w:firstLineChars="2285"/>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电 子 邮 箱：</w:t>
      </w:r>
    </w:p>
    <w:p>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pPr>
        <w:widowControl/>
        <w:adjustRightInd/>
        <w:spacing w:before="120" w:after="120" w:line="360" w:lineRule="auto"/>
        <w:ind w:right="893"/>
        <w:jc w:val="left"/>
        <w:textAlignment w:val="bottom"/>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附 法定代表人/</w:t>
      </w:r>
      <w:r>
        <w:rPr>
          <w:rFonts w:hint="eastAsia" w:ascii="宋体" w:hAnsi="宋体" w:cs="宋体"/>
          <w:color w:val="auto"/>
          <w:kern w:val="2"/>
          <w:sz w:val="21"/>
          <w:highlight w:val="none"/>
          <w:lang w:val="zh-CN"/>
        </w:rPr>
        <w:t>执行事务合伙人</w:t>
      </w:r>
      <w:r>
        <w:rPr>
          <w:rFonts w:hint="eastAsia" w:ascii="宋体" w:hAnsi="宋体" w:eastAsia="宋体" w:cs="宋体"/>
          <w:color w:val="auto"/>
          <w:kern w:val="2"/>
          <w:sz w:val="21"/>
          <w:highlight w:val="none"/>
          <w:lang w:val="zh-CN"/>
        </w:rPr>
        <w:t>、被授权人身份证复印件</w:t>
      </w:r>
    </w:p>
    <w:p>
      <w:pPr>
        <w:widowControl/>
        <w:adjustRightInd/>
        <w:spacing w:before="120" w:after="120" w:line="360" w:lineRule="auto"/>
        <w:ind w:right="893"/>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3004820</wp:posOffset>
                </wp:positionH>
                <wp:positionV relativeFrom="paragraph">
                  <wp:posOffset>34290</wp:posOffset>
                </wp:positionV>
                <wp:extent cx="2743200" cy="1771015"/>
                <wp:effectExtent l="4445" t="4445" r="14605" b="15240"/>
                <wp:wrapNone/>
                <wp:docPr id="4" name="文本框 5"/>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jc w:val="center"/>
                              <w:rPr>
                                <w:rFonts w:ascii="宋体" w:hAnsi="宋体"/>
                                <w:kern w:val="2"/>
                                <w:sz w:val="21"/>
                              </w:rPr>
                            </w:pPr>
                            <w:r>
                              <w:rPr>
                                <w:rFonts w:hint="eastAsia" w:ascii="宋体" w:hAnsi="宋体"/>
                                <w:kern w:val="2"/>
                                <w:sz w:val="21"/>
                                <w:lang w:eastAsia="zh-CN"/>
                              </w:rPr>
                              <w:t>法定</w:t>
                            </w:r>
                            <w:r>
                              <w:rPr>
                                <w:rFonts w:hint="eastAsia" w:ascii="宋体" w:hAnsi="宋体"/>
                                <w:color w:val="auto"/>
                                <w:kern w:val="2"/>
                                <w:sz w:val="21"/>
                                <w:lang w:eastAsia="zh-CN"/>
                              </w:rPr>
                              <w:t>代表人/执行事务合伙人</w:t>
                            </w:r>
                            <w:r>
                              <w:rPr>
                                <w:rFonts w:hint="eastAsia" w:ascii="宋体" w:hAnsi="宋体"/>
                                <w:color w:val="auto"/>
                                <w:kern w:val="2"/>
                                <w:sz w:val="21"/>
                              </w:rPr>
                              <w:t>身份证</w:t>
                            </w:r>
                            <w:r>
                              <w:rPr>
                                <w:rFonts w:hint="eastAsia" w:ascii="宋体" w:hAnsi="宋体"/>
                                <w:kern w:val="2"/>
                                <w:sz w:val="21"/>
                              </w:rPr>
                              <w:t>反面</w:t>
                            </w:r>
                          </w:p>
                        </w:txbxContent>
                      </wps:txbx>
                      <wps:bodyPr upright="1"/>
                    </wps:wsp>
                  </a:graphicData>
                </a:graphic>
              </wp:anchor>
            </w:drawing>
          </mc:Choice>
          <mc:Fallback>
            <w:pict>
              <v:shape id="文本框 5" o:spid="_x0000_s1026" o:spt="202" type="#_x0000_t202" style="position:absolute;left:0pt;margin-left:236.6pt;margin-top:2.7pt;height:139.45pt;width:216pt;z-index:251662336;mso-width-relative:page;mso-height-relative:page;" fillcolor="#FFFFFF" filled="t" stroked="t" coordsize="21600,21600" o:gfxdata="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2jzWtgAAAAJAQAADwAAAAAAAAABACAA&#10;AAAiAAAAZHJzL2Rvd25yZXYueG1sUEsBAhQAFAAAAAgAh07iQFEHt8ENAgAANwQAAA4AAAAAAAAA&#10;AQAgAAAAJwEAAGRycy9lMm9Eb2MueG1sUEsFBgAAAAAGAAYAWQEAAKYFA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ascii="宋体" w:hAnsi="宋体"/>
                          <w:kern w:val="2"/>
                          <w:sz w:val="21"/>
                        </w:rPr>
                      </w:pPr>
                      <w:r>
                        <w:rPr>
                          <w:rFonts w:hint="eastAsia" w:ascii="宋体" w:hAnsi="宋体"/>
                          <w:kern w:val="2"/>
                          <w:sz w:val="21"/>
                          <w:lang w:eastAsia="zh-CN"/>
                        </w:rPr>
                        <w:t>法定</w:t>
                      </w:r>
                      <w:r>
                        <w:rPr>
                          <w:rFonts w:hint="eastAsia" w:ascii="宋体" w:hAnsi="宋体"/>
                          <w:color w:val="auto"/>
                          <w:kern w:val="2"/>
                          <w:sz w:val="21"/>
                          <w:lang w:eastAsia="zh-CN"/>
                        </w:rPr>
                        <w:t>代表人/执行事务合伙人</w:t>
                      </w:r>
                      <w:r>
                        <w:rPr>
                          <w:rFonts w:hint="eastAsia" w:ascii="宋体" w:hAnsi="宋体"/>
                          <w:color w:val="auto"/>
                          <w:kern w:val="2"/>
                          <w:sz w:val="21"/>
                        </w:rPr>
                        <w:t>身份证</w:t>
                      </w:r>
                      <w:r>
                        <w:rPr>
                          <w:rFonts w:hint="eastAsia" w:ascii="宋体" w:hAnsi="宋体"/>
                          <w:kern w:val="2"/>
                          <w:sz w:val="21"/>
                        </w:rPr>
                        <w:t>反面</w:t>
                      </w:r>
                    </w:p>
                  </w:txbxContent>
                </v:textbox>
              </v:shape>
            </w:pict>
          </mc:Fallback>
        </mc:AlternateContent>
      </w:r>
      <w:r>
        <w:rPr>
          <w:rFonts w:hint="eastAsia" w:ascii="宋体" w:hAnsi="宋体" w:eastAsia="宋体" w:cs="宋体"/>
          <w:color w:val="auto"/>
          <w:kern w:val="2"/>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34290</wp:posOffset>
                </wp:positionV>
                <wp:extent cx="2743200" cy="1771015"/>
                <wp:effectExtent l="4445" t="4445" r="14605" b="15240"/>
                <wp:wrapNone/>
                <wp:docPr id="3" name="文本框 4"/>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jc w:val="center"/>
                              <w:rPr>
                                <w:rFonts w:ascii="宋体" w:hAnsi="宋体"/>
                                <w:color w:val="auto"/>
                                <w:kern w:val="2"/>
                                <w:sz w:val="21"/>
                              </w:rPr>
                            </w:pPr>
                            <w:r>
                              <w:rPr>
                                <w:rFonts w:hint="eastAsia" w:ascii="宋体" w:hAnsi="宋体"/>
                                <w:kern w:val="2"/>
                                <w:sz w:val="21"/>
                                <w:lang w:eastAsia="zh-CN"/>
                              </w:rPr>
                              <w:t>法定</w:t>
                            </w:r>
                            <w:r>
                              <w:rPr>
                                <w:rFonts w:hint="eastAsia" w:ascii="宋体" w:hAnsi="宋体"/>
                                <w:color w:val="auto"/>
                                <w:kern w:val="2"/>
                                <w:sz w:val="21"/>
                                <w:lang w:eastAsia="zh-CN"/>
                              </w:rPr>
                              <w:t>代表人/执行事务合伙人</w:t>
                            </w:r>
                            <w:r>
                              <w:rPr>
                                <w:rFonts w:hint="eastAsia" w:ascii="宋体" w:hAnsi="宋体"/>
                                <w:color w:val="auto"/>
                                <w:kern w:val="2"/>
                                <w:sz w:val="21"/>
                              </w:rPr>
                              <w:t>身份证正面</w:t>
                            </w:r>
                          </w:p>
                        </w:txbxContent>
                      </wps:txbx>
                      <wps:bodyPr upright="1"/>
                    </wps:wsp>
                  </a:graphicData>
                </a:graphic>
              </wp:anchor>
            </w:drawing>
          </mc:Choice>
          <mc:Fallback>
            <w:pict>
              <v:shape id="文本框 4" o:spid="_x0000_s1026" o:spt="202" type="#_x0000_t202" style="position:absolute;left:0pt;margin-left:1.85pt;margin-top:2.7pt;height:139.45pt;width:216pt;z-index:251661312;mso-width-relative:page;mso-height-relative:page;" fillcolor="#FFFFFF" filled="t" stroked="t" coordsize="21600,21600" o:gfxdata="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Vxgb9YAAAAHAQAADwAAAAAAAAABACAAAAAi&#10;AAAAZHJzL2Rvd25yZXYueG1sUEsBAhQAFAAAAAgAh07iQF7hwqkMAgAANwQAAA4AAAAAAAAAAQAg&#10;AAAAJQEAAGRycy9lMm9Eb2MueG1sUEsFBgAAAAAGAAYAWQEAAKMFA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ascii="宋体" w:hAnsi="宋体"/>
                          <w:color w:val="auto"/>
                          <w:kern w:val="2"/>
                          <w:sz w:val="21"/>
                        </w:rPr>
                      </w:pPr>
                      <w:r>
                        <w:rPr>
                          <w:rFonts w:hint="eastAsia" w:ascii="宋体" w:hAnsi="宋体"/>
                          <w:kern w:val="2"/>
                          <w:sz w:val="21"/>
                          <w:lang w:eastAsia="zh-CN"/>
                        </w:rPr>
                        <w:t>法定</w:t>
                      </w:r>
                      <w:r>
                        <w:rPr>
                          <w:rFonts w:hint="eastAsia" w:ascii="宋体" w:hAnsi="宋体"/>
                          <w:color w:val="auto"/>
                          <w:kern w:val="2"/>
                          <w:sz w:val="21"/>
                          <w:lang w:eastAsia="zh-CN"/>
                        </w:rPr>
                        <w:t>代表人/执行事务合伙人</w:t>
                      </w:r>
                      <w:r>
                        <w:rPr>
                          <w:rFonts w:hint="eastAsia" w:ascii="宋体" w:hAnsi="宋体"/>
                          <w:color w:val="auto"/>
                          <w:kern w:val="2"/>
                          <w:sz w:val="21"/>
                        </w:rPr>
                        <w:t>身份证正面</w:t>
                      </w:r>
                    </w:p>
                  </w:txbxContent>
                </v:textbox>
              </v:shape>
            </w:pict>
          </mc:Fallback>
        </mc:AlternateContent>
      </w: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mc:AlternateContent>
          <mc:Choice Requires="wps">
            <w:drawing>
              <wp:anchor distT="0" distB="0" distL="114300" distR="114300" simplePos="0" relativeHeight="251664384" behindDoc="0" locked="0" layoutInCell="1" allowOverlap="1">
                <wp:simplePos x="0" y="0"/>
                <wp:positionH relativeFrom="column">
                  <wp:posOffset>2985770</wp:posOffset>
                </wp:positionH>
                <wp:positionV relativeFrom="paragraph">
                  <wp:posOffset>163195</wp:posOffset>
                </wp:positionV>
                <wp:extent cx="2743200" cy="1771015"/>
                <wp:effectExtent l="4445" t="4445" r="14605" b="15240"/>
                <wp:wrapNone/>
                <wp:docPr id="6" name="文本框 7"/>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jc w:val="center"/>
                              <w:rPr>
                                <w:rFonts w:hint="eastAsia" w:hAnsi="等线 Light"/>
                                <w:color w:val="FF0000"/>
                                <w:kern w:val="2"/>
                                <w:sz w:val="21"/>
                              </w:rPr>
                            </w:pPr>
                          </w:p>
                          <w:p>
                            <w:pPr>
                              <w:jc w:val="center"/>
                              <w:rPr>
                                <w:rFonts w:hint="eastAsia" w:hAnsi="等线 Light"/>
                                <w:color w:val="FF0000"/>
                                <w:kern w:val="2"/>
                                <w:sz w:val="21"/>
                              </w:rPr>
                            </w:pPr>
                          </w:p>
                          <w:p>
                            <w:pPr>
                              <w:jc w:val="center"/>
                              <w:rPr>
                                <w:rFonts w:hint="eastAsia" w:hAnsi="等线 Light"/>
                                <w:color w:val="FF0000"/>
                                <w:kern w:val="2"/>
                                <w:sz w:val="21"/>
                              </w:rPr>
                            </w:pPr>
                          </w:p>
                          <w:p>
                            <w:pPr>
                              <w:jc w:val="center"/>
                              <w:rPr>
                                <w:rFonts w:ascii="宋体" w:hAnsi="宋体"/>
                              </w:rPr>
                            </w:pPr>
                            <w:r>
                              <w:rPr>
                                <w:rFonts w:hint="eastAsia" w:ascii="宋体" w:hAnsi="宋体"/>
                                <w:kern w:val="2"/>
                                <w:sz w:val="21"/>
                              </w:rPr>
                              <w:t>被授权人身份证反面</w:t>
                            </w:r>
                          </w:p>
                          <w:p>
                            <w:pPr>
                              <w:rPr>
                                <w:rFonts w:hint="eastAsia"/>
                              </w:rPr>
                            </w:pPr>
                          </w:p>
                          <w:p>
                            <w:pPr>
                              <w:rPr>
                                <w:rFonts w:hint="eastAsia"/>
                              </w:rPr>
                            </w:pPr>
                          </w:p>
                        </w:txbxContent>
                      </wps:txbx>
                      <wps:bodyPr upright="1"/>
                    </wps:wsp>
                  </a:graphicData>
                </a:graphic>
              </wp:anchor>
            </w:drawing>
          </mc:Choice>
          <mc:Fallback>
            <w:pict>
              <v:shape id="文本框 7" o:spid="_x0000_s1026" o:spt="202" type="#_x0000_t202" style="position:absolute;left:0pt;margin-left:235.1pt;margin-top:12.85pt;height:139.45pt;width:216pt;z-index:251664384;mso-width-relative:page;mso-height-relative:page;" fillcolor="#FFFFFF" filled="t" stroked="t" coordsize="21600,21600" o:gfxdata="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TB8QdoAAAAKAQAADwAAAAAAAAABACAA&#10;AAAiAAAAZHJzL2Rvd25yZXYueG1sUEsBAhQAFAAAAAgAh07iQGhEhc0LAgAANwQAAA4AAAAAAAAA&#10;AQAgAAAAKQEAAGRycy9lMm9Eb2MueG1sUEsFBgAAAAAGAAYAWQEAAKYFAAAAAA==&#10;">
                <v:fill on="t" focussize="0,0"/>
                <v:stroke color="#000000" joinstyle="miter"/>
                <v:imagedata o:title=""/>
                <o:lock v:ext="edit" aspectratio="f"/>
                <v:textbox>
                  <w:txbxContent>
                    <w:p>
                      <w:pPr>
                        <w:rPr>
                          <w:rFonts w:hint="eastAsia"/>
                        </w:rPr>
                      </w:pPr>
                    </w:p>
                    <w:p>
                      <w:pPr>
                        <w:jc w:val="center"/>
                        <w:rPr>
                          <w:rFonts w:hint="eastAsia" w:hAnsi="等线 Light"/>
                          <w:color w:val="FF0000"/>
                          <w:kern w:val="2"/>
                          <w:sz w:val="21"/>
                        </w:rPr>
                      </w:pPr>
                    </w:p>
                    <w:p>
                      <w:pPr>
                        <w:jc w:val="center"/>
                        <w:rPr>
                          <w:rFonts w:hint="eastAsia" w:hAnsi="等线 Light"/>
                          <w:color w:val="FF0000"/>
                          <w:kern w:val="2"/>
                          <w:sz w:val="21"/>
                        </w:rPr>
                      </w:pPr>
                    </w:p>
                    <w:p>
                      <w:pPr>
                        <w:jc w:val="center"/>
                        <w:rPr>
                          <w:rFonts w:hint="eastAsia" w:hAnsi="等线 Light"/>
                          <w:color w:val="FF0000"/>
                          <w:kern w:val="2"/>
                          <w:sz w:val="21"/>
                        </w:rPr>
                      </w:pPr>
                    </w:p>
                    <w:p>
                      <w:pPr>
                        <w:jc w:val="center"/>
                        <w:rPr>
                          <w:rFonts w:ascii="宋体" w:hAnsi="宋体"/>
                        </w:rPr>
                      </w:pPr>
                      <w:r>
                        <w:rPr>
                          <w:rFonts w:hint="eastAsia" w:ascii="宋体" w:hAnsi="宋体"/>
                          <w:kern w:val="2"/>
                          <w:sz w:val="21"/>
                        </w:rPr>
                        <w:t>被授权人身份证反面</w:t>
                      </w:r>
                    </w:p>
                    <w:p>
                      <w:pPr>
                        <w:rPr>
                          <w:rFonts w:hint="eastAsia"/>
                        </w:rPr>
                      </w:pPr>
                    </w:p>
                    <w:p>
                      <w:pPr>
                        <w:rPr>
                          <w:rFonts w:hint="eastAsia"/>
                        </w:rPr>
                      </w:pPr>
                    </w:p>
                  </w:txbxContent>
                </v:textbox>
              </v:shape>
            </w:pict>
          </mc:Fallback>
        </mc:AlternateContent>
      </w:r>
      <w:r>
        <w:rPr>
          <w:rFonts w:hint="eastAsia" w:ascii="宋体" w:hAnsi="宋体" w:eastAsia="宋体" w:cs="宋体"/>
          <w:b/>
          <w:color w:val="auto"/>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13970</wp:posOffset>
                </wp:positionH>
                <wp:positionV relativeFrom="paragraph">
                  <wp:posOffset>163195</wp:posOffset>
                </wp:positionV>
                <wp:extent cx="2743200" cy="1771015"/>
                <wp:effectExtent l="4445" t="4445" r="14605" b="15240"/>
                <wp:wrapNone/>
                <wp:docPr id="5" name="文本框 6"/>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jc w:val="center"/>
                              <w:rPr>
                                <w:rFonts w:hint="eastAsia" w:hAnsi="等线 Light"/>
                                <w:color w:val="FF0000"/>
                                <w:kern w:val="2"/>
                                <w:sz w:val="21"/>
                              </w:rPr>
                            </w:pPr>
                          </w:p>
                          <w:p>
                            <w:pPr>
                              <w:jc w:val="center"/>
                              <w:rPr>
                                <w:rFonts w:hint="eastAsia" w:hAnsi="等线 Light"/>
                                <w:color w:val="FF0000"/>
                                <w:kern w:val="2"/>
                                <w:sz w:val="21"/>
                              </w:rPr>
                            </w:pPr>
                          </w:p>
                          <w:p>
                            <w:pPr>
                              <w:jc w:val="center"/>
                              <w:rPr>
                                <w:rFonts w:hint="eastAsia" w:hAnsi="等线 Light"/>
                                <w:color w:val="FF0000"/>
                                <w:kern w:val="2"/>
                                <w:sz w:val="21"/>
                              </w:rPr>
                            </w:pPr>
                          </w:p>
                          <w:p>
                            <w:pPr>
                              <w:jc w:val="center"/>
                              <w:rPr>
                                <w:rFonts w:ascii="宋体" w:hAnsi="宋体"/>
                              </w:rPr>
                            </w:pPr>
                            <w:r>
                              <w:rPr>
                                <w:rFonts w:hint="eastAsia" w:ascii="宋体" w:hAnsi="宋体"/>
                                <w:kern w:val="2"/>
                                <w:sz w:val="21"/>
                              </w:rPr>
                              <w:t>被授权人身份证正面</w:t>
                            </w:r>
                          </w:p>
                          <w:p>
                            <w:pPr>
                              <w:rPr>
                                <w:rFonts w:hint="eastAsia"/>
                              </w:rPr>
                            </w:pPr>
                          </w:p>
                          <w:p>
                            <w:pPr>
                              <w:rPr>
                                <w:rFonts w:hint="eastAsia"/>
                              </w:rPr>
                            </w:pPr>
                          </w:p>
                        </w:txbxContent>
                      </wps:txbx>
                      <wps:bodyPr upright="1"/>
                    </wps:wsp>
                  </a:graphicData>
                </a:graphic>
              </wp:anchor>
            </w:drawing>
          </mc:Choice>
          <mc:Fallback>
            <w:pict>
              <v:shape id="文本框 6" o:spid="_x0000_s1026" o:spt="202" type="#_x0000_t202" style="position:absolute;left:0pt;margin-left:1.1pt;margin-top:12.85pt;height:139.45pt;width:216pt;z-index:251665408;mso-width-relative:page;mso-height-relative:page;" fillcolor="#FFFFFF" filled="t" stroked="t" coordsize="21600,21600" o:gfxdata="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ZfjYAAAACAEAAA8AAAAAAAAAAQAgAAAA&#10;IgAAAGRycy9kb3ducmV2LnhtbFBLAQIUABQAAAAIAIdO4kBFJZdYCwIAADcEAAAOAAAAAAAAAAEA&#10;IAAAACcBAABkcnMvZTJvRG9jLnhtbFBLBQYAAAAABgAGAFkBAACkBQAAAAA=&#10;">
                <v:fill on="t" focussize="0,0"/>
                <v:stroke color="#000000" joinstyle="miter"/>
                <v:imagedata o:title=""/>
                <o:lock v:ext="edit" aspectratio="f"/>
                <v:textbox>
                  <w:txbxContent>
                    <w:p>
                      <w:pPr>
                        <w:rPr>
                          <w:rFonts w:hint="eastAsia"/>
                        </w:rPr>
                      </w:pPr>
                    </w:p>
                    <w:p>
                      <w:pPr>
                        <w:jc w:val="center"/>
                        <w:rPr>
                          <w:rFonts w:hint="eastAsia" w:hAnsi="等线 Light"/>
                          <w:color w:val="FF0000"/>
                          <w:kern w:val="2"/>
                          <w:sz w:val="21"/>
                        </w:rPr>
                      </w:pPr>
                    </w:p>
                    <w:p>
                      <w:pPr>
                        <w:jc w:val="center"/>
                        <w:rPr>
                          <w:rFonts w:hint="eastAsia" w:hAnsi="等线 Light"/>
                          <w:color w:val="FF0000"/>
                          <w:kern w:val="2"/>
                          <w:sz w:val="21"/>
                        </w:rPr>
                      </w:pPr>
                    </w:p>
                    <w:p>
                      <w:pPr>
                        <w:jc w:val="center"/>
                        <w:rPr>
                          <w:rFonts w:hint="eastAsia" w:hAnsi="等线 Light"/>
                          <w:color w:val="FF0000"/>
                          <w:kern w:val="2"/>
                          <w:sz w:val="21"/>
                        </w:rPr>
                      </w:pPr>
                    </w:p>
                    <w:p>
                      <w:pPr>
                        <w:jc w:val="center"/>
                        <w:rPr>
                          <w:rFonts w:ascii="宋体" w:hAnsi="宋体"/>
                        </w:rPr>
                      </w:pPr>
                      <w:r>
                        <w:rPr>
                          <w:rFonts w:hint="eastAsia" w:ascii="宋体" w:hAnsi="宋体"/>
                          <w:kern w:val="2"/>
                          <w:sz w:val="21"/>
                        </w:rPr>
                        <w:t>被授权人身份证正面</w:t>
                      </w:r>
                    </w:p>
                    <w:p>
                      <w:pPr>
                        <w:rPr>
                          <w:rFonts w:hint="eastAsia"/>
                        </w:rPr>
                      </w:pPr>
                    </w:p>
                    <w:p>
                      <w:pPr>
                        <w:rPr>
                          <w:rFonts w:hint="eastAsia"/>
                        </w:rPr>
                      </w:pPr>
                    </w:p>
                  </w:txbxContent>
                </v:textbox>
              </v:shape>
            </w:pict>
          </mc:Fallback>
        </mc:AlternateContent>
      </w:r>
    </w:p>
    <w:p>
      <w:pPr>
        <w:pStyle w:val="73"/>
        <w:rPr>
          <w:rFonts w:hint="eastAsia" w:ascii="宋体" w:hAnsi="宋体" w:eastAsia="宋体" w:cs="宋体"/>
          <w:color w:val="auto"/>
          <w:sz w:val="21"/>
          <w:szCs w:val="21"/>
          <w:highlight w:val="none"/>
        </w:rPr>
      </w:pPr>
    </w:p>
    <w:p>
      <w:pPr>
        <w:pStyle w:val="73"/>
        <w:rPr>
          <w:rFonts w:hint="eastAsia" w:ascii="宋体" w:hAnsi="宋体" w:eastAsia="宋体" w:cs="宋体"/>
          <w:color w:val="auto"/>
          <w:sz w:val="21"/>
          <w:szCs w:val="21"/>
          <w:highlight w:val="none"/>
        </w:rPr>
      </w:pPr>
    </w:p>
    <w:p>
      <w:pPr>
        <w:pStyle w:val="73"/>
        <w:rPr>
          <w:rFonts w:hint="eastAsia" w:ascii="宋体" w:hAnsi="宋体" w:eastAsia="宋体" w:cs="宋体"/>
          <w:color w:val="auto"/>
          <w:sz w:val="21"/>
          <w:szCs w:val="21"/>
          <w:highlight w:val="none"/>
        </w:rPr>
      </w:pPr>
    </w:p>
    <w:p>
      <w:pPr>
        <w:pStyle w:val="73"/>
        <w:rPr>
          <w:rFonts w:hint="eastAsia" w:ascii="宋体" w:hAnsi="宋体" w:eastAsia="宋体" w:cs="宋体"/>
          <w:color w:val="auto"/>
          <w:sz w:val="21"/>
          <w:szCs w:val="21"/>
          <w:highlight w:val="none"/>
        </w:rPr>
      </w:pPr>
    </w:p>
    <w:p>
      <w:pPr>
        <w:pStyle w:val="73"/>
        <w:rPr>
          <w:rFonts w:hint="eastAsia" w:ascii="宋体" w:hAnsi="宋体" w:eastAsia="宋体" w:cs="宋体"/>
          <w:color w:val="auto"/>
          <w:sz w:val="21"/>
          <w:szCs w:val="21"/>
          <w:highlight w:val="none"/>
        </w:rPr>
      </w:pPr>
    </w:p>
    <w:p>
      <w:pPr>
        <w:pStyle w:val="73"/>
        <w:rPr>
          <w:rFonts w:hint="eastAsia" w:ascii="宋体" w:hAnsi="宋体" w:eastAsia="宋体" w:cs="宋体"/>
          <w:color w:val="auto"/>
          <w:sz w:val="21"/>
          <w:szCs w:val="21"/>
          <w:highlight w:val="none"/>
        </w:rPr>
      </w:pPr>
    </w:p>
    <w:p>
      <w:pPr>
        <w:pStyle w:val="73"/>
        <w:rPr>
          <w:rFonts w:hint="eastAsia" w:ascii="宋体" w:hAnsi="宋体" w:eastAsia="宋体" w:cs="宋体"/>
          <w:color w:val="auto"/>
          <w:sz w:val="21"/>
          <w:szCs w:val="21"/>
          <w:highlight w:val="none"/>
        </w:rPr>
      </w:pPr>
    </w:p>
    <w:p>
      <w:pPr>
        <w:pStyle w:val="73"/>
        <w:rPr>
          <w:rFonts w:hint="eastAsia" w:ascii="宋体" w:hAnsi="宋体" w:eastAsia="宋体" w:cs="宋体"/>
          <w:color w:val="auto"/>
          <w:sz w:val="21"/>
          <w:szCs w:val="21"/>
          <w:highlight w:val="none"/>
        </w:rPr>
      </w:pPr>
    </w:p>
    <w:p>
      <w:pPr>
        <w:pStyle w:val="73"/>
        <w:rPr>
          <w:rFonts w:hint="eastAsia" w:ascii="宋体" w:hAnsi="宋体" w:eastAsia="宋体" w:cs="宋体"/>
          <w:color w:val="auto"/>
          <w:sz w:val="21"/>
          <w:szCs w:val="21"/>
          <w:highlight w:val="none"/>
        </w:rPr>
      </w:pPr>
    </w:p>
    <w:p>
      <w:pPr>
        <w:pStyle w:val="73"/>
        <w:rPr>
          <w:rFonts w:hint="eastAsia" w:ascii="宋体" w:hAnsi="宋体" w:eastAsia="宋体" w:cs="宋体"/>
          <w:color w:val="auto"/>
          <w:sz w:val="21"/>
          <w:szCs w:val="21"/>
          <w:highlight w:val="none"/>
        </w:rPr>
      </w:pPr>
    </w:p>
    <w:p>
      <w:pPr>
        <w:pStyle w:val="73"/>
        <w:rPr>
          <w:rFonts w:hint="eastAsia" w:ascii="宋体" w:hAnsi="宋体" w:eastAsia="宋体" w:cs="宋体"/>
          <w:color w:val="auto"/>
          <w:sz w:val="21"/>
          <w:szCs w:val="21"/>
          <w:highlight w:val="none"/>
        </w:rPr>
      </w:pPr>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b/>
          <w:color w:val="auto"/>
          <w:sz w:val="21"/>
          <w:szCs w:val="21"/>
          <w:highlight w:val="none"/>
        </w:rPr>
      </w:pPr>
      <w:bookmarkStart w:id="421" w:name="_Toc521918322"/>
      <w:bookmarkStart w:id="422" w:name="_Toc519153443"/>
      <w:bookmarkStart w:id="423" w:name="_Toc522047384"/>
      <w:bookmarkStart w:id="424" w:name="_Toc521918125"/>
      <w:bookmarkStart w:id="425" w:name="_Toc521576304"/>
      <w:bookmarkStart w:id="426" w:name="_Toc490169465"/>
      <w:bookmarkStart w:id="427" w:name="_Toc495907135"/>
      <w:r>
        <w:rPr>
          <w:rFonts w:hint="eastAsia" w:ascii="宋体" w:hAnsi="宋体" w:eastAsia="宋体" w:cs="宋体"/>
          <w:b/>
          <w:color w:val="auto"/>
          <w:sz w:val="21"/>
          <w:szCs w:val="21"/>
          <w:highlight w:val="none"/>
        </w:rPr>
        <w:t>注：上述身份证须在有效期限内。</w:t>
      </w:r>
    </w:p>
    <w:p>
      <w:pPr>
        <w:tabs>
          <w:tab w:val="left" w:pos="567"/>
        </w:tabs>
        <w:spacing w:line="360" w:lineRule="auto"/>
        <w:ind w:left="567" w:hanging="567"/>
        <w:outlineLvl w:val="2"/>
        <w:rPr>
          <w:rFonts w:hint="eastAsia" w:ascii="宋体" w:hAnsi="宋体" w:eastAsia="宋体" w:cs="宋体"/>
          <w:b/>
          <w:color w:val="auto"/>
          <w:sz w:val="21"/>
          <w:szCs w:val="21"/>
          <w:highlight w:val="none"/>
        </w:rPr>
        <w:sectPr>
          <w:headerReference r:id="rId11" w:type="first"/>
          <w:footerReference r:id="rId13" w:type="first"/>
          <w:footerReference r:id="rId12" w:type="default"/>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pPr>
    </w:p>
    <w:bookmarkEnd w:id="421"/>
    <w:bookmarkEnd w:id="422"/>
    <w:bookmarkEnd w:id="423"/>
    <w:bookmarkEnd w:id="424"/>
    <w:bookmarkEnd w:id="425"/>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left"/>
        <w:textAlignment w:val="auto"/>
        <w:outlineLvl w:val="9"/>
        <w:rPr>
          <w:rFonts w:hint="eastAsia" w:ascii="宋体" w:hAnsi="宋体" w:eastAsia="宋体" w:cs="宋体"/>
          <w:b/>
          <w:color w:val="auto"/>
          <w:kern w:val="2"/>
          <w:sz w:val="30"/>
          <w:szCs w:val="30"/>
          <w:highlight w:val="none"/>
          <w:lang w:val="en-US" w:eastAsia="zh-CN"/>
        </w:rPr>
      </w:pPr>
      <w:r>
        <w:rPr>
          <w:rFonts w:hint="eastAsia" w:ascii="宋体" w:hAnsi="宋体" w:eastAsia="宋体" w:cs="宋体"/>
          <w:b/>
          <w:color w:val="auto"/>
          <w:kern w:val="2"/>
          <w:sz w:val="30"/>
          <w:szCs w:val="30"/>
          <w:highlight w:val="none"/>
          <w:lang w:val="en-US" w:eastAsia="zh-CN"/>
        </w:rPr>
        <w:t>5.4 行政主管部门颁发有效的会计师事务所执业证书；</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color w:val="auto"/>
          <w:kern w:val="2"/>
          <w:sz w:val="30"/>
          <w:szCs w:val="30"/>
          <w:highlight w:val="none"/>
          <w:lang w:val="en-US" w:eastAsia="zh-CN"/>
        </w:rPr>
      </w:pPr>
    </w:p>
    <w:p>
      <w:pPr>
        <w:keepNext w:val="0"/>
        <w:keepLines w:val="0"/>
        <w:pageBreakBefore/>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color w:val="auto"/>
          <w:kern w:val="2"/>
          <w:sz w:val="30"/>
          <w:szCs w:val="30"/>
          <w:highlight w:val="none"/>
          <w:lang w:val="zh-CN"/>
        </w:rPr>
      </w:pPr>
      <w:r>
        <w:rPr>
          <w:rFonts w:hint="eastAsia" w:ascii="宋体" w:hAnsi="宋体" w:eastAsia="宋体" w:cs="宋体"/>
          <w:b/>
          <w:color w:val="auto"/>
          <w:kern w:val="2"/>
          <w:sz w:val="30"/>
          <w:szCs w:val="30"/>
          <w:highlight w:val="none"/>
          <w:lang w:val="en-US" w:eastAsia="zh-CN"/>
        </w:rPr>
        <w:t>5.5</w:t>
      </w:r>
      <w:r>
        <w:rPr>
          <w:rFonts w:hint="eastAsia" w:ascii="宋体" w:hAnsi="宋体" w:eastAsia="宋体" w:cs="宋体"/>
          <w:b/>
          <w:color w:val="auto"/>
          <w:kern w:val="2"/>
          <w:sz w:val="30"/>
          <w:szCs w:val="30"/>
          <w:highlight w:val="none"/>
        </w:rPr>
        <w:t xml:space="preserve"> </w:t>
      </w:r>
      <w:r>
        <w:rPr>
          <w:rFonts w:hint="eastAsia" w:ascii="宋体" w:hAnsi="宋体" w:eastAsia="宋体" w:cs="宋体"/>
          <w:b/>
          <w:color w:val="auto"/>
          <w:kern w:val="2"/>
          <w:sz w:val="30"/>
          <w:szCs w:val="30"/>
          <w:highlight w:val="none"/>
          <w:lang w:val="zh-CN"/>
        </w:rPr>
        <w:t>资格业绩【供应商2022年1月1日以来具有一份资产审计服务项目业绩</w:t>
      </w:r>
      <w:r>
        <w:rPr>
          <w:rFonts w:hint="eastAsia" w:ascii="宋体" w:hAnsi="宋体" w:cs="宋体"/>
          <w:b/>
          <w:color w:val="auto"/>
          <w:kern w:val="2"/>
          <w:sz w:val="30"/>
          <w:szCs w:val="30"/>
          <w:highlight w:val="none"/>
          <w:lang w:val="en-US" w:eastAsia="zh-CN"/>
        </w:rPr>
        <w:t>或</w:t>
      </w:r>
      <w:r>
        <w:rPr>
          <w:rFonts w:hint="eastAsia" w:ascii="宋体" w:hAnsi="宋体" w:eastAsia="宋体" w:cs="宋体"/>
          <w:b/>
          <w:color w:val="auto"/>
          <w:kern w:val="2"/>
          <w:sz w:val="30"/>
          <w:szCs w:val="30"/>
          <w:highlight w:val="none"/>
          <w:lang w:val="zh-CN"/>
        </w:rPr>
        <w:t>一份企业清算审计服务项目业绩</w:t>
      </w:r>
      <w:r>
        <w:rPr>
          <w:rFonts w:hint="eastAsia" w:ascii="宋体" w:hAnsi="宋体" w:cs="宋体"/>
          <w:b/>
          <w:color w:val="auto"/>
          <w:kern w:val="2"/>
          <w:sz w:val="30"/>
          <w:szCs w:val="30"/>
          <w:highlight w:val="none"/>
          <w:lang w:val="en-US" w:eastAsia="zh-CN"/>
        </w:rPr>
        <w:t>或</w:t>
      </w:r>
      <w:r>
        <w:rPr>
          <w:rFonts w:hint="eastAsia" w:ascii="宋体" w:hAnsi="宋体" w:eastAsia="宋体" w:cs="宋体"/>
          <w:b/>
          <w:color w:val="auto"/>
          <w:kern w:val="2"/>
          <w:sz w:val="30"/>
          <w:szCs w:val="30"/>
          <w:highlight w:val="none"/>
          <w:lang w:val="zh-CN"/>
        </w:rPr>
        <w:t>一份财税咨询服务项目业绩</w:t>
      </w:r>
      <w:r>
        <w:rPr>
          <w:rFonts w:hint="eastAsia" w:ascii="宋体" w:hAnsi="宋体" w:cs="宋体"/>
          <w:b/>
          <w:color w:val="auto"/>
          <w:kern w:val="2"/>
          <w:sz w:val="30"/>
          <w:szCs w:val="30"/>
          <w:highlight w:val="none"/>
          <w:lang w:val="zh-CN"/>
        </w:rPr>
        <w:t>（</w:t>
      </w:r>
      <w:r>
        <w:rPr>
          <w:rFonts w:hint="eastAsia" w:ascii="宋体" w:hAnsi="宋体" w:eastAsia="宋体" w:cs="宋体"/>
          <w:b/>
          <w:color w:val="auto"/>
          <w:kern w:val="2"/>
          <w:sz w:val="30"/>
          <w:szCs w:val="30"/>
          <w:highlight w:val="none"/>
          <w:lang w:val="zh-CN"/>
        </w:rPr>
        <w:t>合同签订时间为2022年1月1日或以后）</w:t>
      </w:r>
    </w:p>
    <w:p>
      <w:pPr>
        <w:outlineLvl w:val="9"/>
        <w:rPr>
          <w:rFonts w:hint="eastAsia" w:ascii="宋体" w:hAnsi="宋体" w:eastAsia="宋体" w:cs="宋体"/>
          <w:b/>
          <w:color w:val="auto"/>
          <w:kern w:val="2"/>
          <w:sz w:val="30"/>
          <w:szCs w:val="30"/>
          <w:highlight w:val="none"/>
          <w:lang w:val="zh-CN"/>
        </w:rPr>
      </w:pPr>
    </w:p>
    <w:tbl>
      <w:tblPr>
        <w:tblStyle w:val="55"/>
        <w:tblW w:w="43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711"/>
        <w:gridCol w:w="1990"/>
        <w:gridCol w:w="2355"/>
        <w:gridCol w:w="904"/>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08" w:hRule="exact"/>
          <w:jc w:val="center"/>
        </w:trPr>
        <w:tc>
          <w:tcPr>
            <w:tcW w:w="449"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56"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合同项目名称</w:t>
            </w:r>
          </w:p>
        </w:tc>
        <w:tc>
          <w:tcPr>
            <w:tcW w:w="148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57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123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874" w:hRule="exact"/>
          <w:jc w:val="center"/>
        </w:trPr>
        <w:tc>
          <w:tcPr>
            <w:tcW w:w="449"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56"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8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3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874" w:hRule="exact"/>
          <w:jc w:val="center"/>
        </w:trPr>
        <w:tc>
          <w:tcPr>
            <w:tcW w:w="449"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56"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8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3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33" w:hRule="exact"/>
          <w:jc w:val="center"/>
        </w:trPr>
        <w:tc>
          <w:tcPr>
            <w:tcW w:w="449"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56"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8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3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pPr>
        <w:pStyle w:val="73"/>
        <w:rPr>
          <w:rFonts w:hint="eastAsia" w:ascii="宋体" w:hAnsi="宋体" w:eastAsia="宋体" w:cs="宋体"/>
          <w:color w:val="auto"/>
          <w:highlight w:val="none"/>
        </w:rPr>
      </w:pPr>
    </w:p>
    <w:p>
      <w:pPr>
        <w:keepNext w:val="0"/>
        <w:keepLines w:val="0"/>
        <w:pageBreakBefore w:val="0"/>
        <w:widowControl w:val="0"/>
        <w:kinsoku/>
        <w:wordWrap/>
        <w:overflowPunct/>
        <w:topLinePunct w:val="0"/>
        <w:bidi w:val="0"/>
        <w:spacing w:line="360" w:lineRule="auto"/>
        <w:ind w:left="424" w:hanging="424" w:hangingChars="201"/>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资格业绩证明材料提交要求：</w:t>
      </w:r>
    </w:p>
    <w:p>
      <w:pPr>
        <w:keepNext w:val="0"/>
        <w:keepLines w:val="0"/>
        <w:pageBreakBefore w:val="0"/>
        <w:widowControl w:val="0"/>
        <w:kinsoku/>
        <w:wordWrap/>
        <w:overflowPunct/>
        <w:topLinePunct w:val="0"/>
        <w:autoSpaceDE/>
        <w:autoSpaceDN/>
        <w:bidi w:val="0"/>
        <w:adjustRightInd/>
        <w:snapToGrid w:val="0"/>
        <w:spacing w:line="360" w:lineRule="auto"/>
        <w:ind w:left="382" w:leftChars="-58" w:hanging="521" w:hangingChars="247"/>
        <w:jc w:val="both"/>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（1）作为</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资格条件证明的业绩放置在此处。</w:t>
      </w:r>
    </w:p>
    <w:p>
      <w:pPr>
        <w:keepNext w:val="0"/>
        <w:keepLines w:val="0"/>
        <w:pageBreakBefore w:val="0"/>
        <w:widowControl w:val="0"/>
        <w:kinsoku/>
        <w:wordWrap/>
        <w:overflowPunct/>
        <w:topLinePunct w:val="0"/>
        <w:autoSpaceDE/>
        <w:autoSpaceDN/>
        <w:bidi w:val="0"/>
        <w:adjustRightInd/>
        <w:snapToGrid w:val="0"/>
        <w:spacing w:line="360" w:lineRule="auto"/>
        <w:ind w:left="382" w:leftChars="-58" w:hanging="521" w:hangingChars="247"/>
        <w:jc w:val="both"/>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（2）业绩必须附合同复印件。若合同无法反映合同签订时间、合同服务内容的，还需提供服务购买方出具的书面补充情况说明文件复印件作为辅助证明。</w:t>
      </w:r>
    </w:p>
    <w:p>
      <w:pPr>
        <w:keepNext w:val="0"/>
        <w:keepLines w:val="0"/>
        <w:pageBreakBefore w:val="0"/>
        <w:widowControl w:val="0"/>
        <w:kinsoku/>
        <w:wordWrap/>
        <w:overflowPunct/>
        <w:topLinePunct w:val="0"/>
        <w:autoSpaceDE/>
        <w:autoSpaceDN/>
        <w:bidi w:val="0"/>
        <w:adjustRightInd/>
        <w:snapToGrid w:val="0"/>
        <w:spacing w:line="360" w:lineRule="auto"/>
        <w:ind w:left="344" w:leftChars="-58" w:hanging="483" w:hangingChars="229"/>
        <w:jc w:val="both"/>
        <w:textAlignment w:val="auto"/>
        <w:outlineLvl w:val="9"/>
        <w:rPr>
          <w:rFonts w:hint="eastAsia" w:ascii="宋体" w:hAnsi="宋体" w:eastAsia="宋体" w:cs="宋体"/>
          <w:b/>
          <w:color w:val="auto"/>
          <w:sz w:val="21"/>
          <w:szCs w:val="21"/>
          <w:highlight w:val="none"/>
          <w:lang w:val="zh-CN"/>
        </w:rPr>
      </w:pPr>
      <w:bookmarkStart w:id="428" w:name="_Toc24862"/>
      <w:bookmarkStart w:id="429" w:name="_Toc12931"/>
      <w:bookmarkStart w:id="430" w:name="_Toc20010"/>
      <w:r>
        <w:rPr>
          <w:rFonts w:hint="eastAsia" w:ascii="宋体" w:hAnsi="宋体" w:eastAsia="宋体" w:cs="宋体"/>
          <w:b/>
          <w:color w:val="auto"/>
          <w:sz w:val="21"/>
          <w:szCs w:val="21"/>
          <w:highlight w:val="none"/>
          <w:lang w:val="zh-CN"/>
        </w:rPr>
        <w:t>（3）</w:t>
      </w:r>
      <w:r>
        <w:rPr>
          <w:rFonts w:hint="eastAsia" w:ascii="宋体" w:hAnsi="宋体" w:cs="宋体"/>
          <w:b/>
          <w:color w:val="auto"/>
          <w:sz w:val="21"/>
          <w:szCs w:val="21"/>
          <w:highlight w:val="none"/>
          <w:u w:val="single"/>
          <w:lang w:val="en-US" w:eastAsia="zh-CN"/>
        </w:rPr>
        <w:t>合同业绩证明材料必须满足下列条件：①合同签订日期为</w:t>
      </w:r>
      <w:r>
        <w:rPr>
          <w:rFonts w:hint="eastAsia" w:ascii="宋体" w:hAnsi="宋体" w:eastAsia="宋体" w:cs="宋体"/>
          <w:b/>
          <w:color w:val="auto"/>
          <w:sz w:val="21"/>
          <w:szCs w:val="21"/>
          <w:highlight w:val="none"/>
          <w:u w:val="single"/>
          <w:lang w:val="zh-CN" w:eastAsia="zh-CN"/>
        </w:rPr>
        <w:t>2022年1月1日或以后</w:t>
      </w:r>
      <w:r>
        <w:rPr>
          <w:rFonts w:hint="eastAsia" w:ascii="宋体" w:hAnsi="宋体" w:cs="宋体"/>
          <w:b/>
          <w:color w:val="auto"/>
          <w:sz w:val="21"/>
          <w:szCs w:val="21"/>
          <w:highlight w:val="none"/>
          <w:u w:val="single"/>
          <w:lang w:val="zh-CN" w:eastAsia="zh-CN"/>
        </w:rPr>
        <w:t>；</w:t>
      </w:r>
      <w:r>
        <w:rPr>
          <w:rFonts w:hint="eastAsia" w:ascii="宋体" w:hAnsi="宋体" w:cs="宋体"/>
          <w:b/>
          <w:color w:val="auto"/>
          <w:sz w:val="21"/>
          <w:szCs w:val="21"/>
          <w:highlight w:val="none"/>
          <w:u w:val="single"/>
          <w:lang w:val="en-US" w:eastAsia="zh-CN"/>
        </w:rPr>
        <w:t>②合同服务内容须为资产审计或清算审计或财税咨询</w:t>
      </w:r>
      <w:r>
        <w:rPr>
          <w:rFonts w:hint="eastAsia" w:ascii="宋体" w:hAnsi="宋体" w:eastAsia="宋体" w:cs="宋体"/>
          <w:b/>
          <w:color w:val="auto"/>
          <w:sz w:val="21"/>
          <w:szCs w:val="21"/>
          <w:highlight w:val="none"/>
          <w:lang w:val="zh-CN"/>
        </w:rPr>
        <w:t>。</w:t>
      </w:r>
    </w:p>
    <w:p>
      <w:pPr>
        <w:keepNext w:val="0"/>
        <w:keepLines w:val="0"/>
        <w:pageBreakBefore w:val="0"/>
        <w:widowControl w:val="0"/>
        <w:kinsoku/>
        <w:wordWrap/>
        <w:overflowPunct/>
        <w:topLinePunct w:val="0"/>
        <w:autoSpaceDE/>
        <w:autoSpaceDN/>
        <w:bidi w:val="0"/>
        <w:adjustRightInd/>
        <w:snapToGrid w:val="0"/>
        <w:spacing w:line="360" w:lineRule="auto"/>
        <w:ind w:left="382" w:leftChars="-58" w:hanging="521" w:hangingChars="247"/>
        <w:jc w:val="both"/>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lang w:val="zh-CN"/>
        </w:rPr>
        <w:t>（</w:t>
      </w: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val="zh-CN"/>
        </w:rPr>
        <w:t>）</w:t>
      </w:r>
      <w:bookmarkEnd w:id="428"/>
      <w:bookmarkEnd w:id="429"/>
      <w:bookmarkEnd w:id="430"/>
      <w:r>
        <w:rPr>
          <w:rFonts w:hint="eastAsia" w:ascii="宋体" w:hAnsi="宋体" w:eastAsia="宋体" w:cs="宋体"/>
          <w:b/>
          <w:color w:val="auto"/>
          <w:sz w:val="21"/>
          <w:szCs w:val="21"/>
          <w:highlight w:val="none"/>
          <w:u w:val="none"/>
          <w:lang w:val="zh-CN"/>
        </w:rPr>
        <w:t>未按上述要求在此格式下提供证明材料的业绩，或在此格式下所附材料无法证明符合资格要求的业绩，按无效</w:t>
      </w:r>
      <w:r>
        <w:rPr>
          <w:rFonts w:hint="eastAsia" w:ascii="宋体" w:hAnsi="宋体" w:eastAsia="宋体" w:cs="宋体"/>
          <w:b/>
          <w:color w:val="auto"/>
          <w:sz w:val="21"/>
          <w:szCs w:val="21"/>
          <w:highlight w:val="none"/>
          <w:u w:val="none"/>
          <w:lang w:val="en-US" w:eastAsia="zh-CN"/>
        </w:rPr>
        <w:t>响应</w:t>
      </w:r>
      <w:r>
        <w:rPr>
          <w:rFonts w:hint="eastAsia" w:ascii="宋体" w:hAnsi="宋体" w:eastAsia="宋体" w:cs="宋体"/>
          <w:b/>
          <w:color w:val="auto"/>
          <w:sz w:val="21"/>
          <w:szCs w:val="21"/>
          <w:highlight w:val="none"/>
          <w:u w:val="none"/>
          <w:lang w:val="zh-CN"/>
        </w:rPr>
        <w:t>文件处理</w:t>
      </w:r>
      <w:r>
        <w:rPr>
          <w:rFonts w:hint="eastAsia" w:ascii="宋体" w:hAnsi="宋体" w:eastAsia="宋体" w:cs="宋体"/>
          <w:b/>
          <w:color w:val="auto"/>
          <w:sz w:val="21"/>
          <w:szCs w:val="21"/>
          <w:highlight w:val="none"/>
          <w:lang w:val="zh-CN"/>
        </w:rPr>
        <w:t>。</w:t>
      </w:r>
    </w:p>
    <w:p>
      <w:pPr>
        <w:tabs>
          <w:tab w:val="left" w:pos="567"/>
        </w:tabs>
        <w:rPr>
          <w:rFonts w:hint="eastAsia" w:ascii="宋体" w:hAnsi="宋体" w:eastAsia="宋体" w:cs="宋体"/>
          <w:color w:val="auto"/>
          <w:highlight w:val="none"/>
        </w:rPr>
      </w:pPr>
    </w:p>
    <w:p>
      <w:pPr>
        <w:pStyle w:val="73"/>
        <w:rPr>
          <w:rFonts w:hint="eastAsia" w:ascii="宋体" w:hAnsi="宋体" w:eastAsia="宋体" w:cs="宋体"/>
          <w:color w:val="auto"/>
          <w:highlight w:val="none"/>
        </w:rPr>
      </w:pPr>
    </w:p>
    <w:p>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bCs/>
          <w:color w:val="auto"/>
          <w:kern w:val="2"/>
          <w:sz w:val="30"/>
          <w:szCs w:val="30"/>
          <w:highlight w:val="none"/>
          <w:lang w:val="zh-CN"/>
        </w:rPr>
      </w:pPr>
      <w:bookmarkStart w:id="431" w:name="_Toc21843"/>
      <w:bookmarkStart w:id="432" w:name="_Toc8121"/>
      <w:bookmarkStart w:id="433" w:name="_Toc7508"/>
      <w:bookmarkStart w:id="434" w:name="_Toc5098074"/>
      <w:bookmarkStart w:id="435" w:name="_Toc521918324"/>
      <w:bookmarkStart w:id="436" w:name="_Toc54334012"/>
      <w:bookmarkStart w:id="437" w:name="_Toc522047386"/>
      <w:bookmarkStart w:id="438" w:name="_Toc19008830"/>
      <w:bookmarkStart w:id="439" w:name="_Toc79146603"/>
      <w:bookmarkStart w:id="440" w:name="_Toc521576306"/>
      <w:bookmarkStart w:id="441" w:name="_Toc56076629"/>
      <w:bookmarkStart w:id="442" w:name="_Toc1123957"/>
      <w:bookmarkStart w:id="443" w:name="_Toc38982595"/>
      <w:bookmarkStart w:id="444" w:name="_Toc532576770"/>
      <w:bookmarkStart w:id="445" w:name="_Toc521918127"/>
      <w:bookmarkStart w:id="446" w:name="_Toc40288704"/>
      <w:r>
        <w:rPr>
          <w:rFonts w:hint="eastAsia" w:ascii="宋体" w:hAnsi="宋体" w:eastAsia="宋体" w:cs="宋体"/>
          <w:b/>
          <w:color w:val="auto"/>
          <w:kern w:val="0"/>
          <w:sz w:val="30"/>
          <w:szCs w:val="30"/>
          <w:highlight w:val="none"/>
        </w:rPr>
        <w:t>5.</w:t>
      </w:r>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 xml:space="preserve"> 最近3年</w:t>
      </w:r>
      <w:r>
        <w:rPr>
          <w:rFonts w:hint="eastAsia" w:ascii="宋体" w:hAnsi="宋体" w:eastAsia="宋体" w:cs="宋体"/>
          <w:b/>
          <w:color w:val="auto"/>
          <w:kern w:val="0"/>
          <w:sz w:val="30"/>
          <w:szCs w:val="30"/>
          <w:highlight w:val="none"/>
          <w:lang w:val="en-US" w:eastAsia="zh-CN"/>
        </w:rPr>
        <w:t>供应商</w:t>
      </w:r>
      <w:r>
        <w:rPr>
          <w:rFonts w:hint="eastAsia" w:ascii="宋体" w:hAnsi="宋体" w:eastAsia="宋体" w:cs="宋体"/>
          <w:b/>
          <w:color w:val="auto"/>
          <w:kern w:val="0"/>
          <w:sz w:val="30"/>
          <w:szCs w:val="30"/>
          <w:highlight w:val="none"/>
        </w:rPr>
        <w:t>牵涉的其他（失信和违法）处罚说明格式</w:t>
      </w:r>
      <w:bookmarkEnd w:id="431"/>
      <w:bookmarkEnd w:id="432"/>
      <w:bookmarkEnd w:id="433"/>
    </w:p>
    <w:p>
      <w:pPr>
        <w:keepNext w:val="0"/>
        <w:keepLines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30"/>
          <w:szCs w:val="30"/>
          <w:highlight w:val="none"/>
        </w:rPr>
      </w:pPr>
      <w:r>
        <w:rPr>
          <w:rFonts w:hint="eastAsia" w:ascii="宋体" w:hAnsi="宋体" w:eastAsia="宋体" w:cs="宋体"/>
          <w:b/>
          <w:color w:val="auto"/>
          <w:kern w:val="0"/>
          <w:sz w:val="30"/>
          <w:szCs w:val="30"/>
          <w:highlight w:val="none"/>
        </w:rPr>
        <w:t>最近3年</w:t>
      </w:r>
      <w:r>
        <w:rPr>
          <w:rFonts w:hint="eastAsia" w:ascii="宋体" w:hAnsi="宋体" w:eastAsia="宋体" w:cs="宋体"/>
          <w:b/>
          <w:color w:val="auto"/>
          <w:kern w:val="0"/>
          <w:sz w:val="30"/>
          <w:szCs w:val="30"/>
          <w:highlight w:val="none"/>
          <w:lang w:val="en-US" w:eastAsia="zh-CN"/>
        </w:rPr>
        <w:t>供应商</w:t>
      </w:r>
      <w:r>
        <w:rPr>
          <w:rFonts w:hint="eastAsia" w:ascii="宋体" w:hAnsi="宋体" w:eastAsia="宋体" w:cs="宋体"/>
          <w:b/>
          <w:color w:val="auto"/>
          <w:kern w:val="0"/>
          <w:sz w:val="30"/>
          <w:szCs w:val="30"/>
          <w:highlight w:val="none"/>
        </w:rPr>
        <w:t>牵涉的其他（失信和违法）</w:t>
      </w:r>
      <w:r>
        <w:rPr>
          <w:rFonts w:hint="eastAsia" w:ascii="宋体" w:hAnsi="宋体" w:eastAsia="宋体" w:cs="宋体"/>
          <w:b/>
          <w:bCs/>
          <w:color w:val="auto"/>
          <w:kern w:val="2"/>
          <w:sz w:val="30"/>
          <w:szCs w:val="30"/>
          <w:highlight w:val="none"/>
          <w:lang w:val="zh-CN"/>
        </w:rPr>
        <w:t>处罚说明</w:t>
      </w:r>
    </w:p>
    <w:bookmarkEnd w:id="434"/>
    <w:bookmarkEnd w:id="435"/>
    <w:bookmarkEnd w:id="436"/>
    <w:bookmarkEnd w:id="437"/>
    <w:bookmarkEnd w:id="438"/>
    <w:bookmarkEnd w:id="439"/>
    <w:bookmarkEnd w:id="440"/>
    <w:bookmarkEnd w:id="441"/>
    <w:bookmarkEnd w:id="442"/>
    <w:bookmarkEnd w:id="443"/>
    <w:bookmarkEnd w:id="444"/>
    <w:bookmarkEnd w:id="445"/>
    <w:bookmarkEnd w:id="446"/>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4"/>
        <w:gridCol w:w="1564"/>
        <w:gridCol w:w="2355"/>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604"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         事项名称</w:t>
            </w:r>
          </w:p>
        </w:tc>
        <w:tc>
          <w:tcPr>
            <w:tcW w:w="15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认定时间</w:t>
            </w:r>
          </w:p>
        </w:tc>
        <w:tc>
          <w:tcPr>
            <w:tcW w:w="235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处罚期满时间/异常名录信息失效时间</w:t>
            </w:r>
          </w:p>
        </w:tc>
        <w:tc>
          <w:tcPr>
            <w:tcW w:w="14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604"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是否被认定为失信被执行人</w:t>
            </w:r>
          </w:p>
        </w:tc>
        <w:tc>
          <w:tcPr>
            <w:tcW w:w="15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235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14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604"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是否被认定为</w:t>
            </w:r>
            <w:r>
              <w:rPr>
                <w:rFonts w:hint="eastAsia" w:ascii="宋体" w:hAnsi="宋体" w:eastAsia="宋体" w:cs="宋体"/>
                <w:color w:val="auto"/>
                <w:sz w:val="21"/>
                <w:szCs w:val="21"/>
                <w:highlight w:val="none"/>
                <w:shd w:val="clear" w:color="auto" w:fill="FFFFFF"/>
                <w:lang w:val="zh-CN"/>
              </w:rPr>
              <w:t>重大税收违法失信主体</w:t>
            </w:r>
          </w:p>
        </w:tc>
        <w:tc>
          <w:tcPr>
            <w:tcW w:w="15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235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14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604"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是否被认定为</w:t>
            </w:r>
            <w:r>
              <w:rPr>
                <w:rFonts w:hint="eastAsia" w:ascii="宋体" w:hAnsi="宋体" w:eastAsia="宋体" w:cs="宋体"/>
                <w:color w:val="auto"/>
                <w:sz w:val="21"/>
                <w:szCs w:val="21"/>
                <w:highlight w:val="none"/>
                <w:shd w:val="clear" w:color="auto" w:fill="FFFFFF"/>
                <w:lang w:eastAsia="zh-CN"/>
              </w:rPr>
              <w:t>政府采购严重违法失信行为记录名单</w:t>
            </w:r>
          </w:p>
        </w:tc>
        <w:tc>
          <w:tcPr>
            <w:tcW w:w="15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235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14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r>
    </w:tbl>
    <w:p>
      <w:pPr>
        <w:spacing w:line="360" w:lineRule="auto"/>
        <w:rPr>
          <w:rFonts w:hint="eastAsia" w:ascii="宋体" w:hAnsi="宋体" w:eastAsia="宋体" w:cs="宋体"/>
          <w:color w:val="auto"/>
          <w:sz w:val="21"/>
          <w:szCs w:val="21"/>
          <w:highlight w:val="none"/>
          <w:shd w:val="clear" w:color="auto" w:fill="FFFFFF"/>
        </w:rPr>
      </w:pPr>
    </w:p>
    <w:p>
      <w:pPr>
        <w:autoSpaceDE w:val="0"/>
        <w:autoSpaceDN w:val="0"/>
        <w:adjustRightInd w:val="0"/>
        <w:spacing w:line="360" w:lineRule="auto"/>
        <w:jc w:val="left"/>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shd w:val="clear" w:color="auto" w:fill="FFFFFF"/>
        </w:rPr>
        <w:t>备注：根据</w:t>
      </w:r>
      <w:r>
        <w:rPr>
          <w:rFonts w:hint="eastAsia" w:ascii="宋体" w:hAnsi="宋体" w:eastAsia="宋体" w:cs="宋体"/>
          <w:color w:val="auto"/>
          <w:sz w:val="21"/>
          <w:szCs w:val="21"/>
          <w:highlight w:val="none"/>
          <w:shd w:val="clear" w:color="auto" w:fill="FFFFFF"/>
          <w:lang w:eastAsia="zh-CN"/>
        </w:rPr>
        <w:t>供应商</w:t>
      </w:r>
      <w:r>
        <w:rPr>
          <w:rFonts w:hint="eastAsia" w:ascii="宋体" w:hAnsi="宋体" w:eastAsia="宋体" w:cs="宋体"/>
          <w:color w:val="auto"/>
          <w:sz w:val="21"/>
          <w:szCs w:val="21"/>
          <w:highlight w:val="none"/>
          <w:shd w:val="clear" w:color="auto" w:fill="FFFFFF"/>
        </w:rPr>
        <w:t>及其不具有</w:t>
      </w:r>
      <w:r>
        <w:rPr>
          <w:rFonts w:hint="eastAsia" w:ascii="宋体" w:hAnsi="宋体" w:eastAsia="宋体" w:cs="宋体"/>
          <w:color w:val="auto"/>
          <w:kern w:val="0"/>
          <w:sz w:val="21"/>
          <w:szCs w:val="21"/>
          <w:highlight w:val="none"/>
        </w:rPr>
        <w:t>独立</w:t>
      </w:r>
      <w:r>
        <w:rPr>
          <w:rFonts w:hint="eastAsia" w:ascii="宋体" w:hAnsi="宋体" w:eastAsia="宋体" w:cs="宋体"/>
          <w:color w:val="auto"/>
          <w:sz w:val="21"/>
          <w:szCs w:val="21"/>
          <w:highlight w:val="none"/>
          <w:shd w:val="clear" w:color="auto" w:fill="FFFFFF"/>
        </w:rPr>
        <w:t>法人资格的分支机构的实际情况自行编写，无相关事项的，在 “认定时间”列填“无”；若受到相关处罚的应附处罚相关材料复印件</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若出现相关处罚的处罚期满,但处罚公示没有及时更新的情况</w:t>
      </w:r>
      <w:r>
        <w:rPr>
          <w:rFonts w:hint="eastAsia" w:ascii="宋体" w:hAnsi="宋体" w:eastAsia="宋体" w:cs="宋体"/>
          <w:color w:val="auto"/>
          <w:sz w:val="21"/>
          <w:szCs w:val="21"/>
          <w:highlight w:val="none"/>
          <w:shd w:val="clear" w:color="auto" w:fill="FFFFFF"/>
          <w:lang w:eastAsia="zh-CN"/>
        </w:rPr>
        <w:t>，供应商</w:t>
      </w:r>
      <w:r>
        <w:rPr>
          <w:rFonts w:hint="eastAsia" w:ascii="宋体" w:hAnsi="宋体" w:eastAsia="宋体" w:cs="宋体"/>
          <w:color w:val="auto"/>
          <w:sz w:val="21"/>
          <w:szCs w:val="21"/>
          <w:highlight w:val="none"/>
          <w:shd w:val="clear" w:color="auto" w:fill="FFFFFF"/>
        </w:rPr>
        <w:t>须提供相关材料(复印件)佐证</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需原件备查</w:t>
      </w:r>
      <w:r>
        <w:rPr>
          <w:rFonts w:hint="eastAsia" w:ascii="宋体" w:hAnsi="宋体" w:eastAsia="宋体" w:cs="宋体"/>
          <w:color w:val="auto"/>
          <w:kern w:val="2"/>
          <w:sz w:val="21"/>
          <w:szCs w:val="21"/>
          <w:highlight w:val="none"/>
          <w:lang w:val="zh-CN"/>
        </w:rPr>
        <w:t>。</w:t>
      </w:r>
    </w:p>
    <w:p>
      <w:pPr>
        <w:spacing w:line="360" w:lineRule="auto"/>
        <w:rPr>
          <w:rFonts w:hint="eastAsia" w:ascii="宋体" w:hAnsi="宋体" w:eastAsia="宋体" w:cs="宋体"/>
          <w:color w:val="auto"/>
          <w:kern w:val="2"/>
          <w:sz w:val="21"/>
          <w:szCs w:val="21"/>
          <w:highlight w:val="none"/>
          <w:lang w:val="zh-CN"/>
        </w:rPr>
      </w:pPr>
    </w:p>
    <w:p>
      <w:pPr>
        <w:spacing w:line="360" w:lineRule="auto"/>
        <w:rPr>
          <w:rFonts w:hint="eastAsia" w:ascii="宋体" w:hAnsi="宋体" w:eastAsia="宋体" w:cs="宋体"/>
          <w:color w:val="auto"/>
          <w:kern w:val="2"/>
          <w:sz w:val="21"/>
          <w:szCs w:val="21"/>
          <w:highlight w:val="none"/>
          <w:lang w:val="zh-CN"/>
        </w:rPr>
      </w:pPr>
    </w:p>
    <w:p>
      <w:pPr>
        <w:spacing w:line="360" w:lineRule="auto"/>
        <w:rPr>
          <w:rFonts w:hint="eastAsia" w:ascii="宋体" w:hAnsi="宋体" w:eastAsia="宋体" w:cs="宋体"/>
          <w:color w:val="auto"/>
          <w:sz w:val="21"/>
          <w:szCs w:val="21"/>
          <w:highlight w:val="none"/>
          <w:shd w:val="clear" w:color="auto" w:fill="FFFFFF"/>
        </w:rPr>
      </w:pPr>
    </w:p>
    <w:p>
      <w:pPr>
        <w:spacing w:line="360" w:lineRule="auto"/>
        <w:jc w:val="center"/>
        <w:rPr>
          <w:rFonts w:hint="eastAsia" w:ascii="宋体" w:hAnsi="宋体" w:eastAsia="宋体" w:cs="宋体"/>
          <w:color w:val="auto"/>
          <w:highlight w:val="none"/>
        </w:rPr>
      </w:pPr>
    </w:p>
    <w:p>
      <w:pPr>
        <w:autoSpaceDE/>
        <w:autoSpaceDN/>
        <w:adjustRightInd/>
        <w:spacing w:line="360" w:lineRule="auto"/>
        <w:ind w:right="420" w:firstLine="4410" w:firstLineChars="21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供应商：</w:t>
      </w:r>
      <w:r>
        <w:rPr>
          <w:rFonts w:hint="eastAsia" w:ascii="宋体" w:hAnsi="宋体" w:eastAsia="宋体" w:cs="宋体"/>
          <w:color w:val="auto"/>
          <w:sz w:val="21"/>
          <w:szCs w:val="21"/>
          <w:highlight w:val="none"/>
          <w:lang w:val="zh-CN"/>
        </w:rPr>
        <w:t>（加盖供应商公章）</w:t>
      </w:r>
    </w:p>
    <w:p>
      <w:pPr>
        <w:keepNext w:val="0"/>
        <w:keepLines w:val="0"/>
        <w:pageBreakBefore w:val="0"/>
        <w:widowControl w:val="0"/>
        <w:kinsoku/>
        <w:wordWrap/>
        <w:overflowPunct/>
        <w:topLinePunct w:val="0"/>
        <w:autoSpaceDE w:val="0"/>
        <w:autoSpaceDN w:val="0"/>
        <w:bidi w:val="0"/>
        <w:adjustRightInd w:val="0"/>
        <w:snapToGrid/>
        <w:spacing w:line="360" w:lineRule="auto"/>
        <w:ind w:right="896" w:firstLine="2835" w:firstLineChars="135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               日  期：   年  月  日</w:t>
      </w:r>
    </w:p>
    <w:p>
      <w:pPr>
        <w:spacing w:line="360" w:lineRule="auto"/>
        <w:rPr>
          <w:rFonts w:hint="eastAsia" w:ascii="宋体" w:hAnsi="宋体" w:eastAsia="宋体" w:cs="宋体"/>
          <w:color w:val="auto"/>
          <w:kern w:val="2"/>
          <w:sz w:val="21"/>
          <w:szCs w:val="21"/>
          <w:highlight w:val="none"/>
          <w:lang w:val="zh-CN"/>
        </w:rPr>
      </w:pPr>
    </w:p>
    <w:p>
      <w:pPr>
        <w:spacing w:line="360" w:lineRule="auto"/>
        <w:rPr>
          <w:rFonts w:hint="eastAsia" w:ascii="宋体" w:hAnsi="宋体" w:eastAsia="宋体" w:cs="宋体"/>
          <w:color w:val="auto"/>
          <w:kern w:val="2"/>
          <w:sz w:val="21"/>
          <w:szCs w:val="21"/>
          <w:highlight w:val="none"/>
          <w:lang w:val="zh-CN"/>
        </w:rPr>
        <w:sectPr>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pPr>
    </w:p>
    <w:bookmarkEnd w:id="426"/>
    <w:bookmarkEnd w:id="427"/>
    <w:p>
      <w:pPr>
        <w:outlineLvl w:val="1"/>
        <w:rPr>
          <w:rFonts w:hint="eastAsia" w:ascii="宋体" w:hAnsi="宋体" w:eastAsia="宋体" w:cs="宋体"/>
          <w:b/>
          <w:color w:val="auto"/>
          <w:sz w:val="32"/>
          <w:szCs w:val="32"/>
          <w:highlight w:val="none"/>
        </w:rPr>
      </w:pPr>
      <w:bookmarkStart w:id="447" w:name="_Toc15557"/>
      <w:bookmarkStart w:id="448" w:name="_Toc54342745"/>
      <w:bookmarkStart w:id="449" w:name="_Toc14716"/>
      <w:bookmarkStart w:id="450" w:name="_Toc79146605"/>
      <w:bookmarkStart w:id="451" w:name="_Toc14938"/>
      <w:bookmarkStart w:id="452" w:name="_Toc1835"/>
      <w:bookmarkStart w:id="453" w:name="_Toc13178"/>
      <w:bookmarkStart w:id="454" w:name="_Toc193"/>
      <w:bookmarkStart w:id="455" w:name="_Toc23120"/>
      <w:bookmarkStart w:id="456" w:name="_Toc56076633"/>
      <w:bookmarkStart w:id="457" w:name="_Toc490169466"/>
      <w:bookmarkStart w:id="458" w:name="_Toc521918129"/>
      <w:bookmarkStart w:id="459" w:name="_Toc54334014"/>
      <w:bookmarkStart w:id="460" w:name="_Toc5098076"/>
      <w:bookmarkStart w:id="461" w:name="_Toc497746566"/>
      <w:bookmarkStart w:id="462" w:name="_Toc19008832"/>
      <w:bookmarkStart w:id="463" w:name="_Toc495907136"/>
      <w:bookmarkStart w:id="464" w:name="_Toc1123959"/>
      <w:r>
        <w:rPr>
          <w:rFonts w:hint="eastAsia" w:ascii="宋体" w:hAnsi="宋体" w:eastAsia="宋体" w:cs="宋体"/>
          <w:b/>
          <w:color w:val="auto"/>
          <w:kern w:val="2"/>
          <w:sz w:val="32"/>
          <w:szCs w:val="32"/>
          <w:highlight w:val="none"/>
          <w:lang w:val="en-US" w:eastAsia="zh-CN"/>
        </w:rPr>
        <w:t>六</w:t>
      </w:r>
      <w:r>
        <w:rPr>
          <w:rFonts w:hint="eastAsia" w:ascii="宋体" w:hAnsi="宋体" w:eastAsia="宋体" w:cs="宋体"/>
          <w:b/>
          <w:color w:val="auto"/>
          <w:sz w:val="32"/>
          <w:szCs w:val="32"/>
          <w:highlight w:val="none"/>
        </w:rPr>
        <w:t>、供应商基本情况一览表</w:t>
      </w:r>
      <w:bookmarkEnd w:id="447"/>
      <w:bookmarkEnd w:id="448"/>
      <w:bookmarkEnd w:id="449"/>
      <w:bookmarkEnd w:id="450"/>
      <w:bookmarkEnd w:id="451"/>
      <w:bookmarkEnd w:id="452"/>
      <w:bookmarkEnd w:id="453"/>
      <w:bookmarkEnd w:id="454"/>
      <w:bookmarkEnd w:id="455"/>
    </w:p>
    <w:p>
      <w:pPr>
        <w:keepNext w:val="0"/>
        <w:keepLines w:val="0"/>
        <w:pageBreakBefore w:val="0"/>
        <w:widowControl w:val="0"/>
        <w:kinsoku/>
        <w:wordWrap/>
        <w:overflowPunct/>
        <w:topLinePunct w:val="0"/>
        <w:autoSpaceDE w:val="0"/>
        <w:autoSpaceDN w:val="0"/>
        <w:bidi w:val="0"/>
        <w:adjustRightInd w:val="0"/>
        <w:snapToGrid/>
        <w:spacing w:before="327" w:beforeLines="100" w:line="360" w:lineRule="auto"/>
        <w:jc w:val="center"/>
        <w:textAlignment w:val="auto"/>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zh-CN"/>
        </w:rPr>
        <w:t>供应商基本情况一览表</w:t>
      </w:r>
    </w:p>
    <w:p>
      <w:pPr>
        <w:snapToGrid w:val="0"/>
        <w:spacing w:line="360" w:lineRule="auto"/>
        <w:ind w:firstLine="315" w:firstLineChars="15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1、名称及概况：</w:t>
      </w:r>
    </w:p>
    <w:p>
      <w:pPr>
        <w:autoSpaceDE/>
        <w:autoSpaceDN/>
        <w:snapToGrid w:val="0"/>
        <w:spacing w:line="360" w:lineRule="auto"/>
        <w:ind w:firstLine="210" w:firstLineChars="100"/>
        <w:rPr>
          <w:rFonts w:hint="eastAsia"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（1）供应商名称：</w:t>
      </w:r>
      <w:r>
        <w:rPr>
          <w:rFonts w:hint="eastAsia" w:ascii="宋体" w:hAnsi="宋体" w:eastAsia="宋体" w:cs="宋体"/>
          <w:color w:val="auto"/>
          <w:kern w:val="2"/>
          <w:sz w:val="21"/>
          <w:highlight w:val="none"/>
          <w:u w:val="single"/>
          <w:lang w:val="en-US" w:eastAsia="zh-CN"/>
        </w:rPr>
        <w:t xml:space="preserve">                                       </w:t>
      </w:r>
    </w:p>
    <w:p>
      <w:pPr>
        <w:autoSpaceDE/>
        <w:autoSpaceDN/>
        <w:snapToGrid w:val="0"/>
        <w:spacing w:line="360" w:lineRule="auto"/>
        <w:ind w:firstLine="210" w:firstLineChars="100"/>
        <w:rPr>
          <w:rFonts w:hint="eastAsia"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（2）总部地址：</w:t>
      </w:r>
      <w:r>
        <w:rPr>
          <w:rFonts w:hint="eastAsia" w:ascii="宋体" w:hAnsi="宋体" w:eastAsia="宋体" w:cs="宋体"/>
          <w:color w:val="auto"/>
          <w:kern w:val="2"/>
          <w:sz w:val="21"/>
          <w:highlight w:val="none"/>
          <w:u w:val="single"/>
          <w:lang w:val="en-US" w:eastAsia="zh-CN"/>
        </w:rPr>
        <w:t xml:space="preserve">                                         </w:t>
      </w:r>
    </w:p>
    <w:p>
      <w:pPr>
        <w:spacing w:line="360" w:lineRule="auto"/>
        <w:ind w:firstLine="735" w:firstLineChars="350"/>
        <w:jc w:val="both"/>
        <w:rPr>
          <w:rFonts w:hint="eastAsia"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邮政编码：</w:t>
      </w:r>
      <w:r>
        <w:rPr>
          <w:rFonts w:hint="eastAsia" w:ascii="宋体" w:hAnsi="宋体" w:eastAsia="宋体" w:cs="宋体"/>
          <w:color w:val="auto"/>
          <w:kern w:val="2"/>
          <w:sz w:val="21"/>
          <w:highlight w:val="none"/>
          <w:u w:val="single"/>
          <w:lang w:val="en-US" w:eastAsia="zh-CN"/>
        </w:rPr>
        <w:t xml:space="preserve">                                         </w:t>
      </w:r>
    </w:p>
    <w:p>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电话号码：_________________________________________</w:t>
      </w:r>
    </w:p>
    <w:p>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传真号码：_________________________________________</w:t>
      </w:r>
    </w:p>
    <w:p>
      <w:pPr>
        <w:autoSpaceDE/>
        <w:autoSpaceDN/>
        <w:snapToGrid w:val="0"/>
        <w:spacing w:line="360" w:lineRule="auto"/>
        <w:ind w:firstLine="210" w:firstLineChars="100"/>
        <w:rPr>
          <w:rFonts w:hint="eastAsia"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（3）成立</w:t>
      </w:r>
      <w:r>
        <w:rPr>
          <w:rFonts w:hint="eastAsia" w:ascii="宋体" w:hAnsi="宋体" w:eastAsia="宋体" w:cs="宋体"/>
          <w:color w:val="auto"/>
          <w:kern w:val="2"/>
          <w:sz w:val="21"/>
          <w:highlight w:val="none"/>
          <w:lang w:val="en-US" w:eastAsia="zh-CN"/>
        </w:rPr>
        <w:t>和/</w:t>
      </w:r>
      <w:r>
        <w:rPr>
          <w:rFonts w:hint="eastAsia" w:ascii="宋体" w:hAnsi="宋体" w:eastAsia="宋体" w:cs="宋体"/>
          <w:color w:val="auto"/>
          <w:kern w:val="2"/>
          <w:sz w:val="21"/>
          <w:highlight w:val="none"/>
          <w:lang w:val="zh-CN"/>
        </w:rPr>
        <w:t>或注册日期：</w:t>
      </w:r>
      <w:r>
        <w:rPr>
          <w:rFonts w:hint="eastAsia" w:ascii="宋体" w:hAnsi="宋体" w:eastAsia="宋体" w:cs="宋体"/>
          <w:color w:val="auto"/>
          <w:kern w:val="2"/>
          <w:sz w:val="21"/>
          <w:highlight w:val="none"/>
          <w:u w:val="single"/>
          <w:lang w:val="en-US" w:eastAsia="zh-CN"/>
        </w:rPr>
        <w:t xml:space="preserve">                                </w:t>
      </w:r>
    </w:p>
    <w:p>
      <w:pPr>
        <w:autoSpaceDE/>
        <w:autoSpaceDN/>
        <w:snapToGrid w:val="0"/>
        <w:spacing w:line="360" w:lineRule="auto"/>
        <w:ind w:firstLine="210" w:firstLineChars="100"/>
        <w:rPr>
          <w:rFonts w:hint="eastAsia"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（4）法定代表人/</w:t>
      </w:r>
      <w:r>
        <w:rPr>
          <w:rFonts w:hint="eastAsia" w:ascii="宋体" w:hAnsi="宋体" w:cs="宋体"/>
          <w:color w:val="auto"/>
          <w:kern w:val="2"/>
          <w:sz w:val="21"/>
          <w:highlight w:val="none"/>
          <w:lang w:val="zh-CN"/>
        </w:rPr>
        <w:t>执行事务合伙人</w:t>
      </w:r>
      <w:r>
        <w:rPr>
          <w:rFonts w:hint="eastAsia" w:ascii="宋体" w:hAnsi="宋体" w:eastAsia="宋体" w:cs="宋体"/>
          <w:color w:val="auto"/>
          <w:kern w:val="2"/>
          <w:sz w:val="21"/>
          <w:highlight w:val="none"/>
          <w:lang w:val="zh-CN"/>
        </w:rPr>
        <w:t>：</w:t>
      </w:r>
      <w:r>
        <w:rPr>
          <w:rFonts w:hint="eastAsia" w:ascii="宋体" w:hAnsi="宋体" w:eastAsia="宋体" w:cs="宋体"/>
          <w:color w:val="auto"/>
          <w:kern w:val="2"/>
          <w:sz w:val="21"/>
          <w:highlight w:val="none"/>
          <w:u w:val="single"/>
          <w:lang w:val="en-US" w:eastAsia="zh-CN"/>
        </w:rPr>
        <w:t xml:space="preserve">                                       </w:t>
      </w:r>
    </w:p>
    <w:p>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（5）开户银行：_________________________________________ </w:t>
      </w:r>
    </w:p>
    <w:p>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（6）开户账号：_________________________________________ </w:t>
      </w:r>
    </w:p>
    <w:p>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（7）注册资</w:t>
      </w:r>
      <w:r>
        <w:rPr>
          <w:rFonts w:hint="eastAsia" w:ascii="宋体" w:hAnsi="宋体" w:eastAsia="宋体" w:cs="宋体"/>
          <w:color w:val="auto"/>
          <w:kern w:val="2"/>
          <w:sz w:val="21"/>
          <w:highlight w:val="none"/>
          <w:lang w:val="en-US" w:eastAsia="zh-CN"/>
        </w:rPr>
        <w:t>金</w:t>
      </w:r>
      <w:r>
        <w:rPr>
          <w:rFonts w:hint="eastAsia" w:ascii="宋体" w:hAnsi="宋体" w:eastAsia="宋体" w:cs="宋体"/>
          <w:color w:val="auto"/>
          <w:kern w:val="2"/>
          <w:sz w:val="21"/>
          <w:highlight w:val="none"/>
          <w:lang w:val="zh-CN"/>
        </w:rPr>
        <w:t xml:space="preserve">：_________________________________________ </w:t>
      </w:r>
    </w:p>
    <w:p>
      <w:pPr>
        <w:autoSpaceDE/>
        <w:autoSpaceDN/>
        <w:snapToGrid w:val="0"/>
        <w:spacing w:line="360" w:lineRule="auto"/>
        <w:ind w:firstLine="210" w:firstLineChars="100"/>
        <w:rPr>
          <w:rFonts w:hint="eastAsia" w:ascii="宋体" w:hAnsi="宋体" w:eastAsia="宋体" w:cs="宋体"/>
          <w:color w:val="auto"/>
          <w:kern w:val="2"/>
          <w:sz w:val="21"/>
          <w:highlight w:val="none"/>
          <w:u w:val="single"/>
          <w:lang w:val="zh-CN"/>
        </w:rPr>
      </w:pPr>
      <w:r>
        <w:rPr>
          <w:rFonts w:hint="eastAsia" w:ascii="宋体" w:hAnsi="宋体" w:eastAsia="宋体" w:cs="宋体"/>
          <w:color w:val="auto"/>
          <w:kern w:val="2"/>
          <w:sz w:val="21"/>
          <w:highlight w:val="none"/>
          <w:lang w:val="zh-CN"/>
        </w:rPr>
        <w:t>（8）主要负责人姓名：___________________________________</w:t>
      </w:r>
    </w:p>
    <w:p>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（9）项目主要联系人（姓名、职务、</w:t>
      </w:r>
      <w:r>
        <w:rPr>
          <w:rFonts w:hint="eastAsia" w:ascii="宋体" w:hAnsi="宋体" w:eastAsia="宋体" w:cs="宋体"/>
          <w:color w:val="auto"/>
          <w:kern w:val="2"/>
          <w:sz w:val="21"/>
          <w:highlight w:val="none"/>
          <w:lang w:val="en-US" w:eastAsia="zh-CN"/>
        </w:rPr>
        <w:t>通讯</w:t>
      </w:r>
      <w:r>
        <w:rPr>
          <w:rFonts w:hint="eastAsia" w:ascii="宋体" w:hAnsi="宋体" w:eastAsia="宋体" w:cs="宋体"/>
          <w:color w:val="auto"/>
          <w:kern w:val="2"/>
          <w:sz w:val="21"/>
          <w:highlight w:val="none"/>
          <w:lang w:val="zh-CN"/>
        </w:rPr>
        <w:t>）：_______________</w:t>
      </w:r>
    </w:p>
    <w:p>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（10）在中国的代表的姓名和地址（如有）：________________</w:t>
      </w:r>
    </w:p>
    <w:p>
      <w:pPr>
        <w:snapToGrid w:val="0"/>
        <w:spacing w:line="360" w:lineRule="auto"/>
        <w:ind w:firstLine="315" w:firstLineChars="15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2、供征询之银行的名称和地址：__________________________</w:t>
      </w:r>
    </w:p>
    <w:p>
      <w:pPr>
        <w:snapToGrid w:val="0"/>
        <w:spacing w:line="360" w:lineRule="auto"/>
        <w:ind w:firstLine="315" w:firstLineChars="15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3、公司所隶属之国际集团名称（如果是）__________________</w:t>
      </w:r>
    </w:p>
    <w:p>
      <w:pPr>
        <w:snapToGrid w:val="0"/>
        <w:spacing w:line="360" w:lineRule="auto"/>
        <w:ind w:firstLine="315" w:firstLineChars="15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4、提交资料（包括但不限于组织架构、公司简介等）：</w:t>
      </w:r>
    </w:p>
    <w:p>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40"/>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（1）公司简介；</w:t>
      </w:r>
    </w:p>
    <w:p>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____________________________________________________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40"/>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（2）公司组织架构；</w:t>
      </w:r>
    </w:p>
    <w:p>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____________________________________________________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40"/>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（3）东莞市内设有分支机构情况介绍[应提供该分支机构的多证合一营业执照复印件等证明材料]（若无前述分支机构的无需介绍）。</w:t>
      </w:r>
    </w:p>
    <w:p>
      <w:pPr>
        <w:spacing w:line="360" w:lineRule="auto"/>
        <w:ind w:firstLine="420"/>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兹证明上述说明是真实、正确的，并提供了全部能提供的资料和数据，我们同意遵照贵方要求出示有关证明文件。</w:t>
      </w:r>
    </w:p>
    <w:p>
      <w:pPr>
        <w:spacing w:line="360" w:lineRule="auto"/>
        <w:ind w:firstLine="504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供应商：（加盖供应商公章）</w:t>
      </w:r>
    </w:p>
    <w:p>
      <w:pPr>
        <w:spacing w:line="360" w:lineRule="auto"/>
        <w:ind w:firstLine="5040"/>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日期：   年   月   日</w:t>
      </w:r>
    </w:p>
    <w:p>
      <w:pPr>
        <w:pStyle w:val="3"/>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465" w:name="_Toc14606"/>
      <w:bookmarkStart w:id="466" w:name="_Toc22780"/>
      <w:bookmarkStart w:id="467" w:name="_Toc25583"/>
      <w:bookmarkStart w:id="468" w:name="_Toc79146606"/>
      <w:bookmarkStart w:id="469" w:name="_Toc19838"/>
      <w:bookmarkStart w:id="470" w:name="_Toc17562"/>
      <w:bookmarkStart w:id="471" w:name="_Toc7954"/>
      <w:bookmarkStart w:id="472" w:name="_Toc20214"/>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财务状况表格式</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pPr>
        <w:spacing w:line="360" w:lineRule="auto"/>
        <w:jc w:val="center"/>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 xml:space="preserve">财务状况表 </w:t>
      </w:r>
    </w:p>
    <w:p>
      <w:pPr>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[价格单位：（人民币）元]</w:t>
      </w:r>
    </w:p>
    <w:tbl>
      <w:tblPr>
        <w:tblStyle w:val="5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  度</w:t>
            </w:r>
          </w:p>
        </w:tc>
        <w:tc>
          <w:tcPr>
            <w:tcW w:w="1944"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总资产（元）</w:t>
            </w:r>
          </w:p>
        </w:tc>
        <w:tc>
          <w:tcPr>
            <w:tcW w:w="194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净资产（元）</w:t>
            </w:r>
          </w:p>
        </w:tc>
        <w:tc>
          <w:tcPr>
            <w:tcW w:w="271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年营业额（元）</w:t>
            </w:r>
          </w:p>
        </w:tc>
        <w:tc>
          <w:tcPr>
            <w:tcW w:w="20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2022</w:t>
            </w:r>
          </w:p>
        </w:tc>
        <w:tc>
          <w:tcPr>
            <w:tcW w:w="1944"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194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71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0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2023</w:t>
            </w:r>
          </w:p>
        </w:tc>
        <w:tc>
          <w:tcPr>
            <w:tcW w:w="1944"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194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713" w:type="dxa"/>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0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2024</w:t>
            </w:r>
          </w:p>
        </w:tc>
        <w:tc>
          <w:tcPr>
            <w:tcW w:w="1944"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194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713" w:type="dxa"/>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0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总计</w:t>
            </w:r>
          </w:p>
        </w:tc>
        <w:tc>
          <w:tcPr>
            <w:tcW w:w="2713" w:type="dxa"/>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0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r>
    </w:tbl>
    <w:p>
      <w:pPr>
        <w:keepNext w:val="0"/>
        <w:keepLines w:val="0"/>
        <w:pageBreakBefore w:val="0"/>
        <w:widowControl w:val="0"/>
        <w:kinsoku/>
        <w:wordWrap/>
        <w:overflowPunct/>
        <w:topLinePunct w:val="0"/>
        <w:autoSpaceDE w:val="0"/>
        <w:autoSpaceDN w:val="0"/>
        <w:bidi w:val="0"/>
        <w:adjustRightInd w:val="0"/>
        <w:snapToGrid/>
        <w:spacing w:before="327" w:beforeLines="10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备注：需</w:t>
      </w:r>
      <w:r>
        <w:rPr>
          <w:rFonts w:hint="eastAsia" w:ascii="宋体" w:hAnsi="宋体" w:eastAsia="宋体" w:cs="宋体"/>
          <w:b w:val="0"/>
          <w:bCs w:val="0"/>
          <w:color w:val="auto"/>
          <w:sz w:val="21"/>
          <w:szCs w:val="21"/>
          <w:highlight w:val="none"/>
          <w:lang w:val="zh-CN"/>
        </w:rPr>
        <w:t>提供202</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zh-CN"/>
        </w:rPr>
        <w:t>年、202</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zh-CN"/>
        </w:rPr>
        <w:t>年、202</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zh-CN"/>
        </w:rPr>
        <w:t>年三个年度</w:t>
      </w:r>
      <w:r>
        <w:rPr>
          <w:rFonts w:hint="eastAsia" w:ascii="宋体" w:hAnsi="宋体" w:eastAsia="宋体" w:cs="宋体"/>
          <w:color w:val="auto"/>
          <w:sz w:val="21"/>
          <w:szCs w:val="21"/>
          <w:highlight w:val="none"/>
        </w:rPr>
        <w:t>对应</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经独立会计师事务所审计的审计报告及</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财务状况表；若</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为新成立或未进行独立会计师事务所审计的，本表中对应年度的财务信息应填写“/”，</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文件不作无效</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处理，但存在因不符合</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办法中的评分标准而导致对应项不得分。</w:t>
      </w:r>
    </w:p>
    <w:p>
      <w:pPr>
        <w:spacing w:line="360" w:lineRule="auto"/>
        <w:rPr>
          <w:rFonts w:hint="eastAsia" w:ascii="宋体" w:hAnsi="宋体" w:eastAsia="宋体" w:cs="宋体"/>
          <w:color w:val="auto"/>
          <w:sz w:val="21"/>
          <w:szCs w:val="21"/>
          <w:highlight w:val="none"/>
        </w:rPr>
      </w:pPr>
    </w:p>
    <w:p>
      <w:pPr>
        <w:pStyle w:val="187"/>
        <w:spacing w:line="360" w:lineRule="auto"/>
        <w:ind w:firstLine="433"/>
        <w:rPr>
          <w:rFonts w:hint="eastAsia" w:ascii="宋体" w:hAnsi="宋体" w:eastAsia="宋体" w:cs="宋体"/>
          <w:color w:val="auto"/>
          <w:sz w:val="21"/>
          <w:szCs w:val="21"/>
          <w:highlight w:val="none"/>
        </w:rPr>
      </w:pPr>
    </w:p>
    <w:p>
      <w:pPr>
        <w:spacing w:line="360" w:lineRule="auto"/>
        <w:ind w:firstLine="5829" w:firstLineChars="2776"/>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供应商：（加盖供应商公章）</w:t>
      </w:r>
    </w:p>
    <w:p>
      <w:pPr>
        <w:keepNext w:val="0"/>
        <w:keepLines w:val="0"/>
        <w:pageBreakBefore w:val="0"/>
        <w:widowControl w:val="0"/>
        <w:kinsoku/>
        <w:wordWrap/>
        <w:overflowPunct/>
        <w:topLinePunct w:val="0"/>
        <w:autoSpaceDE w:val="0"/>
        <w:autoSpaceDN w:val="0"/>
        <w:bidi w:val="0"/>
        <w:adjustRightInd w:val="0"/>
        <w:snapToGrid/>
        <w:spacing w:line="360" w:lineRule="auto"/>
        <w:ind w:firstLine="5835" w:firstLineChars="2779"/>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日期：   年    月   日</w:t>
      </w:r>
    </w:p>
    <w:p>
      <w:pPr>
        <w:numPr>
          <w:ilvl w:val="0"/>
          <w:numId w:val="13"/>
        </w:numPr>
        <w:rPr>
          <w:rFonts w:hint="eastAsia" w:ascii="宋体" w:hAnsi="宋体" w:eastAsia="宋体" w:cs="宋体"/>
          <w:b/>
          <w:bCs w:val="0"/>
          <w:color w:val="auto"/>
          <w:sz w:val="32"/>
          <w:szCs w:val="32"/>
          <w:highlight w:val="none"/>
          <w:lang w:val="en-US" w:eastAsia="zh-CN" w:bidi="ar-SA"/>
        </w:rPr>
      </w:pPr>
      <w:r>
        <w:rPr>
          <w:rFonts w:hint="eastAsia" w:ascii="宋体" w:hAnsi="宋体" w:eastAsia="宋体" w:cs="宋体"/>
          <w:b/>
          <w:bCs w:val="0"/>
          <w:color w:val="auto"/>
          <w:sz w:val="32"/>
          <w:szCs w:val="32"/>
          <w:highlight w:val="none"/>
          <w:lang w:val="en-US" w:eastAsia="zh-CN" w:bidi="ar-SA"/>
        </w:rPr>
        <w:br w:type="page"/>
      </w:r>
    </w:p>
    <w:p>
      <w:pPr>
        <w:pStyle w:val="3"/>
        <w:keepNext w:val="0"/>
        <w:keepLines w:val="0"/>
        <w:pageBreakBefore/>
        <w:widowControl w:val="0"/>
        <w:kinsoku/>
        <w:wordWrap/>
        <w:overflowPunct/>
        <w:topLinePunct w:val="0"/>
        <w:autoSpaceDE w:val="0"/>
        <w:autoSpaceDN w:val="0"/>
        <w:bidi w:val="0"/>
        <w:adjustRightInd w:val="0"/>
        <w:snapToGrid/>
        <w:textAlignment w:val="auto"/>
        <w:rPr>
          <w:rFonts w:hint="eastAsia" w:ascii="宋体" w:hAnsi="宋体" w:eastAsia="宋体" w:cs="宋体"/>
          <w:b/>
          <w:color w:val="auto"/>
          <w:sz w:val="32"/>
          <w:szCs w:val="32"/>
          <w:highlight w:val="none"/>
        </w:rPr>
      </w:pPr>
      <w:bookmarkStart w:id="473" w:name="_Toc14594"/>
      <w:bookmarkStart w:id="474" w:name="_Toc29911"/>
      <w:bookmarkStart w:id="475" w:name="_Toc8661"/>
      <w:bookmarkStart w:id="476" w:name="_Toc25060"/>
      <w:bookmarkStart w:id="477" w:name="_Toc11069"/>
      <w:bookmarkStart w:id="478" w:name="_Toc16191"/>
      <w:bookmarkStart w:id="479" w:name="_Toc79146604"/>
      <w:bookmarkStart w:id="480" w:name="_Toc1123958"/>
      <w:bookmarkStart w:id="481" w:name="_Toc56076630"/>
      <w:bookmarkStart w:id="482" w:name="_Toc5098075"/>
      <w:bookmarkStart w:id="483" w:name="_Toc54334013"/>
      <w:bookmarkStart w:id="484" w:name="_Toc521918128"/>
      <w:bookmarkStart w:id="485" w:name="_Toc19008831"/>
      <w:bookmarkStart w:id="486" w:name="_Toc79146607"/>
      <w:bookmarkStart w:id="487" w:name="_Toc56076634"/>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lang w:val="zh-CN"/>
        </w:rPr>
        <w:t>合同条款偏离表格式</w:t>
      </w:r>
      <w:bookmarkEnd w:id="473"/>
      <w:bookmarkEnd w:id="474"/>
      <w:bookmarkEnd w:id="475"/>
      <w:bookmarkEnd w:id="476"/>
      <w:bookmarkEnd w:id="477"/>
      <w:bookmarkEnd w:id="478"/>
    </w:p>
    <w:p>
      <w:pPr>
        <w:rPr>
          <w:rFonts w:hint="eastAsia" w:ascii="宋体" w:hAnsi="宋体" w:eastAsia="宋体" w:cs="宋体"/>
          <w:color w:val="auto"/>
          <w:highlight w:val="none"/>
        </w:rPr>
      </w:pPr>
    </w:p>
    <w:p>
      <w:pPr>
        <w:jc w:val="center"/>
        <w:rPr>
          <w:rFonts w:hint="eastAsia" w:ascii="宋体" w:hAnsi="宋体" w:eastAsia="宋体" w:cs="宋体"/>
          <w:b/>
          <w:color w:val="auto"/>
          <w:sz w:val="30"/>
          <w:szCs w:val="30"/>
          <w:highlight w:val="none"/>
        </w:rPr>
      </w:pPr>
      <w:r>
        <w:rPr>
          <w:rFonts w:hint="eastAsia" w:ascii="宋体" w:hAnsi="宋体" w:eastAsia="宋体" w:cs="宋体"/>
          <w:b/>
          <w:bCs/>
          <w:color w:val="auto"/>
          <w:sz w:val="30"/>
          <w:szCs w:val="30"/>
          <w:highlight w:val="none"/>
          <w:lang w:val="zh-CN"/>
        </w:rPr>
        <w:t>合同条款偏离表</w:t>
      </w:r>
    </w:p>
    <w:tbl>
      <w:tblPr>
        <w:tblStyle w:val="5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234"/>
        <w:gridCol w:w="2533"/>
        <w:gridCol w:w="1864"/>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0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序号</w:t>
            </w:r>
          </w:p>
        </w:tc>
        <w:tc>
          <w:tcPr>
            <w:tcW w:w="3767"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合同要求</w:t>
            </w:r>
          </w:p>
        </w:tc>
        <w:tc>
          <w:tcPr>
            <w:tcW w:w="4613"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90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条款号</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简要内容</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偏离情况</w:t>
            </w: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服务范围、形式及服务期限</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二</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合同价款及支付方式</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三</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bidi="ar-SA"/>
              </w:rPr>
            </w:pPr>
            <w:r>
              <w:rPr>
                <w:rFonts w:hint="eastAsia" w:ascii="宋体" w:hAnsi="宋体" w:eastAsia="宋体" w:cs="宋体"/>
                <w:b w:val="0"/>
                <w:bCs w:val="0"/>
                <w:color w:val="auto"/>
                <w:sz w:val="21"/>
                <w:szCs w:val="21"/>
                <w:highlight w:val="none"/>
                <w:lang w:val="zh-CN" w:eastAsia="zh-CN" w:bidi="ar-SA"/>
              </w:rPr>
              <w:t>服务内容</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四</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bidi="ar-SA"/>
              </w:rPr>
            </w:pPr>
            <w:r>
              <w:rPr>
                <w:rFonts w:hint="eastAsia" w:ascii="宋体" w:hAnsi="宋体" w:eastAsia="宋体" w:cs="宋体"/>
                <w:b w:val="0"/>
                <w:bCs w:val="0"/>
                <w:color w:val="auto"/>
                <w:sz w:val="21"/>
                <w:szCs w:val="21"/>
                <w:highlight w:val="none"/>
                <w:lang w:val="zh-CN" w:eastAsia="zh-CN" w:bidi="ar-SA"/>
              </w:rPr>
              <w:t>服务要求</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五</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bidi="ar-SA"/>
              </w:rPr>
            </w:pPr>
            <w:r>
              <w:rPr>
                <w:rFonts w:hint="eastAsia" w:ascii="宋体" w:hAnsi="宋体" w:eastAsia="宋体" w:cs="宋体"/>
                <w:b w:val="0"/>
                <w:bCs w:val="0"/>
                <w:color w:val="auto"/>
                <w:sz w:val="21"/>
                <w:szCs w:val="21"/>
                <w:highlight w:val="none"/>
                <w:lang w:val="zh-CN" w:eastAsia="zh-CN" w:bidi="ar-SA"/>
              </w:rPr>
              <w:t>甲方权利和义务</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六</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乙方权利和义务</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七</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违约责任</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8</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八</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知识产权的归属及保密</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九</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不可抗力</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10</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rPr>
              <w:t>十</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争议解决</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11</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rPr>
              <w:t>十一</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合同生效及份数</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附件1</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阳光合作告知函</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bl>
    <w:p>
      <w:pPr>
        <w:spacing w:line="360" w:lineRule="auto"/>
        <w:ind w:firstLine="420" w:firstLineChars="200"/>
        <w:rPr>
          <w:rFonts w:hint="eastAsia" w:ascii="宋体" w:hAnsi="宋体" w:eastAsia="宋体" w:cs="宋体"/>
          <w:color w:val="auto"/>
          <w:sz w:val="21"/>
          <w:szCs w:val="21"/>
          <w:highlight w:val="none"/>
        </w:rPr>
      </w:pPr>
    </w:p>
    <w:p>
      <w:pPr>
        <w:snapToGrid w:val="0"/>
        <w:spacing w:line="360" w:lineRule="auto"/>
        <w:ind w:left="379" w:leftChars="-58" w:hanging="518" w:hangingChars="2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snapToGrid w:val="0"/>
        <w:spacing w:line="360" w:lineRule="auto"/>
        <w:ind w:left="711" w:leftChars="59" w:hanging="569" w:hangingChars="27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u w:val="single"/>
          <w:lang w:eastAsia="zh-CN"/>
        </w:rPr>
        <w:t>供应商</w:t>
      </w:r>
      <w:r>
        <w:rPr>
          <w:rFonts w:hint="eastAsia" w:ascii="宋体" w:hAnsi="宋体" w:eastAsia="宋体" w:cs="宋体"/>
          <w:b/>
          <w:color w:val="auto"/>
          <w:sz w:val="21"/>
          <w:szCs w:val="21"/>
          <w:highlight w:val="none"/>
          <w:u w:val="single"/>
        </w:rPr>
        <w:t>应对照竞争性磋商文件合同格式内合同条款及附件，逐条、如实地填写“偏离情况”。“偏离情况”项为正偏离（或负偏离）的，必须在“具体偏离内容”项内详细说明与合同的偏离内容，“偏离情况”项为无偏离的，在“具体偏离内容”项内可不填或填“无”。若发现虚假填写本表，或对合同及其附件响应有负偏离的，按无效</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rPr>
        <w:t>文件处理。若发现此表未逐条填写视为完全满足</w:t>
      </w:r>
      <w:r>
        <w:rPr>
          <w:rFonts w:hint="eastAsia" w:ascii="宋体" w:hAnsi="宋体" w:eastAsia="宋体" w:cs="宋体"/>
          <w:b/>
          <w:color w:val="auto"/>
          <w:sz w:val="21"/>
          <w:szCs w:val="21"/>
          <w:highlight w:val="none"/>
          <w:u w:val="single"/>
          <w:lang w:val="en-US" w:eastAsia="zh-CN"/>
        </w:rPr>
        <w:t>竞争性磋商</w:t>
      </w:r>
      <w:r>
        <w:rPr>
          <w:rFonts w:hint="eastAsia" w:ascii="宋体" w:hAnsi="宋体" w:eastAsia="宋体" w:cs="宋体"/>
          <w:b/>
          <w:color w:val="auto"/>
          <w:sz w:val="21"/>
          <w:szCs w:val="21"/>
          <w:highlight w:val="none"/>
          <w:u w:val="single"/>
        </w:rPr>
        <w:t>文件要求</w:t>
      </w:r>
      <w:r>
        <w:rPr>
          <w:rFonts w:hint="eastAsia" w:ascii="宋体" w:hAnsi="宋体" w:eastAsia="宋体" w:cs="宋体"/>
          <w:b/>
          <w:color w:val="auto"/>
          <w:sz w:val="21"/>
          <w:szCs w:val="21"/>
          <w:highlight w:val="none"/>
          <w:u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667" w:leftChars="59" w:hanging="525" w:hanging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）偏离情况（响应文件对竞争性磋商文件合同条款的响应程度）分为：正偏离、负偏离、无偏离。正偏离是指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提供的服务（或货物、或工程）商务条件优于竞争性磋商文件的要求；负偏离是指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提供的服务（或货物、或工程）商务条件不满足或不完全满足竞争性磋商文件的要求；无偏离是指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提供的服务（或货物、或工程）商务条件完全满足竞争性磋商文件的要求。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667" w:leftChars="59" w:hanging="525" w:hanging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差异内容较多可另附页说明，</w:t>
      </w:r>
      <w:r>
        <w:rPr>
          <w:rFonts w:hint="eastAsia" w:ascii="宋体" w:hAnsi="宋体" w:eastAsia="宋体" w:cs="宋体"/>
          <w:color w:val="auto"/>
          <w:sz w:val="21"/>
          <w:szCs w:val="21"/>
          <w:highlight w:val="none"/>
          <w:lang w:val="zh-CN"/>
        </w:rPr>
        <w:t>并在本偏离表“具体偏离内容”项注明其在响应文件中的具体页码</w:t>
      </w:r>
      <w:r>
        <w:rPr>
          <w:rFonts w:hint="eastAsia" w:ascii="宋体" w:hAnsi="宋体" w:eastAsia="宋体" w:cs="宋体"/>
          <w:color w:val="auto"/>
          <w:sz w:val="21"/>
          <w:szCs w:val="21"/>
          <w:highlight w:val="none"/>
        </w:rPr>
        <w:t>。</w:t>
      </w:r>
    </w:p>
    <w:p>
      <w:pPr>
        <w:spacing w:line="360" w:lineRule="auto"/>
        <w:ind w:firstLine="5040" w:firstLineChars="24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供应商：（加盖供应商公章）</w:t>
      </w:r>
    </w:p>
    <w:p>
      <w:pPr>
        <w:spacing w:line="360" w:lineRule="auto"/>
        <w:ind w:firstLine="5040" w:firstLineChars="24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日期：   年   月   日</w:t>
      </w:r>
    </w:p>
    <w:p>
      <w:pPr>
        <w:keepNext w:val="0"/>
        <w:keepLines w:val="0"/>
        <w:pageBreakBefore/>
        <w:widowControl w:val="0"/>
        <w:kinsoku/>
        <w:wordWrap/>
        <w:overflowPunct/>
        <w:topLinePunct w:val="0"/>
        <w:autoSpaceDE w:val="0"/>
        <w:autoSpaceDN w:val="0"/>
        <w:bidi w:val="0"/>
        <w:adjustRightInd w:val="0"/>
        <w:snapToGrid/>
        <w:spacing w:before="120" w:beforeLines="50" w:line="240" w:lineRule="auto"/>
        <w:ind w:left="0" w:hanging="643" w:hangingChars="200"/>
        <w:textAlignment w:val="auto"/>
        <w:outlineLvl w:val="1"/>
        <w:rPr>
          <w:rFonts w:hint="eastAsia" w:ascii="宋体" w:hAnsi="宋体" w:eastAsia="宋体" w:cs="宋体"/>
          <w:b/>
          <w:color w:val="auto"/>
          <w:sz w:val="32"/>
          <w:szCs w:val="32"/>
          <w:highlight w:val="none"/>
        </w:rPr>
      </w:pPr>
      <w:bookmarkStart w:id="488" w:name="_Toc24906"/>
      <w:bookmarkStart w:id="489" w:name="_Toc30495"/>
      <w:bookmarkStart w:id="490" w:name="_Toc16182"/>
      <w:bookmarkStart w:id="491" w:name="_Toc11329"/>
      <w:r>
        <w:rPr>
          <w:rFonts w:hint="eastAsia" w:ascii="宋体" w:hAnsi="宋体" w:cs="宋体"/>
          <w:b/>
          <w:color w:val="auto"/>
          <w:sz w:val="32"/>
          <w:szCs w:val="32"/>
          <w:highlight w:val="none"/>
          <w:lang w:val="en-US" w:eastAsia="zh-CN" w:bidi="ar-SA"/>
        </w:rPr>
        <w:t>九</w:t>
      </w:r>
      <w:r>
        <w:rPr>
          <w:rFonts w:hint="eastAsia" w:ascii="宋体" w:hAnsi="宋体" w:eastAsia="宋体" w:cs="宋体"/>
          <w:b/>
          <w:color w:val="auto"/>
          <w:sz w:val="32"/>
          <w:szCs w:val="32"/>
          <w:highlight w:val="none"/>
          <w:lang w:val="en-US" w:eastAsia="zh-CN" w:bidi="ar-SA"/>
        </w:rPr>
        <w:t>、</w:t>
      </w:r>
      <w:bookmarkEnd w:id="479"/>
      <w:r>
        <w:rPr>
          <w:rFonts w:hint="eastAsia" w:ascii="宋体" w:hAnsi="宋体" w:eastAsia="宋体" w:cs="宋体"/>
          <w:b/>
          <w:color w:val="auto"/>
          <w:sz w:val="32"/>
          <w:szCs w:val="32"/>
          <w:highlight w:val="none"/>
          <w:lang w:val="en-US" w:eastAsia="zh-CN" w:bidi="ar-SA"/>
        </w:rPr>
        <w:t>业绩表格式</w:t>
      </w:r>
      <w:bookmarkEnd w:id="488"/>
      <w:bookmarkEnd w:id="489"/>
      <w:bookmarkEnd w:id="490"/>
      <w:bookmarkEnd w:id="491"/>
    </w:p>
    <w:p>
      <w:pPr>
        <w:keepNext w:val="0"/>
        <w:keepLines w:val="0"/>
        <w:pageBreakBefore w:val="0"/>
        <w:widowControl w:val="0"/>
        <w:kinsoku/>
        <w:wordWrap/>
        <w:overflowPunct/>
        <w:topLinePunct w:val="0"/>
        <w:autoSpaceDE/>
        <w:autoSpaceDN/>
        <w:bidi w:val="0"/>
        <w:adjustRightInd/>
        <w:snapToGrid w:val="0"/>
        <w:spacing w:line="360" w:lineRule="auto"/>
        <w:ind w:left="278" w:leftChars="116" w:firstLine="0" w:firstLineChars="0"/>
        <w:jc w:val="center"/>
        <w:textAlignment w:val="auto"/>
        <w:outlineLvl w:val="9"/>
        <w:rPr>
          <w:rFonts w:hint="eastAsia" w:ascii="宋体" w:hAnsi="宋体" w:eastAsia="宋体" w:cs="宋体"/>
          <w:bCs/>
          <w:color w:val="auto"/>
          <w:kern w:val="2"/>
          <w:sz w:val="21"/>
          <w:szCs w:val="21"/>
          <w:highlight w:val="none"/>
        </w:rPr>
      </w:pPr>
      <w:r>
        <w:rPr>
          <w:rFonts w:hint="eastAsia" w:ascii="宋体" w:hAnsi="宋体" w:cs="宋体"/>
          <w:bCs/>
          <w:color w:val="auto"/>
          <w:kern w:val="2"/>
          <w:sz w:val="21"/>
          <w:szCs w:val="21"/>
          <w:highlight w:val="none"/>
          <w:lang w:val="en-US" w:eastAsia="zh-CN"/>
        </w:rPr>
        <w:t>9</w:t>
      </w:r>
      <w:r>
        <w:rPr>
          <w:rFonts w:hint="eastAsia" w:ascii="宋体" w:hAnsi="宋体" w:eastAsia="宋体" w:cs="宋体"/>
          <w:bCs/>
          <w:color w:val="auto"/>
          <w:kern w:val="2"/>
          <w:sz w:val="21"/>
          <w:szCs w:val="21"/>
          <w:highlight w:val="none"/>
          <w:lang w:val="en-US" w:eastAsia="zh-CN"/>
        </w:rPr>
        <w:t>.1 供应商2022年1月1日以来具有资产审计服务业绩（合同签订日期时间为2022年1月1日或以后）</w:t>
      </w:r>
      <w:r>
        <w:rPr>
          <w:rFonts w:hint="eastAsia" w:ascii="宋体" w:hAnsi="宋体" w:eastAsia="宋体" w:cs="宋体"/>
          <w:bCs/>
          <w:color w:val="auto"/>
          <w:kern w:val="2"/>
          <w:sz w:val="21"/>
          <w:szCs w:val="21"/>
          <w:highlight w:val="none"/>
          <w:lang w:val="zh-CN"/>
        </w:rPr>
        <w:t>业绩</w:t>
      </w:r>
      <w:r>
        <w:rPr>
          <w:rFonts w:hint="eastAsia" w:ascii="宋体" w:hAnsi="宋体" w:eastAsia="宋体" w:cs="宋体"/>
          <w:bCs/>
          <w:color w:val="auto"/>
          <w:kern w:val="2"/>
          <w:sz w:val="21"/>
          <w:szCs w:val="21"/>
          <w:highlight w:val="none"/>
        </w:rPr>
        <w:t>表</w:t>
      </w:r>
    </w:p>
    <w:tbl>
      <w:tblPr>
        <w:tblStyle w:val="55"/>
        <w:tblW w:w="7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019"/>
        <w:gridCol w:w="1561"/>
        <w:gridCol w:w="1413"/>
        <w:gridCol w:w="1598"/>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049" w:hRule="exact"/>
          <w:jc w:val="center"/>
        </w:trPr>
        <w:tc>
          <w:tcPr>
            <w:tcW w:w="10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合同项目名称</w:t>
            </w:r>
          </w:p>
        </w:tc>
        <w:tc>
          <w:tcPr>
            <w:tcW w:w="14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1598"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合同签订</w:t>
            </w:r>
            <w:r>
              <w:rPr>
                <w:rFonts w:hint="eastAsia" w:ascii="宋体" w:hAnsi="宋体" w:eastAsia="宋体" w:cs="宋体"/>
                <w:color w:val="auto"/>
                <w:sz w:val="21"/>
                <w:szCs w:val="21"/>
                <w:highlight w:val="none"/>
              </w:rPr>
              <w:t>日期</w:t>
            </w:r>
          </w:p>
        </w:tc>
        <w:tc>
          <w:tcPr>
            <w:tcW w:w="1598"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58" w:hRule="exact"/>
          <w:jc w:val="center"/>
        </w:trPr>
        <w:tc>
          <w:tcPr>
            <w:tcW w:w="10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58" w:hRule="exact"/>
          <w:jc w:val="center"/>
        </w:trPr>
        <w:tc>
          <w:tcPr>
            <w:tcW w:w="10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89" w:hRule="exact"/>
          <w:jc w:val="center"/>
        </w:trPr>
        <w:tc>
          <w:tcPr>
            <w:tcW w:w="10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pPr>
        <w:tabs>
          <w:tab w:val="left" w:pos="0"/>
        </w:tabs>
        <w:spacing w:line="360" w:lineRule="auto"/>
        <w:ind w:right="-34"/>
        <w:jc w:val="both"/>
        <w:rPr>
          <w:rFonts w:hint="eastAsia" w:ascii="宋体" w:hAnsi="宋体" w:eastAsia="宋体" w:cs="宋体"/>
          <w:color w:val="auto"/>
          <w:sz w:val="21"/>
          <w:szCs w:val="21"/>
          <w:highlight w:val="none"/>
        </w:rPr>
      </w:pPr>
    </w:p>
    <w:p>
      <w:pPr>
        <w:tabs>
          <w:tab w:val="left" w:pos="0"/>
        </w:tabs>
        <w:spacing w:line="360" w:lineRule="auto"/>
        <w:ind w:left="142" w:leftChars="59" w:right="-3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snapToGrid w:val="0"/>
        <w:spacing w:line="360" w:lineRule="auto"/>
        <w:ind w:left="850" w:leftChars="118" w:hanging="567" w:hangingChars="270"/>
        <w:rPr>
          <w:rFonts w:hint="eastAsia" w:ascii="宋体" w:hAnsi="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（1）</w:t>
      </w:r>
      <w:r>
        <w:rPr>
          <w:rFonts w:hint="eastAsia" w:ascii="宋体" w:hAnsi="宋体" w:cs="宋体"/>
          <w:b/>
          <w:bCs/>
          <w:color w:val="auto"/>
          <w:kern w:val="2"/>
          <w:sz w:val="21"/>
          <w:szCs w:val="21"/>
          <w:highlight w:val="none"/>
          <w:u w:val="single"/>
          <w:lang w:val="en-US" w:eastAsia="zh-CN"/>
        </w:rPr>
        <w:t>同一个单项合同的业绩可以同时在资格业绩和评分业绩重复放置</w:t>
      </w:r>
      <w:r>
        <w:rPr>
          <w:rFonts w:hint="eastAsia" w:ascii="宋体" w:hAnsi="宋体" w:cs="宋体"/>
          <w:color w:val="auto"/>
          <w:kern w:val="2"/>
          <w:sz w:val="21"/>
          <w:szCs w:val="21"/>
          <w:highlight w:val="none"/>
          <w:lang w:val="en-US" w:eastAsia="zh-CN"/>
        </w:rPr>
        <w:t>。</w:t>
      </w:r>
    </w:p>
    <w:p>
      <w:pPr>
        <w:snapToGrid w:val="0"/>
        <w:spacing w:line="360" w:lineRule="auto"/>
        <w:ind w:left="852" w:leftChars="118" w:hanging="569" w:hangingChars="270"/>
        <w:rPr>
          <w:rFonts w:hint="eastAsia" w:ascii="宋体" w:hAnsi="宋体" w:eastAsia="宋体" w:cs="宋体"/>
          <w:color w:val="auto"/>
          <w:highlight w:val="none"/>
          <w:lang w:eastAsia="zh-CN"/>
        </w:rPr>
      </w:pPr>
      <w:r>
        <w:rPr>
          <w:rFonts w:hint="eastAsia" w:ascii="宋体" w:hAnsi="宋体" w:cs="宋体"/>
          <w:b/>
          <w:bCs/>
          <w:color w:val="auto"/>
          <w:sz w:val="21"/>
          <w:szCs w:val="21"/>
          <w:highlight w:val="none"/>
          <w:u w:val="single"/>
          <w:lang w:val="en-US" w:eastAsia="zh-CN"/>
        </w:rPr>
        <w:t>（2）</w:t>
      </w:r>
      <w:r>
        <w:rPr>
          <w:rFonts w:hint="eastAsia" w:ascii="宋体" w:hAnsi="宋体" w:eastAsia="宋体" w:cs="宋体"/>
          <w:b/>
          <w:bCs/>
          <w:color w:val="auto"/>
          <w:sz w:val="21"/>
          <w:szCs w:val="21"/>
          <w:highlight w:val="none"/>
          <w:u w:val="single"/>
          <w:lang w:val="en-US" w:eastAsia="zh-CN"/>
        </w:rPr>
        <w:t>业绩</w:t>
      </w:r>
      <w:r>
        <w:rPr>
          <w:rFonts w:hint="eastAsia" w:ascii="宋体" w:hAnsi="宋体" w:cs="宋体"/>
          <w:b/>
          <w:bCs/>
          <w:color w:val="auto"/>
          <w:sz w:val="21"/>
          <w:szCs w:val="21"/>
          <w:highlight w:val="none"/>
          <w:u w:val="single"/>
          <w:lang w:val="en-US" w:eastAsia="zh-CN"/>
        </w:rPr>
        <w:t>必须附</w:t>
      </w:r>
      <w:r>
        <w:rPr>
          <w:rFonts w:hint="eastAsia" w:ascii="宋体" w:hAnsi="宋体" w:eastAsia="宋体" w:cs="宋体"/>
          <w:b/>
          <w:bCs/>
          <w:color w:val="auto"/>
          <w:sz w:val="21"/>
          <w:szCs w:val="21"/>
          <w:highlight w:val="none"/>
          <w:u w:val="single"/>
          <w:lang w:val="en-US" w:eastAsia="zh-CN"/>
        </w:rPr>
        <w:t>合同复印件（合同服务提供方为供应商）</w:t>
      </w:r>
      <w:r>
        <w:rPr>
          <w:rFonts w:hint="eastAsia" w:ascii="宋体" w:hAnsi="宋体" w:cs="宋体"/>
          <w:b/>
          <w:bCs/>
          <w:color w:val="auto"/>
          <w:sz w:val="21"/>
          <w:szCs w:val="21"/>
          <w:highlight w:val="none"/>
          <w:u w:val="single"/>
          <w:lang w:val="en-US" w:eastAsia="zh-CN"/>
        </w:rPr>
        <w:t>。</w:t>
      </w:r>
      <w:r>
        <w:rPr>
          <w:rFonts w:hint="eastAsia" w:ascii="宋体" w:hAnsi="宋体" w:eastAsia="宋体" w:cs="宋体"/>
          <w:b/>
          <w:bCs/>
          <w:color w:val="auto"/>
          <w:sz w:val="21"/>
          <w:szCs w:val="21"/>
          <w:highlight w:val="none"/>
          <w:u w:val="single"/>
          <w:lang w:val="en-US" w:eastAsia="zh-CN"/>
        </w:rPr>
        <w:t>合同</w:t>
      </w:r>
      <w:r>
        <w:rPr>
          <w:rFonts w:hint="eastAsia" w:ascii="宋体" w:hAnsi="宋体" w:cs="宋体"/>
          <w:b/>
          <w:bCs/>
          <w:color w:val="auto"/>
          <w:sz w:val="21"/>
          <w:szCs w:val="21"/>
          <w:highlight w:val="none"/>
          <w:u w:val="single"/>
          <w:lang w:val="en-US" w:eastAsia="zh-CN"/>
        </w:rPr>
        <w:t>必须能</w:t>
      </w:r>
      <w:r>
        <w:rPr>
          <w:rFonts w:hint="eastAsia" w:ascii="宋体" w:hAnsi="宋体" w:eastAsia="宋体" w:cs="宋体"/>
          <w:b/>
          <w:bCs/>
          <w:color w:val="auto"/>
          <w:sz w:val="21"/>
          <w:szCs w:val="21"/>
          <w:highlight w:val="none"/>
          <w:u w:val="single"/>
          <w:lang w:val="en-US" w:eastAsia="zh-CN"/>
        </w:rPr>
        <w:t>反映评分条件（合同签订时间</w:t>
      </w:r>
      <w:r>
        <w:rPr>
          <w:rFonts w:hint="eastAsia" w:ascii="宋体" w:hAnsi="宋体" w:cs="宋体"/>
          <w:b/>
          <w:bCs/>
          <w:color w:val="auto"/>
          <w:sz w:val="21"/>
          <w:szCs w:val="21"/>
          <w:highlight w:val="none"/>
          <w:u w:val="single"/>
          <w:lang w:val="en-US" w:eastAsia="zh-CN"/>
        </w:rPr>
        <w:t>、服务内容</w:t>
      </w:r>
      <w:r>
        <w:rPr>
          <w:rFonts w:hint="eastAsia" w:ascii="宋体" w:hAnsi="宋体" w:eastAsia="宋体" w:cs="宋体"/>
          <w:b/>
          <w:bCs/>
          <w:color w:val="auto"/>
          <w:sz w:val="21"/>
          <w:szCs w:val="21"/>
          <w:highlight w:val="none"/>
          <w:u w:val="single"/>
          <w:lang w:val="en-US" w:eastAsia="zh-CN"/>
        </w:rPr>
        <w:t>），</w:t>
      </w:r>
      <w:r>
        <w:rPr>
          <w:rFonts w:hint="eastAsia" w:ascii="宋体" w:hAnsi="宋体" w:cs="宋体"/>
          <w:b/>
          <w:bCs/>
          <w:color w:val="auto"/>
          <w:sz w:val="21"/>
          <w:szCs w:val="21"/>
          <w:highlight w:val="none"/>
          <w:u w:val="single"/>
          <w:lang w:val="en-US" w:eastAsia="zh-CN"/>
        </w:rPr>
        <w:t>合同服务内容必须为资产审计服务，</w:t>
      </w:r>
      <w:r>
        <w:rPr>
          <w:rFonts w:hint="eastAsia" w:ascii="宋体" w:hAnsi="宋体" w:eastAsia="宋体" w:cs="宋体"/>
          <w:b/>
          <w:bCs/>
          <w:color w:val="auto"/>
          <w:sz w:val="21"/>
          <w:szCs w:val="21"/>
          <w:highlight w:val="none"/>
          <w:u w:val="single"/>
          <w:lang w:val="en-US" w:eastAsia="zh-CN"/>
        </w:rPr>
        <w:t>否则</w:t>
      </w:r>
      <w:r>
        <w:rPr>
          <w:rFonts w:hint="eastAsia" w:ascii="宋体" w:hAnsi="宋体" w:cs="宋体"/>
          <w:b/>
          <w:bCs/>
          <w:color w:val="auto"/>
          <w:sz w:val="21"/>
          <w:szCs w:val="21"/>
          <w:highlight w:val="none"/>
          <w:u w:val="single"/>
          <w:lang w:val="en-US" w:eastAsia="zh-CN"/>
        </w:rPr>
        <w:t>，</w:t>
      </w:r>
      <w:r>
        <w:rPr>
          <w:rFonts w:hint="eastAsia" w:ascii="宋体" w:hAnsi="宋体" w:eastAsia="宋体" w:cs="宋体"/>
          <w:b/>
          <w:bCs/>
          <w:color w:val="auto"/>
          <w:sz w:val="21"/>
          <w:szCs w:val="21"/>
          <w:highlight w:val="none"/>
          <w:u w:val="single"/>
        </w:rPr>
        <w:t>需</w:t>
      </w:r>
      <w:r>
        <w:rPr>
          <w:rFonts w:hint="eastAsia" w:ascii="宋体" w:hAnsi="宋体" w:cs="宋体"/>
          <w:b/>
          <w:bCs/>
          <w:color w:val="auto"/>
          <w:sz w:val="21"/>
          <w:szCs w:val="21"/>
          <w:highlight w:val="none"/>
          <w:u w:val="single"/>
          <w:lang w:val="en-US" w:eastAsia="zh-CN"/>
        </w:rPr>
        <w:t>同时</w:t>
      </w:r>
      <w:r>
        <w:rPr>
          <w:rFonts w:hint="eastAsia" w:ascii="宋体" w:hAnsi="宋体" w:eastAsia="宋体" w:cs="宋体"/>
          <w:b/>
          <w:bCs/>
          <w:color w:val="auto"/>
          <w:sz w:val="21"/>
          <w:szCs w:val="21"/>
          <w:highlight w:val="none"/>
          <w:u w:val="single"/>
        </w:rPr>
        <w:t>提供</w:t>
      </w:r>
      <w:r>
        <w:rPr>
          <w:rFonts w:hint="eastAsia" w:ascii="宋体" w:hAnsi="宋体" w:cs="宋体"/>
          <w:b/>
          <w:bCs/>
          <w:color w:val="auto"/>
          <w:sz w:val="21"/>
          <w:szCs w:val="21"/>
          <w:highlight w:val="none"/>
          <w:u w:val="single"/>
          <w:lang w:val="en-US" w:eastAsia="zh-CN"/>
        </w:rPr>
        <w:t>服务</w:t>
      </w:r>
      <w:r>
        <w:rPr>
          <w:rFonts w:hint="eastAsia" w:ascii="宋体" w:hAnsi="宋体" w:eastAsia="宋体" w:cs="宋体"/>
          <w:b/>
          <w:bCs/>
          <w:color w:val="auto"/>
          <w:sz w:val="21"/>
          <w:szCs w:val="21"/>
          <w:highlight w:val="none"/>
          <w:u w:val="single"/>
        </w:rPr>
        <w:t>委托人</w:t>
      </w:r>
      <w:r>
        <w:rPr>
          <w:rFonts w:hint="eastAsia" w:ascii="宋体" w:hAnsi="宋体" w:cs="宋体"/>
          <w:b/>
          <w:bCs/>
          <w:color w:val="auto"/>
          <w:sz w:val="21"/>
          <w:szCs w:val="21"/>
          <w:highlight w:val="none"/>
          <w:u w:val="single"/>
          <w:lang w:eastAsia="zh-CN"/>
        </w:rPr>
        <w:t>（</w:t>
      </w:r>
      <w:r>
        <w:rPr>
          <w:rFonts w:hint="eastAsia" w:ascii="宋体" w:hAnsi="宋体" w:cs="宋体"/>
          <w:b/>
          <w:bCs/>
          <w:color w:val="auto"/>
          <w:sz w:val="21"/>
          <w:szCs w:val="21"/>
          <w:highlight w:val="none"/>
          <w:u w:val="single"/>
          <w:lang w:val="en-US" w:eastAsia="zh-CN"/>
        </w:rPr>
        <w:t>业主</w:t>
      </w:r>
      <w:r>
        <w:rPr>
          <w:rFonts w:hint="eastAsia" w:ascii="宋体" w:hAnsi="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出具的书面补充说明文件复印件作为辅助证明</w:t>
      </w:r>
      <w:r>
        <w:rPr>
          <w:rFonts w:hint="eastAsia" w:ascii="宋体" w:hAnsi="宋体" w:cs="宋体"/>
          <w:b/>
          <w:bCs/>
          <w:color w:val="auto"/>
          <w:sz w:val="21"/>
          <w:szCs w:val="21"/>
          <w:highlight w:val="none"/>
          <w:u w:val="single"/>
          <w:lang w:eastAsia="zh-CN"/>
        </w:rPr>
        <w:t>（</w:t>
      </w:r>
      <w:r>
        <w:rPr>
          <w:rFonts w:hint="eastAsia" w:ascii="宋体" w:hAnsi="宋体" w:cs="宋体"/>
          <w:b/>
          <w:bCs/>
          <w:color w:val="auto"/>
          <w:sz w:val="21"/>
          <w:szCs w:val="21"/>
          <w:highlight w:val="none"/>
          <w:u w:val="single"/>
          <w:lang w:val="en-US" w:eastAsia="zh-CN"/>
        </w:rPr>
        <w:t>补充情况说明文件复印件能显示委托人公章</w:t>
      </w:r>
      <w:r>
        <w:rPr>
          <w:rFonts w:hint="eastAsia" w:ascii="宋体" w:hAnsi="宋体" w:cs="宋体"/>
          <w:b/>
          <w:bCs/>
          <w:color w:val="auto"/>
          <w:sz w:val="21"/>
          <w:szCs w:val="21"/>
          <w:highlight w:val="none"/>
          <w:u w:val="single"/>
          <w:lang w:eastAsia="zh-CN"/>
        </w:rPr>
        <w:t>），</w:t>
      </w:r>
      <w:r>
        <w:rPr>
          <w:rFonts w:hint="eastAsia" w:ascii="宋体" w:hAnsi="宋体" w:cs="宋体"/>
          <w:b/>
          <w:bCs/>
          <w:color w:val="auto"/>
          <w:sz w:val="21"/>
          <w:szCs w:val="21"/>
          <w:highlight w:val="none"/>
          <w:u w:val="single"/>
          <w:lang w:val="en-US" w:eastAsia="zh-CN"/>
        </w:rPr>
        <w:t>否则不得分</w:t>
      </w:r>
      <w:r>
        <w:rPr>
          <w:rFonts w:hint="eastAsia" w:ascii="宋体" w:hAnsi="宋体" w:eastAsia="宋体" w:cs="宋体"/>
          <w:color w:val="auto"/>
          <w:sz w:val="21"/>
          <w:szCs w:val="21"/>
          <w:highlight w:val="none"/>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845" w:leftChars="118" w:hanging="562" w:hangingChars="26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u w:val="single"/>
          <w:lang w:val="en-US" w:eastAsia="zh-CN"/>
        </w:rPr>
        <w:t>若同一份合同业绩中同时包含资产审计服务、企业清算审计服务和财税咨询服务的，不重复计分</w:t>
      </w:r>
      <w:r>
        <w:rPr>
          <w:rFonts w:hint="eastAsia" w:ascii="宋体" w:hAnsi="宋体" w:cs="宋体"/>
          <w:b/>
          <w:bCs/>
          <w:color w:val="auto"/>
          <w:sz w:val="21"/>
          <w:szCs w:val="21"/>
          <w:highlight w:val="none"/>
          <w:u w:val="single"/>
          <w:lang w:val="en-US" w:eastAsia="zh-CN"/>
        </w:rPr>
        <w:t>，由供应商自行放入对应的评分子项</w:t>
      </w:r>
      <w:r>
        <w:rPr>
          <w:rFonts w:hint="eastAsia" w:ascii="宋体" w:hAnsi="宋体" w:eastAsia="宋体" w:cs="宋体"/>
          <w:b/>
          <w:bCs/>
          <w:color w:val="auto"/>
          <w:sz w:val="21"/>
          <w:szCs w:val="21"/>
          <w:highlight w:val="none"/>
          <w:u w:val="singl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845" w:leftChars="118" w:hanging="562" w:hangingChars="26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u w:val="single"/>
        </w:rPr>
        <w:t>未按上述要求</w:t>
      </w:r>
      <w:r>
        <w:rPr>
          <w:rFonts w:hint="eastAsia" w:ascii="宋体" w:hAnsi="宋体" w:eastAsia="宋体" w:cs="宋体"/>
          <w:b/>
          <w:bCs/>
          <w:color w:val="auto"/>
          <w:sz w:val="21"/>
          <w:szCs w:val="21"/>
          <w:highlight w:val="none"/>
          <w:u w:val="single"/>
          <w:lang w:val="en-US" w:eastAsia="zh-CN"/>
        </w:rPr>
        <w:t>在此格式下</w:t>
      </w:r>
      <w:r>
        <w:rPr>
          <w:rFonts w:hint="eastAsia" w:ascii="宋体" w:hAnsi="宋体" w:eastAsia="宋体" w:cs="宋体"/>
          <w:b/>
          <w:bCs/>
          <w:color w:val="auto"/>
          <w:sz w:val="21"/>
          <w:szCs w:val="21"/>
          <w:highlight w:val="none"/>
          <w:u w:val="single"/>
        </w:rPr>
        <w:t>提供证明材料的业绩，或</w:t>
      </w:r>
      <w:r>
        <w:rPr>
          <w:rFonts w:hint="eastAsia" w:ascii="宋体" w:hAnsi="宋体" w:eastAsia="宋体" w:cs="宋体"/>
          <w:b/>
          <w:bCs/>
          <w:color w:val="auto"/>
          <w:sz w:val="21"/>
          <w:szCs w:val="21"/>
          <w:highlight w:val="none"/>
          <w:u w:val="single"/>
          <w:lang w:val="en-US" w:eastAsia="zh-CN"/>
        </w:rPr>
        <w:t>在此格式下</w:t>
      </w:r>
      <w:r>
        <w:rPr>
          <w:rFonts w:hint="eastAsia" w:ascii="宋体" w:hAnsi="宋体" w:eastAsia="宋体" w:cs="宋体"/>
          <w:b/>
          <w:bCs/>
          <w:color w:val="auto"/>
          <w:sz w:val="21"/>
          <w:szCs w:val="21"/>
          <w:highlight w:val="none"/>
          <w:u w:val="single"/>
        </w:rPr>
        <w:t>所附材料无法证明符合本项</w:t>
      </w:r>
      <w:r>
        <w:rPr>
          <w:rFonts w:hint="eastAsia" w:ascii="宋体" w:hAnsi="宋体" w:eastAsia="宋体" w:cs="宋体"/>
          <w:b/>
          <w:bCs/>
          <w:color w:val="auto"/>
          <w:sz w:val="21"/>
          <w:szCs w:val="21"/>
          <w:highlight w:val="none"/>
          <w:u w:val="single"/>
          <w:lang w:val="en-US" w:eastAsia="zh-CN"/>
        </w:rPr>
        <w:t>评分要求的业绩，在评审时将不予考虑</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845" w:leftChars="118" w:hanging="562" w:hangingChars="26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u w:val="single"/>
        </w:rPr>
        <w:t>采购人有权对</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提供的业绩进行核查（包括对全部业绩材料的原件进行核查），若发现弄虚作假，有权取消其</w:t>
      </w:r>
      <w:r>
        <w:rPr>
          <w:rFonts w:hint="eastAsia" w:ascii="宋体" w:hAnsi="宋体" w:eastAsia="宋体" w:cs="宋体"/>
          <w:b/>
          <w:bCs/>
          <w:color w:val="auto"/>
          <w:sz w:val="21"/>
          <w:szCs w:val="21"/>
          <w:highlight w:val="none"/>
          <w:u w:val="single"/>
          <w:lang w:val="en-US" w:eastAsia="zh-CN"/>
        </w:rPr>
        <w:t>成交</w:t>
      </w:r>
      <w:r>
        <w:rPr>
          <w:rFonts w:hint="eastAsia" w:ascii="宋体" w:hAnsi="宋体" w:eastAsia="宋体" w:cs="宋体"/>
          <w:b/>
          <w:bCs/>
          <w:color w:val="auto"/>
          <w:sz w:val="21"/>
          <w:szCs w:val="21"/>
          <w:highlight w:val="none"/>
          <w:u w:val="single"/>
        </w:rPr>
        <w:t>资格，并将上报监督管理部门，从严处理，列入相应的</w:t>
      </w:r>
      <w:r>
        <w:rPr>
          <w:rFonts w:hint="eastAsia" w:ascii="宋体" w:hAnsi="宋体" w:eastAsia="宋体" w:cs="宋体"/>
          <w:b/>
          <w:bCs/>
          <w:color w:val="auto"/>
          <w:kern w:val="2"/>
          <w:sz w:val="21"/>
          <w:szCs w:val="21"/>
          <w:highlight w:val="none"/>
          <w:u w:val="single"/>
          <w:lang w:val="zh-CN"/>
        </w:rPr>
        <w:t>‘黑名单’</w:t>
      </w:r>
      <w:r>
        <w:rPr>
          <w:rFonts w:hint="eastAsia" w:ascii="宋体" w:hAnsi="宋体" w:eastAsia="宋体" w:cs="宋体"/>
          <w:color w:val="auto"/>
          <w:sz w:val="21"/>
          <w:szCs w:val="21"/>
          <w:highlight w:val="none"/>
        </w:rPr>
        <w:t>。</w:t>
      </w:r>
    </w:p>
    <w:p>
      <w:pPr>
        <w:tabs>
          <w:tab w:val="left" w:pos="0"/>
        </w:tabs>
        <w:spacing w:line="360" w:lineRule="auto"/>
        <w:ind w:left="142" w:leftChars="59" w:right="-34"/>
        <w:jc w:val="both"/>
        <w:rPr>
          <w:rFonts w:hint="eastAsia" w:ascii="宋体" w:hAnsi="宋体" w:eastAsia="宋体" w:cs="宋体"/>
          <w:color w:val="auto"/>
          <w:sz w:val="21"/>
          <w:szCs w:val="21"/>
          <w:highlight w:val="none"/>
        </w:rPr>
      </w:pPr>
    </w:p>
    <w:p>
      <w:pPr>
        <w:spacing w:line="360" w:lineRule="auto"/>
        <w:ind w:firstLine="5199" w:firstLineChars="2476"/>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zh-CN"/>
        </w:rPr>
        <w:t>供应商：（加盖供应商公章）</w:t>
      </w:r>
    </w:p>
    <w:p>
      <w:pPr>
        <w:spacing w:line="360" w:lineRule="auto"/>
        <w:ind w:firstLine="5199" w:firstLineChars="247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日期：   年    月   日</w:t>
      </w:r>
    </w:p>
    <w:p>
      <w:pPr>
        <w:spacing w:line="240" w:lineRule="auto"/>
        <w:ind w:firstLine="0" w:firstLineChars="0"/>
        <w:jc w:val="left"/>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br w:type="page"/>
      </w:r>
    </w:p>
    <w:p>
      <w:pPr>
        <w:keepNext w:val="0"/>
        <w:keepLines w:val="0"/>
        <w:pageBreakBefore w:val="0"/>
        <w:widowControl w:val="0"/>
        <w:kinsoku/>
        <w:wordWrap/>
        <w:overflowPunct/>
        <w:topLinePunct w:val="0"/>
        <w:autoSpaceDE/>
        <w:autoSpaceDN/>
        <w:bidi w:val="0"/>
        <w:adjustRightInd/>
        <w:snapToGrid w:val="0"/>
        <w:spacing w:line="360" w:lineRule="auto"/>
        <w:ind w:left="278" w:leftChars="116" w:firstLine="0" w:firstLineChars="0"/>
        <w:jc w:val="center"/>
        <w:textAlignment w:val="auto"/>
        <w:outlineLvl w:val="9"/>
        <w:rPr>
          <w:rFonts w:hint="eastAsia" w:ascii="宋体" w:hAnsi="宋体" w:eastAsia="宋体" w:cs="宋体"/>
          <w:bCs/>
          <w:color w:val="auto"/>
          <w:kern w:val="2"/>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278" w:leftChars="116" w:firstLine="0" w:firstLineChars="0"/>
        <w:jc w:val="center"/>
        <w:textAlignment w:val="auto"/>
        <w:outlineLvl w:val="9"/>
        <w:rPr>
          <w:rFonts w:hint="eastAsia" w:ascii="宋体" w:hAnsi="宋体" w:eastAsia="宋体" w:cs="宋体"/>
          <w:bCs/>
          <w:color w:val="auto"/>
          <w:kern w:val="2"/>
          <w:sz w:val="21"/>
          <w:szCs w:val="21"/>
          <w:highlight w:val="none"/>
        </w:rPr>
      </w:pPr>
      <w:r>
        <w:rPr>
          <w:rFonts w:hint="eastAsia" w:ascii="宋体" w:hAnsi="宋体" w:cs="宋体"/>
          <w:bCs/>
          <w:color w:val="auto"/>
          <w:kern w:val="2"/>
          <w:sz w:val="21"/>
          <w:szCs w:val="21"/>
          <w:highlight w:val="none"/>
          <w:lang w:val="en-US" w:eastAsia="zh-CN"/>
        </w:rPr>
        <w:t>9</w:t>
      </w:r>
      <w:r>
        <w:rPr>
          <w:rFonts w:hint="eastAsia" w:ascii="宋体" w:hAnsi="宋体" w:eastAsia="宋体" w:cs="宋体"/>
          <w:bCs/>
          <w:color w:val="auto"/>
          <w:kern w:val="2"/>
          <w:sz w:val="21"/>
          <w:szCs w:val="21"/>
          <w:highlight w:val="none"/>
          <w:lang w:val="en-US" w:eastAsia="zh-CN"/>
        </w:rPr>
        <w:t>.2 供应商2022年1月1日以来具有企业清算审计服务业绩（合同签订日期时间为2022年1月1日或以后）</w:t>
      </w:r>
      <w:r>
        <w:rPr>
          <w:rFonts w:hint="eastAsia" w:ascii="宋体" w:hAnsi="宋体" w:eastAsia="宋体" w:cs="宋体"/>
          <w:bCs/>
          <w:color w:val="auto"/>
          <w:kern w:val="2"/>
          <w:sz w:val="21"/>
          <w:szCs w:val="21"/>
          <w:highlight w:val="none"/>
          <w:lang w:val="zh-CN"/>
        </w:rPr>
        <w:t>业绩</w:t>
      </w:r>
      <w:r>
        <w:rPr>
          <w:rFonts w:hint="eastAsia" w:ascii="宋体" w:hAnsi="宋体" w:eastAsia="宋体" w:cs="宋体"/>
          <w:bCs/>
          <w:color w:val="auto"/>
          <w:kern w:val="2"/>
          <w:sz w:val="21"/>
          <w:szCs w:val="21"/>
          <w:highlight w:val="none"/>
        </w:rPr>
        <w:t>表</w:t>
      </w:r>
    </w:p>
    <w:tbl>
      <w:tblPr>
        <w:tblStyle w:val="55"/>
        <w:tblW w:w="7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019"/>
        <w:gridCol w:w="1561"/>
        <w:gridCol w:w="1413"/>
        <w:gridCol w:w="1598"/>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049" w:hRule="exact"/>
          <w:jc w:val="center"/>
        </w:trPr>
        <w:tc>
          <w:tcPr>
            <w:tcW w:w="10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合同项目名称</w:t>
            </w:r>
          </w:p>
        </w:tc>
        <w:tc>
          <w:tcPr>
            <w:tcW w:w="14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1598"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合同签订</w:t>
            </w:r>
            <w:r>
              <w:rPr>
                <w:rFonts w:hint="eastAsia" w:ascii="宋体" w:hAnsi="宋体" w:eastAsia="宋体" w:cs="宋体"/>
                <w:color w:val="auto"/>
                <w:sz w:val="21"/>
                <w:szCs w:val="21"/>
                <w:highlight w:val="none"/>
              </w:rPr>
              <w:t>日期</w:t>
            </w:r>
          </w:p>
        </w:tc>
        <w:tc>
          <w:tcPr>
            <w:tcW w:w="1598"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58" w:hRule="exact"/>
          <w:jc w:val="center"/>
        </w:trPr>
        <w:tc>
          <w:tcPr>
            <w:tcW w:w="10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58" w:hRule="exact"/>
          <w:jc w:val="center"/>
        </w:trPr>
        <w:tc>
          <w:tcPr>
            <w:tcW w:w="10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89" w:hRule="exact"/>
          <w:jc w:val="center"/>
        </w:trPr>
        <w:tc>
          <w:tcPr>
            <w:tcW w:w="10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pPr>
        <w:tabs>
          <w:tab w:val="left" w:pos="0"/>
        </w:tabs>
        <w:spacing w:line="360" w:lineRule="auto"/>
        <w:ind w:right="-34"/>
        <w:jc w:val="both"/>
        <w:rPr>
          <w:rFonts w:hint="eastAsia" w:ascii="宋体" w:hAnsi="宋体" w:eastAsia="宋体" w:cs="宋体"/>
          <w:color w:val="auto"/>
          <w:sz w:val="21"/>
          <w:szCs w:val="21"/>
          <w:highlight w:val="none"/>
        </w:rPr>
      </w:pPr>
    </w:p>
    <w:p>
      <w:pPr>
        <w:tabs>
          <w:tab w:val="left" w:pos="0"/>
        </w:tabs>
        <w:spacing w:line="360" w:lineRule="auto"/>
        <w:ind w:left="142" w:leftChars="59" w:right="-3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snapToGrid w:val="0"/>
        <w:spacing w:line="360" w:lineRule="auto"/>
        <w:ind w:left="850" w:leftChars="118" w:hanging="567" w:hangingChars="270"/>
        <w:rPr>
          <w:rFonts w:hint="eastAsia" w:ascii="宋体" w:hAnsi="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（1）</w:t>
      </w:r>
      <w:r>
        <w:rPr>
          <w:rFonts w:hint="eastAsia" w:ascii="宋体" w:hAnsi="宋体" w:cs="宋体"/>
          <w:b/>
          <w:bCs/>
          <w:color w:val="auto"/>
          <w:kern w:val="2"/>
          <w:sz w:val="21"/>
          <w:szCs w:val="21"/>
          <w:highlight w:val="none"/>
          <w:u w:val="single"/>
          <w:lang w:val="en-US" w:eastAsia="zh-CN"/>
        </w:rPr>
        <w:t>同一个单项合同的业绩可以同时在资格业绩和评分业绩重复放置</w:t>
      </w:r>
      <w:r>
        <w:rPr>
          <w:rFonts w:hint="eastAsia" w:ascii="宋体" w:hAnsi="宋体" w:cs="宋体"/>
          <w:color w:val="auto"/>
          <w:kern w:val="2"/>
          <w:sz w:val="21"/>
          <w:szCs w:val="21"/>
          <w:highlight w:val="none"/>
          <w:lang w:val="en-US" w:eastAsia="zh-CN"/>
        </w:rPr>
        <w:t>。</w:t>
      </w:r>
    </w:p>
    <w:p>
      <w:pPr>
        <w:snapToGrid w:val="0"/>
        <w:spacing w:line="360" w:lineRule="auto"/>
        <w:ind w:left="852" w:leftChars="118" w:hanging="569" w:hangingChars="270"/>
        <w:rPr>
          <w:rFonts w:hint="eastAsia" w:ascii="宋体" w:hAnsi="宋体" w:eastAsia="宋体" w:cs="宋体"/>
          <w:color w:val="auto"/>
          <w:highlight w:val="none"/>
          <w:lang w:eastAsia="zh-CN"/>
        </w:rPr>
      </w:pPr>
      <w:r>
        <w:rPr>
          <w:rFonts w:hint="eastAsia" w:ascii="宋体" w:hAnsi="宋体" w:cs="宋体"/>
          <w:b/>
          <w:bCs/>
          <w:color w:val="auto"/>
          <w:sz w:val="21"/>
          <w:szCs w:val="21"/>
          <w:highlight w:val="none"/>
          <w:u w:val="single"/>
          <w:lang w:val="en-US" w:eastAsia="zh-CN"/>
        </w:rPr>
        <w:t>（2）</w:t>
      </w:r>
      <w:r>
        <w:rPr>
          <w:rFonts w:hint="eastAsia" w:ascii="宋体" w:hAnsi="宋体" w:eastAsia="宋体" w:cs="宋体"/>
          <w:b/>
          <w:bCs/>
          <w:color w:val="auto"/>
          <w:sz w:val="21"/>
          <w:szCs w:val="21"/>
          <w:highlight w:val="none"/>
          <w:u w:val="single"/>
          <w:lang w:val="en-US" w:eastAsia="zh-CN"/>
        </w:rPr>
        <w:t>业绩</w:t>
      </w:r>
      <w:r>
        <w:rPr>
          <w:rFonts w:hint="eastAsia" w:ascii="宋体" w:hAnsi="宋体" w:cs="宋体"/>
          <w:b/>
          <w:bCs/>
          <w:color w:val="auto"/>
          <w:sz w:val="21"/>
          <w:szCs w:val="21"/>
          <w:highlight w:val="none"/>
          <w:u w:val="single"/>
          <w:lang w:val="en-US" w:eastAsia="zh-CN"/>
        </w:rPr>
        <w:t>必须附</w:t>
      </w:r>
      <w:r>
        <w:rPr>
          <w:rFonts w:hint="eastAsia" w:ascii="宋体" w:hAnsi="宋体" w:eastAsia="宋体" w:cs="宋体"/>
          <w:b/>
          <w:bCs/>
          <w:color w:val="auto"/>
          <w:sz w:val="21"/>
          <w:szCs w:val="21"/>
          <w:highlight w:val="none"/>
          <w:u w:val="single"/>
          <w:lang w:val="en-US" w:eastAsia="zh-CN"/>
        </w:rPr>
        <w:t>合同复印件（合同服务提供方为供应商）</w:t>
      </w:r>
      <w:r>
        <w:rPr>
          <w:rFonts w:hint="eastAsia" w:ascii="宋体" w:hAnsi="宋体" w:cs="宋体"/>
          <w:b/>
          <w:bCs/>
          <w:color w:val="auto"/>
          <w:sz w:val="21"/>
          <w:szCs w:val="21"/>
          <w:highlight w:val="none"/>
          <w:u w:val="single"/>
          <w:lang w:val="en-US" w:eastAsia="zh-CN"/>
        </w:rPr>
        <w:t>。</w:t>
      </w:r>
      <w:r>
        <w:rPr>
          <w:rFonts w:hint="eastAsia" w:ascii="宋体" w:hAnsi="宋体" w:eastAsia="宋体" w:cs="宋体"/>
          <w:b/>
          <w:bCs/>
          <w:color w:val="auto"/>
          <w:sz w:val="21"/>
          <w:szCs w:val="21"/>
          <w:highlight w:val="none"/>
          <w:u w:val="single"/>
          <w:lang w:val="en-US" w:eastAsia="zh-CN"/>
        </w:rPr>
        <w:t>合同</w:t>
      </w:r>
      <w:r>
        <w:rPr>
          <w:rFonts w:hint="eastAsia" w:ascii="宋体" w:hAnsi="宋体" w:cs="宋体"/>
          <w:b/>
          <w:bCs/>
          <w:color w:val="auto"/>
          <w:sz w:val="21"/>
          <w:szCs w:val="21"/>
          <w:highlight w:val="none"/>
          <w:u w:val="single"/>
          <w:lang w:val="en-US" w:eastAsia="zh-CN"/>
        </w:rPr>
        <w:t>必须能</w:t>
      </w:r>
      <w:r>
        <w:rPr>
          <w:rFonts w:hint="eastAsia" w:ascii="宋体" w:hAnsi="宋体" w:eastAsia="宋体" w:cs="宋体"/>
          <w:b/>
          <w:bCs/>
          <w:color w:val="auto"/>
          <w:sz w:val="21"/>
          <w:szCs w:val="21"/>
          <w:highlight w:val="none"/>
          <w:u w:val="single"/>
          <w:lang w:val="en-US" w:eastAsia="zh-CN"/>
        </w:rPr>
        <w:t>反映评分条件（合同签订时间</w:t>
      </w:r>
      <w:r>
        <w:rPr>
          <w:rFonts w:hint="eastAsia" w:ascii="宋体" w:hAnsi="宋体" w:cs="宋体"/>
          <w:b/>
          <w:bCs/>
          <w:color w:val="auto"/>
          <w:sz w:val="21"/>
          <w:szCs w:val="21"/>
          <w:highlight w:val="none"/>
          <w:u w:val="single"/>
          <w:lang w:val="en-US" w:eastAsia="zh-CN"/>
        </w:rPr>
        <w:t>、服务内容</w:t>
      </w:r>
      <w:r>
        <w:rPr>
          <w:rFonts w:hint="eastAsia" w:ascii="宋体" w:hAnsi="宋体" w:eastAsia="宋体" w:cs="宋体"/>
          <w:b/>
          <w:bCs/>
          <w:color w:val="auto"/>
          <w:sz w:val="21"/>
          <w:szCs w:val="21"/>
          <w:highlight w:val="none"/>
          <w:u w:val="single"/>
          <w:lang w:val="en-US" w:eastAsia="zh-CN"/>
        </w:rPr>
        <w:t>），</w:t>
      </w:r>
      <w:r>
        <w:rPr>
          <w:rFonts w:hint="eastAsia" w:ascii="宋体" w:hAnsi="宋体" w:cs="宋体"/>
          <w:b/>
          <w:bCs/>
          <w:color w:val="auto"/>
          <w:sz w:val="21"/>
          <w:szCs w:val="21"/>
          <w:highlight w:val="none"/>
          <w:u w:val="single"/>
          <w:lang w:val="en-US" w:eastAsia="zh-CN"/>
        </w:rPr>
        <w:t>合同服务内容必须为清算审计服务，</w:t>
      </w:r>
      <w:r>
        <w:rPr>
          <w:rFonts w:hint="eastAsia" w:ascii="宋体" w:hAnsi="宋体" w:eastAsia="宋体" w:cs="宋体"/>
          <w:b/>
          <w:bCs/>
          <w:color w:val="auto"/>
          <w:sz w:val="21"/>
          <w:szCs w:val="21"/>
          <w:highlight w:val="none"/>
          <w:u w:val="single"/>
          <w:lang w:val="en-US" w:eastAsia="zh-CN"/>
        </w:rPr>
        <w:t>否则</w:t>
      </w:r>
      <w:r>
        <w:rPr>
          <w:rFonts w:hint="eastAsia" w:ascii="宋体" w:hAnsi="宋体" w:cs="宋体"/>
          <w:b/>
          <w:bCs/>
          <w:color w:val="auto"/>
          <w:sz w:val="21"/>
          <w:szCs w:val="21"/>
          <w:highlight w:val="none"/>
          <w:u w:val="single"/>
          <w:lang w:val="en-US" w:eastAsia="zh-CN"/>
        </w:rPr>
        <w:t>，</w:t>
      </w:r>
      <w:r>
        <w:rPr>
          <w:rFonts w:hint="eastAsia" w:ascii="宋体" w:hAnsi="宋体" w:eastAsia="宋体" w:cs="宋体"/>
          <w:b/>
          <w:bCs/>
          <w:color w:val="auto"/>
          <w:sz w:val="21"/>
          <w:szCs w:val="21"/>
          <w:highlight w:val="none"/>
          <w:u w:val="single"/>
        </w:rPr>
        <w:t>需</w:t>
      </w:r>
      <w:r>
        <w:rPr>
          <w:rFonts w:hint="eastAsia" w:ascii="宋体" w:hAnsi="宋体" w:cs="宋体"/>
          <w:b/>
          <w:bCs/>
          <w:color w:val="auto"/>
          <w:sz w:val="21"/>
          <w:szCs w:val="21"/>
          <w:highlight w:val="none"/>
          <w:u w:val="single"/>
          <w:lang w:val="en-US" w:eastAsia="zh-CN"/>
        </w:rPr>
        <w:t>同时</w:t>
      </w:r>
      <w:r>
        <w:rPr>
          <w:rFonts w:hint="eastAsia" w:ascii="宋体" w:hAnsi="宋体" w:eastAsia="宋体" w:cs="宋体"/>
          <w:b/>
          <w:bCs/>
          <w:color w:val="auto"/>
          <w:sz w:val="21"/>
          <w:szCs w:val="21"/>
          <w:highlight w:val="none"/>
          <w:u w:val="single"/>
        </w:rPr>
        <w:t>提供</w:t>
      </w:r>
      <w:r>
        <w:rPr>
          <w:rFonts w:hint="eastAsia" w:ascii="宋体" w:hAnsi="宋体" w:cs="宋体"/>
          <w:b/>
          <w:bCs/>
          <w:color w:val="auto"/>
          <w:sz w:val="21"/>
          <w:szCs w:val="21"/>
          <w:highlight w:val="none"/>
          <w:u w:val="single"/>
          <w:lang w:val="en-US" w:eastAsia="zh-CN"/>
        </w:rPr>
        <w:t>服务</w:t>
      </w:r>
      <w:r>
        <w:rPr>
          <w:rFonts w:hint="eastAsia" w:ascii="宋体" w:hAnsi="宋体" w:eastAsia="宋体" w:cs="宋体"/>
          <w:b/>
          <w:bCs/>
          <w:color w:val="auto"/>
          <w:sz w:val="21"/>
          <w:szCs w:val="21"/>
          <w:highlight w:val="none"/>
          <w:u w:val="single"/>
        </w:rPr>
        <w:t>委托人</w:t>
      </w:r>
      <w:r>
        <w:rPr>
          <w:rFonts w:hint="eastAsia" w:ascii="宋体" w:hAnsi="宋体" w:cs="宋体"/>
          <w:b/>
          <w:bCs/>
          <w:color w:val="auto"/>
          <w:sz w:val="21"/>
          <w:szCs w:val="21"/>
          <w:highlight w:val="none"/>
          <w:u w:val="single"/>
          <w:lang w:eastAsia="zh-CN"/>
        </w:rPr>
        <w:t>（</w:t>
      </w:r>
      <w:r>
        <w:rPr>
          <w:rFonts w:hint="eastAsia" w:ascii="宋体" w:hAnsi="宋体" w:cs="宋体"/>
          <w:b/>
          <w:bCs/>
          <w:color w:val="auto"/>
          <w:sz w:val="21"/>
          <w:szCs w:val="21"/>
          <w:highlight w:val="none"/>
          <w:u w:val="single"/>
          <w:lang w:val="en-US" w:eastAsia="zh-CN"/>
        </w:rPr>
        <w:t>业主</w:t>
      </w:r>
      <w:r>
        <w:rPr>
          <w:rFonts w:hint="eastAsia" w:ascii="宋体" w:hAnsi="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出具的书面补充说明文件复印件作为辅助证明</w:t>
      </w:r>
      <w:r>
        <w:rPr>
          <w:rFonts w:hint="eastAsia" w:ascii="宋体" w:hAnsi="宋体" w:cs="宋体"/>
          <w:b/>
          <w:bCs/>
          <w:color w:val="auto"/>
          <w:sz w:val="21"/>
          <w:szCs w:val="21"/>
          <w:highlight w:val="none"/>
          <w:u w:val="single"/>
          <w:lang w:eastAsia="zh-CN"/>
        </w:rPr>
        <w:t>（</w:t>
      </w:r>
      <w:r>
        <w:rPr>
          <w:rFonts w:hint="eastAsia" w:ascii="宋体" w:hAnsi="宋体" w:cs="宋体"/>
          <w:b/>
          <w:bCs/>
          <w:color w:val="auto"/>
          <w:sz w:val="21"/>
          <w:szCs w:val="21"/>
          <w:highlight w:val="none"/>
          <w:u w:val="single"/>
          <w:lang w:val="en-US" w:eastAsia="zh-CN"/>
        </w:rPr>
        <w:t>补充情况说明文件复印件能显示委托人公章</w:t>
      </w:r>
      <w:r>
        <w:rPr>
          <w:rFonts w:hint="eastAsia" w:ascii="宋体" w:hAnsi="宋体" w:cs="宋体"/>
          <w:b/>
          <w:bCs/>
          <w:color w:val="auto"/>
          <w:sz w:val="21"/>
          <w:szCs w:val="21"/>
          <w:highlight w:val="none"/>
          <w:u w:val="single"/>
          <w:lang w:eastAsia="zh-CN"/>
        </w:rPr>
        <w:t>），</w:t>
      </w:r>
      <w:r>
        <w:rPr>
          <w:rFonts w:hint="eastAsia" w:ascii="宋体" w:hAnsi="宋体" w:cs="宋体"/>
          <w:b/>
          <w:bCs/>
          <w:color w:val="auto"/>
          <w:sz w:val="21"/>
          <w:szCs w:val="21"/>
          <w:highlight w:val="none"/>
          <w:u w:val="single"/>
          <w:lang w:val="en-US" w:eastAsia="zh-CN"/>
        </w:rPr>
        <w:t>否则不得分</w:t>
      </w:r>
      <w:r>
        <w:rPr>
          <w:rFonts w:hint="eastAsia" w:ascii="宋体" w:hAnsi="宋体" w:eastAsia="宋体" w:cs="宋体"/>
          <w:color w:val="auto"/>
          <w:sz w:val="21"/>
          <w:szCs w:val="21"/>
          <w:highlight w:val="none"/>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845" w:leftChars="118" w:hanging="562" w:hangingChars="26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u w:val="single"/>
          <w:lang w:val="en-US" w:eastAsia="zh-CN"/>
        </w:rPr>
        <w:t>若同一份合同业绩中同时包含资产审计服务、企业清算审计服务和财税咨询服务的，不重复计分</w:t>
      </w:r>
      <w:r>
        <w:rPr>
          <w:rFonts w:hint="eastAsia" w:ascii="宋体" w:hAnsi="宋体" w:cs="宋体"/>
          <w:b/>
          <w:bCs/>
          <w:color w:val="auto"/>
          <w:sz w:val="21"/>
          <w:szCs w:val="21"/>
          <w:highlight w:val="none"/>
          <w:u w:val="single"/>
          <w:lang w:val="en-US" w:eastAsia="zh-CN"/>
        </w:rPr>
        <w:t>，由供应商自行放入对应的评分子项</w:t>
      </w:r>
      <w:r>
        <w:rPr>
          <w:rFonts w:hint="eastAsia" w:ascii="宋体" w:hAnsi="宋体" w:eastAsia="宋体" w:cs="宋体"/>
          <w:b/>
          <w:bCs/>
          <w:color w:val="auto"/>
          <w:sz w:val="21"/>
          <w:szCs w:val="21"/>
          <w:highlight w:val="none"/>
          <w:u w:val="singl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845" w:leftChars="118" w:hanging="562" w:hangingChars="26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u w:val="single"/>
        </w:rPr>
        <w:t>未按上述要求</w:t>
      </w:r>
      <w:r>
        <w:rPr>
          <w:rFonts w:hint="eastAsia" w:ascii="宋体" w:hAnsi="宋体" w:eastAsia="宋体" w:cs="宋体"/>
          <w:b/>
          <w:bCs/>
          <w:color w:val="auto"/>
          <w:sz w:val="21"/>
          <w:szCs w:val="21"/>
          <w:highlight w:val="none"/>
          <w:u w:val="single"/>
          <w:lang w:val="en-US" w:eastAsia="zh-CN"/>
        </w:rPr>
        <w:t>在此格式下</w:t>
      </w:r>
      <w:r>
        <w:rPr>
          <w:rFonts w:hint="eastAsia" w:ascii="宋体" w:hAnsi="宋体" w:eastAsia="宋体" w:cs="宋体"/>
          <w:b/>
          <w:bCs/>
          <w:color w:val="auto"/>
          <w:sz w:val="21"/>
          <w:szCs w:val="21"/>
          <w:highlight w:val="none"/>
          <w:u w:val="single"/>
        </w:rPr>
        <w:t>提供证明材料的业绩，或</w:t>
      </w:r>
      <w:r>
        <w:rPr>
          <w:rFonts w:hint="eastAsia" w:ascii="宋体" w:hAnsi="宋体" w:eastAsia="宋体" w:cs="宋体"/>
          <w:b/>
          <w:bCs/>
          <w:color w:val="auto"/>
          <w:sz w:val="21"/>
          <w:szCs w:val="21"/>
          <w:highlight w:val="none"/>
          <w:u w:val="single"/>
          <w:lang w:val="en-US" w:eastAsia="zh-CN"/>
        </w:rPr>
        <w:t>在此格式下</w:t>
      </w:r>
      <w:r>
        <w:rPr>
          <w:rFonts w:hint="eastAsia" w:ascii="宋体" w:hAnsi="宋体" w:eastAsia="宋体" w:cs="宋体"/>
          <w:b/>
          <w:bCs/>
          <w:color w:val="auto"/>
          <w:sz w:val="21"/>
          <w:szCs w:val="21"/>
          <w:highlight w:val="none"/>
          <w:u w:val="single"/>
        </w:rPr>
        <w:t>所附材料无法证明符合本项</w:t>
      </w:r>
      <w:r>
        <w:rPr>
          <w:rFonts w:hint="eastAsia" w:ascii="宋体" w:hAnsi="宋体" w:eastAsia="宋体" w:cs="宋体"/>
          <w:b/>
          <w:bCs/>
          <w:color w:val="auto"/>
          <w:sz w:val="21"/>
          <w:szCs w:val="21"/>
          <w:highlight w:val="none"/>
          <w:u w:val="single"/>
          <w:lang w:val="en-US" w:eastAsia="zh-CN"/>
        </w:rPr>
        <w:t>评分要求的业绩，在评审时将不予考虑</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845" w:leftChars="118" w:hanging="562" w:hangingChars="26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u w:val="single"/>
        </w:rPr>
        <w:t>采购人有权对</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提供的业绩进行核查（包括对全部业绩材料的原件进行核查），若发现弄虚作假，有权取消其</w:t>
      </w:r>
      <w:r>
        <w:rPr>
          <w:rFonts w:hint="eastAsia" w:ascii="宋体" w:hAnsi="宋体" w:eastAsia="宋体" w:cs="宋体"/>
          <w:b/>
          <w:bCs/>
          <w:color w:val="auto"/>
          <w:sz w:val="21"/>
          <w:szCs w:val="21"/>
          <w:highlight w:val="none"/>
          <w:u w:val="single"/>
          <w:lang w:val="en-US" w:eastAsia="zh-CN"/>
        </w:rPr>
        <w:t>成交</w:t>
      </w:r>
      <w:r>
        <w:rPr>
          <w:rFonts w:hint="eastAsia" w:ascii="宋体" w:hAnsi="宋体" w:eastAsia="宋体" w:cs="宋体"/>
          <w:b/>
          <w:bCs/>
          <w:color w:val="auto"/>
          <w:sz w:val="21"/>
          <w:szCs w:val="21"/>
          <w:highlight w:val="none"/>
          <w:u w:val="single"/>
        </w:rPr>
        <w:t>资格，并将上报监督管理部门，从严处理，列入相应的</w:t>
      </w:r>
      <w:r>
        <w:rPr>
          <w:rFonts w:hint="eastAsia" w:ascii="宋体" w:hAnsi="宋体" w:eastAsia="宋体" w:cs="宋体"/>
          <w:b/>
          <w:bCs/>
          <w:color w:val="auto"/>
          <w:kern w:val="2"/>
          <w:sz w:val="21"/>
          <w:szCs w:val="21"/>
          <w:highlight w:val="none"/>
          <w:u w:val="single"/>
          <w:lang w:val="zh-CN"/>
        </w:rPr>
        <w:t>‘黑名单’</w:t>
      </w:r>
      <w:r>
        <w:rPr>
          <w:rFonts w:hint="eastAsia" w:ascii="宋体" w:hAnsi="宋体" w:eastAsia="宋体" w:cs="宋体"/>
          <w:color w:val="auto"/>
          <w:sz w:val="21"/>
          <w:szCs w:val="21"/>
          <w:highlight w:val="none"/>
        </w:rPr>
        <w:t>。</w:t>
      </w:r>
    </w:p>
    <w:p>
      <w:pPr>
        <w:tabs>
          <w:tab w:val="left" w:pos="0"/>
        </w:tabs>
        <w:spacing w:line="360" w:lineRule="auto"/>
        <w:ind w:left="142" w:leftChars="59" w:right="-34"/>
        <w:jc w:val="both"/>
        <w:rPr>
          <w:rFonts w:hint="eastAsia" w:ascii="宋体" w:hAnsi="宋体" w:eastAsia="宋体" w:cs="宋体"/>
          <w:color w:val="auto"/>
          <w:sz w:val="21"/>
          <w:szCs w:val="21"/>
          <w:highlight w:val="none"/>
        </w:rPr>
      </w:pPr>
    </w:p>
    <w:p>
      <w:pPr>
        <w:spacing w:line="360" w:lineRule="auto"/>
        <w:ind w:firstLine="5199" w:firstLineChars="2476"/>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zh-CN"/>
        </w:rPr>
        <w:t>供应商：（加盖供应商公章）</w:t>
      </w:r>
    </w:p>
    <w:p>
      <w:pPr>
        <w:spacing w:line="360" w:lineRule="auto"/>
        <w:ind w:firstLine="5199" w:firstLineChars="247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日期：   年    月   日</w:t>
      </w:r>
    </w:p>
    <w:p>
      <w:pPr>
        <w:outlineLvl w:val="9"/>
        <w:rPr>
          <w:rFonts w:hint="eastAsia" w:ascii="宋体" w:hAnsi="宋体" w:eastAsia="宋体" w:cs="宋体"/>
          <w:color w:val="auto"/>
          <w:highlight w:val="none"/>
        </w:rPr>
      </w:pPr>
    </w:p>
    <w:p>
      <w:pPr>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pPr>
        <w:keepNext w:val="0"/>
        <w:keepLines w:val="0"/>
        <w:pageBreakBefore w:val="0"/>
        <w:widowControl w:val="0"/>
        <w:kinsoku/>
        <w:wordWrap/>
        <w:overflowPunct/>
        <w:topLinePunct w:val="0"/>
        <w:autoSpaceDE/>
        <w:autoSpaceDN/>
        <w:bidi w:val="0"/>
        <w:adjustRightInd/>
        <w:snapToGrid w:val="0"/>
        <w:spacing w:line="360" w:lineRule="auto"/>
        <w:ind w:left="278" w:leftChars="116" w:firstLine="0" w:firstLineChars="0"/>
        <w:jc w:val="center"/>
        <w:textAlignment w:val="auto"/>
        <w:outlineLvl w:val="9"/>
        <w:rPr>
          <w:rFonts w:hint="eastAsia" w:ascii="宋体" w:hAnsi="宋体" w:eastAsia="宋体" w:cs="宋体"/>
          <w:bCs/>
          <w:color w:val="auto"/>
          <w:kern w:val="2"/>
          <w:sz w:val="21"/>
          <w:szCs w:val="21"/>
          <w:highlight w:val="none"/>
        </w:rPr>
      </w:pPr>
      <w:r>
        <w:rPr>
          <w:rFonts w:hint="eastAsia" w:ascii="宋体" w:hAnsi="宋体" w:cs="宋体"/>
          <w:bCs/>
          <w:color w:val="auto"/>
          <w:kern w:val="2"/>
          <w:sz w:val="21"/>
          <w:szCs w:val="21"/>
          <w:highlight w:val="none"/>
          <w:lang w:val="en-US" w:eastAsia="zh-CN"/>
        </w:rPr>
        <w:t>9</w:t>
      </w:r>
      <w:r>
        <w:rPr>
          <w:rFonts w:hint="eastAsia" w:ascii="宋体" w:hAnsi="宋体" w:eastAsia="宋体" w:cs="宋体"/>
          <w:bCs/>
          <w:color w:val="auto"/>
          <w:kern w:val="2"/>
          <w:sz w:val="21"/>
          <w:szCs w:val="21"/>
          <w:highlight w:val="none"/>
          <w:lang w:val="en-US" w:eastAsia="zh-CN"/>
        </w:rPr>
        <w:t>.</w:t>
      </w:r>
      <w:r>
        <w:rPr>
          <w:rFonts w:hint="eastAsia" w:ascii="宋体" w:hAnsi="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en-US" w:eastAsia="zh-CN"/>
        </w:rPr>
        <w:t xml:space="preserve"> 供应商2022年1月1日以来具有财税咨询服务业绩（合同签订日期时间为2022年1月1日或以后）</w:t>
      </w:r>
      <w:r>
        <w:rPr>
          <w:rFonts w:hint="eastAsia" w:ascii="宋体" w:hAnsi="宋体" w:eastAsia="宋体" w:cs="宋体"/>
          <w:bCs/>
          <w:color w:val="auto"/>
          <w:kern w:val="2"/>
          <w:sz w:val="21"/>
          <w:szCs w:val="21"/>
          <w:highlight w:val="none"/>
          <w:lang w:val="zh-CN"/>
        </w:rPr>
        <w:t>业绩</w:t>
      </w:r>
      <w:r>
        <w:rPr>
          <w:rFonts w:hint="eastAsia" w:ascii="宋体" w:hAnsi="宋体" w:eastAsia="宋体" w:cs="宋体"/>
          <w:bCs/>
          <w:color w:val="auto"/>
          <w:kern w:val="2"/>
          <w:sz w:val="21"/>
          <w:szCs w:val="21"/>
          <w:highlight w:val="none"/>
        </w:rPr>
        <w:t>表</w:t>
      </w:r>
    </w:p>
    <w:tbl>
      <w:tblPr>
        <w:tblStyle w:val="55"/>
        <w:tblW w:w="7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019"/>
        <w:gridCol w:w="1561"/>
        <w:gridCol w:w="1413"/>
        <w:gridCol w:w="1598"/>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049" w:hRule="exact"/>
          <w:jc w:val="center"/>
        </w:trPr>
        <w:tc>
          <w:tcPr>
            <w:tcW w:w="10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合同项目名称</w:t>
            </w:r>
          </w:p>
        </w:tc>
        <w:tc>
          <w:tcPr>
            <w:tcW w:w="14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1598"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合同签订</w:t>
            </w:r>
            <w:r>
              <w:rPr>
                <w:rFonts w:hint="eastAsia" w:ascii="宋体" w:hAnsi="宋体" w:eastAsia="宋体" w:cs="宋体"/>
                <w:color w:val="auto"/>
                <w:sz w:val="21"/>
                <w:szCs w:val="21"/>
                <w:highlight w:val="none"/>
              </w:rPr>
              <w:t>日期</w:t>
            </w:r>
          </w:p>
        </w:tc>
        <w:tc>
          <w:tcPr>
            <w:tcW w:w="1598"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58" w:hRule="exact"/>
          <w:jc w:val="center"/>
        </w:trPr>
        <w:tc>
          <w:tcPr>
            <w:tcW w:w="10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58" w:hRule="exact"/>
          <w:jc w:val="center"/>
        </w:trPr>
        <w:tc>
          <w:tcPr>
            <w:tcW w:w="10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89" w:hRule="exact"/>
          <w:jc w:val="center"/>
        </w:trPr>
        <w:tc>
          <w:tcPr>
            <w:tcW w:w="10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pPr>
        <w:tabs>
          <w:tab w:val="left" w:pos="0"/>
        </w:tabs>
        <w:spacing w:line="360" w:lineRule="auto"/>
        <w:ind w:right="-34"/>
        <w:jc w:val="both"/>
        <w:rPr>
          <w:rFonts w:hint="eastAsia" w:ascii="宋体" w:hAnsi="宋体" w:eastAsia="宋体" w:cs="宋体"/>
          <w:color w:val="auto"/>
          <w:sz w:val="21"/>
          <w:szCs w:val="21"/>
          <w:highlight w:val="none"/>
        </w:rPr>
      </w:pPr>
    </w:p>
    <w:p>
      <w:pPr>
        <w:tabs>
          <w:tab w:val="left" w:pos="0"/>
        </w:tabs>
        <w:spacing w:line="360" w:lineRule="auto"/>
        <w:ind w:left="142" w:leftChars="59" w:right="-3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snapToGrid w:val="0"/>
        <w:spacing w:line="360" w:lineRule="auto"/>
        <w:ind w:left="850" w:leftChars="118" w:hanging="567" w:hangingChars="270"/>
        <w:rPr>
          <w:rFonts w:hint="eastAsia" w:ascii="宋体" w:hAnsi="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（1）</w:t>
      </w:r>
      <w:r>
        <w:rPr>
          <w:rFonts w:hint="eastAsia" w:ascii="宋体" w:hAnsi="宋体" w:cs="宋体"/>
          <w:b/>
          <w:bCs/>
          <w:color w:val="auto"/>
          <w:kern w:val="2"/>
          <w:sz w:val="21"/>
          <w:szCs w:val="21"/>
          <w:highlight w:val="none"/>
          <w:u w:val="single"/>
          <w:lang w:val="en-US" w:eastAsia="zh-CN"/>
        </w:rPr>
        <w:t>同一个单项合同的业绩可以同时在资格业绩和评分业绩重复放置</w:t>
      </w:r>
      <w:r>
        <w:rPr>
          <w:rFonts w:hint="eastAsia" w:ascii="宋体" w:hAnsi="宋体" w:cs="宋体"/>
          <w:color w:val="auto"/>
          <w:kern w:val="2"/>
          <w:sz w:val="21"/>
          <w:szCs w:val="21"/>
          <w:highlight w:val="none"/>
          <w:lang w:val="en-US" w:eastAsia="zh-CN"/>
        </w:rPr>
        <w:t>。</w:t>
      </w:r>
    </w:p>
    <w:p>
      <w:pPr>
        <w:snapToGrid w:val="0"/>
        <w:spacing w:line="360" w:lineRule="auto"/>
        <w:ind w:left="852" w:leftChars="118" w:hanging="569" w:hangingChars="270"/>
        <w:rPr>
          <w:rFonts w:hint="eastAsia" w:ascii="宋体" w:hAnsi="宋体" w:eastAsia="宋体" w:cs="宋体"/>
          <w:color w:val="auto"/>
          <w:highlight w:val="none"/>
          <w:lang w:eastAsia="zh-CN"/>
        </w:rPr>
      </w:pPr>
      <w:r>
        <w:rPr>
          <w:rFonts w:hint="eastAsia" w:ascii="宋体" w:hAnsi="宋体" w:cs="宋体"/>
          <w:b/>
          <w:bCs/>
          <w:color w:val="auto"/>
          <w:sz w:val="21"/>
          <w:szCs w:val="21"/>
          <w:highlight w:val="none"/>
          <w:u w:val="single"/>
          <w:lang w:val="en-US" w:eastAsia="zh-CN"/>
        </w:rPr>
        <w:t>（2）</w:t>
      </w:r>
      <w:r>
        <w:rPr>
          <w:rFonts w:hint="eastAsia" w:ascii="宋体" w:hAnsi="宋体" w:eastAsia="宋体" w:cs="宋体"/>
          <w:b/>
          <w:bCs/>
          <w:color w:val="auto"/>
          <w:sz w:val="21"/>
          <w:szCs w:val="21"/>
          <w:highlight w:val="none"/>
          <w:u w:val="single"/>
          <w:lang w:val="en-US" w:eastAsia="zh-CN"/>
        </w:rPr>
        <w:t>业绩</w:t>
      </w:r>
      <w:r>
        <w:rPr>
          <w:rFonts w:hint="eastAsia" w:ascii="宋体" w:hAnsi="宋体" w:cs="宋体"/>
          <w:b/>
          <w:bCs/>
          <w:color w:val="auto"/>
          <w:sz w:val="21"/>
          <w:szCs w:val="21"/>
          <w:highlight w:val="none"/>
          <w:u w:val="single"/>
          <w:lang w:val="en-US" w:eastAsia="zh-CN"/>
        </w:rPr>
        <w:t>必须附</w:t>
      </w:r>
      <w:r>
        <w:rPr>
          <w:rFonts w:hint="eastAsia" w:ascii="宋体" w:hAnsi="宋体" w:eastAsia="宋体" w:cs="宋体"/>
          <w:b/>
          <w:bCs/>
          <w:color w:val="auto"/>
          <w:sz w:val="21"/>
          <w:szCs w:val="21"/>
          <w:highlight w:val="none"/>
          <w:u w:val="single"/>
          <w:lang w:val="en-US" w:eastAsia="zh-CN"/>
        </w:rPr>
        <w:t>合同复印件（合同服务提供方为供应商）</w:t>
      </w:r>
      <w:r>
        <w:rPr>
          <w:rFonts w:hint="eastAsia" w:ascii="宋体" w:hAnsi="宋体" w:cs="宋体"/>
          <w:b/>
          <w:bCs/>
          <w:color w:val="auto"/>
          <w:sz w:val="21"/>
          <w:szCs w:val="21"/>
          <w:highlight w:val="none"/>
          <w:u w:val="single"/>
          <w:lang w:val="en-US" w:eastAsia="zh-CN"/>
        </w:rPr>
        <w:t>。</w:t>
      </w:r>
      <w:r>
        <w:rPr>
          <w:rFonts w:hint="eastAsia" w:ascii="宋体" w:hAnsi="宋体" w:eastAsia="宋体" w:cs="宋体"/>
          <w:b/>
          <w:bCs/>
          <w:color w:val="auto"/>
          <w:sz w:val="21"/>
          <w:szCs w:val="21"/>
          <w:highlight w:val="none"/>
          <w:u w:val="single"/>
          <w:lang w:val="en-US" w:eastAsia="zh-CN"/>
        </w:rPr>
        <w:t>合同</w:t>
      </w:r>
      <w:r>
        <w:rPr>
          <w:rFonts w:hint="eastAsia" w:ascii="宋体" w:hAnsi="宋体" w:cs="宋体"/>
          <w:b/>
          <w:bCs/>
          <w:color w:val="auto"/>
          <w:sz w:val="21"/>
          <w:szCs w:val="21"/>
          <w:highlight w:val="none"/>
          <w:u w:val="single"/>
          <w:lang w:val="en-US" w:eastAsia="zh-CN"/>
        </w:rPr>
        <w:t>必须能</w:t>
      </w:r>
      <w:r>
        <w:rPr>
          <w:rFonts w:hint="eastAsia" w:ascii="宋体" w:hAnsi="宋体" w:eastAsia="宋体" w:cs="宋体"/>
          <w:b/>
          <w:bCs/>
          <w:color w:val="auto"/>
          <w:sz w:val="21"/>
          <w:szCs w:val="21"/>
          <w:highlight w:val="none"/>
          <w:u w:val="single"/>
          <w:lang w:val="en-US" w:eastAsia="zh-CN"/>
        </w:rPr>
        <w:t>反映评分条件（合同签订时间</w:t>
      </w:r>
      <w:r>
        <w:rPr>
          <w:rFonts w:hint="eastAsia" w:ascii="宋体" w:hAnsi="宋体" w:cs="宋体"/>
          <w:b/>
          <w:bCs/>
          <w:color w:val="auto"/>
          <w:sz w:val="21"/>
          <w:szCs w:val="21"/>
          <w:highlight w:val="none"/>
          <w:u w:val="single"/>
          <w:lang w:val="en-US" w:eastAsia="zh-CN"/>
        </w:rPr>
        <w:t>、服务内容</w:t>
      </w:r>
      <w:r>
        <w:rPr>
          <w:rFonts w:hint="eastAsia" w:ascii="宋体" w:hAnsi="宋体" w:eastAsia="宋体" w:cs="宋体"/>
          <w:b/>
          <w:bCs/>
          <w:color w:val="auto"/>
          <w:sz w:val="21"/>
          <w:szCs w:val="21"/>
          <w:highlight w:val="none"/>
          <w:u w:val="single"/>
          <w:lang w:val="en-US" w:eastAsia="zh-CN"/>
        </w:rPr>
        <w:t>），</w:t>
      </w:r>
      <w:r>
        <w:rPr>
          <w:rFonts w:hint="eastAsia" w:ascii="宋体" w:hAnsi="宋体" w:cs="宋体"/>
          <w:b/>
          <w:bCs/>
          <w:color w:val="auto"/>
          <w:sz w:val="21"/>
          <w:szCs w:val="21"/>
          <w:highlight w:val="none"/>
          <w:u w:val="single"/>
          <w:lang w:val="en-US" w:eastAsia="zh-CN"/>
        </w:rPr>
        <w:t>合同服务内容必须为财税咨询服务，</w:t>
      </w:r>
      <w:r>
        <w:rPr>
          <w:rFonts w:hint="eastAsia" w:ascii="宋体" w:hAnsi="宋体" w:eastAsia="宋体" w:cs="宋体"/>
          <w:b/>
          <w:bCs/>
          <w:color w:val="auto"/>
          <w:sz w:val="21"/>
          <w:szCs w:val="21"/>
          <w:highlight w:val="none"/>
          <w:u w:val="single"/>
          <w:lang w:val="en-US" w:eastAsia="zh-CN"/>
        </w:rPr>
        <w:t>否则</w:t>
      </w:r>
      <w:r>
        <w:rPr>
          <w:rFonts w:hint="eastAsia" w:ascii="宋体" w:hAnsi="宋体" w:cs="宋体"/>
          <w:b/>
          <w:bCs/>
          <w:color w:val="auto"/>
          <w:sz w:val="21"/>
          <w:szCs w:val="21"/>
          <w:highlight w:val="none"/>
          <w:u w:val="single"/>
          <w:lang w:val="en-US" w:eastAsia="zh-CN"/>
        </w:rPr>
        <w:t>，</w:t>
      </w:r>
      <w:r>
        <w:rPr>
          <w:rFonts w:hint="eastAsia" w:ascii="宋体" w:hAnsi="宋体" w:eastAsia="宋体" w:cs="宋体"/>
          <w:b/>
          <w:bCs/>
          <w:color w:val="auto"/>
          <w:sz w:val="21"/>
          <w:szCs w:val="21"/>
          <w:highlight w:val="none"/>
          <w:u w:val="single"/>
        </w:rPr>
        <w:t>需</w:t>
      </w:r>
      <w:r>
        <w:rPr>
          <w:rFonts w:hint="eastAsia" w:ascii="宋体" w:hAnsi="宋体" w:cs="宋体"/>
          <w:b/>
          <w:bCs/>
          <w:color w:val="auto"/>
          <w:sz w:val="21"/>
          <w:szCs w:val="21"/>
          <w:highlight w:val="none"/>
          <w:u w:val="single"/>
          <w:lang w:val="en-US" w:eastAsia="zh-CN"/>
        </w:rPr>
        <w:t>同时</w:t>
      </w:r>
      <w:r>
        <w:rPr>
          <w:rFonts w:hint="eastAsia" w:ascii="宋体" w:hAnsi="宋体" w:eastAsia="宋体" w:cs="宋体"/>
          <w:b/>
          <w:bCs/>
          <w:color w:val="auto"/>
          <w:sz w:val="21"/>
          <w:szCs w:val="21"/>
          <w:highlight w:val="none"/>
          <w:u w:val="single"/>
        </w:rPr>
        <w:t>提供</w:t>
      </w:r>
      <w:r>
        <w:rPr>
          <w:rFonts w:hint="eastAsia" w:ascii="宋体" w:hAnsi="宋体" w:cs="宋体"/>
          <w:b/>
          <w:bCs/>
          <w:color w:val="auto"/>
          <w:sz w:val="21"/>
          <w:szCs w:val="21"/>
          <w:highlight w:val="none"/>
          <w:u w:val="single"/>
          <w:lang w:val="en-US" w:eastAsia="zh-CN"/>
        </w:rPr>
        <w:t>服务</w:t>
      </w:r>
      <w:r>
        <w:rPr>
          <w:rFonts w:hint="eastAsia" w:ascii="宋体" w:hAnsi="宋体" w:eastAsia="宋体" w:cs="宋体"/>
          <w:b/>
          <w:bCs/>
          <w:color w:val="auto"/>
          <w:sz w:val="21"/>
          <w:szCs w:val="21"/>
          <w:highlight w:val="none"/>
          <w:u w:val="single"/>
        </w:rPr>
        <w:t>委托人</w:t>
      </w:r>
      <w:r>
        <w:rPr>
          <w:rFonts w:hint="eastAsia" w:ascii="宋体" w:hAnsi="宋体" w:cs="宋体"/>
          <w:b/>
          <w:bCs/>
          <w:color w:val="auto"/>
          <w:sz w:val="21"/>
          <w:szCs w:val="21"/>
          <w:highlight w:val="none"/>
          <w:u w:val="single"/>
          <w:lang w:eastAsia="zh-CN"/>
        </w:rPr>
        <w:t>（</w:t>
      </w:r>
      <w:r>
        <w:rPr>
          <w:rFonts w:hint="eastAsia" w:ascii="宋体" w:hAnsi="宋体" w:cs="宋体"/>
          <w:b/>
          <w:bCs/>
          <w:color w:val="auto"/>
          <w:sz w:val="21"/>
          <w:szCs w:val="21"/>
          <w:highlight w:val="none"/>
          <w:u w:val="single"/>
          <w:lang w:val="en-US" w:eastAsia="zh-CN"/>
        </w:rPr>
        <w:t>业主</w:t>
      </w:r>
      <w:r>
        <w:rPr>
          <w:rFonts w:hint="eastAsia" w:ascii="宋体" w:hAnsi="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出具的书面补充说明文件复印件作为辅助证明</w:t>
      </w:r>
      <w:r>
        <w:rPr>
          <w:rFonts w:hint="eastAsia" w:ascii="宋体" w:hAnsi="宋体" w:cs="宋体"/>
          <w:b/>
          <w:bCs/>
          <w:color w:val="auto"/>
          <w:sz w:val="21"/>
          <w:szCs w:val="21"/>
          <w:highlight w:val="none"/>
          <w:u w:val="single"/>
          <w:lang w:eastAsia="zh-CN"/>
        </w:rPr>
        <w:t>（</w:t>
      </w:r>
      <w:r>
        <w:rPr>
          <w:rFonts w:hint="eastAsia" w:ascii="宋体" w:hAnsi="宋体" w:cs="宋体"/>
          <w:b/>
          <w:bCs/>
          <w:color w:val="auto"/>
          <w:sz w:val="21"/>
          <w:szCs w:val="21"/>
          <w:highlight w:val="none"/>
          <w:u w:val="single"/>
          <w:lang w:val="en-US" w:eastAsia="zh-CN"/>
        </w:rPr>
        <w:t>补充情况说明文件复印件能显示委托人公章</w:t>
      </w:r>
      <w:r>
        <w:rPr>
          <w:rFonts w:hint="eastAsia" w:ascii="宋体" w:hAnsi="宋体" w:cs="宋体"/>
          <w:b/>
          <w:bCs/>
          <w:color w:val="auto"/>
          <w:sz w:val="21"/>
          <w:szCs w:val="21"/>
          <w:highlight w:val="none"/>
          <w:u w:val="single"/>
          <w:lang w:eastAsia="zh-CN"/>
        </w:rPr>
        <w:t>），</w:t>
      </w:r>
      <w:r>
        <w:rPr>
          <w:rFonts w:hint="eastAsia" w:ascii="宋体" w:hAnsi="宋体" w:cs="宋体"/>
          <w:b/>
          <w:bCs/>
          <w:color w:val="auto"/>
          <w:sz w:val="21"/>
          <w:szCs w:val="21"/>
          <w:highlight w:val="none"/>
          <w:u w:val="single"/>
          <w:lang w:val="en-US" w:eastAsia="zh-CN"/>
        </w:rPr>
        <w:t>否则不得分</w:t>
      </w:r>
      <w:r>
        <w:rPr>
          <w:rFonts w:hint="eastAsia" w:ascii="宋体" w:hAnsi="宋体" w:eastAsia="宋体" w:cs="宋体"/>
          <w:color w:val="auto"/>
          <w:sz w:val="21"/>
          <w:szCs w:val="21"/>
          <w:highlight w:val="none"/>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845" w:leftChars="118" w:hanging="562" w:hangingChars="26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u w:val="single"/>
          <w:lang w:val="en-US" w:eastAsia="zh-CN"/>
        </w:rPr>
        <w:t>若同一份合同业绩中同时包含资产审计服务、企业清算审计服务和财税咨询服务的，不重复计分</w:t>
      </w:r>
      <w:r>
        <w:rPr>
          <w:rFonts w:hint="eastAsia" w:ascii="宋体" w:hAnsi="宋体" w:cs="宋体"/>
          <w:b/>
          <w:bCs/>
          <w:color w:val="auto"/>
          <w:sz w:val="21"/>
          <w:szCs w:val="21"/>
          <w:highlight w:val="none"/>
          <w:u w:val="single"/>
          <w:lang w:val="en-US" w:eastAsia="zh-CN"/>
        </w:rPr>
        <w:t>，由供应商自行放入对应的评分子项</w:t>
      </w:r>
      <w:r>
        <w:rPr>
          <w:rFonts w:hint="eastAsia" w:ascii="宋体" w:hAnsi="宋体" w:eastAsia="宋体" w:cs="宋体"/>
          <w:b/>
          <w:bCs/>
          <w:color w:val="auto"/>
          <w:sz w:val="21"/>
          <w:szCs w:val="21"/>
          <w:highlight w:val="none"/>
          <w:u w:val="singl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845" w:leftChars="118" w:hanging="562" w:hangingChars="26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u w:val="single"/>
        </w:rPr>
        <w:t>未按上述要求</w:t>
      </w:r>
      <w:r>
        <w:rPr>
          <w:rFonts w:hint="eastAsia" w:ascii="宋体" w:hAnsi="宋体" w:eastAsia="宋体" w:cs="宋体"/>
          <w:b/>
          <w:bCs/>
          <w:color w:val="auto"/>
          <w:sz w:val="21"/>
          <w:szCs w:val="21"/>
          <w:highlight w:val="none"/>
          <w:u w:val="single"/>
          <w:lang w:val="en-US" w:eastAsia="zh-CN"/>
        </w:rPr>
        <w:t>在此格式下</w:t>
      </w:r>
      <w:r>
        <w:rPr>
          <w:rFonts w:hint="eastAsia" w:ascii="宋体" w:hAnsi="宋体" w:eastAsia="宋体" w:cs="宋体"/>
          <w:b/>
          <w:bCs/>
          <w:color w:val="auto"/>
          <w:sz w:val="21"/>
          <w:szCs w:val="21"/>
          <w:highlight w:val="none"/>
          <w:u w:val="single"/>
        </w:rPr>
        <w:t>提供证明材料的业绩，或</w:t>
      </w:r>
      <w:r>
        <w:rPr>
          <w:rFonts w:hint="eastAsia" w:ascii="宋体" w:hAnsi="宋体" w:eastAsia="宋体" w:cs="宋体"/>
          <w:b/>
          <w:bCs/>
          <w:color w:val="auto"/>
          <w:sz w:val="21"/>
          <w:szCs w:val="21"/>
          <w:highlight w:val="none"/>
          <w:u w:val="single"/>
          <w:lang w:val="en-US" w:eastAsia="zh-CN"/>
        </w:rPr>
        <w:t>在此格式下</w:t>
      </w:r>
      <w:r>
        <w:rPr>
          <w:rFonts w:hint="eastAsia" w:ascii="宋体" w:hAnsi="宋体" w:eastAsia="宋体" w:cs="宋体"/>
          <w:b/>
          <w:bCs/>
          <w:color w:val="auto"/>
          <w:sz w:val="21"/>
          <w:szCs w:val="21"/>
          <w:highlight w:val="none"/>
          <w:u w:val="single"/>
        </w:rPr>
        <w:t>所附材料无法证明符合本项</w:t>
      </w:r>
      <w:r>
        <w:rPr>
          <w:rFonts w:hint="eastAsia" w:ascii="宋体" w:hAnsi="宋体" w:eastAsia="宋体" w:cs="宋体"/>
          <w:b/>
          <w:bCs/>
          <w:color w:val="auto"/>
          <w:sz w:val="21"/>
          <w:szCs w:val="21"/>
          <w:highlight w:val="none"/>
          <w:u w:val="single"/>
          <w:lang w:val="en-US" w:eastAsia="zh-CN"/>
        </w:rPr>
        <w:t>评分要求的业绩，在评审时将不予考虑</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845" w:leftChars="118" w:hanging="562" w:hangingChars="26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u w:val="single"/>
        </w:rPr>
        <w:t>采购人有权对</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提供的业绩进行核查（包括对全部业绩材料的原件进行核查），若发现弄虚作假，有权取消其</w:t>
      </w:r>
      <w:r>
        <w:rPr>
          <w:rFonts w:hint="eastAsia" w:ascii="宋体" w:hAnsi="宋体" w:eastAsia="宋体" w:cs="宋体"/>
          <w:b/>
          <w:bCs/>
          <w:color w:val="auto"/>
          <w:sz w:val="21"/>
          <w:szCs w:val="21"/>
          <w:highlight w:val="none"/>
          <w:u w:val="single"/>
          <w:lang w:val="en-US" w:eastAsia="zh-CN"/>
        </w:rPr>
        <w:t>成交</w:t>
      </w:r>
      <w:r>
        <w:rPr>
          <w:rFonts w:hint="eastAsia" w:ascii="宋体" w:hAnsi="宋体" w:eastAsia="宋体" w:cs="宋体"/>
          <w:b/>
          <w:bCs/>
          <w:color w:val="auto"/>
          <w:sz w:val="21"/>
          <w:szCs w:val="21"/>
          <w:highlight w:val="none"/>
          <w:u w:val="single"/>
        </w:rPr>
        <w:t>资格，并将上报监督管理部门，从严处理，列入相应的</w:t>
      </w:r>
      <w:r>
        <w:rPr>
          <w:rFonts w:hint="eastAsia" w:ascii="宋体" w:hAnsi="宋体" w:eastAsia="宋体" w:cs="宋体"/>
          <w:b/>
          <w:bCs/>
          <w:color w:val="auto"/>
          <w:kern w:val="2"/>
          <w:sz w:val="21"/>
          <w:szCs w:val="21"/>
          <w:highlight w:val="none"/>
          <w:u w:val="single"/>
          <w:lang w:val="zh-CN"/>
        </w:rPr>
        <w:t>‘黑名单’</w:t>
      </w:r>
      <w:r>
        <w:rPr>
          <w:rFonts w:hint="eastAsia" w:ascii="宋体" w:hAnsi="宋体" w:eastAsia="宋体" w:cs="宋体"/>
          <w:color w:val="auto"/>
          <w:sz w:val="21"/>
          <w:szCs w:val="21"/>
          <w:highlight w:val="none"/>
        </w:rPr>
        <w:t>。</w:t>
      </w:r>
    </w:p>
    <w:p>
      <w:pPr>
        <w:tabs>
          <w:tab w:val="left" w:pos="0"/>
        </w:tabs>
        <w:spacing w:line="360" w:lineRule="auto"/>
        <w:ind w:left="142" w:leftChars="59" w:right="-34"/>
        <w:jc w:val="both"/>
        <w:rPr>
          <w:rFonts w:hint="eastAsia" w:ascii="宋体" w:hAnsi="宋体" w:eastAsia="宋体" w:cs="宋体"/>
          <w:color w:val="auto"/>
          <w:sz w:val="21"/>
          <w:szCs w:val="21"/>
          <w:highlight w:val="none"/>
        </w:rPr>
      </w:pPr>
    </w:p>
    <w:p>
      <w:pPr>
        <w:spacing w:line="360" w:lineRule="auto"/>
        <w:ind w:firstLine="5199" w:firstLineChars="2476"/>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zh-CN"/>
        </w:rPr>
        <w:t>供应商：（加盖供应商公章）</w:t>
      </w:r>
    </w:p>
    <w:p>
      <w:pPr>
        <w:spacing w:line="360" w:lineRule="auto"/>
        <w:ind w:firstLine="5199" w:firstLineChars="247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日期：   年    月   日</w:t>
      </w:r>
    </w:p>
    <w:p>
      <w:pPr>
        <w:outlineLvl w:val="9"/>
        <w:rPr>
          <w:rFonts w:hint="eastAsia" w:ascii="宋体" w:hAnsi="宋体" w:eastAsia="宋体" w:cs="宋体"/>
          <w:color w:val="auto"/>
          <w:highlight w:val="none"/>
        </w:rPr>
      </w:pPr>
    </w:p>
    <w:bookmarkEnd w:id="480"/>
    <w:bookmarkEnd w:id="481"/>
    <w:bookmarkEnd w:id="482"/>
    <w:bookmarkEnd w:id="483"/>
    <w:bookmarkEnd w:id="484"/>
    <w:bookmarkEnd w:id="485"/>
    <w:p>
      <w:pPr>
        <w:pStyle w:val="3"/>
        <w:keepNext w:val="0"/>
        <w:keepLines w:val="0"/>
        <w:pageBreakBefore/>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b/>
          <w:color w:val="auto"/>
          <w:sz w:val="32"/>
          <w:szCs w:val="32"/>
          <w:highlight w:val="none"/>
          <w:lang w:val="en-US" w:eastAsia="zh-CN"/>
        </w:rPr>
      </w:pPr>
      <w:bookmarkStart w:id="492" w:name="_Toc22561"/>
      <w:bookmarkStart w:id="493" w:name="_Toc26721"/>
      <w:bookmarkStart w:id="494" w:name="_Toc12370"/>
      <w:bookmarkStart w:id="495" w:name="_Toc15982"/>
      <w:bookmarkStart w:id="496" w:name="_Toc17514"/>
      <w:r>
        <w:rPr>
          <w:rFonts w:hint="eastAsia" w:ascii="宋体" w:hAnsi="宋体" w:eastAsia="宋体" w:cs="宋体"/>
          <w:b/>
          <w:color w:val="auto"/>
          <w:sz w:val="32"/>
          <w:szCs w:val="32"/>
          <w:highlight w:val="none"/>
          <w:lang w:val="en-US" w:eastAsia="zh-CN"/>
        </w:rPr>
        <w:t>十、拟投入本项目的服务人员情况</w:t>
      </w:r>
      <w:bookmarkEnd w:id="492"/>
      <w:bookmarkEnd w:id="493"/>
      <w:bookmarkEnd w:id="494"/>
      <w:bookmarkEnd w:id="495"/>
    </w:p>
    <w:p>
      <w:pPr>
        <w:rPr>
          <w:rFonts w:hint="eastAsia" w:ascii="宋体" w:hAnsi="宋体" w:eastAsia="宋体" w:cs="宋体"/>
          <w:color w:val="auto"/>
          <w:highlight w:val="none"/>
        </w:rPr>
      </w:pPr>
    </w:p>
    <w:p>
      <w:pPr>
        <w:pStyle w:val="187"/>
        <w:spacing w:line="360" w:lineRule="auto"/>
        <w:ind w:firstLine="0" w:firstLineChars="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拟投入</w:t>
      </w:r>
      <w:r>
        <w:rPr>
          <w:rFonts w:hint="eastAsia" w:ascii="宋体" w:hAnsi="宋体" w:eastAsia="宋体" w:cs="宋体"/>
          <w:b/>
          <w:color w:val="auto"/>
          <w:sz w:val="30"/>
          <w:szCs w:val="30"/>
          <w:highlight w:val="none"/>
          <w:lang w:val="en-US" w:eastAsia="zh-CN"/>
        </w:rPr>
        <w:t>本项目的服务</w:t>
      </w:r>
      <w:r>
        <w:rPr>
          <w:rFonts w:hint="eastAsia" w:ascii="宋体" w:hAnsi="宋体" w:eastAsia="宋体" w:cs="宋体"/>
          <w:b/>
          <w:color w:val="auto"/>
          <w:sz w:val="30"/>
          <w:szCs w:val="30"/>
          <w:highlight w:val="none"/>
        </w:rPr>
        <w:t>人员清单表</w:t>
      </w:r>
    </w:p>
    <w:tbl>
      <w:tblPr>
        <w:tblStyle w:val="55"/>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46"/>
        <w:gridCol w:w="677"/>
        <w:gridCol w:w="677"/>
        <w:gridCol w:w="804"/>
        <w:gridCol w:w="1135"/>
        <w:gridCol w:w="702"/>
        <w:gridCol w:w="1084"/>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资格证书</w:t>
            </w: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拟任职务</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从事本行业年限</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spacing w:line="360" w:lineRule="auto"/>
        <w:ind w:firstLine="283" w:firstLineChars="1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（1）此表格式供参照，</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可以根据本表格式内容自行划表填写。</w:t>
      </w:r>
    </w:p>
    <w:p>
      <w:pPr>
        <w:spacing w:line="360" w:lineRule="auto"/>
        <w:ind w:firstLine="283" w:firstLineChars="1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（2）拟投入本项目的</w:t>
      </w:r>
      <w:r>
        <w:rPr>
          <w:rFonts w:hint="eastAsia" w:ascii="宋体" w:hAnsi="宋体" w:eastAsia="宋体" w:cs="宋体"/>
          <w:color w:val="auto"/>
          <w:sz w:val="21"/>
          <w:szCs w:val="21"/>
          <w:highlight w:val="none"/>
          <w:lang w:val="en-US" w:eastAsia="zh-CN"/>
        </w:rPr>
        <w:t>项目负责人</w:t>
      </w:r>
      <w:r>
        <w:rPr>
          <w:rFonts w:hint="eastAsia" w:ascii="宋体" w:hAnsi="宋体" w:eastAsia="宋体" w:cs="宋体"/>
          <w:color w:val="auto"/>
          <w:sz w:val="21"/>
          <w:szCs w:val="21"/>
          <w:highlight w:val="none"/>
        </w:rPr>
        <w:t>和关键岗位人员需提供简历表。</w:t>
      </w:r>
    </w:p>
    <w:p>
      <w:pPr>
        <w:rPr>
          <w:rFonts w:hint="eastAsia" w:ascii="宋体" w:hAnsi="宋体" w:eastAsia="宋体" w:cs="宋体"/>
          <w:color w:val="auto"/>
          <w:highlight w:val="none"/>
        </w:rPr>
      </w:pPr>
    </w:p>
    <w:p>
      <w:pPr>
        <w:rPr>
          <w:rFonts w:hint="eastAsia" w:ascii="宋体" w:hAnsi="宋体" w:eastAsia="宋体" w:cs="宋体"/>
          <w:b/>
          <w:color w:val="auto"/>
          <w:sz w:val="30"/>
          <w:szCs w:val="30"/>
          <w:highlight w:val="none"/>
        </w:rPr>
      </w:pPr>
    </w:p>
    <w:p>
      <w:pPr>
        <w:spacing w:line="360" w:lineRule="auto"/>
        <w:ind w:firstLine="5199" w:firstLineChars="247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供应商：（加盖供应商公章）</w:t>
      </w:r>
    </w:p>
    <w:p>
      <w:pPr>
        <w:spacing w:line="360" w:lineRule="auto"/>
        <w:ind w:firstLine="5199" w:firstLineChars="2476"/>
        <w:jc w:val="both"/>
        <w:rPr>
          <w:rFonts w:hint="eastAsia" w:ascii="宋体" w:hAnsi="宋体" w:eastAsia="宋体" w:cs="宋体"/>
          <w:b/>
          <w:color w:val="auto"/>
          <w:sz w:val="30"/>
          <w:szCs w:val="30"/>
          <w:highlight w:val="none"/>
        </w:rPr>
      </w:pPr>
      <w:r>
        <w:rPr>
          <w:rFonts w:hint="eastAsia" w:ascii="宋体" w:hAnsi="宋体" w:eastAsia="宋体" w:cs="宋体"/>
          <w:color w:val="auto"/>
          <w:kern w:val="2"/>
          <w:sz w:val="21"/>
          <w:szCs w:val="21"/>
          <w:highlight w:val="none"/>
          <w:lang w:val="zh-CN"/>
        </w:rPr>
        <w:t>日期：   年    月   日</w:t>
      </w:r>
    </w:p>
    <w:p>
      <w:pPr>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rPr>
          <w:rFonts w:hint="eastAsia" w:ascii="宋体" w:hAnsi="宋体" w:eastAsia="宋体" w:cs="宋体"/>
          <w:color w:val="auto"/>
          <w:highlight w:val="none"/>
        </w:rPr>
      </w:pPr>
    </w:p>
    <w:p>
      <w:pPr>
        <w:pStyle w:val="187"/>
        <w:spacing w:line="360" w:lineRule="auto"/>
        <w:ind w:firstLine="0" w:firstLineChars="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简历表格式</w:t>
      </w:r>
    </w:p>
    <w:p>
      <w:pPr>
        <w:spacing w:line="360" w:lineRule="auto"/>
        <w:jc w:val="center"/>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拟担任本项目</w:t>
      </w:r>
      <w:r>
        <w:rPr>
          <w:rFonts w:hint="eastAsia" w:ascii="宋体" w:hAnsi="宋体" w:eastAsia="宋体" w:cs="宋体"/>
          <w:b/>
          <w:color w:val="auto"/>
          <w:sz w:val="30"/>
          <w:szCs w:val="30"/>
          <w:highlight w:val="none"/>
          <w:u w:val="single"/>
        </w:rPr>
        <w:t xml:space="preserve">     （职位名称）  </w:t>
      </w:r>
      <w:r>
        <w:rPr>
          <w:rFonts w:hint="eastAsia" w:ascii="宋体" w:hAnsi="宋体" w:eastAsia="宋体" w:cs="宋体"/>
          <w:b/>
          <w:color w:val="auto"/>
          <w:sz w:val="30"/>
          <w:szCs w:val="30"/>
          <w:highlight w:val="none"/>
        </w:rPr>
        <w:t>人员简历表</w:t>
      </w:r>
    </w:p>
    <w:tbl>
      <w:tblPr>
        <w:tblStyle w:val="55"/>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91"/>
        <w:gridCol w:w="1509"/>
        <w:gridCol w:w="1421"/>
        <w:gridCol w:w="1609"/>
        <w:gridCol w:w="435"/>
        <w:gridCol w:w="406"/>
        <w:gridCol w:w="816"/>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资格或职称</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24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（职位名称）</w:t>
            </w:r>
            <w:r>
              <w:rPr>
                <w:rFonts w:hint="eastAsia" w:ascii="宋体" w:hAnsi="宋体" w:eastAsia="宋体" w:cs="宋体"/>
                <w:color w:val="auto"/>
                <w:sz w:val="21"/>
                <w:szCs w:val="21"/>
                <w:highlight w:val="none"/>
              </w:rPr>
              <w:t>年限</w:t>
            </w: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8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资格证书编号</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24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4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目前在任及以往服务项目情况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服务内容</w:t>
            </w: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服务单位企业类型</w:t>
            </w:r>
          </w:p>
        </w:tc>
        <w:tc>
          <w:tcPr>
            <w:tcW w:w="12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所任职务</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bl>
    <w:p>
      <w:pPr>
        <w:pStyle w:val="22"/>
        <w:overflowPunct w:val="0"/>
        <w:spacing w:line="360" w:lineRule="exact"/>
        <w:ind w:firstLine="422"/>
        <w:jc w:val="left"/>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left="850" w:leftChars="118" w:hanging="567" w:hangingChars="27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（1）拟投入本项目的</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及关键岗位人员需提供简历表。</w:t>
      </w:r>
    </w:p>
    <w:p>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855" w:leftChars="120" w:hanging="567" w:hangingChars="27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）须附有</w:t>
      </w:r>
      <w:r>
        <w:rPr>
          <w:rFonts w:hint="eastAsia" w:ascii="宋体" w:hAnsi="宋体" w:eastAsia="宋体" w:cs="宋体"/>
          <w:b/>
          <w:bCs w:val="0"/>
          <w:color w:val="auto"/>
          <w:kern w:val="2"/>
          <w:sz w:val="21"/>
          <w:szCs w:val="21"/>
          <w:highlight w:val="none"/>
          <w:lang w:val="en-US" w:eastAsia="zh-CN" w:bidi="ar-SA"/>
        </w:rPr>
        <w:t>人员须提供人员身份证复印件、职业资格</w:t>
      </w:r>
      <w:r>
        <w:rPr>
          <w:rFonts w:hint="eastAsia" w:ascii="宋体" w:hAnsi="宋体" w:cs="宋体"/>
          <w:b/>
          <w:bCs w:val="0"/>
          <w:color w:val="auto"/>
          <w:kern w:val="2"/>
          <w:sz w:val="21"/>
          <w:szCs w:val="21"/>
          <w:highlight w:val="none"/>
          <w:lang w:val="en-US" w:eastAsia="zh-CN" w:bidi="ar-SA"/>
        </w:rPr>
        <w:t>（职称）</w:t>
      </w:r>
      <w:r>
        <w:rPr>
          <w:rFonts w:hint="eastAsia" w:ascii="宋体" w:hAnsi="宋体" w:eastAsia="宋体" w:cs="宋体"/>
          <w:b/>
          <w:bCs w:val="0"/>
          <w:color w:val="auto"/>
          <w:kern w:val="2"/>
          <w:sz w:val="21"/>
          <w:szCs w:val="21"/>
          <w:highlight w:val="none"/>
          <w:lang w:val="en-US" w:eastAsia="zh-CN" w:bidi="ar-SA"/>
        </w:rPr>
        <w:t>证书复印件、</w:t>
      </w:r>
      <w:r>
        <w:rPr>
          <w:rFonts w:hint="eastAsia" w:ascii="宋体" w:hAnsi="宋体" w:eastAsia="宋体" w:cs="宋体"/>
          <w:b/>
          <w:bCs w:val="0"/>
          <w:color w:val="auto"/>
          <w:kern w:val="0"/>
          <w:sz w:val="21"/>
          <w:szCs w:val="21"/>
          <w:highlight w:val="none"/>
        </w:rPr>
        <w:t>人力资源和社会保障部门（或税务部门）出具的</w:t>
      </w:r>
      <w:r>
        <w:rPr>
          <w:rFonts w:hint="eastAsia" w:ascii="宋体" w:hAnsi="宋体" w:eastAsia="宋体" w:cs="宋体"/>
          <w:b/>
          <w:bCs w:val="0"/>
          <w:color w:val="auto"/>
          <w:kern w:val="0"/>
          <w:sz w:val="21"/>
          <w:szCs w:val="21"/>
          <w:highlight w:val="none"/>
          <w:lang w:val="en-US" w:eastAsia="zh-CN"/>
        </w:rPr>
        <w:t>供应商</w:t>
      </w:r>
      <w:r>
        <w:rPr>
          <w:rFonts w:hint="eastAsia" w:ascii="宋体" w:hAnsi="宋体" w:cs="宋体"/>
          <w:b/>
          <w:bCs w:val="0"/>
          <w:color w:val="auto"/>
          <w:kern w:val="0"/>
          <w:sz w:val="21"/>
          <w:szCs w:val="21"/>
          <w:highlight w:val="none"/>
          <w:lang w:eastAsia="zh-CN"/>
        </w:rPr>
        <w:t>2025年</w:t>
      </w:r>
      <w:r>
        <w:rPr>
          <w:rFonts w:hint="eastAsia" w:ascii="宋体" w:hAnsi="宋体" w:cs="宋体"/>
          <w:b/>
          <w:bCs w:val="0"/>
          <w:color w:val="auto"/>
          <w:kern w:val="0"/>
          <w:sz w:val="21"/>
          <w:szCs w:val="21"/>
          <w:highlight w:val="none"/>
          <w:lang w:val="en-US" w:eastAsia="zh-CN"/>
        </w:rPr>
        <w:t>4</w:t>
      </w:r>
      <w:r>
        <w:rPr>
          <w:rFonts w:hint="eastAsia" w:ascii="宋体" w:hAnsi="宋体" w:cs="宋体"/>
          <w:b/>
          <w:bCs w:val="0"/>
          <w:color w:val="auto"/>
          <w:kern w:val="0"/>
          <w:sz w:val="21"/>
          <w:szCs w:val="21"/>
          <w:highlight w:val="none"/>
          <w:lang w:eastAsia="zh-CN"/>
        </w:rPr>
        <w:t>月、2025年</w:t>
      </w:r>
      <w:r>
        <w:rPr>
          <w:rFonts w:hint="eastAsia" w:ascii="宋体" w:hAnsi="宋体" w:cs="宋体"/>
          <w:b/>
          <w:bCs w:val="0"/>
          <w:color w:val="auto"/>
          <w:kern w:val="0"/>
          <w:sz w:val="21"/>
          <w:szCs w:val="21"/>
          <w:highlight w:val="none"/>
          <w:lang w:val="en-US" w:eastAsia="zh-CN"/>
        </w:rPr>
        <w:t>5</w:t>
      </w:r>
      <w:r>
        <w:rPr>
          <w:rFonts w:hint="eastAsia" w:ascii="宋体" w:hAnsi="宋体" w:cs="宋体"/>
          <w:b/>
          <w:bCs w:val="0"/>
          <w:color w:val="auto"/>
          <w:kern w:val="0"/>
          <w:sz w:val="21"/>
          <w:szCs w:val="21"/>
          <w:highlight w:val="none"/>
          <w:lang w:eastAsia="zh-CN"/>
        </w:rPr>
        <w:t>月、2025年</w:t>
      </w:r>
      <w:r>
        <w:rPr>
          <w:rFonts w:hint="eastAsia" w:ascii="宋体" w:hAnsi="宋体" w:cs="宋体"/>
          <w:b/>
          <w:bCs w:val="0"/>
          <w:color w:val="auto"/>
          <w:kern w:val="0"/>
          <w:sz w:val="21"/>
          <w:szCs w:val="21"/>
          <w:highlight w:val="none"/>
          <w:lang w:val="en-US" w:eastAsia="zh-CN"/>
        </w:rPr>
        <w:t>6</w:t>
      </w:r>
      <w:r>
        <w:rPr>
          <w:rFonts w:hint="eastAsia" w:ascii="宋体" w:hAnsi="宋体" w:cs="宋体"/>
          <w:b/>
          <w:bCs w:val="0"/>
          <w:color w:val="auto"/>
          <w:kern w:val="0"/>
          <w:sz w:val="21"/>
          <w:szCs w:val="21"/>
          <w:highlight w:val="none"/>
          <w:lang w:eastAsia="zh-CN"/>
        </w:rPr>
        <w:t>月</w:t>
      </w:r>
      <w:r>
        <w:rPr>
          <w:rFonts w:hint="eastAsia" w:ascii="宋体" w:hAnsi="宋体" w:eastAsia="宋体" w:cs="宋体"/>
          <w:b/>
          <w:bCs w:val="0"/>
          <w:color w:val="auto"/>
          <w:kern w:val="0"/>
          <w:sz w:val="21"/>
          <w:szCs w:val="21"/>
          <w:highlight w:val="none"/>
          <w:lang w:val="en-US" w:eastAsia="zh-CN"/>
        </w:rPr>
        <w:t>（共三个月）</w:t>
      </w:r>
      <w:r>
        <w:rPr>
          <w:rFonts w:hint="eastAsia" w:ascii="宋体" w:hAnsi="宋体" w:eastAsia="宋体" w:cs="宋体"/>
          <w:b/>
          <w:bCs w:val="0"/>
          <w:color w:val="auto"/>
          <w:kern w:val="0"/>
          <w:sz w:val="21"/>
          <w:szCs w:val="21"/>
          <w:highlight w:val="none"/>
        </w:rPr>
        <w:t>为其缴纳的社保证明复印件</w:t>
      </w:r>
      <w:r>
        <w:rPr>
          <w:rFonts w:hint="eastAsia" w:ascii="宋体" w:hAnsi="宋体" w:eastAsia="宋体" w:cs="宋体"/>
          <w:b/>
          <w:bCs w:val="0"/>
          <w:color w:val="auto"/>
          <w:kern w:val="0"/>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852" w:leftChars="118" w:hanging="569" w:hangingChars="270"/>
        <w:jc w:val="both"/>
        <w:textAlignment w:val="auto"/>
        <w:rPr>
          <w:rFonts w:hint="eastAsia" w:ascii="宋体" w:hAnsi="宋体" w:eastAsia="宋体" w:cs="宋体"/>
          <w:b/>
          <w:bCs/>
          <w:color w:val="auto"/>
          <w:sz w:val="21"/>
          <w:szCs w:val="21"/>
          <w:highlight w:val="none"/>
          <w:lang w:val="zh-CN" w:eastAsia="zh-CN"/>
        </w:rPr>
      </w:pPr>
      <w:r>
        <w:rPr>
          <w:rFonts w:hint="eastAsia" w:ascii="宋体" w:hAnsi="宋体" w:cs="宋体"/>
          <w:b/>
          <w:bCs/>
          <w:color w:val="auto"/>
          <w:sz w:val="21"/>
          <w:szCs w:val="21"/>
          <w:highlight w:val="none"/>
          <w:lang w:val="zh-CN" w:eastAsia="zh-CN"/>
        </w:rPr>
        <w:t>（</w:t>
      </w:r>
      <w:r>
        <w:rPr>
          <w:rFonts w:hint="eastAsia" w:ascii="宋体" w:hAnsi="宋体" w:cs="宋体"/>
          <w:b/>
          <w:bCs/>
          <w:color w:val="auto"/>
          <w:sz w:val="21"/>
          <w:szCs w:val="21"/>
          <w:highlight w:val="none"/>
          <w:lang w:val="en-US" w:eastAsia="zh-CN"/>
        </w:rPr>
        <w:t>3</w:t>
      </w:r>
      <w:r>
        <w:rPr>
          <w:rFonts w:hint="eastAsia" w:ascii="宋体" w:hAnsi="宋体" w:cs="宋体"/>
          <w:b/>
          <w:bCs/>
          <w:color w:val="auto"/>
          <w:sz w:val="21"/>
          <w:szCs w:val="21"/>
          <w:highlight w:val="none"/>
          <w:lang w:val="zh-CN" w:eastAsia="zh-CN"/>
        </w:rPr>
        <w:t>）</w:t>
      </w:r>
      <w:r>
        <w:rPr>
          <w:rFonts w:hint="eastAsia" w:ascii="宋体" w:hAnsi="宋体" w:eastAsia="宋体" w:cs="宋体"/>
          <w:b/>
          <w:color w:val="auto"/>
          <w:kern w:val="2"/>
          <w:sz w:val="21"/>
          <w:szCs w:val="21"/>
          <w:highlight w:val="none"/>
          <w:lang w:val="en-US" w:eastAsia="zh-CN"/>
        </w:rPr>
        <w:t>执业年限以</w:t>
      </w:r>
      <w:r>
        <w:rPr>
          <w:rFonts w:hint="eastAsia" w:ascii="宋体" w:hAnsi="宋体" w:cs="宋体"/>
          <w:b/>
          <w:color w:val="auto"/>
          <w:kern w:val="2"/>
          <w:sz w:val="21"/>
          <w:szCs w:val="21"/>
          <w:highlight w:val="none"/>
          <w:lang w:val="en-US" w:eastAsia="zh-CN"/>
        </w:rPr>
        <w:t>注册会计师及税务师执业资格证上的发证日期为准，若因资格证书办理变更而上交主管部门等原因无法提供的，可提供执业资格证及注册地注册协会出具的相关证明</w:t>
      </w:r>
      <w:r>
        <w:rPr>
          <w:rFonts w:hint="eastAsia" w:ascii="宋体" w:hAnsi="宋体" w:eastAsia="宋体" w:cs="宋体"/>
          <w:b/>
          <w:bCs/>
          <w:color w:val="auto"/>
          <w:sz w:val="21"/>
          <w:szCs w:val="21"/>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852" w:leftChars="118" w:hanging="569" w:hangingChars="270"/>
        <w:jc w:val="both"/>
        <w:textAlignment w:val="auto"/>
        <w:rPr>
          <w:rFonts w:hint="eastAsia" w:ascii="宋体" w:hAnsi="宋体" w:eastAsia="宋体" w:cs="宋体"/>
          <w:b/>
          <w:bCs/>
          <w:color w:val="auto"/>
          <w:sz w:val="21"/>
          <w:szCs w:val="21"/>
          <w:highlight w:val="none"/>
          <w:lang w:val="zh-CN" w:eastAsia="zh-CN"/>
        </w:rPr>
      </w:pPr>
      <w:r>
        <w:rPr>
          <w:rFonts w:hint="eastAsia" w:ascii="宋体" w:hAnsi="宋体" w:cs="宋体"/>
          <w:b/>
          <w:bCs/>
          <w:color w:val="auto"/>
          <w:sz w:val="21"/>
          <w:szCs w:val="21"/>
          <w:highlight w:val="none"/>
          <w:lang w:val="zh-CN" w:eastAsia="zh-CN"/>
        </w:rPr>
        <w:t>（</w:t>
      </w: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zh-CN" w:eastAsia="zh-CN"/>
        </w:rPr>
        <w:t>审计类负责人资产审计、清算审计类服务附以下证明材料：1.项目合同复印件；2.相关报告封面；3.项目负责人出具成果文件的签署页；4.主要工作内容复印件加盖供应商公章；财税咨询类负责人财税咨询服务附以下证明材料：1.项目合同复印件；2.主要工作内容复印件加盖供应商公章；（若一个业绩中同时含有审计服务和财税服务的，</w:t>
      </w:r>
      <w:r>
        <w:rPr>
          <w:rFonts w:hint="eastAsia" w:ascii="宋体" w:hAnsi="宋体" w:cs="宋体"/>
          <w:b/>
          <w:bCs/>
          <w:color w:val="auto"/>
          <w:sz w:val="21"/>
          <w:szCs w:val="21"/>
          <w:highlight w:val="none"/>
          <w:lang w:val="en-US" w:eastAsia="zh-CN"/>
        </w:rPr>
        <w:t>只计一次得分，</w:t>
      </w:r>
      <w:r>
        <w:rPr>
          <w:rFonts w:hint="eastAsia" w:ascii="宋体" w:hAnsi="宋体" w:eastAsia="宋体" w:cs="宋体"/>
          <w:b/>
          <w:bCs/>
          <w:color w:val="auto"/>
          <w:sz w:val="21"/>
          <w:szCs w:val="21"/>
          <w:highlight w:val="none"/>
          <w:lang w:val="zh-CN" w:eastAsia="zh-CN"/>
        </w:rPr>
        <w:t>不重复计分）</w:t>
      </w:r>
    </w:p>
    <w:p>
      <w:pPr>
        <w:keepNext w:val="0"/>
        <w:keepLines w:val="0"/>
        <w:pageBreakBefore w:val="0"/>
        <w:widowControl w:val="0"/>
        <w:kinsoku/>
        <w:wordWrap/>
        <w:overflowPunct/>
        <w:topLinePunct w:val="0"/>
        <w:autoSpaceDE w:val="0"/>
        <w:autoSpaceDN w:val="0"/>
        <w:bidi w:val="0"/>
        <w:adjustRightInd w:val="0"/>
        <w:snapToGrid/>
        <w:spacing w:line="360" w:lineRule="auto"/>
        <w:ind w:left="852" w:leftChars="118" w:hanging="569" w:hangingChars="270"/>
        <w:jc w:val="both"/>
        <w:textAlignment w:val="auto"/>
        <w:rPr>
          <w:rFonts w:hint="eastAsia" w:ascii="宋体" w:hAnsi="宋体" w:eastAsia="宋体" w:cs="宋体"/>
          <w:b/>
          <w:bCs/>
          <w:color w:val="auto"/>
          <w:sz w:val="21"/>
          <w:szCs w:val="21"/>
          <w:highlight w:val="none"/>
          <w:lang w:val="zh-CN" w:eastAsia="zh-CN"/>
        </w:rPr>
      </w:pPr>
      <w:r>
        <w:rPr>
          <w:rFonts w:hint="eastAsia" w:ascii="宋体" w:hAnsi="宋体" w:cs="宋体"/>
          <w:b/>
          <w:bCs/>
          <w:color w:val="auto"/>
          <w:sz w:val="21"/>
          <w:szCs w:val="21"/>
          <w:highlight w:val="none"/>
          <w:lang w:val="zh-CN" w:eastAsia="zh-CN"/>
        </w:rPr>
        <w:t>（</w:t>
      </w:r>
      <w:r>
        <w:rPr>
          <w:rFonts w:hint="eastAsia" w:ascii="宋体" w:hAnsi="宋体" w:cs="宋体"/>
          <w:b/>
          <w:bCs/>
          <w:color w:val="auto"/>
          <w:sz w:val="21"/>
          <w:szCs w:val="21"/>
          <w:highlight w:val="none"/>
          <w:lang w:val="en-US" w:eastAsia="zh-CN"/>
        </w:rPr>
        <w:t>5</w:t>
      </w:r>
      <w:r>
        <w:rPr>
          <w:rFonts w:hint="eastAsia" w:ascii="宋体" w:hAnsi="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zh-CN" w:eastAsia="zh-CN"/>
        </w:rPr>
        <w:t>审计类及财税咨询类负责人可为同一人兼任；</w:t>
      </w:r>
    </w:p>
    <w:p>
      <w:pPr>
        <w:keepNext w:val="0"/>
        <w:keepLines w:val="0"/>
        <w:pageBreakBefore w:val="0"/>
        <w:widowControl w:val="0"/>
        <w:kinsoku/>
        <w:wordWrap/>
        <w:overflowPunct/>
        <w:topLinePunct w:val="0"/>
        <w:autoSpaceDE w:val="0"/>
        <w:autoSpaceDN w:val="0"/>
        <w:bidi w:val="0"/>
        <w:adjustRightInd w:val="0"/>
        <w:snapToGrid/>
        <w:spacing w:line="360" w:lineRule="auto"/>
        <w:ind w:left="852" w:leftChars="118" w:hanging="569" w:hangingChars="270"/>
        <w:jc w:val="both"/>
        <w:textAlignment w:val="auto"/>
        <w:rPr>
          <w:rFonts w:hint="eastAsia" w:ascii="宋体" w:hAnsi="宋体" w:eastAsia="宋体" w:cs="宋体"/>
          <w:b/>
          <w:bCs/>
          <w:color w:val="auto"/>
          <w:sz w:val="21"/>
          <w:szCs w:val="21"/>
          <w:highlight w:val="none"/>
          <w:lang w:val="zh-CN" w:eastAsia="zh-CN"/>
        </w:rPr>
      </w:pPr>
      <w:r>
        <w:rPr>
          <w:rFonts w:hint="eastAsia" w:ascii="宋体" w:hAnsi="宋体" w:cs="宋体"/>
          <w:b/>
          <w:bCs/>
          <w:color w:val="auto"/>
          <w:sz w:val="21"/>
          <w:szCs w:val="21"/>
          <w:highlight w:val="none"/>
          <w:lang w:val="zh-CN" w:eastAsia="zh-CN"/>
        </w:rPr>
        <w:t>（</w:t>
      </w:r>
      <w:r>
        <w:rPr>
          <w:rFonts w:hint="eastAsia" w:ascii="宋体" w:hAnsi="宋体" w:cs="宋体"/>
          <w:b/>
          <w:bCs/>
          <w:color w:val="auto"/>
          <w:sz w:val="21"/>
          <w:szCs w:val="21"/>
          <w:highlight w:val="none"/>
          <w:lang w:val="en-US" w:eastAsia="zh-CN"/>
        </w:rPr>
        <w:t>6</w:t>
      </w:r>
      <w:r>
        <w:rPr>
          <w:rFonts w:hint="eastAsia" w:ascii="宋体" w:hAnsi="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zh-CN" w:eastAsia="zh-CN"/>
        </w:rPr>
        <w:t>服务团队成员须提供相关参与项目的业绩合同证明材料。</w:t>
      </w:r>
    </w:p>
    <w:p>
      <w:pPr>
        <w:keepNext w:val="0"/>
        <w:keepLines w:val="0"/>
        <w:pageBreakBefore w:val="0"/>
        <w:widowControl w:val="0"/>
        <w:kinsoku/>
        <w:wordWrap/>
        <w:overflowPunct/>
        <w:topLinePunct w:val="0"/>
        <w:autoSpaceDE w:val="0"/>
        <w:autoSpaceDN w:val="0"/>
        <w:bidi w:val="0"/>
        <w:adjustRightInd w:val="0"/>
        <w:snapToGrid/>
        <w:spacing w:line="360" w:lineRule="auto"/>
        <w:ind w:left="850" w:leftChars="118" w:hanging="567" w:hangingChars="270"/>
        <w:jc w:val="both"/>
        <w:textAlignment w:val="auto"/>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）未按上述要求提供证明材料的，或所附材料无法证明符合评分要求的，在评审时将不予考虑，不得分。</w:t>
      </w:r>
    </w:p>
    <w:p>
      <w:pPr>
        <w:pStyle w:val="3"/>
        <w:keepNext w:val="0"/>
        <w:keepLines w:val="0"/>
        <w:pageBreakBefore/>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
          <w:color w:val="auto"/>
          <w:sz w:val="32"/>
          <w:szCs w:val="32"/>
          <w:highlight w:val="none"/>
          <w:lang w:val="zh-CN" w:eastAsia="zh-CN"/>
        </w:rPr>
      </w:pPr>
      <w:bookmarkStart w:id="497" w:name="_Toc181"/>
      <w:bookmarkStart w:id="498" w:name="_Toc6348"/>
      <w:bookmarkStart w:id="499" w:name="_Toc4534"/>
      <w:bookmarkStart w:id="500" w:name="_Toc1625"/>
      <w:bookmarkStart w:id="501" w:name="_Toc203"/>
      <w:bookmarkStart w:id="502" w:name="_Toc14130"/>
      <w:r>
        <w:rPr>
          <w:rFonts w:hint="eastAsia" w:ascii="宋体" w:hAnsi="宋体" w:eastAsia="宋体" w:cs="宋体"/>
          <w:b/>
          <w:color w:val="auto"/>
          <w:sz w:val="32"/>
          <w:szCs w:val="32"/>
          <w:highlight w:val="none"/>
          <w:lang w:val="en-US" w:eastAsia="zh-CN"/>
        </w:rPr>
        <w:t>十一、</w:t>
      </w:r>
      <w:r>
        <w:rPr>
          <w:rFonts w:hint="eastAsia" w:ascii="宋体" w:hAnsi="宋体" w:eastAsia="宋体" w:cs="宋体"/>
          <w:b/>
          <w:color w:val="auto"/>
          <w:sz w:val="32"/>
          <w:szCs w:val="32"/>
          <w:highlight w:val="none"/>
          <w:lang w:val="zh-CN" w:eastAsia="zh-CN"/>
        </w:rPr>
        <w:t>行业信誉</w:t>
      </w:r>
    </w:p>
    <w:p>
      <w:pPr>
        <w:spacing w:line="36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供应商自2020年1月1日以来，每进入中国注册会计师协会发布的会计师事务所综合评价排名名单的。</w:t>
      </w:r>
    </w:p>
    <w:p>
      <w:pPr>
        <w:spacing w:line="36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备注：评审以中国注册会计师协会发布的会计师事务所综合评价名单公告为准，须提供对应年份的协会公告截图【凭证界面需显示有相关协会名称并同时显示该网址】加盖供应商公章。不同年份每进入排名名单的，可累计计分。</w:t>
      </w:r>
    </w:p>
    <w:p>
      <w:pPr>
        <w:spacing w:line="360" w:lineRule="auto"/>
        <w:outlineLvl w:val="9"/>
        <w:rPr>
          <w:rFonts w:hint="eastAsia" w:ascii="宋体" w:hAnsi="宋体" w:eastAsia="宋体" w:cs="宋体"/>
          <w:color w:val="auto"/>
          <w:sz w:val="21"/>
          <w:szCs w:val="21"/>
          <w:highlight w:val="none"/>
          <w:lang w:val="zh-CN"/>
        </w:rPr>
      </w:pPr>
    </w:p>
    <w:p>
      <w:pPr>
        <w:spacing w:line="240" w:lineRule="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br w:type="page"/>
      </w:r>
    </w:p>
    <w:p>
      <w:pPr>
        <w:pStyle w:val="3"/>
        <w:pageBreakBefore/>
        <w:numPr>
          <w:ilvl w:val="0"/>
          <w:numId w:val="14"/>
        </w:numPr>
        <w:spacing w:line="240" w:lineRule="auto"/>
        <w:outlineLvl w:val="9"/>
        <w:rPr>
          <w:rFonts w:hint="eastAsia" w:ascii="宋体" w:hAnsi="宋体" w:eastAsia="宋体" w:cs="宋体"/>
          <w:b/>
          <w:color w:val="auto"/>
          <w:sz w:val="32"/>
          <w:szCs w:val="32"/>
          <w:highlight w:val="none"/>
          <w:lang w:val="zh-CN" w:eastAsia="zh-CN"/>
        </w:rPr>
      </w:pPr>
      <w:r>
        <w:rPr>
          <w:rFonts w:hint="eastAsia" w:ascii="宋体" w:hAnsi="宋体" w:eastAsia="宋体" w:cs="宋体"/>
          <w:b/>
          <w:color w:val="auto"/>
          <w:sz w:val="32"/>
          <w:szCs w:val="32"/>
          <w:highlight w:val="none"/>
          <w:lang w:val="zh-CN" w:eastAsia="zh-CN"/>
        </w:rPr>
        <w:t>风险承担水平</w:t>
      </w:r>
    </w:p>
    <w:p>
      <w:pPr>
        <w:numPr>
          <w:ilvl w:val="0"/>
          <w:numId w:val="0"/>
        </w:numPr>
        <w:spacing w:line="360" w:lineRule="auto"/>
        <w:outlineLvl w:val="9"/>
        <w:rPr>
          <w:rFonts w:hint="default" w:ascii="等线 Light" w:hAnsi="Times New Roman" w:eastAsia="宋体" w:cs="Times New Roman"/>
          <w:color w:val="auto"/>
          <w:sz w:val="24"/>
          <w:szCs w:val="24"/>
          <w:highlight w:val="none"/>
          <w:lang w:val="zh-CN" w:eastAsia="zh-CN"/>
        </w:rPr>
      </w:pPr>
      <w:r>
        <w:rPr>
          <w:rFonts w:hint="default" w:ascii="等线 Light" w:hAnsi="Times New Roman" w:eastAsia="宋体" w:cs="Times New Roman"/>
          <w:color w:val="auto"/>
          <w:sz w:val="24"/>
          <w:szCs w:val="24"/>
          <w:highlight w:val="none"/>
          <w:lang w:val="zh-CN" w:eastAsia="zh-CN"/>
        </w:rPr>
        <w:t>供应商购买的会计师事务所职业责任保险单复印件加盖供应商公章。</w:t>
      </w:r>
    </w:p>
    <w:p>
      <w:pPr>
        <w:pStyle w:val="3"/>
        <w:keepNext w:val="0"/>
        <w:keepLines w:val="0"/>
        <w:pageBreakBefore/>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zh-CN" w:eastAsia="zh-CN"/>
        </w:rPr>
        <w:t>十</w:t>
      </w:r>
      <w:r>
        <w:rPr>
          <w:rFonts w:hint="eastAsia" w:ascii="宋体" w:hAnsi="宋体" w:eastAsia="宋体" w:cs="宋体"/>
          <w:b/>
          <w:color w:val="auto"/>
          <w:sz w:val="32"/>
          <w:szCs w:val="32"/>
          <w:highlight w:val="none"/>
          <w:lang w:val="en-US" w:eastAsia="zh-CN"/>
        </w:rPr>
        <w:t>三</w:t>
      </w:r>
      <w:r>
        <w:rPr>
          <w:rFonts w:hint="eastAsia" w:ascii="宋体" w:hAnsi="宋体" w:eastAsia="宋体" w:cs="宋体"/>
          <w:b/>
          <w:color w:val="auto"/>
          <w:sz w:val="32"/>
          <w:szCs w:val="32"/>
          <w:highlight w:val="none"/>
          <w:lang w:val="zh-CN" w:eastAsia="zh-CN"/>
        </w:rPr>
        <w:t>、服务便利性响应时间承诺表</w:t>
      </w:r>
      <w:bookmarkEnd w:id="497"/>
      <w:bookmarkEnd w:id="498"/>
      <w:r>
        <w:rPr>
          <w:rFonts w:hint="eastAsia" w:ascii="宋体" w:hAnsi="宋体" w:eastAsia="宋体" w:cs="宋体"/>
          <w:b/>
          <w:color w:val="auto"/>
          <w:sz w:val="32"/>
          <w:szCs w:val="32"/>
          <w:highlight w:val="none"/>
          <w:lang w:val="en-US" w:eastAsia="zh-CN"/>
        </w:rPr>
        <w:t>格式</w:t>
      </w:r>
      <w:bookmarkEnd w:id="499"/>
    </w:p>
    <w:p>
      <w:pPr>
        <w:ind w:left="657" w:hanging="867"/>
        <w:jc w:val="center"/>
        <w:rPr>
          <w:rFonts w:hint="eastAsia" w:ascii="宋体" w:hAnsi="宋体" w:eastAsia="宋体" w:cs="宋体"/>
          <w:b/>
          <w:color w:val="auto"/>
          <w:sz w:val="32"/>
          <w:szCs w:val="32"/>
          <w:highlight w:val="none"/>
        </w:rPr>
      </w:pPr>
    </w:p>
    <w:p>
      <w:pPr>
        <w:ind w:left="657" w:hanging="867"/>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服务便利性响应时间承诺表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8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891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456" w:type="dxa"/>
            <w:vAlign w:val="center"/>
          </w:tcPr>
          <w:p>
            <w:pPr>
              <w:keepNext w:val="0"/>
              <w:keepLines w:val="0"/>
              <w:suppressLineNumbers w:val="0"/>
              <w:spacing w:before="0" w:beforeAutospacing="0" w:after="0" w:afterAutospacing="0" w:line="360" w:lineRule="auto"/>
              <w:ind w:left="-210" w:right="0" w:firstLine="24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912"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我方承诺</w:t>
            </w:r>
            <w:r>
              <w:rPr>
                <w:rFonts w:hint="eastAsia" w:ascii="宋体" w:hAnsi="宋体" w:eastAsia="宋体" w:cs="宋体"/>
                <w:color w:val="auto"/>
                <w:szCs w:val="21"/>
                <w:highlight w:val="none"/>
                <w:lang w:val="en-US" w:eastAsia="zh-CN"/>
              </w:rPr>
              <w:t>在</w:t>
            </w:r>
            <w:r>
              <w:rPr>
                <w:rFonts w:hint="eastAsia" w:ascii="宋体" w:hAnsi="宋体" w:eastAsia="宋体" w:cs="宋体"/>
                <w:color w:val="auto"/>
                <w:szCs w:val="21"/>
                <w:highlight w:val="none"/>
              </w:rPr>
              <w:t>合同履行期间，本项目</w:t>
            </w:r>
            <w:r>
              <w:rPr>
                <w:rFonts w:hint="eastAsia" w:ascii="宋体" w:hAnsi="宋体" w:eastAsia="宋体" w:cs="宋体"/>
                <w:color w:val="auto"/>
                <w:szCs w:val="21"/>
                <w:highlight w:val="none"/>
                <w:lang w:val="en-US" w:eastAsia="zh-CN"/>
              </w:rPr>
              <w:t>项目负责人</w:t>
            </w:r>
            <w:r>
              <w:rPr>
                <w:rFonts w:hint="eastAsia" w:ascii="宋体" w:hAnsi="宋体" w:eastAsia="宋体" w:cs="宋体"/>
                <w:color w:val="auto"/>
                <w:szCs w:val="21"/>
                <w:highlight w:val="none"/>
              </w:rPr>
              <w:t>在接到</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通知后</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小时</w:t>
            </w:r>
            <w:r>
              <w:rPr>
                <w:rFonts w:hint="eastAsia" w:ascii="宋体" w:hAnsi="宋体" w:eastAsia="宋体" w:cs="宋体"/>
                <w:color w:val="auto"/>
                <w:szCs w:val="21"/>
                <w:highlight w:val="none"/>
              </w:rPr>
              <w:t>内响应，</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小时</w:t>
            </w:r>
            <w:r>
              <w:rPr>
                <w:rFonts w:hint="eastAsia" w:ascii="宋体" w:hAnsi="宋体" w:eastAsia="宋体" w:cs="宋体"/>
                <w:color w:val="auto"/>
                <w:szCs w:val="21"/>
                <w:highlight w:val="none"/>
              </w:rPr>
              <w:t>内到达</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人指定地点。</w:t>
            </w:r>
          </w:p>
        </w:tc>
      </w:tr>
    </w:tbl>
    <w:p>
      <w:pPr>
        <w:spacing w:line="360" w:lineRule="auto"/>
        <w:ind w:left="-210" w:right="420" w:firstLine="3720" w:firstLineChars="1550"/>
        <w:rPr>
          <w:rFonts w:hint="eastAsia" w:ascii="宋体" w:hAnsi="宋体" w:eastAsia="宋体" w:cs="宋体"/>
          <w:color w:val="auto"/>
          <w:highlight w:val="none"/>
        </w:rPr>
      </w:pPr>
    </w:p>
    <w:p>
      <w:pPr>
        <w:spacing w:line="360" w:lineRule="auto"/>
        <w:ind w:left="-210"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备注：</w:t>
      </w:r>
    </w:p>
    <w:p>
      <w:pPr>
        <w:spacing w:line="360" w:lineRule="auto"/>
        <w:ind w:left="-210"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1.本表承诺事项若未填或漏填的，视为</w:t>
      </w:r>
      <w:r>
        <w:rPr>
          <w:rFonts w:hint="eastAsia" w:ascii="宋体" w:hAnsi="宋体" w:eastAsia="宋体" w:cs="宋体"/>
          <w:b/>
          <w:color w:val="auto"/>
          <w:highlight w:val="none"/>
          <w:lang w:val="en-US" w:eastAsia="zh-CN"/>
        </w:rPr>
        <w:t>供应商</w:t>
      </w:r>
      <w:r>
        <w:rPr>
          <w:rFonts w:hint="eastAsia" w:ascii="宋体" w:hAnsi="宋体" w:eastAsia="宋体" w:cs="宋体"/>
          <w:b/>
          <w:color w:val="auto"/>
          <w:highlight w:val="none"/>
        </w:rPr>
        <w:t>不作响应，对应商务部分服务便利性评审内容不得分。</w:t>
      </w:r>
    </w:p>
    <w:p>
      <w:pPr>
        <w:spacing w:line="360" w:lineRule="auto"/>
        <w:ind w:left="-210"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2.本表承诺事项若与</w:t>
      </w:r>
      <w:r>
        <w:rPr>
          <w:rFonts w:hint="eastAsia" w:ascii="宋体" w:hAnsi="宋体" w:eastAsia="宋体" w:cs="宋体"/>
          <w:b/>
          <w:color w:val="auto"/>
          <w:highlight w:val="none"/>
          <w:lang w:val="en-US" w:eastAsia="zh-CN"/>
        </w:rPr>
        <w:t>响应</w:t>
      </w:r>
      <w:r>
        <w:rPr>
          <w:rFonts w:hint="eastAsia" w:ascii="宋体" w:hAnsi="宋体" w:eastAsia="宋体" w:cs="宋体"/>
          <w:b/>
          <w:color w:val="auto"/>
          <w:highlight w:val="none"/>
        </w:rPr>
        <w:t>文件其他地方表述不一致的，以本承诺表为准。</w:t>
      </w:r>
    </w:p>
    <w:p>
      <w:pPr>
        <w:spacing w:line="360" w:lineRule="auto"/>
        <w:ind w:left="-210" w:firstLine="4800" w:firstLineChars="2000"/>
        <w:rPr>
          <w:rFonts w:hint="eastAsia" w:ascii="宋体" w:hAnsi="宋体" w:eastAsia="宋体" w:cs="宋体"/>
          <w:color w:val="auto"/>
          <w:kern w:val="3"/>
          <w:szCs w:val="21"/>
          <w:highlight w:val="none"/>
        </w:rPr>
      </w:pPr>
    </w:p>
    <w:p>
      <w:pPr>
        <w:widowControl/>
        <w:jc w:val="left"/>
        <w:rPr>
          <w:rFonts w:hint="eastAsia" w:ascii="宋体" w:hAnsi="宋体" w:eastAsia="宋体" w:cs="宋体"/>
          <w:color w:val="auto"/>
          <w:kern w:val="3"/>
          <w:szCs w:val="21"/>
          <w:highlight w:val="none"/>
        </w:rPr>
      </w:pPr>
    </w:p>
    <w:p>
      <w:pPr>
        <w:spacing w:line="360" w:lineRule="auto"/>
        <w:ind w:left="-210" w:firstLine="4800" w:firstLineChars="2000"/>
        <w:rPr>
          <w:rFonts w:hint="eastAsia" w:ascii="宋体" w:hAnsi="宋体" w:eastAsia="宋体" w:cs="宋体"/>
          <w:color w:val="auto"/>
          <w:kern w:val="3"/>
          <w:szCs w:val="21"/>
          <w:highlight w:val="none"/>
        </w:rPr>
      </w:pPr>
    </w:p>
    <w:p>
      <w:pPr>
        <w:spacing w:line="360" w:lineRule="auto"/>
        <w:ind w:left="-210" w:firstLine="4800" w:firstLineChars="2000"/>
        <w:rPr>
          <w:rFonts w:hint="eastAsia" w:ascii="宋体" w:hAnsi="宋体" w:eastAsia="宋体" w:cs="宋体"/>
          <w:color w:val="auto"/>
          <w:szCs w:val="21"/>
          <w:highlight w:val="none"/>
        </w:rPr>
      </w:pPr>
      <w:r>
        <w:rPr>
          <w:rFonts w:hint="eastAsia" w:ascii="宋体" w:hAnsi="宋体" w:eastAsia="宋体" w:cs="宋体"/>
          <w:color w:val="auto"/>
          <w:kern w:val="3"/>
          <w:szCs w:val="21"/>
          <w:highlight w:val="none"/>
          <w:lang w:val="en-US" w:eastAsia="zh-CN"/>
        </w:rPr>
        <w:t>供 应 商</w:t>
      </w:r>
      <w:r>
        <w:rPr>
          <w:rFonts w:hint="eastAsia" w:ascii="宋体" w:hAnsi="宋体" w:eastAsia="宋体" w:cs="宋体"/>
          <w:color w:val="auto"/>
          <w:kern w:val="3"/>
          <w:szCs w:val="21"/>
          <w:highlight w:val="none"/>
        </w:rPr>
        <w:t>（加盖</w:t>
      </w:r>
      <w:r>
        <w:rPr>
          <w:rFonts w:hint="eastAsia" w:ascii="宋体" w:hAnsi="宋体" w:eastAsia="宋体" w:cs="宋体"/>
          <w:color w:val="auto"/>
          <w:kern w:val="3"/>
          <w:szCs w:val="21"/>
          <w:highlight w:val="none"/>
          <w:lang w:val="en-US" w:eastAsia="zh-CN"/>
        </w:rPr>
        <w:t>供应商</w:t>
      </w:r>
      <w:r>
        <w:rPr>
          <w:rFonts w:hint="eastAsia" w:ascii="宋体" w:hAnsi="宋体" w:eastAsia="宋体" w:cs="宋体"/>
          <w:color w:val="auto"/>
          <w:kern w:val="3"/>
          <w:szCs w:val="21"/>
          <w:highlight w:val="none"/>
        </w:rPr>
        <w:t>公章）：</w:t>
      </w:r>
    </w:p>
    <w:p>
      <w:pPr>
        <w:spacing w:line="360" w:lineRule="auto"/>
        <w:ind w:left="-210" w:firstLine="4800" w:firstLineChars="20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日</w:t>
      </w:r>
      <w:r>
        <w:rPr>
          <w:rFonts w:hint="eastAsia" w:ascii="宋体" w:hAnsi="宋体" w:eastAsia="宋体" w:cs="宋体"/>
          <w:color w:val="auto"/>
          <w:szCs w:val="21"/>
          <w:highlight w:val="none"/>
        </w:rPr>
        <w:t xml:space="preserve">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3"/>
        <w:keepNext w:val="0"/>
        <w:keepLines w:val="0"/>
        <w:pageBreakBefore/>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auto"/>
          <w:sz w:val="32"/>
          <w:szCs w:val="32"/>
          <w:highlight w:val="none"/>
          <w:lang w:val="en-US" w:eastAsia="zh-CN"/>
        </w:rPr>
      </w:pPr>
      <w:bookmarkStart w:id="503" w:name="_Toc24060"/>
      <w:r>
        <w:rPr>
          <w:rFonts w:hint="eastAsia" w:ascii="宋体" w:hAnsi="宋体" w:eastAsia="宋体" w:cs="宋体"/>
          <w:b/>
          <w:color w:val="auto"/>
          <w:sz w:val="32"/>
          <w:szCs w:val="32"/>
          <w:highlight w:val="none"/>
        </w:rPr>
        <w:t>十</w:t>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en-US" w:eastAsia="zh-CN"/>
        </w:rPr>
        <w:t>供应商资格证明文件以外的其他资质证书、知识产权证书及获得的相关获奖、认证证书、社会评价资料证明文件复印件等供应商认为有需要证明其具备为本次采购项目提供服务能力的有关其它商务文件（不做强制要求）</w:t>
      </w:r>
      <w:bookmarkEnd w:id="500"/>
      <w:bookmarkEnd w:id="501"/>
      <w:bookmarkEnd w:id="502"/>
      <w:bookmarkEnd w:id="503"/>
    </w:p>
    <w:p>
      <w:pPr>
        <w:spacing w:before="120" w:beforeLines="50" w:line="360" w:lineRule="auto"/>
        <w:ind w:left="420" w:hanging="420" w:hangingChars="200"/>
        <w:rPr>
          <w:rFonts w:hint="eastAsia" w:ascii="宋体" w:hAnsi="宋体" w:eastAsia="宋体" w:cs="宋体"/>
          <w:color w:val="auto"/>
          <w:sz w:val="21"/>
          <w:szCs w:val="21"/>
          <w:highlight w:val="none"/>
        </w:rPr>
      </w:pPr>
    </w:p>
    <w:p>
      <w:pPr>
        <w:rPr>
          <w:rFonts w:hint="eastAsia" w:ascii="宋体" w:hAnsi="宋体" w:eastAsia="宋体" w:cs="宋体"/>
          <w:b/>
          <w:color w:val="auto"/>
          <w:sz w:val="32"/>
          <w:szCs w:val="32"/>
          <w:highlight w:val="none"/>
          <w:lang w:val="zh-CN"/>
        </w:rPr>
      </w:pPr>
      <w:bookmarkStart w:id="504" w:name="_Toc140596940"/>
      <w:bookmarkStart w:id="505" w:name="_Toc142508380"/>
      <w:bookmarkStart w:id="506" w:name="_Toc11449"/>
      <w:bookmarkStart w:id="507" w:name="_Toc102860429"/>
      <w:bookmarkStart w:id="508" w:name="_Toc18038"/>
      <w:bookmarkStart w:id="509" w:name="_Toc31916"/>
      <w:bookmarkStart w:id="510" w:name="_Toc102860085"/>
      <w:bookmarkStart w:id="511" w:name="_Toc27482"/>
      <w:bookmarkStart w:id="512" w:name="_Toc94107222"/>
      <w:bookmarkStart w:id="513" w:name="_Toc1977739"/>
      <w:bookmarkStart w:id="514" w:name="_Toc29244"/>
      <w:bookmarkStart w:id="515" w:name="_Toc104991887"/>
      <w:r>
        <w:rPr>
          <w:rFonts w:hint="eastAsia" w:ascii="宋体" w:hAnsi="宋体" w:eastAsia="宋体" w:cs="宋体"/>
          <w:b/>
          <w:color w:val="auto"/>
          <w:sz w:val="32"/>
          <w:szCs w:val="32"/>
          <w:highlight w:val="none"/>
          <w:lang w:val="zh-CN"/>
        </w:rPr>
        <w:br w:type="page"/>
      </w:r>
    </w:p>
    <w:p>
      <w:pPr>
        <w:pStyle w:val="3"/>
        <w:rPr>
          <w:rFonts w:hint="eastAsia" w:ascii="宋体" w:hAnsi="宋体" w:eastAsia="宋体" w:cs="宋体"/>
          <w:b/>
          <w:color w:val="auto"/>
          <w:sz w:val="32"/>
          <w:szCs w:val="32"/>
          <w:highlight w:val="none"/>
          <w:lang w:val="zh-CN"/>
        </w:rPr>
      </w:pPr>
      <w:bookmarkStart w:id="516" w:name="_Toc10034"/>
      <w:bookmarkStart w:id="517" w:name="_Toc8579"/>
      <w:r>
        <w:rPr>
          <w:rFonts w:hint="eastAsia" w:ascii="宋体" w:hAnsi="宋体" w:eastAsia="宋体" w:cs="宋体"/>
          <w:b/>
          <w:color w:val="auto"/>
          <w:sz w:val="32"/>
          <w:szCs w:val="32"/>
          <w:highlight w:val="none"/>
          <w:lang w:val="zh-CN"/>
        </w:rPr>
        <w:t>十</w:t>
      </w: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lang w:val="zh-CN"/>
        </w:rPr>
        <w:t>、技术响应文件格式</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pPr>
        <w:spacing w:line="360" w:lineRule="auto"/>
        <w:ind w:firstLine="424" w:firstLineChars="202"/>
        <w:outlineLvl w:val="9"/>
        <w:rPr>
          <w:rFonts w:hint="eastAsia" w:ascii="宋体" w:hAnsi="宋体" w:eastAsia="宋体" w:cs="宋体"/>
          <w:color w:val="auto"/>
          <w:sz w:val="21"/>
          <w:szCs w:val="21"/>
          <w:highlight w:val="none"/>
          <w:lang w:val="en-US" w:eastAsia="zh-CN"/>
        </w:rPr>
      </w:pPr>
    </w:p>
    <w:p>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应按照</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须知关于</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文件组成部分的要求编制</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文件，主要包括但不限于以下内容：</w:t>
      </w:r>
    </w:p>
    <w:p>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1、用户需求响应程度（即1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.1用户需求偏离表格式）；</w:t>
      </w:r>
    </w:p>
    <w:p>
      <w:pPr>
        <w:spacing w:line="360" w:lineRule="auto"/>
        <w:ind w:firstLine="424" w:firstLineChars="20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2、工作方案</w:t>
      </w:r>
      <w:r>
        <w:rPr>
          <w:rFonts w:hint="eastAsia" w:ascii="宋体" w:hAnsi="宋体" w:eastAsia="宋体" w:cs="宋体"/>
          <w:color w:val="auto"/>
          <w:sz w:val="21"/>
          <w:szCs w:val="21"/>
          <w:highlight w:val="none"/>
          <w:lang w:val="zh-CN"/>
        </w:rPr>
        <w:t>；</w:t>
      </w:r>
    </w:p>
    <w:p>
      <w:pPr>
        <w:spacing w:line="360" w:lineRule="auto"/>
        <w:ind w:firstLine="424" w:firstLineChars="20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信息安全管理方案</w:t>
      </w:r>
      <w:r>
        <w:rPr>
          <w:rFonts w:hint="eastAsia" w:ascii="宋体" w:hAnsi="宋体" w:eastAsia="宋体" w:cs="宋体"/>
          <w:color w:val="auto"/>
          <w:sz w:val="21"/>
          <w:szCs w:val="21"/>
          <w:highlight w:val="none"/>
          <w:lang w:val="zh-CN"/>
        </w:rPr>
        <w:t>；</w:t>
      </w:r>
    </w:p>
    <w:p>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4、审计服务项目咨询方案；</w:t>
      </w:r>
    </w:p>
    <w:p>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、审计服务意见分歧解决方案；</w:t>
      </w:r>
    </w:p>
    <w:p>
      <w:pPr>
        <w:spacing w:line="360" w:lineRule="auto"/>
        <w:ind w:firstLine="424" w:firstLineChars="202"/>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6、审计服务项目质量复核方案；</w:t>
      </w:r>
    </w:p>
    <w:p>
      <w:pPr>
        <w:spacing w:line="360" w:lineRule="auto"/>
        <w:ind w:firstLine="424" w:firstLineChars="202"/>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7、审计服务项目质量检查方案；</w:t>
      </w:r>
    </w:p>
    <w:p>
      <w:pPr>
        <w:spacing w:line="360" w:lineRule="auto"/>
        <w:ind w:firstLine="424" w:firstLineChars="202"/>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8、审计服务质量管理缺陷识别与整改方案；</w:t>
      </w:r>
    </w:p>
    <w:p>
      <w:pPr>
        <w:spacing w:line="360" w:lineRule="auto"/>
        <w:ind w:firstLine="424" w:firstLineChars="202"/>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9、审计、财税综合服务质量管理制度；</w:t>
      </w:r>
    </w:p>
    <w:p>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认为有必要提供的其它材料（不做强制要求）。</w:t>
      </w:r>
    </w:p>
    <w:p>
      <w:pPr>
        <w:pStyle w:val="23"/>
        <w:rPr>
          <w:rFonts w:hint="eastAsia" w:ascii="宋体" w:hAnsi="宋体" w:cs="宋体"/>
          <w:color w:val="auto"/>
          <w:sz w:val="84"/>
          <w:highlight w:val="none"/>
          <w:lang w:val="en-US" w:eastAsia="zh-CN"/>
        </w:rPr>
      </w:pPr>
    </w:p>
    <w:p>
      <w:pPr>
        <w:rPr>
          <w:rFonts w:hint="eastAsia" w:ascii="宋体" w:hAnsi="宋体" w:eastAsia="宋体" w:cs="宋体"/>
          <w:color w:val="auto"/>
          <w:sz w:val="84"/>
          <w:highlight w:val="none"/>
          <w:lang w:val="en-US" w:eastAsia="zh-CN"/>
        </w:rPr>
      </w:pPr>
      <w:r>
        <w:rPr>
          <w:rFonts w:hint="eastAsia" w:ascii="宋体" w:hAnsi="宋体" w:eastAsia="宋体" w:cs="宋体"/>
          <w:color w:val="auto"/>
          <w:sz w:val="84"/>
          <w:highlight w:val="none"/>
          <w:lang w:val="en-US" w:eastAsia="zh-CN"/>
        </w:rPr>
        <w:br w:type="page"/>
      </w:r>
    </w:p>
    <w:p>
      <w:pPr>
        <w:pStyle w:val="23"/>
        <w:rPr>
          <w:rFonts w:hint="eastAsia" w:ascii="宋体" w:hAnsi="宋体" w:eastAsia="宋体" w:cs="宋体"/>
          <w:color w:val="auto"/>
          <w:sz w:val="84"/>
          <w:highlight w:val="none"/>
          <w:lang w:val="en-US" w:eastAsia="zh-CN"/>
        </w:rPr>
      </w:pPr>
    </w:p>
    <w:p>
      <w:pPr>
        <w:pStyle w:val="23"/>
        <w:rPr>
          <w:rFonts w:hint="eastAsia" w:ascii="宋体" w:hAnsi="宋体" w:eastAsia="宋体" w:cs="宋体"/>
          <w:color w:val="auto"/>
          <w:sz w:val="84"/>
          <w:highlight w:val="none"/>
        </w:rPr>
      </w:pPr>
    </w:p>
    <w:p>
      <w:pPr>
        <w:pStyle w:val="23"/>
        <w:rPr>
          <w:rFonts w:hint="eastAsia" w:ascii="宋体" w:hAnsi="宋体" w:eastAsia="宋体" w:cs="宋体"/>
          <w:color w:val="auto"/>
          <w:sz w:val="84"/>
          <w:highlight w:val="none"/>
        </w:rPr>
      </w:pPr>
    </w:p>
    <w:p>
      <w:pPr>
        <w:pStyle w:val="24"/>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lang w:val="en-US" w:eastAsia="zh-CN"/>
        </w:rPr>
        <w:t>响 应</w:t>
      </w:r>
      <w:r>
        <w:rPr>
          <w:rFonts w:hint="eastAsia" w:ascii="宋体" w:hAnsi="宋体" w:eastAsia="宋体" w:cs="宋体"/>
          <w:color w:val="auto"/>
          <w:sz w:val="84"/>
          <w:highlight w:val="none"/>
        </w:rPr>
        <w:t xml:space="preserve"> 文 件</w:t>
      </w:r>
    </w:p>
    <w:p>
      <w:pPr>
        <w:pStyle w:val="24"/>
        <w:spacing w:line="360" w:lineRule="auto"/>
        <w:rPr>
          <w:rFonts w:hint="eastAsia" w:ascii="宋体" w:hAnsi="宋体" w:eastAsia="宋体" w:cs="宋体"/>
          <w:color w:val="auto"/>
          <w:highlight w:val="none"/>
        </w:rPr>
      </w:pPr>
    </w:p>
    <w:p>
      <w:pPr>
        <w:pStyle w:val="24"/>
        <w:spacing w:line="360" w:lineRule="auto"/>
        <w:rPr>
          <w:rFonts w:hint="eastAsia" w:ascii="宋体" w:hAnsi="宋体" w:eastAsia="宋体" w:cs="宋体"/>
          <w:color w:val="auto"/>
          <w:highlight w:val="none"/>
        </w:rPr>
      </w:pPr>
    </w:p>
    <w:p>
      <w:pPr>
        <w:pStyle w:val="24"/>
        <w:spacing w:line="360" w:lineRule="auto"/>
        <w:rPr>
          <w:rFonts w:hint="eastAsia" w:ascii="宋体" w:hAnsi="宋体" w:eastAsia="宋体" w:cs="宋体"/>
          <w:color w:val="auto"/>
          <w:highlight w:val="none"/>
        </w:rPr>
      </w:pPr>
    </w:p>
    <w:p>
      <w:pPr>
        <w:pStyle w:val="24"/>
        <w:spacing w:line="360" w:lineRule="auto"/>
        <w:rPr>
          <w:rFonts w:hint="eastAsia" w:ascii="宋体" w:hAnsi="宋体" w:eastAsia="宋体" w:cs="宋体"/>
          <w:color w:val="auto"/>
          <w:highlight w:val="none"/>
        </w:rPr>
      </w:pPr>
    </w:p>
    <w:p>
      <w:pPr>
        <w:pStyle w:val="24"/>
        <w:spacing w:line="360" w:lineRule="auto"/>
        <w:rPr>
          <w:rFonts w:hint="eastAsia" w:ascii="宋体" w:hAnsi="宋体" w:eastAsia="宋体" w:cs="宋体"/>
          <w:color w:val="auto"/>
          <w:highlight w:val="none"/>
        </w:rPr>
      </w:pPr>
    </w:p>
    <w:p>
      <w:pPr>
        <w:pStyle w:val="24"/>
        <w:spacing w:line="360" w:lineRule="auto"/>
        <w:rPr>
          <w:rFonts w:hint="eastAsia" w:ascii="宋体" w:hAnsi="宋体" w:eastAsia="宋体" w:cs="宋体"/>
          <w:color w:val="auto"/>
          <w:highlight w:val="none"/>
        </w:rPr>
      </w:pPr>
    </w:p>
    <w:p>
      <w:pPr>
        <w:pStyle w:val="24"/>
        <w:spacing w:line="360" w:lineRule="auto"/>
        <w:rPr>
          <w:rFonts w:hint="eastAsia" w:ascii="宋体" w:hAnsi="宋体" w:eastAsia="宋体" w:cs="宋体"/>
          <w:color w:val="auto"/>
          <w:highlight w:val="none"/>
        </w:rPr>
      </w:pPr>
    </w:p>
    <w:p>
      <w:pPr>
        <w:pStyle w:val="24"/>
        <w:spacing w:line="360" w:lineRule="auto"/>
        <w:rPr>
          <w:rFonts w:hint="eastAsia" w:ascii="宋体" w:hAnsi="宋体" w:eastAsia="宋体" w:cs="宋体"/>
          <w:color w:val="auto"/>
          <w:highlight w:val="none"/>
        </w:rPr>
      </w:pPr>
    </w:p>
    <w:p>
      <w:pPr>
        <w:pStyle w:val="24"/>
        <w:spacing w:line="360" w:lineRule="auto"/>
        <w:rPr>
          <w:rFonts w:hint="eastAsia" w:ascii="宋体" w:hAnsi="宋体" w:eastAsia="宋体" w:cs="宋体"/>
          <w:color w:val="auto"/>
          <w:highlight w:val="none"/>
          <w:u w:val="none"/>
        </w:rPr>
      </w:pPr>
    </w:p>
    <w:p>
      <w:pPr>
        <w:pStyle w:val="24"/>
        <w:spacing w:line="360" w:lineRule="auto"/>
        <w:ind w:firstLine="600" w:firstLineChars="200"/>
        <w:rPr>
          <w:rFonts w:hint="eastAsia" w:ascii="宋体" w:hAnsi="宋体" w:eastAsia="宋体" w:cs="宋体"/>
          <w:color w:val="auto"/>
          <w:sz w:val="30"/>
          <w:highlight w:val="none"/>
          <w:u w:val="none"/>
          <w:lang w:eastAsia="zh-CN"/>
        </w:rPr>
      </w:pPr>
      <w:r>
        <w:rPr>
          <w:rFonts w:hint="eastAsia" w:ascii="宋体" w:hAnsi="宋体" w:eastAsia="宋体" w:cs="宋体"/>
          <w:color w:val="auto"/>
          <w:sz w:val="30"/>
          <w:highlight w:val="none"/>
          <w:u w:val="none"/>
          <w:lang w:val="en-US" w:eastAsia="zh-CN"/>
        </w:rPr>
        <w:t>采购</w:t>
      </w:r>
      <w:r>
        <w:rPr>
          <w:rFonts w:hint="eastAsia" w:ascii="宋体" w:hAnsi="宋体" w:eastAsia="宋体" w:cs="宋体"/>
          <w:color w:val="auto"/>
          <w:sz w:val="30"/>
          <w:highlight w:val="none"/>
          <w:u w:val="none"/>
        </w:rPr>
        <w:t>编号：</w:t>
      </w:r>
      <w:r>
        <w:rPr>
          <w:rFonts w:hint="eastAsia" w:ascii="宋体" w:hAnsi="宋体" w:eastAsia="宋体" w:cs="宋体"/>
          <w:b w:val="0"/>
          <w:bCs w:val="0"/>
          <w:color w:val="auto"/>
          <w:sz w:val="30"/>
          <w:highlight w:val="none"/>
          <w:u w:val="single"/>
          <w:lang w:eastAsia="zh-CN"/>
        </w:rPr>
        <w:t>0832-SFCX25DG115C</w:t>
      </w:r>
    </w:p>
    <w:p>
      <w:pPr>
        <w:pStyle w:val="24"/>
        <w:spacing w:line="360" w:lineRule="auto"/>
        <w:ind w:left="2746" w:leftChars="519" w:hanging="1500" w:hangingChars="500"/>
        <w:rPr>
          <w:rFonts w:hint="eastAsia" w:ascii="宋体" w:hAnsi="宋体" w:eastAsia="宋体" w:cs="宋体"/>
          <w:b w:val="0"/>
          <w:bCs w:val="0"/>
          <w:color w:val="auto"/>
          <w:sz w:val="30"/>
          <w:highlight w:val="none"/>
          <w:u w:val="single"/>
          <w:lang w:eastAsia="zh-CN"/>
        </w:rPr>
      </w:pPr>
      <w:r>
        <w:rPr>
          <w:rFonts w:hint="eastAsia" w:ascii="宋体" w:hAnsi="宋体" w:eastAsia="宋体" w:cs="宋体"/>
          <w:color w:val="auto"/>
          <w:sz w:val="30"/>
          <w:highlight w:val="none"/>
          <w:u w:val="none"/>
        </w:rPr>
        <w:t>项目名称：</w:t>
      </w:r>
      <w:r>
        <w:rPr>
          <w:rFonts w:hint="eastAsia" w:ascii="宋体" w:hAnsi="宋体" w:eastAsia="宋体" w:cs="宋体"/>
          <w:b w:val="0"/>
          <w:bCs w:val="0"/>
          <w:color w:val="auto"/>
          <w:sz w:val="30"/>
          <w:highlight w:val="none"/>
          <w:u w:val="single"/>
          <w:lang w:eastAsia="zh-CN"/>
        </w:rPr>
        <w:t>东莞市水务集团实业发展有限公司审计及财税服务采购项目</w:t>
      </w:r>
    </w:p>
    <w:p>
      <w:pPr>
        <w:pStyle w:val="24"/>
        <w:spacing w:line="360" w:lineRule="auto"/>
        <w:ind w:firstLine="600" w:firstLineChars="200"/>
        <w:rPr>
          <w:rFonts w:hint="eastAsia" w:ascii="宋体" w:hAnsi="宋体" w:eastAsia="宋体" w:cs="宋体"/>
          <w:color w:val="auto"/>
          <w:sz w:val="30"/>
          <w:highlight w:val="none"/>
          <w:u w:val="none"/>
          <w:lang w:val="en-US" w:eastAsia="zh-CN"/>
        </w:rPr>
      </w:pPr>
      <w:r>
        <w:rPr>
          <w:rFonts w:hint="eastAsia" w:ascii="宋体" w:hAnsi="宋体" w:eastAsia="宋体" w:cs="宋体"/>
          <w:color w:val="auto"/>
          <w:sz w:val="30"/>
          <w:highlight w:val="none"/>
          <w:u w:val="none"/>
          <w:lang w:val="en-US" w:eastAsia="zh-CN"/>
        </w:rPr>
        <w:t>响应文件内容：</w:t>
      </w:r>
      <w:r>
        <w:rPr>
          <w:rFonts w:hint="eastAsia" w:ascii="宋体" w:hAnsi="宋体" w:eastAsia="宋体" w:cs="宋体"/>
          <w:color w:val="auto"/>
          <w:sz w:val="30"/>
          <w:highlight w:val="none"/>
          <w:u w:val="single"/>
          <w:lang w:val="en-US" w:eastAsia="zh-CN"/>
        </w:rPr>
        <w:t xml:space="preserve">响应文件技术部分 </w:t>
      </w:r>
    </w:p>
    <w:p>
      <w:pPr>
        <w:pStyle w:val="24"/>
        <w:spacing w:line="360" w:lineRule="auto"/>
        <w:ind w:firstLine="600" w:firstLineChars="200"/>
        <w:rPr>
          <w:rFonts w:hint="eastAsia" w:ascii="宋体" w:hAnsi="宋体" w:eastAsia="宋体" w:cs="宋体"/>
          <w:color w:val="auto"/>
          <w:sz w:val="30"/>
          <w:highlight w:val="none"/>
          <w:u w:val="none"/>
          <w:lang w:eastAsia="zh-CN"/>
        </w:rPr>
      </w:pPr>
      <w:r>
        <w:rPr>
          <w:rFonts w:hint="eastAsia" w:ascii="宋体" w:hAnsi="宋体" w:eastAsia="宋体" w:cs="宋体"/>
          <w:color w:val="auto"/>
          <w:sz w:val="30"/>
          <w:highlight w:val="none"/>
          <w:u w:val="none"/>
          <w:lang w:val="en-US" w:eastAsia="zh-CN"/>
        </w:rPr>
        <w:t>采购</w:t>
      </w:r>
      <w:r>
        <w:rPr>
          <w:rFonts w:hint="eastAsia" w:ascii="宋体" w:hAnsi="宋体" w:eastAsia="宋体" w:cs="宋体"/>
          <w:color w:val="auto"/>
          <w:sz w:val="30"/>
          <w:highlight w:val="none"/>
          <w:u w:val="none"/>
        </w:rPr>
        <w:t>人：</w:t>
      </w:r>
      <w:r>
        <w:rPr>
          <w:rFonts w:hint="eastAsia" w:ascii="宋体" w:hAnsi="宋体" w:eastAsia="宋体" w:cs="宋体"/>
          <w:b w:val="0"/>
          <w:bCs w:val="0"/>
          <w:color w:val="auto"/>
          <w:sz w:val="30"/>
          <w:highlight w:val="none"/>
          <w:u w:val="single"/>
          <w:lang w:eastAsia="zh-CN"/>
        </w:rPr>
        <w:t>东莞市水务集团实业发展有限公司</w:t>
      </w:r>
    </w:p>
    <w:p>
      <w:pPr>
        <w:pStyle w:val="24"/>
        <w:spacing w:line="360" w:lineRule="auto"/>
        <w:ind w:firstLine="600" w:firstLineChars="200"/>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u w:val="none"/>
          <w:lang w:val="en-US" w:eastAsia="zh-CN"/>
        </w:rPr>
        <w:t>供应商</w:t>
      </w:r>
      <w:r>
        <w:rPr>
          <w:rFonts w:hint="eastAsia" w:ascii="宋体" w:hAnsi="宋体" w:eastAsia="宋体" w:cs="宋体"/>
          <w:color w:val="auto"/>
          <w:sz w:val="30"/>
          <w:highlight w:val="none"/>
          <w:u w:val="none"/>
        </w:rPr>
        <w:t>：</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lang w:val="en-US" w:eastAsia="zh-CN"/>
        </w:rPr>
        <w:t xml:space="preserve">            </w:t>
      </w:r>
      <w:r>
        <w:rPr>
          <w:rFonts w:hint="eastAsia" w:ascii="宋体" w:hAnsi="宋体" w:eastAsia="宋体" w:cs="宋体"/>
          <w:color w:val="auto"/>
          <w:sz w:val="30"/>
          <w:highlight w:val="none"/>
          <w:u w:val="single"/>
        </w:rPr>
        <w:t xml:space="preserve">    </w:t>
      </w:r>
    </w:p>
    <w:p>
      <w:pPr>
        <w:pStyle w:val="24"/>
        <w:spacing w:line="360" w:lineRule="auto"/>
        <w:ind w:firstLine="600" w:firstLineChars="200"/>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sz w:val="30"/>
          <w:szCs w:val="30"/>
          <w:highlight w:val="none"/>
        </w:rPr>
      </w:pPr>
    </w:p>
    <w:p>
      <w:pPr>
        <w:bidi w:val="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响应</w:t>
      </w:r>
      <w:r>
        <w:rPr>
          <w:rFonts w:hint="eastAsia" w:ascii="宋体" w:hAnsi="宋体" w:eastAsia="宋体" w:cs="宋体"/>
          <w:b/>
          <w:bCs/>
          <w:color w:val="auto"/>
          <w:sz w:val="30"/>
          <w:szCs w:val="30"/>
          <w:highlight w:val="none"/>
        </w:rPr>
        <w:t>文件</w:t>
      </w:r>
      <w:r>
        <w:rPr>
          <w:rFonts w:hint="eastAsia" w:ascii="宋体" w:hAnsi="宋体" w:eastAsia="宋体" w:cs="宋体"/>
          <w:b/>
          <w:bCs/>
          <w:color w:val="auto"/>
          <w:sz w:val="30"/>
          <w:szCs w:val="30"/>
          <w:highlight w:val="none"/>
          <w:lang w:val="en-US" w:eastAsia="zh-CN"/>
        </w:rPr>
        <w:t>技术</w:t>
      </w:r>
      <w:r>
        <w:rPr>
          <w:rFonts w:hint="eastAsia" w:ascii="宋体" w:hAnsi="宋体" w:eastAsia="宋体" w:cs="宋体"/>
          <w:b/>
          <w:bCs/>
          <w:color w:val="auto"/>
          <w:sz w:val="30"/>
          <w:szCs w:val="30"/>
          <w:highlight w:val="none"/>
        </w:rPr>
        <w:t>评审部分索引表</w:t>
      </w:r>
    </w:p>
    <w:p>
      <w:pPr>
        <w:widowControl w:val="0"/>
        <w:autoSpaceDE w:val="0"/>
        <w:autoSpaceDN w:val="0"/>
        <w:adjustRightInd w:val="0"/>
        <w:jc w:val="center"/>
        <w:rPr>
          <w:rFonts w:hint="eastAsia" w:ascii="宋体" w:hAnsi="宋体" w:eastAsia="宋体" w:cs="宋体"/>
          <w:b/>
          <w:color w:val="auto"/>
          <w:sz w:val="24"/>
          <w:szCs w:val="24"/>
          <w:highlight w:val="none"/>
          <w:lang w:val="en-US" w:eastAsia="zh-CN" w:bidi="ar-SA"/>
        </w:rPr>
      </w:pPr>
    </w:p>
    <w:tbl>
      <w:tblPr>
        <w:tblStyle w:val="55"/>
        <w:tblW w:w="499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892"/>
        <w:gridCol w:w="2449"/>
        <w:gridCol w:w="3314"/>
        <w:gridCol w:w="26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94" w:hRule="atLeast"/>
          <w:jc w:val="center"/>
        </w:trPr>
        <w:tc>
          <w:tcPr>
            <w:tcW w:w="481"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18"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项目</w:t>
            </w:r>
          </w:p>
        </w:tc>
        <w:tc>
          <w:tcPr>
            <w:tcW w:w="1785"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文件上的满分值</w:t>
            </w:r>
          </w:p>
        </w:tc>
        <w:tc>
          <w:tcPr>
            <w:tcW w:w="1414" w:type="pct"/>
            <w:tcBorders>
              <w:lef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481"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481"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481"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481" w:type="pct"/>
            <w:tcBorders>
              <w:top w:val="single" w:color="auto" w:sz="6" w:space="0"/>
              <w:left w:val="single" w:color="auto" w:sz="4" w:space="0"/>
              <w:bottom w:val="outset" w:color="808080" w:sz="6" w:space="0"/>
              <w:right w:val="single" w:color="auto" w:sz="6"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tcBorders>
              <w:top w:val="single" w:color="auto" w:sz="6" w:space="0"/>
              <w:left w:val="single" w:color="auto" w:sz="6" w:space="0"/>
              <w:bottom w:val="outset" w:color="808080" w:sz="6" w:space="0"/>
              <w:right w:val="single" w:color="auto" w:sz="6"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tcBorders>
              <w:top w:val="single" w:color="auto" w:sz="6" w:space="0"/>
              <w:left w:val="single" w:color="auto" w:sz="6" w:space="0"/>
              <w:bottom w:val="outset" w:color="808080" w:sz="6" w:space="0"/>
              <w:right w:val="single" w:color="auto" w:sz="6"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top w:val="single" w:color="auto" w:sz="6" w:space="0"/>
              <w:left w:val="single" w:color="auto" w:sz="4" w:space="0"/>
              <w:bottom w:val="outset" w:color="808080" w:sz="6" w:space="0"/>
              <w:right w:val="single" w:color="auto" w:sz="6"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800" w:type="pct"/>
            <w:gridSpan w:val="2"/>
            <w:tcBorders>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合计</w:t>
            </w:r>
          </w:p>
        </w:tc>
        <w:tc>
          <w:tcPr>
            <w:tcW w:w="1785" w:type="pct"/>
            <w:tcBorders>
              <w:bottom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bl>
    <w:p>
      <w:pPr>
        <w:bidi w:val="0"/>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bookmarkStart w:id="518" w:name="_Toc14565"/>
      <w:bookmarkStart w:id="519" w:name="_Toc31870"/>
    </w:p>
    <w:bookmarkEnd w:id="486"/>
    <w:bookmarkEnd w:id="487"/>
    <w:bookmarkEnd w:id="496"/>
    <w:bookmarkEnd w:id="518"/>
    <w:bookmarkEnd w:id="519"/>
    <w:p>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zh-CN" w:eastAsia="zh-CN"/>
        </w:rPr>
      </w:pPr>
      <w:bookmarkStart w:id="520" w:name="_Toc56076635"/>
      <w:bookmarkStart w:id="521" w:name="_Toc3742"/>
      <w:bookmarkStart w:id="522" w:name="_Toc79146608"/>
      <w:bookmarkStart w:id="523" w:name="_Toc11360"/>
      <w:bookmarkStart w:id="524" w:name="_Toc3277"/>
      <w:r>
        <w:rPr>
          <w:rFonts w:hint="eastAsia" w:ascii="宋体" w:hAnsi="宋体" w:eastAsia="宋体" w:cs="宋体"/>
          <w:b/>
          <w:color w:val="auto"/>
          <w:kern w:val="2"/>
          <w:sz w:val="30"/>
          <w:szCs w:val="30"/>
          <w:highlight w:val="none"/>
          <w:lang w:val="en-US" w:eastAsia="zh-CN"/>
        </w:rPr>
        <w:t>1</w:t>
      </w:r>
      <w:r>
        <w:rPr>
          <w:rFonts w:hint="eastAsia" w:ascii="宋体" w:hAnsi="宋体" w:cs="宋体"/>
          <w:b/>
          <w:color w:val="auto"/>
          <w:kern w:val="2"/>
          <w:sz w:val="30"/>
          <w:szCs w:val="30"/>
          <w:highlight w:val="none"/>
          <w:lang w:val="en-US" w:eastAsia="zh-CN"/>
        </w:rPr>
        <w:t>5</w:t>
      </w:r>
      <w:r>
        <w:rPr>
          <w:rFonts w:hint="eastAsia" w:ascii="宋体" w:hAnsi="宋体" w:eastAsia="宋体" w:cs="宋体"/>
          <w:b/>
          <w:color w:val="auto"/>
          <w:kern w:val="2"/>
          <w:sz w:val="30"/>
          <w:szCs w:val="30"/>
          <w:highlight w:val="none"/>
          <w:lang w:val="en-US" w:eastAsia="zh-CN"/>
        </w:rPr>
        <w:t xml:space="preserve">.1 </w:t>
      </w:r>
      <w:r>
        <w:rPr>
          <w:rFonts w:hint="eastAsia" w:ascii="宋体" w:hAnsi="宋体" w:eastAsia="宋体" w:cs="宋体"/>
          <w:b/>
          <w:color w:val="auto"/>
          <w:kern w:val="2"/>
          <w:sz w:val="30"/>
          <w:szCs w:val="30"/>
          <w:highlight w:val="none"/>
          <w:lang w:val="zh-CN" w:eastAsia="zh-CN"/>
        </w:rPr>
        <w:t>用户需求响应情况</w:t>
      </w:r>
      <w:bookmarkEnd w:id="520"/>
      <w:bookmarkEnd w:id="521"/>
      <w:bookmarkEnd w:id="522"/>
      <w:bookmarkEnd w:id="523"/>
      <w:bookmarkEnd w:id="524"/>
    </w:p>
    <w:p>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用户需求偏离表格式</w:t>
      </w:r>
    </w:p>
    <w:p>
      <w:pPr>
        <w:snapToGrid w:val="0"/>
        <w:spacing w:line="360" w:lineRule="auto"/>
        <w:ind w:left="379" w:leftChars="-58" w:hanging="518" w:hangingChars="247"/>
        <w:rPr>
          <w:rFonts w:hint="eastAsia" w:ascii="宋体" w:hAnsi="宋体" w:eastAsia="宋体" w:cs="宋体"/>
          <w:color w:val="auto"/>
          <w:sz w:val="21"/>
          <w:szCs w:val="21"/>
          <w:highlight w:val="none"/>
        </w:rPr>
      </w:pPr>
    </w:p>
    <w:tbl>
      <w:tblPr>
        <w:tblStyle w:val="5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4337"/>
        <w:gridCol w:w="2057"/>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98" w:type="pct"/>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3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竞争性磋商文件要求</w:t>
            </w:r>
          </w:p>
        </w:tc>
        <w:tc>
          <w:tcPr>
            <w:tcW w:w="22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8"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2336" w:type="pct"/>
            <w:tcBorders>
              <w:top w:val="single" w:color="auto" w:sz="4" w:space="0"/>
              <w:left w:val="single" w:color="auto" w:sz="4" w:space="0"/>
              <w:bottom w:val="single" w:color="auto" w:sz="4" w:space="0"/>
              <w:right w:val="single" w:color="auto" w:sz="4" w:space="0"/>
            </w:tcBorders>
            <w:noWrap w:val="0"/>
            <w:vAlign w:val="center"/>
          </w:tcPr>
          <w:p>
            <w:pPr>
              <w:pStyle w:val="187"/>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简要内容</w:t>
            </w:r>
          </w:p>
        </w:tc>
        <w:tc>
          <w:tcPr>
            <w:tcW w:w="11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11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3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w:t>
            </w:r>
            <w:r>
              <w:rPr>
                <w:rFonts w:hint="eastAsia" w:ascii="宋体" w:hAnsi="宋体" w:eastAsia="宋体" w:cs="宋体"/>
                <w:b w:val="0"/>
                <w:bCs/>
                <w:color w:val="auto"/>
                <w:kern w:val="2"/>
                <w:sz w:val="21"/>
                <w:szCs w:val="21"/>
                <w:highlight w:val="none"/>
                <w:lang w:val="en-US" w:eastAsia="zh-CN" w:bidi="ar-SA"/>
              </w:rPr>
              <w:t>项目背景</w:t>
            </w:r>
          </w:p>
        </w:tc>
        <w:tc>
          <w:tcPr>
            <w:tcW w:w="11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11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3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kern w:val="0"/>
                <w:sz w:val="21"/>
                <w:szCs w:val="21"/>
                <w:highlight w:val="none"/>
              </w:rPr>
              <w:t>二</w:t>
            </w:r>
            <w:r>
              <w:rPr>
                <w:rFonts w:hint="eastAsia" w:ascii="宋体" w:hAnsi="宋体" w:eastAsia="宋体" w:cs="宋体"/>
                <w:b w:val="0"/>
                <w:bCs/>
                <w:color w:val="auto"/>
                <w:kern w:val="0"/>
                <w:sz w:val="21"/>
                <w:szCs w:val="21"/>
                <w:highlight w:val="none"/>
                <w:lang w:val="zh-CN"/>
              </w:rPr>
              <w:t>、</w:t>
            </w:r>
            <w:r>
              <w:rPr>
                <w:rFonts w:hint="eastAsia" w:ascii="宋体" w:hAnsi="宋体" w:eastAsia="宋体" w:cs="宋体"/>
                <w:b w:val="0"/>
                <w:bCs/>
                <w:color w:val="auto"/>
                <w:kern w:val="2"/>
                <w:sz w:val="21"/>
                <w:szCs w:val="21"/>
                <w:highlight w:val="none"/>
                <w:lang w:val="en-US" w:eastAsia="zh-CN" w:bidi="ar-SA"/>
              </w:rPr>
              <w:t>服务目的</w:t>
            </w:r>
          </w:p>
        </w:tc>
        <w:tc>
          <w:tcPr>
            <w:tcW w:w="11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11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3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1"/>
                <w:numId w:val="0"/>
              </w:numPr>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rPr>
              <w:t>三</w:t>
            </w:r>
            <w:r>
              <w:rPr>
                <w:rFonts w:hint="eastAsia" w:ascii="宋体" w:hAnsi="宋体" w:eastAsia="宋体" w:cs="宋体"/>
                <w:b w:val="0"/>
                <w:bCs/>
                <w:color w:val="auto"/>
                <w:kern w:val="0"/>
                <w:sz w:val="21"/>
                <w:szCs w:val="21"/>
                <w:highlight w:val="none"/>
                <w:lang w:val="zh-CN"/>
              </w:rPr>
              <w:t>、</w:t>
            </w:r>
            <w:r>
              <w:rPr>
                <w:rFonts w:hint="eastAsia" w:ascii="宋体" w:hAnsi="宋体" w:eastAsia="宋体" w:cs="宋体"/>
                <w:b w:val="0"/>
                <w:bCs/>
                <w:color w:val="auto"/>
                <w:kern w:val="2"/>
                <w:sz w:val="21"/>
                <w:szCs w:val="21"/>
                <w:highlight w:val="none"/>
                <w:lang w:val="en-US" w:eastAsia="zh-CN" w:bidi="ar"/>
              </w:rPr>
              <w:t>工作内容</w:t>
            </w:r>
            <w:r>
              <w:rPr>
                <w:rFonts w:hint="eastAsia" w:ascii="宋体" w:hAnsi="宋体" w:eastAsia="宋体" w:cs="宋体"/>
                <w:b w:val="0"/>
                <w:bCs/>
                <w:color w:val="auto"/>
                <w:szCs w:val="21"/>
                <w:highlight w:val="none"/>
                <w:lang w:val="en-US" w:eastAsia="zh-CN"/>
              </w:rPr>
              <w:t xml:space="preserve"> </w:t>
            </w:r>
          </w:p>
        </w:tc>
        <w:tc>
          <w:tcPr>
            <w:tcW w:w="11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11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3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1"/>
                <w:numId w:val="0"/>
              </w:numPr>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四、</w:t>
            </w:r>
            <w:r>
              <w:rPr>
                <w:rFonts w:hint="eastAsia" w:ascii="宋体" w:hAnsi="宋体" w:eastAsia="宋体" w:cs="宋体"/>
                <w:b w:val="0"/>
                <w:bCs/>
                <w:color w:val="auto"/>
                <w:kern w:val="2"/>
                <w:sz w:val="21"/>
                <w:szCs w:val="21"/>
                <w:highlight w:val="none"/>
                <w:lang w:val="en-US" w:eastAsia="zh-CN" w:bidi="ar"/>
              </w:rPr>
              <w:t>服务要求</w:t>
            </w:r>
          </w:p>
        </w:tc>
        <w:tc>
          <w:tcPr>
            <w:tcW w:w="11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11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3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1"/>
                <w:numId w:val="0"/>
              </w:numPr>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五、</w:t>
            </w:r>
            <w:r>
              <w:rPr>
                <w:rFonts w:hint="eastAsia" w:ascii="宋体" w:hAnsi="宋体" w:eastAsia="宋体" w:cs="宋体"/>
                <w:b w:val="0"/>
                <w:bCs/>
                <w:color w:val="auto"/>
                <w:spacing w:val="0"/>
                <w:w w:val="100"/>
                <w:position w:val="0"/>
                <w:sz w:val="21"/>
                <w:szCs w:val="21"/>
                <w:highlight w:val="none"/>
                <w:lang w:val="en-US" w:eastAsia="zh-CN" w:bidi="ar"/>
              </w:rPr>
              <w:t>服务费用及支付</w:t>
            </w:r>
          </w:p>
        </w:tc>
        <w:tc>
          <w:tcPr>
            <w:tcW w:w="11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11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23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1"/>
                <w:numId w:val="0"/>
              </w:numPr>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六、</w:t>
            </w:r>
            <w:r>
              <w:rPr>
                <w:rFonts w:hint="eastAsia" w:ascii="宋体" w:hAnsi="宋体" w:eastAsia="宋体" w:cs="宋体"/>
                <w:b w:val="0"/>
                <w:bCs/>
                <w:color w:val="auto"/>
                <w:kern w:val="0"/>
                <w:sz w:val="21"/>
                <w:szCs w:val="21"/>
                <w:highlight w:val="none"/>
                <w:lang w:val="en-US" w:eastAsia="zh-CN"/>
              </w:rPr>
              <w:t>违约责任与损失</w:t>
            </w:r>
          </w:p>
        </w:tc>
        <w:tc>
          <w:tcPr>
            <w:tcW w:w="11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11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23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1"/>
                <w:numId w:val="0"/>
              </w:numPr>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七、争端的解决</w:t>
            </w:r>
          </w:p>
        </w:tc>
        <w:tc>
          <w:tcPr>
            <w:tcW w:w="11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11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r>
    </w:tbl>
    <w:p>
      <w:pPr>
        <w:snapToGrid w:val="0"/>
        <w:spacing w:line="360" w:lineRule="auto"/>
        <w:ind w:left="379" w:leftChars="-58" w:hanging="518" w:hangingChars="247"/>
        <w:rPr>
          <w:rFonts w:hint="eastAsia" w:ascii="宋体" w:hAnsi="宋体" w:eastAsia="宋体" w:cs="宋体"/>
          <w:color w:val="auto"/>
          <w:sz w:val="21"/>
          <w:szCs w:val="21"/>
          <w:highlight w:val="none"/>
        </w:rPr>
      </w:pPr>
    </w:p>
    <w:p>
      <w:pPr>
        <w:snapToGrid w:val="0"/>
        <w:spacing w:line="360" w:lineRule="auto"/>
        <w:ind w:left="379" w:leftChars="-58" w:hanging="518" w:hangingChars="2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snapToGrid w:val="0"/>
        <w:spacing w:line="360" w:lineRule="auto"/>
        <w:ind w:left="382" w:leftChars="-58" w:hanging="521" w:hangingChars="247"/>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应对照竞争性磋商文件用户需求书</w:t>
      </w:r>
      <w:r>
        <w:rPr>
          <w:rFonts w:hint="eastAsia" w:ascii="宋体" w:hAnsi="宋体" w:eastAsia="宋体" w:cs="宋体"/>
          <w:b/>
          <w:color w:val="auto"/>
          <w:sz w:val="21"/>
          <w:szCs w:val="21"/>
          <w:highlight w:val="none"/>
          <w:u w:val="single"/>
          <w:lang w:val="en-US" w:eastAsia="zh-CN"/>
        </w:rPr>
        <w:t>的响应，</w:t>
      </w:r>
      <w:r>
        <w:rPr>
          <w:rFonts w:hint="eastAsia" w:ascii="宋体" w:hAnsi="宋体" w:eastAsia="宋体" w:cs="宋体"/>
          <w:b/>
          <w:bCs/>
          <w:color w:val="auto"/>
          <w:sz w:val="21"/>
          <w:szCs w:val="21"/>
          <w:highlight w:val="none"/>
          <w:u w:val="single"/>
        </w:rPr>
        <w:t>如实地填写“偏离情况”</w:t>
      </w:r>
      <w:r>
        <w:rPr>
          <w:rFonts w:hint="eastAsia" w:ascii="宋体" w:hAnsi="宋体" w:eastAsia="宋体" w:cs="宋体"/>
          <w:b/>
          <w:color w:val="auto"/>
          <w:sz w:val="21"/>
          <w:szCs w:val="21"/>
          <w:highlight w:val="none"/>
          <w:u w:val="single"/>
        </w:rPr>
        <w:t>项。“偏离情况”项为正偏离（或负偏离）的，必须在“具体偏离内容”项内详细说明与竞争性磋商文件的偏离内容，“偏离情况”项为无偏离的，在“具体偏离内容”项内填“无偏离”</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u w:val="single"/>
        </w:rPr>
        <w:t>若发现此表未填写或未逐条填写“★”条款以外的条款的，视为完全满足</w:t>
      </w:r>
      <w:r>
        <w:rPr>
          <w:rFonts w:hint="eastAsia" w:ascii="宋体" w:hAnsi="宋体" w:eastAsia="宋体" w:cs="宋体"/>
          <w:b/>
          <w:color w:val="auto"/>
          <w:sz w:val="21"/>
          <w:szCs w:val="21"/>
          <w:highlight w:val="none"/>
          <w:u w:val="single"/>
          <w:lang w:val="en-US" w:eastAsia="zh-CN"/>
        </w:rPr>
        <w:t>竞争性磋商</w:t>
      </w:r>
      <w:r>
        <w:rPr>
          <w:rFonts w:hint="eastAsia" w:ascii="宋体" w:hAnsi="宋体" w:eastAsia="宋体" w:cs="宋体"/>
          <w:b/>
          <w:color w:val="auto"/>
          <w:sz w:val="21"/>
          <w:szCs w:val="21"/>
          <w:highlight w:val="none"/>
          <w:u w:val="single"/>
        </w:rPr>
        <w:t>文件要求</w:t>
      </w:r>
      <w:r>
        <w:rPr>
          <w:rFonts w:hint="eastAsia" w:ascii="宋体" w:hAnsi="宋体" w:eastAsia="宋体" w:cs="宋体"/>
          <w:b/>
          <w:color w:val="auto"/>
          <w:sz w:val="21"/>
          <w:szCs w:val="21"/>
          <w:highlight w:val="none"/>
          <w:u w:val="none"/>
        </w:rPr>
        <w:t>。</w:t>
      </w:r>
    </w:p>
    <w:p>
      <w:pPr>
        <w:snapToGrid w:val="0"/>
        <w:spacing w:line="360" w:lineRule="auto"/>
        <w:ind w:left="382" w:leftChars="-58" w:hanging="521" w:hangingChars="247"/>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rPr>
        <w:t>若</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rPr>
        <w:t>文件未实质性满足</w:t>
      </w:r>
      <w:r>
        <w:rPr>
          <w:rFonts w:hint="eastAsia" w:ascii="宋体" w:hAnsi="宋体" w:eastAsia="宋体" w:cs="宋体"/>
          <w:b/>
          <w:color w:val="auto"/>
          <w:sz w:val="21"/>
          <w:szCs w:val="21"/>
          <w:highlight w:val="none"/>
          <w:u w:val="single"/>
          <w:lang w:val="en-US" w:eastAsia="zh-CN"/>
        </w:rPr>
        <w:t>竞争性磋商</w:t>
      </w:r>
      <w:r>
        <w:rPr>
          <w:rFonts w:hint="eastAsia" w:ascii="宋体" w:hAnsi="宋体" w:eastAsia="宋体" w:cs="宋体"/>
          <w:b/>
          <w:color w:val="auto"/>
          <w:sz w:val="21"/>
          <w:szCs w:val="21"/>
          <w:highlight w:val="none"/>
          <w:u w:val="single"/>
        </w:rPr>
        <w:t>文件提出的实质性要求和条件（“★”条款）的，视为无效</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none"/>
        </w:rPr>
        <w:t>。</w:t>
      </w:r>
    </w:p>
    <w:p>
      <w:pPr>
        <w:snapToGrid w:val="0"/>
        <w:spacing w:line="360" w:lineRule="auto"/>
        <w:ind w:left="382" w:leftChars="-58" w:hanging="521" w:hangingChars="2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u w:val="single"/>
        </w:rPr>
        <w:t>若发现虚假填写本表，按无效响应文件处理</w:t>
      </w:r>
      <w:r>
        <w:rPr>
          <w:rFonts w:hint="eastAsia" w:ascii="宋体" w:hAnsi="宋体" w:eastAsia="宋体" w:cs="宋体"/>
          <w:b/>
          <w:color w:val="auto"/>
          <w:sz w:val="21"/>
          <w:szCs w:val="21"/>
          <w:highlight w:val="none"/>
        </w:rPr>
        <w:t>。</w:t>
      </w:r>
    </w:p>
    <w:p>
      <w:pPr>
        <w:snapToGrid w:val="0"/>
        <w:spacing w:line="360" w:lineRule="auto"/>
        <w:ind w:left="379" w:leftChars="-58" w:hanging="518" w:hangingChars="247"/>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kern w:val="2"/>
          <w:sz w:val="21"/>
          <w:szCs w:val="21"/>
          <w:highlight w:val="none"/>
        </w:rPr>
        <w:t>（</w:t>
      </w:r>
      <w:r>
        <w:rPr>
          <w:rFonts w:hint="eastAsia" w:ascii="宋体" w:hAnsi="宋体" w:eastAsia="宋体" w:cs="宋体"/>
          <w:b w:val="0"/>
          <w:bCs/>
          <w:color w:val="auto"/>
          <w:kern w:val="2"/>
          <w:sz w:val="21"/>
          <w:szCs w:val="21"/>
          <w:highlight w:val="none"/>
          <w:lang w:val="en-US" w:eastAsia="zh-CN"/>
        </w:rPr>
        <w:t>4</w:t>
      </w:r>
      <w:r>
        <w:rPr>
          <w:rFonts w:hint="eastAsia" w:ascii="宋体" w:hAnsi="宋体" w:eastAsia="宋体" w:cs="宋体"/>
          <w:b w:val="0"/>
          <w:bCs/>
          <w:color w:val="auto"/>
          <w:kern w:val="2"/>
          <w:sz w:val="21"/>
          <w:szCs w:val="21"/>
          <w:highlight w:val="none"/>
        </w:rPr>
        <w:t>）</w:t>
      </w:r>
      <w:r>
        <w:rPr>
          <w:rFonts w:hint="eastAsia" w:ascii="宋体" w:hAnsi="宋体" w:eastAsia="宋体" w:cs="宋体"/>
          <w:b w:val="0"/>
          <w:bCs/>
          <w:color w:val="auto"/>
          <w:sz w:val="21"/>
          <w:szCs w:val="21"/>
          <w:highlight w:val="none"/>
        </w:rPr>
        <w:t>偏离情况分为：正偏离、负偏离、无偏离。正偏离是指</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对用户需求响应优于竞争性磋商文件的要求；负偏离是指</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对用户需求响应不满足或不完全满足竞争性磋商文件的要求；</w:t>
      </w:r>
      <w:r>
        <w:rPr>
          <w:rFonts w:hint="eastAsia" w:ascii="宋体" w:hAnsi="宋体" w:eastAsia="宋体" w:cs="宋体"/>
          <w:b w:val="0"/>
          <w:bCs/>
          <w:color w:val="auto"/>
          <w:sz w:val="21"/>
          <w:szCs w:val="21"/>
          <w:highlight w:val="none"/>
          <w:u w:val="none"/>
        </w:rPr>
        <w:t>无偏离是指</w:t>
      </w:r>
      <w:r>
        <w:rPr>
          <w:rFonts w:hint="eastAsia" w:ascii="宋体" w:hAnsi="宋体" w:eastAsia="宋体" w:cs="宋体"/>
          <w:b w:val="0"/>
          <w:bCs/>
          <w:color w:val="auto"/>
          <w:sz w:val="21"/>
          <w:szCs w:val="21"/>
          <w:highlight w:val="none"/>
          <w:u w:val="none"/>
          <w:lang w:eastAsia="zh-CN"/>
        </w:rPr>
        <w:t>供应商</w:t>
      </w:r>
      <w:r>
        <w:rPr>
          <w:rFonts w:hint="eastAsia" w:ascii="宋体" w:hAnsi="宋体" w:eastAsia="宋体" w:cs="宋体"/>
          <w:b w:val="0"/>
          <w:bCs/>
          <w:color w:val="auto"/>
          <w:sz w:val="21"/>
          <w:szCs w:val="21"/>
          <w:highlight w:val="none"/>
          <w:u w:val="none"/>
        </w:rPr>
        <w:t>对用户需求响应完全满足竞争性磋商文件的要求。</w:t>
      </w:r>
    </w:p>
    <w:p>
      <w:pPr>
        <w:snapToGrid w:val="0"/>
        <w:spacing w:line="360" w:lineRule="auto"/>
        <w:ind w:left="379" w:leftChars="-58" w:hanging="518" w:hangingChars="247"/>
        <w:rPr>
          <w:rFonts w:hint="eastAsia" w:ascii="宋体" w:hAnsi="宋体" w:eastAsia="宋体" w:cs="宋体"/>
          <w:b w:val="0"/>
          <w:bCs/>
          <w:color w:val="auto"/>
          <w:kern w:val="2"/>
          <w:sz w:val="21"/>
          <w:szCs w:val="21"/>
          <w:highlight w:val="none"/>
          <w:u w:val="none"/>
        </w:rPr>
      </w:pPr>
      <w:r>
        <w:rPr>
          <w:rFonts w:hint="eastAsia" w:ascii="宋体" w:hAnsi="宋体" w:eastAsia="宋体" w:cs="宋体"/>
          <w:b w:val="0"/>
          <w:bCs/>
          <w:color w:val="auto"/>
          <w:kern w:val="2"/>
          <w:sz w:val="21"/>
          <w:szCs w:val="21"/>
          <w:highlight w:val="none"/>
          <w:u w:val="none"/>
        </w:rPr>
        <w:t>（</w:t>
      </w:r>
      <w:r>
        <w:rPr>
          <w:rFonts w:hint="eastAsia" w:ascii="宋体" w:hAnsi="宋体" w:eastAsia="宋体" w:cs="宋体"/>
          <w:b w:val="0"/>
          <w:bCs/>
          <w:color w:val="auto"/>
          <w:kern w:val="2"/>
          <w:sz w:val="21"/>
          <w:szCs w:val="21"/>
          <w:highlight w:val="none"/>
          <w:u w:val="none"/>
          <w:lang w:val="en-US" w:eastAsia="zh-CN"/>
        </w:rPr>
        <w:t>5</w:t>
      </w:r>
      <w:r>
        <w:rPr>
          <w:rFonts w:hint="eastAsia" w:ascii="宋体" w:hAnsi="宋体" w:eastAsia="宋体" w:cs="宋体"/>
          <w:b w:val="0"/>
          <w:bCs/>
          <w:color w:val="auto"/>
          <w:kern w:val="2"/>
          <w:sz w:val="21"/>
          <w:szCs w:val="21"/>
          <w:highlight w:val="none"/>
          <w:u w:val="none"/>
        </w:rPr>
        <w:t>）</w:t>
      </w:r>
      <w:r>
        <w:rPr>
          <w:rFonts w:hint="eastAsia" w:ascii="宋体" w:hAnsi="宋体" w:eastAsia="宋体" w:cs="宋体"/>
          <w:b w:val="0"/>
          <w:bCs/>
          <w:color w:val="auto"/>
          <w:kern w:val="2"/>
          <w:sz w:val="21"/>
          <w:szCs w:val="21"/>
          <w:highlight w:val="none"/>
          <w:u w:val="none"/>
          <w:lang w:eastAsia="zh-CN"/>
        </w:rPr>
        <w:t>供应商</w:t>
      </w:r>
      <w:r>
        <w:rPr>
          <w:rFonts w:hint="eastAsia" w:ascii="宋体" w:hAnsi="宋体" w:eastAsia="宋体" w:cs="宋体"/>
          <w:b w:val="0"/>
          <w:bCs/>
          <w:color w:val="auto"/>
          <w:kern w:val="2"/>
          <w:sz w:val="21"/>
          <w:szCs w:val="21"/>
          <w:highlight w:val="none"/>
          <w:u w:val="none"/>
        </w:rPr>
        <w:t>可将反映</w:t>
      </w:r>
      <w:r>
        <w:rPr>
          <w:rFonts w:hint="eastAsia" w:ascii="宋体" w:hAnsi="宋体" w:eastAsia="宋体" w:cs="宋体"/>
          <w:b w:val="0"/>
          <w:bCs/>
          <w:color w:val="auto"/>
          <w:kern w:val="2"/>
          <w:sz w:val="21"/>
          <w:szCs w:val="21"/>
          <w:highlight w:val="none"/>
          <w:u w:val="none"/>
          <w:lang w:val="en-US" w:eastAsia="zh-CN"/>
        </w:rPr>
        <w:t>履约能力或</w:t>
      </w:r>
      <w:r>
        <w:rPr>
          <w:rFonts w:hint="eastAsia" w:ascii="宋体" w:hAnsi="宋体" w:eastAsia="宋体" w:cs="宋体"/>
          <w:b w:val="0"/>
          <w:bCs/>
          <w:color w:val="auto"/>
          <w:kern w:val="2"/>
          <w:sz w:val="21"/>
          <w:szCs w:val="21"/>
          <w:highlight w:val="none"/>
          <w:u w:val="none"/>
        </w:rPr>
        <w:t>服务</w:t>
      </w:r>
      <w:r>
        <w:rPr>
          <w:rFonts w:hint="eastAsia" w:ascii="宋体" w:hAnsi="宋体" w:eastAsia="宋体" w:cs="宋体"/>
          <w:b w:val="0"/>
          <w:bCs/>
          <w:color w:val="auto"/>
          <w:kern w:val="2"/>
          <w:sz w:val="21"/>
          <w:szCs w:val="21"/>
          <w:highlight w:val="none"/>
          <w:u w:val="none"/>
          <w:lang w:val="en-US" w:eastAsia="zh-CN"/>
        </w:rPr>
        <w:t>质量的</w:t>
      </w:r>
      <w:r>
        <w:rPr>
          <w:rFonts w:hint="eastAsia" w:ascii="宋体" w:hAnsi="宋体" w:eastAsia="宋体" w:cs="宋体"/>
          <w:b w:val="0"/>
          <w:bCs/>
          <w:color w:val="auto"/>
          <w:kern w:val="2"/>
          <w:sz w:val="21"/>
          <w:szCs w:val="21"/>
          <w:highlight w:val="none"/>
          <w:u w:val="none"/>
        </w:rPr>
        <w:t>相关资料作为本表的附件，并在本偏离表“具体偏离内容”项内注明其在响应文件中的具体页码。</w:t>
      </w:r>
    </w:p>
    <w:p>
      <w:pPr>
        <w:spacing w:line="360" w:lineRule="auto"/>
        <w:ind w:firstLine="4935" w:firstLineChars="2350"/>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highlight w:val="none"/>
          <w:lang w:val="zh-CN"/>
        </w:rPr>
        <w:t>供应商</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sz w:val="21"/>
          <w:szCs w:val="21"/>
          <w:highlight w:val="none"/>
          <w:lang w:val="zh-CN"/>
        </w:rPr>
        <w:t>（加盖供应商公章）</w:t>
      </w:r>
    </w:p>
    <w:p>
      <w:pPr>
        <w:spacing w:line="360" w:lineRule="auto"/>
        <w:ind w:firstLine="5040" w:firstLineChars="2400"/>
        <w:rPr>
          <w:rFonts w:hint="eastAsia" w:ascii="宋体" w:hAnsi="宋体" w:eastAsia="宋体" w:cs="宋体"/>
          <w:color w:val="auto"/>
          <w:sz w:val="21"/>
          <w:szCs w:val="21"/>
          <w:highlight w:val="none"/>
          <w:lang w:val="zh-CN"/>
        </w:rPr>
      </w:pPr>
    </w:p>
    <w:p>
      <w:pPr>
        <w:spacing w:line="360" w:lineRule="auto"/>
        <w:ind w:firstLine="5040" w:firstLineChars="24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日  期：   年    月     日</w:t>
      </w:r>
    </w:p>
    <w:p>
      <w:pPr>
        <w:spacing w:line="360" w:lineRule="auto"/>
        <w:jc w:val="both"/>
        <w:rPr>
          <w:rFonts w:hint="eastAsia" w:ascii="宋体" w:hAnsi="宋体" w:eastAsia="宋体" w:cs="宋体"/>
          <w:b/>
          <w:bCs/>
          <w:color w:val="auto"/>
          <w:sz w:val="21"/>
          <w:szCs w:val="21"/>
          <w:highlight w:val="none"/>
        </w:rPr>
        <w:sectPr>
          <w:pgSz w:w="11907" w:h="16840"/>
          <w:pgMar w:top="1417"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pPr>
    </w:p>
    <w:p>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zh-CN" w:eastAsia="zh-CN"/>
        </w:rPr>
      </w:pPr>
      <w:bookmarkStart w:id="525" w:name="_Toc41571412"/>
      <w:bookmarkStart w:id="526" w:name="_Toc56076639"/>
      <w:bookmarkStart w:id="527" w:name="_Toc14292"/>
      <w:bookmarkStart w:id="528" w:name="_Toc31049"/>
      <w:bookmarkStart w:id="529" w:name="_Toc12153"/>
      <w:bookmarkStart w:id="530" w:name="_Toc79146609"/>
      <w:bookmarkStart w:id="531" w:name="_Toc79146610"/>
      <w:bookmarkStart w:id="532" w:name="_Toc54334016"/>
      <w:bookmarkStart w:id="533" w:name="_Toc497746567"/>
      <w:bookmarkStart w:id="534" w:name="_Toc1123961"/>
      <w:bookmarkStart w:id="535" w:name="_Toc490169467"/>
      <w:bookmarkStart w:id="536" w:name="_Toc5098078"/>
      <w:bookmarkStart w:id="537" w:name="_Toc19008834"/>
      <w:bookmarkStart w:id="538" w:name="_Toc495907137"/>
      <w:bookmarkStart w:id="539" w:name="_Toc521918131"/>
      <w:r>
        <w:rPr>
          <w:rFonts w:hint="eastAsia" w:ascii="宋体" w:hAnsi="宋体" w:eastAsia="宋体" w:cs="宋体"/>
          <w:b/>
          <w:color w:val="auto"/>
          <w:kern w:val="2"/>
          <w:sz w:val="30"/>
          <w:szCs w:val="30"/>
          <w:highlight w:val="none"/>
          <w:lang w:val="en-US" w:eastAsia="zh-CN"/>
        </w:rPr>
        <w:t>1</w:t>
      </w:r>
      <w:r>
        <w:rPr>
          <w:rFonts w:hint="eastAsia" w:ascii="宋体" w:hAnsi="宋体" w:cs="宋体"/>
          <w:b/>
          <w:color w:val="auto"/>
          <w:kern w:val="2"/>
          <w:sz w:val="30"/>
          <w:szCs w:val="30"/>
          <w:highlight w:val="none"/>
          <w:lang w:val="en-US" w:eastAsia="zh-CN"/>
        </w:rPr>
        <w:t>5</w:t>
      </w:r>
      <w:r>
        <w:rPr>
          <w:rFonts w:hint="eastAsia" w:ascii="宋体" w:hAnsi="宋体" w:eastAsia="宋体" w:cs="宋体"/>
          <w:b/>
          <w:color w:val="auto"/>
          <w:kern w:val="2"/>
          <w:sz w:val="30"/>
          <w:szCs w:val="30"/>
          <w:highlight w:val="none"/>
          <w:lang w:val="en-US" w:eastAsia="zh-CN"/>
        </w:rPr>
        <w:t>.2</w:t>
      </w:r>
      <w:bookmarkEnd w:id="525"/>
      <w:bookmarkEnd w:id="526"/>
      <w:r>
        <w:rPr>
          <w:rFonts w:hint="eastAsia" w:ascii="宋体" w:hAnsi="宋体" w:eastAsia="宋体" w:cs="宋体"/>
          <w:b/>
          <w:color w:val="auto"/>
          <w:kern w:val="2"/>
          <w:sz w:val="30"/>
          <w:szCs w:val="30"/>
          <w:highlight w:val="none"/>
          <w:lang w:val="en-US" w:eastAsia="zh-CN"/>
        </w:rPr>
        <w:t xml:space="preserve"> 工作方案</w:t>
      </w:r>
      <w:bookmarkEnd w:id="527"/>
      <w:bookmarkEnd w:id="528"/>
      <w:bookmarkEnd w:id="529"/>
      <w:bookmarkEnd w:id="530"/>
    </w:p>
    <w:p>
      <w:pPr>
        <w:spacing w:before="120" w:beforeLines="50" w:line="360" w:lineRule="auto"/>
        <w:ind w:left="42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自行编制）</w:t>
      </w:r>
    </w:p>
    <w:bookmarkEnd w:id="531"/>
    <w:p>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lang w:val="en-US" w:eastAsia="zh-CN"/>
        </w:rPr>
      </w:pPr>
      <w:bookmarkStart w:id="540" w:name="_Toc79146611"/>
      <w:bookmarkStart w:id="541" w:name="_Toc23831"/>
      <w:bookmarkStart w:id="542" w:name="_Toc6859"/>
      <w:bookmarkStart w:id="543" w:name="_Toc25931"/>
      <w:r>
        <w:rPr>
          <w:rFonts w:hint="eastAsia" w:ascii="宋体" w:hAnsi="宋体" w:eastAsia="宋体" w:cs="宋体"/>
          <w:b/>
          <w:color w:val="auto"/>
          <w:kern w:val="2"/>
          <w:sz w:val="30"/>
          <w:szCs w:val="30"/>
          <w:highlight w:val="none"/>
          <w:lang w:val="en-US" w:eastAsia="zh-CN"/>
        </w:rPr>
        <w:t>1</w:t>
      </w:r>
      <w:r>
        <w:rPr>
          <w:rFonts w:hint="eastAsia" w:ascii="宋体" w:hAnsi="宋体" w:cs="宋体"/>
          <w:b/>
          <w:color w:val="auto"/>
          <w:kern w:val="2"/>
          <w:sz w:val="30"/>
          <w:szCs w:val="30"/>
          <w:highlight w:val="none"/>
          <w:lang w:val="en-US" w:eastAsia="zh-CN"/>
        </w:rPr>
        <w:t>5</w:t>
      </w:r>
      <w:r>
        <w:rPr>
          <w:rFonts w:hint="eastAsia" w:ascii="宋体" w:hAnsi="宋体" w:eastAsia="宋体" w:cs="宋体"/>
          <w:b/>
          <w:color w:val="auto"/>
          <w:kern w:val="2"/>
          <w:sz w:val="30"/>
          <w:szCs w:val="30"/>
          <w:highlight w:val="none"/>
          <w:lang w:val="en-US" w:eastAsia="zh-CN"/>
        </w:rPr>
        <w:t>.3</w:t>
      </w:r>
      <w:bookmarkEnd w:id="540"/>
      <w:r>
        <w:rPr>
          <w:rFonts w:hint="eastAsia" w:ascii="宋体" w:hAnsi="宋体" w:eastAsia="宋体" w:cs="宋体"/>
          <w:b/>
          <w:color w:val="auto"/>
          <w:kern w:val="2"/>
          <w:sz w:val="30"/>
          <w:szCs w:val="30"/>
          <w:highlight w:val="none"/>
          <w:lang w:val="en-US" w:eastAsia="zh-CN"/>
        </w:rPr>
        <w:t xml:space="preserve"> </w:t>
      </w:r>
      <w:bookmarkEnd w:id="541"/>
      <w:bookmarkEnd w:id="542"/>
      <w:bookmarkEnd w:id="543"/>
      <w:r>
        <w:rPr>
          <w:rFonts w:hint="eastAsia" w:ascii="宋体" w:hAnsi="宋体" w:eastAsia="宋体" w:cs="宋体"/>
          <w:b/>
          <w:color w:val="auto"/>
          <w:kern w:val="2"/>
          <w:sz w:val="30"/>
          <w:szCs w:val="30"/>
          <w:highlight w:val="none"/>
          <w:lang w:val="en-US" w:eastAsia="zh-CN"/>
        </w:rPr>
        <w:t>信息安全管理方案</w:t>
      </w:r>
    </w:p>
    <w:p>
      <w:pPr>
        <w:spacing w:before="120" w:beforeLines="50" w:line="360" w:lineRule="auto"/>
        <w:ind w:left="42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自行编制）</w:t>
      </w:r>
    </w:p>
    <w:p>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zh-CN" w:eastAsia="zh-CN"/>
        </w:rPr>
      </w:pPr>
    </w:p>
    <w:p>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lang w:val="en-US" w:eastAsia="zh-CN"/>
        </w:rPr>
      </w:pPr>
      <w:bookmarkStart w:id="544" w:name="_Toc14673"/>
      <w:bookmarkStart w:id="545" w:name="_Toc9785"/>
      <w:bookmarkStart w:id="546" w:name="_Toc23515"/>
      <w:r>
        <w:rPr>
          <w:rFonts w:hint="eastAsia" w:ascii="宋体" w:hAnsi="宋体" w:eastAsia="宋体" w:cs="宋体"/>
          <w:b/>
          <w:color w:val="auto"/>
          <w:kern w:val="2"/>
          <w:sz w:val="30"/>
          <w:szCs w:val="30"/>
          <w:highlight w:val="none"/>
          <w:lang w:val="en-US" w:eastAsia="zh-CN"/>
        </w:rPr>
        <w:t>1</w:t>
      </w:r>
      <w:r>
        <w:rPr>
          <w:rFonts w:hint="eastAsia" w:ascii="宋体" w:hAnsi="宋体" w:cs="宋体"/>
          <w:b/>
          <w:color w:val="auto"/>
          <w:kern w:val="2"/>
          <w:sz w:val="30"/>
          <w:szCs w:val="30"/>
          <w:highlight w:val="none"/>
          <w:lang w:val="en-US" w:eastAsia="zh-CN"/>
        </w:rPr>
        <w:t>5</w:t>
      </w:r>
      <w:r>
        <w:rPr>
          <w:rFonts w:hint="eastAsia" w:ascii="宋体" w:hAnsi="宋体" w:eastAsia="宋体" w:cs="宋体"/>
          <w:b/>
          <w:color w:val="auto"/>
          <w:kern w:val="2"/>
          <w:sz w:val="30"/>
          <w:szCs w:val="30"/>
          <w:highlight w:val="none"/>
          <w:lang w:val="en-US" w:eastAsia="zh-CN"/>
        </w:rPr>
        <w:t xml:space="preserve">.4 </w:t>
      </w:r>
      <w:bookmarkEnd w:id="544"/>
      <w:bookmarkEnd w:id="545"/>
      <w:bookmarkEnd w:id="546"/>
      <w:r>
        <w:rPr>
          <w:rFonts w:hint="eastAsia" w:ascii="宋体" w:hAnsi="宋体" w:eastAsia="宋体" w:cs="宋体"/>
          <w:b/>
          <w:color w:val="auto"/>
          <w:kern w:val="2"/>
          <w:sz w:val="30"/>
          <w:szCs w:val="30"/>
          <w:highlight w:val="none"/>
          <w:lang w:val="en-US" w:eastAsia="zh-CN"/>
        </w:rPr>
        <w:t>审计服务项目咨询方案</w:t>
      </w:r>
    </w:p>
    <w:p>
      <w:pPr>
        <w:autoSpaceDE/>
        <w:autoSpaceDN/>
        <w:adjustRightInd/>
        <w:spacing w:before="120" w:after="120" w:line="360" w:lineRule="auto"/>
        <w:ind w:left="0" w:firstLine="0" w:firstLine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自行编制）</w:t>
      </w:r>
    </w:p>
    <w:p>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lang w:val="en-US" w:eastAsia="zh-CN"/>
        </w:rPr>
      </w:pPr>
      <w:r>
        <w:rPr>
          <w:rFonts w:hint="eastAsia" w:ascii="宋体" w:hAnsi="宋体" w:eastAsia="宋体" w:cs="宋体"/>
          <w:b/>
          <w:color w:val="auto"/>
          <w:kern w:val="2"/>
          <w:sz w:val="30"/>
          <w:szCs w:val="30"/>
          <w:highlight w:val="none"/>
          <w:lang w:val="en-US" w:eastAsia="zh-CN"/>
        </w:rPr>
        <w:t>1</w:t>
      </w:r>
      <w:r>
        <w:rPr>
          <w:rFonts w:hint="eastAsia" w:ascii="宋体" w:hAnsi="宋体" w:cs="宋体"/>
          <w:b/>
          <w:color w:val="auto"/>
          <w:kern w:val="2"/>
          <w:sz w:val="30"/>
          <w:szCs w:val="30"/>
          <w:highlight w:val="none"/>
          <w:lang w:val="en-US" w:eastAsia="zh-CN"/>
        </w:rPr>
        <w:t>5</w:t>
      </w:r>
      <w:r>
        <w:rPr>
          <w:rFonts w:hint="eastAsia" w:ascii="宋体" w:hAnsi="宋体" w:eastAsia="宋体" w:cs="宋体"/>
          <w:b/>
          <w:color w:val="auto"/>
          <w:kern w:val="2"/>
          <w:sz w:val="30"/>
          <w:szCs w:val="30"/>
          <w:highlight w:val="none"/>
          <w:lang w:val="en-US" w:eastAsia="zh-CN"/>
        </w:rPr>
        <w:t>.5审计服务意见分歧解决方案</w:t>
      </w:r>
    </w:p>
    <w:p>
      <w:pPr>
        <w:autoSpaceDE/>
        <w:autoSpaceDN/>
        <w:adjustRightInd/>
        <w:spacing w:before="120" w:after="120" w:line="360" w:lineRule="auto"/>
        <w:ind w:left="0" w:firstLine="0" w:firstLine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自行编制）</w:t>
      </w:r>
    </w:p>
    <w:p>
      <w:pPr>
        <w:rPr>
          <w:rFonts w:hint="eastAsia" w:ascii="宋体" w:hAnsi="宋体" w:cs="宋体"/>
          <w:color w:val="auto"/>
          <w:highlight w:val="none"/>
          <w:lang w:eastAsia="zh-CN"/>
        </w:rPr>
      </w:pPr>
    </w:p>
    <w:p>
      <w:pPr>
        <w:rPr>
          <w:rFonts w:hint="eastAsia" w:ascii="宋体" w:hAnsi="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lang w:val="en-US" w:eastAsia="zh-CN"/>
        </w:rPr>
      </w:pPr>
      <w:r>
        <w:rPr>
          <w:rFonts w:hint="eastAsia" w:ascii="宋体" w:hAnsi="宋体" w:eastAsia="宋体" w:cs="宋体"/>
          <w:b/>
          <w:color w:val="auto"/>
          <w:kern w:val="2"/>
          <w:sz w:val="30"/>
          <w:szCs w:val="30"/>
          <w:highlight w:val="none"/>
          <w:lang w:val="en-US" w:eastAsia="zh-CN"/>
        </w:rPr>
        <w:t>1</w:t>
      </w:r>
      <w:r>
        <w:rPr>
          <w:rFonts w:hint="eastAsia" w:ascii="宋体" w:hAnsi="宋体" w:cs="宋体"/>
          <w:b/>
          <w:color w:val="auto"/>
          <w:kern w:val="2"/>
          <w:sz w:val="30"/>
          <w:szCs w:val="30"/>
          <w:highlight w:val="none"/>
          <w:lang w:val="en-US" w:eastAsia="zh-CN"/>
        </w:rPr>
        <w:t>5</w:t>
      </w:r>
      <w:r>
        <w:rPr>
          <w:rFonts w:hint="eastAsia" w:ascii="宋体" w:hAnsi="宋体" w:eastAsia="宋体" w:cs="宋体"/>
          <w:b/>
          <w:color w:val="auto"/>
          <w:kern w:val="2"/>
          <w:sz w:val="30"/>
          <w:szCs w:val="30"/>
          <w:highlight w:val="none"/>
          <w:lang w:val="en-US" w:eastAsia="zh-CN"/>
        </w:rPr>
        <w:t>.</w:t>
      </w:r>
      <w:r>
        <w:rPr>
          <w:rFonts w:hint="eastAsia" w:ascii="宋体" w:hAnsi="宋体" w:cs="宋体"/>
          <w:b/>
          <w:color w:val="auto"/>
          <w:kern w:val="2"/>
          <w:sz w:val="30"/>
          <w:szCs w:val="30"/>
          <w:highlight w:val="none"/>
          <w:lang w:val="en-US" w:eastAsia="zh-CN"/>
        </w:rPr>
        <w:t>6审计服务项目质量复核方案</w:t>
      </w:r>
    </w:p>
    <w:p>
      <w:pPr>
        <w:autoSpaceDE/>
        <w:autoSpaceDN/>
        <w:adjustRightInd/>
        <w:spacing w:before="120" w:after="120" w:line="360" w:lineRule="auto"/>
        <w:ind w:left="0" w:firstLine="0" w:firstLine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自行编制）</w:t>
      </w:r>
    </w:p>
    <w:p>
      <w:pPr>
        <w:rPr>
          <w:rFonts w:hint="eastAsia" w:ascii="宋体" w:hAnsi="宋体" w:eastAsia="宋体" w:cs="宋体"/>
          <w:color w:val="auto"/>
          <w:highlight w:val="none"/>
        </w:rPr>
      </w:pPr>
    </w:p>
    <w:p>
      <w:pPr>
        <w:spacing w:line="24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lang w:val="en-US" w:eastAsia="zh-CN"/>
        </w:rPr>
      </w:pPr>
      <w:r>
        <w:rPr>
          <w:rFonts w:hint="eastAsia" w:ascii="宋体" w:hAnsi="宋体" w:eastAsia="宋体" w:cs="宋体"/>
          <w:b/>
          <w:color w:val="auto"/>
          <w:kern w:val="2"/>
          <w:sz w:val="30"/>
          <w:szCs w:val="30"/>
          <w:highlight w:val="none"/>
          <w:lang w:val="en-US" w:eastAsia="zh-CN"/>
        </w:rPr>
        <w:t>1</w:t>
      </w:r>
      <w:r>
        <w:rPr>
          <w:rFonts w:hint="eastAsia" w:ascii="宋体" w:hAnsi="宋体" w:cs="宋体"/>
          <w:b/>
          <w:color w:val="auto"/>
          <w:kern w:val="2"/>
          <w:sz w:val="30"/>
          <w:szCs w:val="30"/>
          <w:highlight w:val="none"/>
          <w:lang w:val="en-US" w:eastAsia="zh-CN"/>
        </w:rPr>
        <w:t>5</w:t>
      </w:r>
      <w:r>
        <w:rPr>
          <w:rFonts w:hint="eastAsia" w:ascii="宋体" w:hAnsi="宋体" w:eastAsia="宋体" w:cs="宋体"/>
          <w:b/>
          <w:color w:val="auto"/>
          <w:kern w:val="2"/>
          <w:sz w:val="30"/>
          <w:szCs w:val="30"/>
          <w:highlight w:val="none"/>
          <w:lang w:val="en-US" w:eastAsia="zh-CN"/>
        </w:rPr>
        <w:t>.</w:t>
      </w:r>
      <w:r>
        <w:rPr>
          <w:rFonts w:hint="eastAsia" w:ascii="宋体" w:hAnsi="宋体" w:cs="宋体"/>
          <w:b/>
          <w:color w:val="auto"/>
          <w:kern w:val="2"/>
          <w:sz w:val="30"/>
          <w:szCs w:val="30"/>
          <w:highlight w:val="none"/>
          <w:lang w:val="en-US" w:eastAsia="zh-CN"/>
        </w:rPr>
        <w:t>7审计服务项目质量检查方案</w:t>
      </w:r>
    </w:p>
    <w:p>
      <w:pPr>
        <w:autoSpaceDE/>
        <w:autoSpaceDN/>
        <w:adjustRightInd/>
        <w:spacing w:before="120" w:after="120" w:line="360" w:lineRule="auto"/>
        <w:ind w:left="0" w:firstLine="0" w:firstLine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自行编制）</w:t>
      </w:r>
    </w:p>
    <w:p>
      <w:pPr>
        <w:autoSpaceDE/>
        <w:autoSpaceDN/>
        <w:adjustRightInd/>
        <w:spacing w:before="0" w:after="0" w:line="240" w:lineRule="auto"/>
        <w:ind w:left="0" w:firstLine="0" w:firstLine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lang w:val="en-US" w:eastAsia="zh-CN"/>
        </w:rPr>
      </w:pPr>
      <w:r>
        <w:rPr>
          <w:rFonts w:hint="eastAsia" w:ascii="宋体" w:hAnsi="宋体" w:eastAsia="宋体" w:cs="宋体"/>
          <w:b/>
          <w:color w:val="auto"/>
          <w:kern w:val="2"/>
          <w:sz w:val="30"/>
          <w:szCs w:val="30"/>
          <w:highlight w:val="none"/>
          <w:lang w:val="en-US" w:eastAsia="zh-CN"/>
        </w:rPr>
        <w:t>1</w:t>
      </w:r>
      <w:r>
        <w:rPr>
          <w:rFonts w:hint="eastAsia" w:ascii="宋体" w:hAnsi="宋体" w:cs="宋体"/>
          <w:b/>
          <w:color w:val="auto"/>
          <w:kern w:val="2"/>
          <w:sz w:val="30"/>
          <w:szCs w:val="30"/>
          <w:highlight w:val="none"/>
          <w:lang w:val="en-US" w:eastAsia="zh-CN"/>
        </w:rPr>
        <w:t>5</w:t>
      </w:r>
      <w:r>
        <w:rPr>
          <w:rFonts w:hint="eastAsia" w:ascii="宋体" w:hAnsi="宋体" w:eastAsia="宋体" w:cs="宋体"/>
          <w:b/>
          <w:color w:val="auto"/>
          <w:kern w:val="2"/>
          <w:sz w:val="30"/>
          <w:szCs w:val="30"/>
          <w:highlight w:val="none"/>
          <w:lang w:val="en-US" w:eastAsia="zh-CN"/>
        </w:rPr>
        <w:t>.</w:t>
      </w:r>
      <w:r>
        <w:rPr>
          <w:rFonts w:hint="eastAsia" w:ascii="宋体" w:hAnsi="宋体" w:cs="宋体"/>
          <w:b/>
          <w:color w:val="auto"/>
          <w:kern w:val="2"/>
          <w:sz w:val="30"/>
          <w:szCs w:val="30"/>
          <w:highlight w:val="none"/>
          <w:lang w:val="en-US" w:eastAsia="zh-CN"/>
        </w:rPr>
        <w:t>8审计服务质量管理缺陷识别与整改方案</w:t>
      </w:r>
    </w:p>
    <w:p>
      <w:pPr>
        <w:autoSpaceDE/>
        <w:autoSpaceDN/>
        <w:adjustRightInd/>
        <w:spacing w:before="120" w:after="120" w:line="360" w:lineRule="auto"/>
        <w:ind w:left="0" w:firstLine="0" w:firstLine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自行编制）</w:t>
      </w:r>
    </w:p>
    <w:p>
      <w:pPr>
        <w:autoSpaceDE/>
        <w:autoSpaceDN/>
        <w:adjustRightInd/>
        <w:spacing w:before="120" w:after="120" w:line="360" w:lineRule="auto"/>
        <w:ind w:left="0" w:firstLine="0" w:firstLineChars="0"/>
        <w:outlineLvl w:val="9"/>
        <w:rPr>
          <w:rFonts w:hint="eastAsia" w:ascii="宋体" w:hAnsi="宋体" w:eastAsia="宋体" w:cs="宋体"/>
          <w:color w:val="auto"/>
          <w:sz w:val="21"/>
          <w:szCs w:val="21"/>
          <w:highlight w:val="none"/>
        </w:rPr>
      </w:pPr>
    </w:p>
    <w:p>
      <w:pPr>
        <w:autoSpaceDE/>
        <w:autoSpaceDN/>
        <w:adjustRightInd/>
        <w:spacing w:before="0" w:after="0" w:line="240" w:lineRule="auto"/>
        <w:ind w:left="0" w:firstLine="0" w:firstLine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lang w:val="en-US" w:eastAsia="zh-CN"/>
        </w:rPr>
      </w:pPr>
      <w:r>
        <w:rPr>
          <w:rFonts w:hint="eastAsia" w:ascii="宋体" w:hAnsi="宋体" w:eastAsia="宋体" w:cs="宋体"/>
          <w:b/>
          <w:color w:val="auto"/>
          <w:kern w:val="2"/>
          <w:sz w:val="30"/>
          <w:szCs w:val="30"/>
          <w:highlight w:val="none"/>
          <w:lang w:val="en-US" w:eastAsia="zh-CN"/>
        </w:rPr>
        <w:t>1</w:t>
      </w:r>
      <w:r>
        <w:rPr>
          <w:rFonts w:hint="eastAsia" w:ascii="宋体" w:hAnsi="宋体" w:cs="宋体"/>
          <w:b/>
          <w:color w:val="auto"/>
          <w:kern w:val="2"/>
          <w:sz w:val="30"/>
          <w:szCs w:val="30"/>
          <w:highlight w:val="none"/>
          <w:lang w:val="en-US" w:eastAsia="zh-CN"/>
        </w:rPr>
        <w:t>5</w:t>
      </w:r>
      <w:r>
        <w:rPr>
          <w:rFonts w:hint="eastAsia" w:ascii="宋体" w:hAnsi="宋体" w:eastAsia="宋体" w:cs="宋体"/>
          <w:b/>
          <w:color w:val="auto"/>
          <w:kern w:val="2"/>
          <w:sz w:val="30"/>
          <w:szCs w:val="30"/>
          <w:highlight w:val="none"/>
          <w:lang w:val="en-US" w:eastAsia="zh-CN"/>
        </w:rPr>
        <w:t>.</w:t>
      </w:r>
      <w:r>
        <w:rPr>
          <w:rFonts w:hint="eastAsia" w:ascii="宋体" w:hAnsi="宋体" w:cs="宋体"/>
          <w:b/>
          <w:color w:val="auto"/>
          <w:kern w:val="2"/>
          <w:sz w:val="30"/>
          <w:szCs w:val="30"/>
          <w:highlight w:val="none"/>
          <w:lang w:val="en-US" w:eastAsia="zh-CN"/>
        </w:rPr>
        <w:t>9 审计、财税综合服务质量管理制度</w:t>
      </w:r>
    </w:p>
    <w:p>
      <w:pPr>
        <w:autoSpaceDE/>
        <w:autoSpaceDN/>
        <w:adjustRightInd/>
        <w:spacing w:before="120" w:after="120" w:line="360" w:lineRule="auto"/>
        <w:ind w:left="0" w:firstLine="0" w:firstLine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自行编制）</w:t>
      </w:r>
    </w:p>
    <w:p>
      <w:pPr>
        <w:autoSpaceDE/>
        <w:autoSpaceDN/>
        <w:adjustRightInd/>
        <w:spacing w:before="120" w:after="120" w:line="360" w:lineRule="auto"/>
        <w:ind w:left="0" w:firstLine="0" w:firstLineChars="0"/>
        <w:outlineLvl w:val="9"/>
        <w:rPr>
          <w:rFonts w:hint="eastAsia" w:ascii="宋体" w:hAnsi="宋体" w:eastAsia="宋体" w:cs="宋体"/>
          <w:color w:val="auto"/>
          <w:sz w:val="21"/>
          <w:szCs w:val="21"/>
          <w:highlight w:val="none"/>
        </w:rPr>
      </w:pPr>
    </w:p>
    <w:p>
      <w:pPr>
        <w:autoSpaceDE/>
        <w:autoSpaceDN/>
        <w:adjustRightInd/>
        <w:spacing w:before="120" w:after="120" w:line="360" w:lineRule="auto"/>
        <w:ind w:left="0" w:firstLine="0" w:firstLineChars="0"/>
        <w:outlineLvl w:val="9"/>
        <w:rPr>
          <w:rFonts w:hint="eastAsia" w:ascii="宋体" w:hAnsi="宋体" w:eastAsia="宋体" w:cs="宋体"/>
          <w:color w:val="auto"/>
          <w:sz w:val="21"/>
          <w:szCs w:val="21"/>
          <w:highlight w:val="none"/>
        </w:rPr>
      </w:pPr>
    </w:p>
    <w:p>
      <w:pPr>
        <w:spacing w:line="360" w:lineRule="auto"/>
        <w:ind w:firstLine="0" w:firstLineChars="0"/>
        <w:rPr>
          <w:rFonts w:hint="eastAsia" w:ascii="宋体" w:hAnsi="宋体" w:eastAsia="宋体" w:cs="宋体"/>
          <w:color w:val="auto"/>
          <w:szCs w:val="21"/>
          <w:highlight w:val="none"/>
        </w:rPr>
      </w:pPr>
    </w:p>
    <w:p>
      <w:pPr>
        <w:pStyle w:val="18"/>
        <w:rPr>
          <w:rFonts w:hint="eastAsia" w:ascii="宋体" w:hAnsi="宋体" w:eastAsia="宋体" w:cs="宋体"/>
          <w:color w:val="auto"/>
          <w:highlight w:val="none"/>
        </w:rPr>
      </w:pPr>
    </w:p>
    <w:p>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lang w:val="en-US" w:eastAsia="zh-CN"/>
        </w:rPr>
      </w:pPr>
      <w:r>
        <w:rPr>
          <w:rFonts w:hint="eastAsia" w:ascii="宋体" w:hAnsi="宋体" w:eastAsia="宋体" w:cs="宋体"/>
          <w:b/>
          <w:color w:val="auto"/>
          <w:kern w:val="2"/>
          <w:sz w:val="30"/>
          <w:szCs w:val="30"/>
          <w:highlight w:val="none"/>
          <w:lang w:val="en-US" w:eastAsia="zh-CN"/>
        </w:rPr>
        <w:t>1</w:t>
      </w:r>
      <w:r>
        <w:rPr>
          <w:rFonts w:hint="eastAsia" w:ascii="宋体" w:hAnsi="宋体" w:cs="宋体"/>
          <w:b/>
          <w:color w:val="auto"/>
          <w:kern w:val="2"/>
          <w:sz w:val="30"/>
          <w:szCs w:val="30"/>
          <w:highlight w:val="none"/>
          <w:lang w:val="en-US" w:eastAsia="zh-CN"/>
        </w:rPr>
        <w:t>5</w:t>
      </w:r>
      <w:r>
        <w:rPr>
          <w:rFonts w:hint="eastAsia" w:ascii="宋体" w:hAnsi="宋体" w:eastAsia="宋体" w:cs="宋体"/>
          <w:b/>
          <w:color w:val="auto"/>
          <w:kern w:val="2"/>
          <w:sz w:val="30"/>
          <w:szCs w:val="30"/>
          <w:highlight w:val="none"/>
          <w:lang w:val="en-US" w:eastAsia="zh-CN"/>
        </w:rPr>
        <w:t>.</w:t>
      </w:r>
      <w:r>
        <w:rPr>
          <w:rFonts w:hint="eastAsia" w:ascii="宋体" w:hAnsi="宋体" w:cs="宋体"/>
          <w:b/>
          <w:color w:val="auto"/>
          <w:kern w:val="2"/>
          <w:sz w:val="30"/>
          <w:szCs w:val="30"/>
          <w:highlight w:val="none"/>
          <w:lang w:val="en-US" w:eastAsia="zh-CN"/>
        </w:rPr>
        <w:t>10</w:t>
      </w:r>
      <w:r>
        <w:rPr>
          <w:rFonts w:hint="eastAsia" w:ascii="宋体" w:hAnsi="宋体" w:eastAsia="宋体" w:cs="宋体"/>
          <w:b/>
          <w:color w:val="auto"/>
          <w:kern w:val="2"/>
          <w:sz w:val="30"/>
          <w:szCs w:val="30"/>
          <w:highlight w:val="none"/>
          <w:lang w:val="en-US" w:eastAsia="zh-CN"/>
        </w:rPr>
        <w:t>供应商认为有必要提供的其它材料（不做强制要求）</w:t>
      </w:r>
    </w:p>
    <w:p>
      <w:pPr>
        <w:rPr>
          <w:rFonts w:hint="eastAsia" w:ascii="宋体" w:hAnsi="宋体" w:eastAsia="宋体" w:cs="宋体"/>
          <w:color w:val="auto"/>
          <w:highlight w:val="none"/>
          <w:lang w:val="en-US" w:eastAsia="zh-CN"/>
        </w:rPr>
      </w:pPr>
    </w:p>
    <w:bookmarkEnd w:id="532"/>
    <w:bookmarkEnd w:id="533"/>
    <w:bookmarkEnd w:id="534"/>
    <w:bookmarkEnd w:id="535"/>
    <w:bookmarkEnd w:id="536"/>
    <w:bookmarkEnd w:id="537"/>
    <w:bookmarkEnd w:id="538"/>
    <w:bookmarkEnd w:id="539"/>
    <w:p>
      <w:pPr>
        <w:pStyle w:val="2"/>
        <w:keepNext w:val="0"/>
        <w:keepLines w:val="0"/>
        <w:pageBreakBefore/>
        <w:widowControl w:val="0"/>
        <w:tabs>
          <w:tab w:val="left" w:pos="108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44"/>
          <w:sz w:val="32"/>
          <w:szCs w:val="32"/>
          <w:highlight w:val="none"/>
          <w:lang w:val="zh-CN"/>
        </w:rPr>
      </w:pPr>
      <w:bookmarkStart w:id="547" w:name="_Toc51642408"/>
      <w:bookmarkStart w:id="548" w:name="_Toc521918141"/>
      <w:bookmarkStart w:id="549" w:name="_Toc21619"/>
      <w:bookmarkStart w:id="550" w:name="_Toc26577"/>
      <w:bookmarkStart w:id="551" w:name="_Toc19374"/>
      <w:r>
        <w:rPr>
          <w:rFonts w:hint="eastAsia" w:ascii="宋体" w:hAnsi="宋体" w:eastAsia="宋体" w:cs="宋体"/>
          <w:b/>
          <w:bCs/>
          <w:color w:val="auto"/>
          <w:kern w:val="44"/>
          <w:sz w:val="32"/>
          <w:szCs w:val="32"/>
          <w:highlight w:val="none"/>
          <w:lang w:val="zh-CN"/>
        </w:rPr>
        <w:t>附件一：</w:t>
      </w:r>
      <w:bookmarkEnd w:id="547"/>
      <w:bookmarkEnd w:id="548"/>
      <w:r>
        <w:rPr>
          <w:rFonts w:hint="eastAsia" w:ascii="宋体" w:hAnsi="宋体" w:eastAsia="宋体" w:cs="宋体"/>
          <w:b/>
          <w:bCs/>
          <w:color w:val="auto"/>
          <w:kern w:val="44"/>
          <w:sz w:val="32"/>
          <w:szCs w:val="32"/>
          <w:highlight w:val="none"/>
          <w:lang w:val="zh-CN"/>
        </w:rPr>
        <w:t>评审工作大纲</w:t>
      </w:r>
      <w:bookmarkEnd w:id="549"/>
      <w:bookmarkEnd w:id="550"/>
      <w:bookmarkEnd w:id="551"/>
    </w:p>
    <w:p>
      <w:pPr>
        <w:spacing w:line="400" w:lineRule="atLeast"/>
        <w:jc w:val="center"/>
        <w:rPr>
          <w:rFonts w:hint="eastAsia" w:ascii="宋体" w:hAnsi="宋体" w:eastAsia="宋体" w:cs="宋体"/>
          <w:b/>
          <w:bCs/>
          <w:color w:val="auto"/>
          <w:kern w:val="2"/>
          <w:sz w:val="21"/>
          <w:szCs w:val="21"/>
          <w:highlight w:val="none"/>
        </w:rPr>
      </w:pPr>
    </w:p>
    <w:p>
      <w:pPr>
        <w:spacing w:line="400" w:lineRule="atLeast"/>
        <w:jc w:val="center"/>
        <w:rPr>
          <w:rFonts w:hint="eastAsia" w:ascii="宋体" w:hAnsi="宋体" w:eastAsia="宋体" w:cs="宋体"/>
          <w:b/>
          <w:bCs/>
          <w:color w:val="auto"/>
          <w:kern w:val="2"/>
          <w:sz w:val="21"/>
          <w:szCs w:val="21"/>
          <w:highlight w:val="none"/>
        </w:rPr>
      </w:pPr>
    </w:p>
    <w:p>
      <w:pPr>
        <w:spacing w:line="400" w:lineRule="atLeast"/>
        <w:jc w:val="center"/>
        <w:rPr>
          <w:rFonts w:hint="eastAsia" w:ascii="宋体" w:hAnsi="宋体" w:eastAsia="宋体" w:cs="宋体"/>
          <w:b/>
          <w:bCs/>
          <w:color w:val="auto"/>
          <w:kern w:val="2"/>
          <w:sz w:val="21"/>
          <w:szCs w:val="21"/>
          <w:highlight w:val="none"/>
        </w:rPr>
      </w:pPr>
    </w:p>
    <w:p>
      <w:pPr>
        <w:spacing w:line="400" w:lineRule="atLeast"/>
        <w:jc w:val="center"/>
        <w:rPr>
          <w:rFonts w:hint="eastAsia" w:ascii="宋体" w:hAnsi="宋体" w:eastAsia="宋体" w:cs="宋体"/>
          <w:b/>
          <w:bCs/>
          <w:color w:val="auto"/>
          <w:kern w:val="2"/>
          <w:sz w:val="21"/>
          <w:szCs w:val="21"/>
          <w:highlight w:val="none"/>
        </w:rPr>
      </w:pPr>
    </w:p>
    <w:p>
      <w:pPr>
        <w:spacing w:line="400" w:lineRule="atLeast"/>
        <w:jc w:val="center"/>
        <w:rPr>
          <w:rFonts w:hint="eastAsia" w:ascii="宋体" w:hAnsi="宋体" w:eastAsia="宋体" w:cs="宋体"/>
          <w:b/>
          <w:bCs/>
          <w:color w:val="auto"/>
          <w:kern w:val="2"/>
          <w:sz w:val="21"/>
          <w:szCs w:val="21"/>
          <w:highlight w:val="none"/>
        </w:rPr>
      </w:pPr>
    </w:p>
    <w:p>
      <w:pPr>
        <w:spacing w:line="400" w:lineRule="atLeast"/>
        <w:jc w:val="center"/>
        <w:rPr>
          <w:rFonts w:hint="eastAsia" w:ascii="宋体" w:hAnsi="宋体" w:eastAsia="宋体" w:cs="宋体"/>
          <w:b/>
          <w:bCs/>
          <w:color w:val="auto"/>
          <w:kern w:val="2"/>
          <w:sz w:val="21"/>
          <w:szCs w:val="21"/>
          <w:highlight w:val="none"/>
        </w:rPr>
      </w:pPr>
    </w:p>
    <w:p>
      <w:pPr>
        <w:spacing w:line="360" w:lineRule="auto"/>
        <w:jc w:val="center"/>
        <w:rPr>
          <w:rFonts w:hint="eastAsia" w:ascii="宋体" w:hAnsi="宋体" w:cs="宋体"/>
          <w:b/>
          <w:bCs/>
          <w:color w:val="auto"/>
          <w:kern w:val="2"/>
          <w:sz w:val="36"/>
          <w:szCs w:val="36"/>
          <w:highlight w:val="none"/>
          <w:lang w:val="en-US" w:eastAsia="zh-CN"/>
        </w:rPr>
      </w:pPr>
      <w:r>
        <w:rPr>
          <w:rFonts w:hint="eastAsia" w:ascii="宋体" w:hAnsi="宋体" w:cs="宋体"/>
          <w:b/>
          <w:bCs/>
          <w:color w:val="auto"/>
          <w:kern w:val="2"/>
          <w:sz w:val="36"/>
          <w:szCs w:val="36"/>
          <w:highlight w:val="none"/>
          <w:lang w:val="en-US" w:eastAsia="zh-CN"/>
        </w:rPr>
        <w:t>东莞市水务集团实业发展有限公司审计及财税服务采购项目</w:t>
      </w:r>
    </w:p>
    <w:p>
      <w:pPr>
        <w:spacing w:line="360" w:lineRule="auto"/>
        <w:jc w:val="center"/>
        <w:rPr>
          <w:rFonts w:hint="default" w:ascii="宋体" w:hAnsi="宋体" w:eastAsia="宋体" w:cs="宋体"/>
          <w:b/>
          <w:bCs/>
          <w:color w:val="auto"/>
          <w:kern w:val="2"/>
          <w:sz w:val="36"/>
          <w:szCs w:val="36"/>
          <w:highlight w:val="none"/>
          <w:lang w:val="en-US" w:eastAsia="zh-CN"/>
        </w:rPr>
      </w:pPr>
      <w:r>
        <w:rPr>
          <w:rFonts w:hint="eastAsia" w:ascii="宋体" w:hAnsi="宋体" w:cs="宋体"/>
          <w:b/>
          <w:bCs/>
          <w:color w:val="auto"/>
          <w:kern w:val="2"/>
          <w:sz w:val="36"/>
          <w:szCs w:val="36"/>
          <w:highlight w:val="none"/>
          <w:lang w:val="en-US" w:eastAsia="zh-CN"/>
        </w:rPr>
        <w:t>（采购编号：0832-SFCX25DG115C）</w:t>
      </w:r>
    </w:p>
    <w:p>
      <w:pPr>
        <w:spacing w:line="400" w:lineRule="atLeast"/>
        <w:jc w:val="center"/>
        <w:rPr>
          <w:rFonts w:hint="eastAsia" w:ascii="宋体" w:hAnsi="宋体" w:eastAsia="宋体" w:cs="宋体"/>
          <w:b/>
          <w:bCs/>
          <w:color w:val="auto"/>
          <w:kern w:val="2"/>
          <w:sz w:val="36"/>
          <w:szCs w:val="36"/>
          <w:highlight w:val="none"/>
        </w:rPr>
      </w:pPr>
    </w:p>
    <w:p>
      <w:pPr>
        <w:spacing w:line="400" w:lineRule="atLeast"/>
        <w:jc w:val="center"/>
        <w:rPr>
          <w:rFonts w:hint="eastAsia" w:ascii="宋体" w:hAnsi="宋体" w:eastAsia="宋体" w:cs="宋体"/>
          <w:b/>
          <w:bCs/>
          <w:color w:val="auto"/>
          <w:kern w:val="2"/>
          <w:sz w:val="36"/>
          <w:szCs w:val="36"/>
          <w:highlight w:val="none"/>
        </w:rPr>
      </w:pPr>
    </w:p>
    <w:p>
      <w:pPr>
        <w:spacing w:line="400" w:lineRule="atLeast"/>
        <w:jc w:val="center"/>
        <w:rPr>
          <w:rFonts w:hint="eastAsia" w:ascii="宋体" w:hAnsi="宋体" w:eastAsia="宋体" w:cs="宋体"/>
          <w:b/>
          <w:bCs/>
          <w:color w:val="auto"/>
          <w:kern w:val="2"/>
          <w:sz w:val="36"/>
          <w:szCs w:val="36"/>
          <w:highlight w:val="none"/>
        </w:rPr>
      </w:pPr>
    </w:p>
    <w:p>
      <w:pPr>
        <w:spacing w:line="400" w:lineRule="atLeast"/>
        <w:jc w:val="center"/>
        <w:rPr>
          <w:rFonts w:hint="eastAsia" w:ascii="宋体" w:hAnsi="宋体" w:eastAsia="宋体" w:cs="宋体"/>
          <w:b/>
          <w:bCs/>
          <w:color w:val="auto"/>
          <w:kern w:val="2"/>
          <w:sz w:val="36"/>
          <w:szCs w:val="36"/>
          <w:highlight w:val="none"/>
        </w:rPr>
      </w:pPr>
    </w:p>
    <w:p>
      <w:pPr>
        <w:spacing w:line="400" w:lineRule="atLeast"/>
        <w:jc w:val="center"/>
        <w:rPr>
          <w:rFonts w:hint="eastAsia" w:ascii="宋体" w:hAnsi="宋体" w:eastAsia="宋体" w:cs="宋体"/>
          <w:b/>
          <w:bCs/>
          <w:color w:val="auto"/>
          <w:kern w:val="2"/>
          <w:sz w:val="36"/>
          <w:szCs w:val="36"/>
          <w:highlight w:val="none"/>
        </w:rPr>
      </w:pPr>
    </w:p>
    <w:p>
      <w:pPr>
        <w:spacing w:line="400" w:lineRule="atLeast"/>
        <w:jc w:val="center"/>
        <w:rPr>
          <w:rFonts w:hint="eastAsia" w:ascii="宋体" w:hAnsi="宋体" w:eastAsia="宋体" w:cs="宋体"/>
          <w:b/>
          <w:bCs/>
          <w:color w:val="auto"/>
          <w:kern w:val="2"/>
          <w:sz w:val="72"/>
          <w:szCs w:val="72"/>
          <w:highlight w:val="none"/>
          <w:lang w:val="zh-CN"/>
        </w:rPr>
      </w:pPr>
      <w:r>
        <w:rPr>
          <w:rFonts w:hint="eastAsia" w:ascii="宋体" w:hAnsi="宋体" w:eastAsia="宋体" w:cs="宋体"/>
          <w:b/>
          <w:bCs/>
          <w:color w:val="auto"/>
          <w:kern w:val="2"/>
          <w:sz w:val="72"/>
          <w:szCs w:val="72"/>
          <w:highlight w:val="none"/>
          <w:lang w:val="zh-CN"/>
        </w:rPr>
        <w:t>评审工作大纲</w:t>
      </w:r>
    </w:p>
    <w:p>
      <w:pPr>
        <w:spacing w:line="400" w:lineRule="atLeast"/>
        <w:jc w:val="center"/>
        <w:rPr>
          <w:rFonts w:hint="eastAsia" w:ascii="宋体" w:hAnsi="宋体" w:eastAsia="宋体" w:cs="宋体"/>
          <w:b/>
          <w:bCs/>
          <w:color w:val="auto"/>
          <w:kern w:val="2"/>
          <w:sz w:val="36"/>
          <w:szCs w:val="36"/>
          <w:highlight w:val="none"/>
        </w:rPr>
      </w:pPr>
    </w:p>
    <w:p>
      <w:pPr>
        <w:spacing w:line="400" w:lineRule="atLeast"/>
        <w:jc w:val="both"/>
        <w:rPr>
          <w:rFonts w:hint="eastAsia" w:ascii="宋体" w:hAnsi="宋体" w:eastAsia="宋体" w:cs="宋体"/>
          <w:b/>
          <w:bCs/>
          <w:color w:val="auto"/>
          <w:kern w:val="2"/>
          <w:sz w:val="36"/>
          <w:szCs w:val="36"/>
          <w:highlight w:val="none"/>
        </w:rPr>
      </w:pPr>
    </w:p>
    <w:p>
      <w:pPr>
        <w:spacing w:line="400" w:lineRule="atLeast"/>
        <w:jc w:val="center"/>
        <w:rPr>
          <w:rFonts w:hint="eastAsia" w:ascii="宋体" w:hAnsi="宋体" w:eastAsia="宋体" w:cs="宋体"/>
          <w:b/>
          <w:bCs/>
          <w:color w:val="auto"/>
          <w:kern w:val="2"/>
          <w:sz w:val="36"/>
          <w:szCs w:val="36"/>
          <w:highlight w:val="none"/>
        </w:rPr>
      </w:pPr>
    </w:p>
    <w:p>
      <w:pPr>
        <w:spacing w:line="400" w:lineRule="atLeast"/>
        <w:jc w:val="both"/>
        <w:rPr>
          <w:rFonts w:hint="eastAsia" w:ascii="宋体" w:hAnsi="宋体" w:eastAsia="宋体" w:cs="宋体"/>
          <w:b/>
          <w:bCs/>
          <w:color w:val="auto"/>
          <w:kern w:val="2"/>
          <w:sz w:val="36"/>
          <w:szCs w:val="36"/>
          <w:highlight w:val="none"/>
        </w:rPr>
      </w:pPr>
    </w:p>
    <w:p>
      <w:pPr>
        <w:spacing w:line="400" w:lineRule="atLeast"/>
        <w:jc w:val="center"/>
        <w:rPr>
          <w:rFonts w:hint="eastAsia" w:ascii="宋体" w:hAnsi="宋体" w:eastAsia="宋体" w:cs="宋体"/>
          <w:b/>
          <w:bCs/>
          <w:color w:val="auto"/>
          <w:kern w:val="2"/>
          <w:sz w:val="36"/>
          <w:szCs w:val="36"/>
          <w:highlight w:val="none"/>
        </w:rPr>
      </w:pPr>
    </w:p>
    <w:p>
      <w:pPr>
        <w:spacing w:line="400" w:lineRule="atLeast"/>
        <w:rPr>
          <w:rFonts w:hint="eastAsia" w:ascii="宋体" w:hAnsi="宋体" w:eastAsia="宋体" w:cs="宋体"/>
          <w:b/>
          <w:bCs/>
          <w:color w:val="auto"/>
          <w:kern w:val="2"/>
          <w:sz w:val="36"/>
          <w:szCs w:val="36"/>
          <w:highlight w:val="none"/>
        </w:rPr>
      </w:pPr>
    </w:p>
    <w:p>
      <w:pPr>
        <w:spacing w:line="400" w:lineRule="atLeast"/>
        <w:jc w:val="center"/>
        <w:rPr>
          <w:rFonts w:hint="eastAsia" w:ascii="宋体" w:hAnsi="宋体" w:eastAsia="宋体" w:cs="宋体"/>
          <w:b/>
          <w:bCs/>
          <w:color w:val="auto"/>
          <w:kern w:val="2"/>
          <w:sz w:val="36"/>
          <w:szCs w:val="36"/>
          <w:highlight w:val="none"/>
        </w:rPr>
      </w:pPr>
    </w:p>
    <w:p>
      <w:pPr>
        <w:pStyle w:val="22"/>
        <w:rPr>
          <w:rFonts w:hint="eastAsia" w:ascii="宋体" w:hAnsi="宋体" w:eastAsia="宋体" w:cs="宋体"/>
          <w:color w:val="auto"/>
          <w:sz w:val="21"/>
          <w:szCs w:val="21"/>
          <w:highlight w:val="none"/>
        </w:rPr>
      </w:pPr>
    </w:p>
    <w:p>
      <w:pPr>
        <w:pStyle w:val="22"/>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lang w:val="zh-CN"/>
        </w:rPr>
        <w:t>三方诚信招标有限公司</w:t>
      </w:r>
    </w:p>
    <w:p>
      <w:pPr>
        <w:pStyle w:val="22"/>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bookmarkStart w:id="552" w:name="_Toc32395_WPSOffice_Level1"/>
      <w:r>
        <w:rPr>
          <w:rFonts w:hint="eastAsia" w:ascii="宋体" w:hAnsi="宋体" w:eastAsia="宋体" w:cs="宋体"/>
          <w:b/>
          <w:bCs/>
          <w:color w:val="auto"/>
          <w:sz w:val="36"/>
          <w:szCs w:val="36"/>
          <w:highlight w:val="none"/>
          <w:lang w:val="zh-CN"/>
        </w:rPr>
        <w:t>目录</w:t>
      </w:r>
      <w:bookmarkEnd w:id="552"/>
    </w:p>
    <w:p>
      <w:pPr>
        <w:autoSpaceDE w:val="0"/>
        <w:autoSpaceDN w:val="0"/>
        <w:adjustRightInd w:val="0"/>
        <w:spacing w:line="400" w:lineRule="atLeast"/>
        <w:jc w:val="center"/>
        <w:outlineLvl w:val="9"/>
        <w:rPr>
          <w:rFonts w:hint="eastAsia" w:ascii="宋体" w:hAnsi="宋体" w:eastAsia="宋体" w:cs="宋体"/>
          <w:color w:val="auto"/>
          <w:sz w:val="44"/>
          <w:szCs w:val="44"/>
          <w:highlight w:val="none"/>
        </w:rPr>
      </w:pPr>
    </w:p>
    <w:p>
      <w:pPr>
        <w:autoSpaceDE w:val="0"/>
        <w:autoSpaceDN w:val="0"/>
        <w:adjustRightInd w:val="0"/>
        <w:spacing w:line="360" w:lineRule="auto"/>
        <w:ind w:left="567" w:hanging="567"/>
        <w:outlineLvl w:val="9"/>
        <w:rPr>
          <w:rFonts w:hint="eastAsia" w:ascii="宋体" w:hAnsi="宋体" w:eastAsia="宋体" w:cs="宋体"/>
          <w:color w:val="auto"/>
          <w:sz w:val="21"/>
          <w:szCs w:val="21"/>
          <w:highlight w:val="none"/>
        </w:rPr>
      </w:pPr>
      <w:bookmarkStart w:id="553" w:name="_Toc21604_WPSOffice_Level1"/>
      <w:r>
        <w:rPr>
          <w:rFonts w:hint="eastAsia" w:ascii="宋体" w:hAnsi="宋体" w:eastAsia="宋体" w:cs="宋体"/>
          <w:color w:val="auto"/>
          <w:sz w:val="21"/>
          <w:szCs w:val="21"/>
          <w:highlight w:val="none"/>
          <w:lang w:val="zh-CN"/>
        </w:rPr>
        <w:t>一、总则</w:t>
      </w:r>
      <w:bookmarkEnd w:id="553"/>
    </w:p>
    <w:p>
      <w:pPr>
        <w:autoSpaceDE w:val="0"/>
        <w:autoSpaceDN w:val="0"/>
        <w:adjustRightInd w:val="0"/>
        <w:spacing w:line="360" w:lineRule="auto"/>
        <w:ind w:left="567" w:hanging="567"/>
        <w:outlineLvl w:val="9"/>
        <w:rPr>
          <w:rFonts w:hint="eastAsia" w:ascii="宋体" w:hAnsi="宋体" w:eastAsia="宋体" w:cs="宋体"/>
          <w:color w:val="auto"/>
          <w:sz w:val="21"/>
          <w:szCs w:val="21"/>
          <w:highlight w:val="none"/>
        </w:rPr>
      </w:pPr>
      <w:bookmarkStart w:id="554" w:name="_Toc1387_WPSOffice_Level1"/>
      <w:r>
        <w:rPr>
          <w:rFonts w:hint="eastAsia" w:ascii="宋体" w:hAnsi="宋体" w:eastAsia="宋体" w:cs="宋体"/>
          <w:color w:val="auto"/>
          <w:sz w:val="21"/>
          <w:szCs w:val="21"/>
          <w:highlight w:val="none"/>
          <w:lang w:val="zh-CN"/>
        </w:rPr>
        <w:t>二、</w:t>
      </w:r>
      <w:r>
        <w:rPr>
          <w:rFonts w:hint="eastAsia" w:ascii="宋体" w:hAnsi="宋体" w:cs="宋体"/>
          <w:color w:val="auto"/>
          <w:sz w:val="21"/>
          <w:szCs w:val="21"/>
          <w:highlight w:val="none"/>
          <w:lang w:val="en-US" w:eastAsia="zh-CN"/>
        </w:rPr>
        <w:t>响应文件</w:t>
      </w:r>
      <w:r>
        <w:rPr>
          <w:rFonts w:hint="eastAsia" w:ascii="宋体" w:hAnsi="宋体" w:eastAsia="宋体" w:cs="宋体"/>
          <w:color w:val="auto"/>
          <w:sz w:val="21"/>
          <w:szCs w:val="21"/>
          <w:highlight w:val="none"/>
          <w:lang w:val="zh-CN"/>
        </w:rPr>
        <w:t>的初审</w:t>
      </w:r>
      <w:bookmarkEnd w:id="554"/>
    </w:p>
    <w:p>
      <w:pPr>
        <w:autoSpaceDE w:val="0"/>
        <w:autoSpaceDN w:val="0"/>
        <w:adjustRightInd w:val="0"/>
        <w:spacing w:line="360" w:lineRule="auto"/>
        <w:ind w:left="567" w:hanging="567"/>
        <w:outlineLvl w:val="9"/>
        <w:rPr>
          <w:rFonts w:hint="eastAsia" w:ascii="宋体" w:hAnsi="宋体" w:eastAsia="宋体" w:cs="宋体"/>
          <w:color w:val="auto"/>
          <w:sz w:val="21"/>
          <w:szCs w:val="21"/>
          <w:highlight w:val="none"/>
        </w:rPr>
      </w:pPr>
      <w:bookmarkStart w:id="555" w:name="_Toc30284_WPSOffice_Level1"/>
      <w:r>
        <w:rPr>
          <w:rFonts w:hint="eastAsia" w:ascii="宋体" w:hAnsi="宋体" w:eastAsia="宋体" w:cs="宋体"/>
          <w:color w:val="auto"/>
          <w:sz w:val="21"/>
          <w:szCs w:val="21"/>
          <w:highlight w:val="none"/>
          <w:lang w:val="zh-CN"/>
        </w:rPr>
        <w:t>三、澄清有关问题</w:t>
      </w:r>
      <w:bookmarkEnd w:id="555"/>
    </w:p>
    <w:p>
      <w:pPr>
        <w:autoSpaceDE w:val="0"/>
        <w:autoSpaceDN w:val="0"/>
        <w:adjustRightInd w:val="0"/>
        <w:spacing w:line="360" w:lineRule="auto"/>
        <w:ind w:left="567" w:hanging="567"/>
        <w:outlineLvl w:val="9"/>
        <w:rPr>
          <w:rFonts w:hint="eastAsia" w:ascii="宋体" w:hAnsi="宋体" w:eastAsia="宋体" w:cs="宋体"/>
          <w:color w:val="auto"/>
          <w:sz w:val="21"/>
          <w:szCs w:val="21"/>
          <w:highlight w:val="none"/>
        </w:rPr>
      </w:pPr>
      <w:bookmarkStart w:id="556" w:name="_Toc1206_WPSOffice_Level1"/>
      <w:r>
        <w:rPr>
          <w:rFonts w:hint="eastAsia" w:ascii="宋体" w:hAnsi="宋体" w:eastAsia="宋体" w:cs="宋体"/>
          <w:color w:val="auto"/>
          <w:sz w:val="21"/>
          <w:szCs w:val="21"/>
          <w:highlight w:val="none"/>
        </w:rPr>
        <w:t>四、比较和评价</w:t>
      </w:r>
      <w:bookmarkEnd w:id="556"/>
    </w:p>
    <w:p>
      <w:pPr>
        <w:autoSpaceDE w:val="0"/>
        <w:autoSpaceDN w:val="0"/>
        <w:adjustRightInd w:val="0"/>
        <w:spacing w:line="360" w:lineRule="auto"/>
        <w:ind w:left="567" w:hanging="567"/>
        <w:outlineLvl w:val="9"/>
        <w:rPr>
          <w:rFonts w:hint="default" w:ascii="宋体" w:hAnsi="宋体" w:eastAsia="宋体" w:cs="宋体"/>
          <w:color w:val="auto"/>
          <w:sz w:val="21"/>
          <w:szCs w:val="21"/>
          <w:highlight w:val="none"/>
          <w:lang w:val="en-US" w:eastAsia="zh-CN"/>
        </w:rPr>
      </w:pPr>
      <w:bookmarkStart w:id="557" w:name="_Toc12163_WPSOffice_Level1"/>
      <w:r>
        <w:rPr>
          <w:rFonts w:hint="eastAsia" w:ascii="宋体" w:hAnsi="宋体" w:eastAsia="宋体" w:cs="宋体"/>
          <w:color w:val="auto"/>
          <w:sz w:val="21"/>
          <w:szCs w:val="21"/>
          <w:highlight w:val="none"/>
          <w:lang w:val="zh-CN"/>
        </w:rPr>
        <w:t>五、推荐</w:t>
      </w:r>
      <w:bookmarkEnd w:id="557"/>
      <w:r>
        <w:rPr>
          <w:rFonts w:hint="eastAsia" w:ascii="宋体" w:hAnsi="宋体" w:cs="宋体"/>
          <w:color w:val="auto"/>
          <w:sz w:val="21"/>
          <w:szCs w:val="21"/>
          <w:highlight w:val="none"/>
          <w:lang w:val="en-US" w:eastAsia="zh-CN"/>
        </w:rPr>
        <w:t>成交人</w:t>
      </w:r>
    </w:p>
    <w:p>
      <w:pPr>
        <w:autoSpaceDE w:val="0"/>
        <w:autoSpaceDN w:val="0"/>
        <w:adjustRightInd w:val="0"/>
        <w:spacing w:line="360" w:lineRule="auto"/>
        <w:ind w:left="567" w:hanging="567"/>
        <w:outlineLvl w:val="9"/>
        <w:rPr>
          <w:rFonts w:hint="eastAsia" w:ascii="宋体" w:hAnsi="宋体" w:eastAsia="宋体" w:cs="宋体"/>
          <w:color w:val="auto"/>
          <w:sz w:val="21"/>
          <w:szCs w:val="21"/>
          <w:highlight w:val="none"/>
        </w:rPr>
      </w:pPr>
      <w:bookmarkStart w:id="558" w:name="_Toc366_WPSOffice_Level1"/>
      <w:r>
        <w:rPr>
          <w:rFonts w:hint="eastAsia" w:ascii="宋体" w:hAnsi="宋体" w:eastAsia="宋体" w:cs="宋体"/>
          <w:color w:val="auto"/>
          <w:sz w:val="21"/>
          <w:szCs w:val="21"/>
          <w:highlight w:val="none"/>
          <w:lang w:val="zh-CN"/>
        </w:rPr>
        <w:t>六、编写</w:t>
      </w:r>
      <w:r>
        <w:rPr>
          <w:rFonts w:hint="eastAsia" w:ascii="宋体" w:hAnsi="宋体" w:cs="宋体"/>
          <w:color w:val="auto"/>
          <w:sz w:val="21"/>
          <w:szCs w:val="21"/>
          <w:highlight w:val="none"/>
          <w:lang w:val="en-US" w:eastAsia="zh-CN"/>
        </w:rPr>
        <w:t>评审</w:t>
      </w:r>
      <w:r>
        <w:rPr>
          <w:rFonts w:hint="eastAsia" w:ascii="宋体" w:hAnsi="宋体" w:eastAsia="宋体" w:cs="宋体"/>
          <w:color w:val="auto"/>
          <w:sz w:val="21"/>
          <w:szCs w:val="21"/>
          <w:highlight w:val="none"/>
          <w:lang w:val="zh-CN"/>
        </w:rPr>
        <w:t>报告</w:t>
      </w:r>
      <w:bookmarkEnd w:id="558"/>
    </w:p>
    <w:p>
      <w:pPr>
        <w:autoSpaceDE w:val="0"/>
        <w:autoSpaceDN w:val="0"/>
        <w:adjustRightInd w:val="0"/>
        <w:spacing w:line="360" w:lineRule="auto"/>
        <w:ind w:left="567" w:hanging="567"/>
        <w:outlineLvl w:val="9"/>
        <w:rPr>
          <w:rFonts w:hint="eastAsia" w:ascii="宋体" w:hAnsi="宋体" w:eastAsia="宋体" w:cs="宋体"/>
          <w:color w:val="auto"/>
          <w:sz w:val="21"/>
          <w:szCs w:val="21"/>
          <w:highlight w:val="none"/>
        </w:rPr>
      </w:pPr>
      <w:bookmarkStart w:id="559" w:name="_Toc22378_WPSOffice_Level1"/>
      <w:r>
        <w:rPr>
          <w:rFonts w:hint="eastAsia" w:ascii="宋体" w:hAnsi="宋体" w:eastAsia="宋体" w:cs="宋体"/>
          <w:color w:val="auto"/>
          <w:sz w:val="21"/>
          <w:szCs w:val="21"/>
          <w:highlight w:val="none"/>
          <w:lang w:val="zh-CN"/>
        </w:rPr>
        <w:t>七、注意事项</w:t>
      </w:r>
      <w:bookmarkEnd w:id="559"/>
    </w:p>
    <w:p>
      <w:pPr>
        <w:pStyle w:val="22"/>
        <w:rPr>
          <w:rFonts w:hint="eastAsia" w:ascii="宋体" w:hAnsi="宋体" w:eastAsia="宋体" w:cs="宋体"/>
          <w:color w:val="auto"/>
          <w:sz w:val="21"/>
          <w:szCs w:val="21"/>
          <w:highlight w:val="none"/>
          <w:lang w:val="en-US" w:eastAsia="zh-CN"/>
        </w:rPr>
      </w:pPr>
    </w:p>
    <w:p>
      <w:pPr>
        <w:pStyle w:val="22"/>
        <w:rPr>
          <w:rFonts w:hint="eastAsia" w:ascii="宋体" w:hAnsi="宋体" w:eastAsia="宋体" w:cs="宋体"/>
          <w:color w:val="auto"/>
          <w:sz w:val="21"/>
          <w:szCs w:val="21"/>
          <w:highlight w:val="none"/>
        </w:rPr>
      </w:pPr>
    </w:p>
    <w:p>
      <w:pPr>
        <w:pageBreakBefore/>
        <w:tabs>
          <w:tab w:val="left" w:pos="1140"/>
        </w:tabs>
        <w:spacing w:line="360" w:lineRule="auto"/>
        <w:jc w:val="center"/>
        <w:rPr>
          <w:rFonts w:hint="eastAsia" w:ascii="宋体" w:hAnsi="宋体" w:eastAsia="宋体" w:cs="宋体"/>
          <w:b/>
          <w:bCs/>
          <w:color w:val="auto"/>
          <w:kern w:val="2"/>
          <w:sz w:val="28"/>
          <w:szCs w:val="28"/>
          <w:highlight w:val="none"/>
        </w:rPr>
      </w:pPr>
      <w:r>
        <w:rPr>
          <w:rFonts w:hint="eastAsia" w:ascii="宋体" w:hAnsi="宋体" w:eastAsia="宋体" w:cs="宋体"/>
          <w:color w:val="auto"/>
          <w:kern w:val="2"/>
          <w:sz w:val="28"/>
          <w:szCs w:val="28"/>
          <w:highlight w:val="none"/>
          <w:lang w:val="zh-CN"/>
        </w:rPr>
        <w:t>一、</w:t>
      </w:r>
      <w:r>
        <w:rPr>
          <w:rFonts w:hint="eastAsia" w:ascii="宋体" w:hAnsi="宋体" w:eastAsia="宋体" w:cs="宋体"/>
          <w:b/>
          <w:bCs/>
          <w:color w:val="auto"/>
          <w:kern w:val="2"/>
          <w:sz w:val="28"/>
          <w:szCs w:val="28"/>
          <w:highlight w:val="none"/>
          <w:lang w:val="zh-CN"/>
        </w:rPr>
        <w:t>总</w:t>
      </w:r>
      <w:r>
        <w:rPr>
          <w:rFonts w:hint="eastAsia" w:ascii="宋体" w:hAnsi="宋体" w:eastAsia="宋体" w:cs="宋体"/>
          <w:b/>
          <w:bCs/>
          <w:color w:val="auto"/>
          <w:kern w:val="2"/>
          <w:sz w:val="28"/>
          <w:szCs w:val="28"/>
          <w:highlight w:val="none"/>
        </w:rPr>
        <w:t xml:space="preserve">  </w:t>
      </w:r>
      <w:r>
        <w:rPr>
          <w:rFonts w:hint="eastAsia" w:ascii="宋体" w:hAnsi="宋体" w:eastAsia="宋体" w:cs="宋体"/>
          <w:b/>
          <w:bCs/>
          <w:color w:val="auto"/>
          <w:kern w:val="2"/>
          <w:sz w:val="28"/>
          <w:szCs w:val="28"/>
          <w:highlight w:val="none"/>
          <w:lang w:val="zh-CN"/>
        </w:rPr>
        <w:t>则</w:t>
      </w:r>
    </w:p>
    <w:p>
      <w:pPr>
        <w:tabs>
          <w:tab w:val="left" w:pos="567"/>
          <w:tab w:val="left" w:pos="600"/>
        </w:tabs>
        <w:spacing w:line="360" w:lineRule="auto"/>
        <w:ind w:left="600" w:hanging="600"/>
        <w:jc w:val="both"/>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highlight w:val="none"/>
          <w:lang w:val="zh-CN"/>
        </w:rPr>
        <w:t>1、一般规定</w:t>
      </w:r>
    </w:p>
    <w:p>
      <w:pPr>
        <w:numPr>
          <w:ilvl w:val="0"/>
          <w:numId w:val="0"/>
        </w:numPr>
        <w:spacing w:line="360" w:lineRule="auto"/>
        <w:ind w:left="420" w:leftChars="0" w:hanging="420" w:hangingChars="200"/>
        <w:jc w:val="both"/>
        <w:rPr>
          <w:rFonts w:hint="eastAsia" w:ascii="宋体" w:hAnsi="宋体" w:eastAsia="宋体" w:cs="宋体"/>
          <w:color w:val="auto"/>
          <w:sz w:val="21"/>
          <w:szCs w:val="32"/>
          <w:highlight w:val="none"/>
        </w:rPr>
      </w:pPr>
      <w:r>
        <w:rPr>
          <w:rFonts w:hint="eastAsia" w:ascii="宋体" w:hAnsi="宋体" w:eastAsia="宋体" w:cs="宋体"/>
          <w:color w:val="auto"/>
          <w:kern w:val="2"/>
          <w:sz w:val="21"/>
          <w:highlight w:val="none"/>
          <w:lang w:val="zh-CN"/>
        </w:rPr>
        <w:t>1.1</w:t>
      </w:r>
      <w:r>
        <w:rPr>
          <w:rFonts w:hint="eastAsia" w:ascii="宋体" w:hAnsi="宋体" w:eastAsia="宋体" w:cs="宋体"/>
          <w:color w:val="auto"/>
          <w:kern w:val="2"/>
          <w:sz w:val="21"/>
          <w:highlight w:val="none"/>
          <w:lang w:val="en-US" w:eastAsia="zh-CN"/>
        </w:rPr>
        <w:t xml:space="preserve"> </w:t>
      </w:r>
      <w:r>
        <w:rPr>
          <w:rFonts w:hint="eastAsia" w:ascii="宋体" w:hAnsi="宋体" w:cs="宋体"/>
          <w:color w:val="auto"/>
          <w:kern w:val="2"/>
          <w:sz w:val="21"/>
          <w:highlight w:val="none"/>
          <w:lang w:val="en-US" w:eastAsia="zh-CN"/>
        </w:rPr>
        <w:t>东莞市水务集团实业发展有限公司审计及财税服务采购项目</w:t>
      </w:r>
      <w:r>
        <w:rPr>
          <w:rFonts w:hint="eastAsia" w:ascii="宋体" w:hAnsi="宋体" w:eastAsia="宋体" w:cs="宋体"/>
          <w:color w:val="auto"/>
          <w:kern w:val="2"/>
          <w:sz w:val="21"/>
          <w:highlight w:val="none"/>
          <w:lang w:val="zh-CN"/>
        </w:rPr>
        <w:t>(采购编号：</w:t>
      </w:r>
      <w:r>
        <w:rPr>
          <w:rFonts w:hint="eastAsia" w:ascii="宋体" w:hAnsi="宋体" w:cs="宋体"/>
          <w:color w:val="auto"/>
          <w:kern w:val="2"/>
          <w:sz w:val="21"/>
          <w:highlight w:val="none"/>
          <w:lang w:val="zh-CN"/>
        </w:rPr>
        <w:t>0832-SFCX25DG115C</w:t>
      </w:r>
      <w:r>
        <w:rPr>
          <w:rFonts w:hint="eastAsia" w:ascii="宋体" w:hAnsi="宋体" w:eastAsia="宋体" w:cs="宋体"/>
          <w:color w:val="auto"/>
          <w:kern w:val="2"/>
          <w:sz w:val="21"/>
          <w:highlight w:val="none"/>
          <w:lang w:val="zh-CN"/>
        </w:rPr>
        <w:t>)的采购按照采购人及上级单位的相关制度等有关规定进行。</w:t>
      </w:r>
    </w:p>
    <w:p>
      <w:pPr>
        <w:spacing w:line="360" w:lineRule="auto"/>
        <w:ind w:left="567" w:hanging="567"/>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1.2</w:t>
      </w:r>
      <w:r>
        <w:rPr>
          <w:rFonts w:hint="eastAsia" w:ascii="宋体" w:hAnsi="宋体" w:eastAsia="宋体" w:cs="宋体"/>
          <w:color w:val="auto"/>
          <w:kern w:val="2"/>
          <w:sz w:val="21"/>
          <w:highlight w:val="none"/>
          <w:lang w:val="en-US" w:eastAsia="zh-CN"/>
        </w:rPr>
        <w:t xml:space="preserve"> 磋商</w:t>
      </w:r>
      <w:r>
        <w:rPr>
          <w:rFonts w:hint="eastAsia" w:ascii="宋体" w:hAnsi="宋体" w:eastAsia="宋体" w:cs="宋体"/>
          <w:color w:val="auto"/>
          <w:kern w:val="2"/>
          <w:sz w:val="21"/>
          <w:highlight w:val="none"/>
          <w:lang w:val="zh-CN"/>
        </w:rPr>
        <w:t>必须遵循公开、公平、公正、诚实信用的原则。</w:t>
      </w:r>
    </w:p>
    <w:p>
      <w:pPr>
        <w:numPr>
          <w:ilvl w:val="0"/>
          <w:numId w:val="0"/>
        </w:numPr>
        <w:spacing w:line="360" w:lineRule="auto"/>
        <w:ind w:left="420" w:leftChars="0" w:hanging="420" w:hanging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1.3</w:t>
      </w:r>
      <w:r>
        <w:rPr>
          <w:rFonts w:hint="eastAsia" w:ascii="宋体" w:hAnsi="宋体" w:eastAsia="宋体" w:cs="宋体"/>
          <w:color w:val="auto"/>
          <w:kern w:val="2"/>
          <w:sz w:val="21"/>
          <w:highlight w:val="none"/>
          <w:lang w:val="en-US" w:eastAsia="zh-CN"/>
        </w:rPr>
        <w:t xml:space="preserve"> 采购</w:t>
      </w:r>
      <w:r>
        <w:rPr>
          <w:rFonts w:hint="eastAsia" w:ascii="宋体" w:hAnsi="宋体" w:eastAsia="宋体" w:cs="宋体"/>
          <w:color w:val="auto"/>
          <w:kern w:val="2"/>
          <w:sz w:val="21"/>
          <w:highlight w:val="none"/>
          <w:lang w:val="zh-CN"/>
        </w:rPr>
        <w:t>代理机构（</w:t>
      </w:r>
      <w:r>
        <w:rPr>
          <w:rFonts w:hint="eastAsia" w:ascii="宋体" w:hAnsi="宋体" w:cs="宋体"/>
          <w:color w:val="auto"/>
          <w:kern w:val="2"/>
          <w:sz w:val="21"/>
          <w:highlight w:val="none"/>
          <w:lang w:val="en-US" w:eastAsia="zh-CN"/>
        </w:rPr>
        <w:t>三方诚信招标有限公司</w:t>
      </w:r>
      <w:r>
        <w:rPr>
          <w:rFonts w:hint="eastAsia" w:ascii="宋体" w:hAnsi="宋体" w:eastAsia="宋体" w:cs="宋体"/>
          <w:color w:val="auto"/>
          <w:kern w:val="2"/>
          <w:sz w:val="21"/>
          <w:highlight w:val="none"/>
          <w:lang w:val="zh-CN"/>
        </w:rPr>
        <w:t>）</w:t>
      </w:r>
      <w:r>
        <w:rPr>
          <w:rFonts w:hint="eastAsia" w:ascii="宋体" w:hAnsi="宋体" w:eastAsia="宋体" w:cs="宋体"/>
          <w:color w:val="auto"/>
          <w:sz w:val="21"/>
          <w:szCs w:val="32"/>
          <w:highlight w:val="none"/>
        </w:rPr>
        <w:t>组</w:t>
      </w:r>
      <w:r>
        <w:rPr>
          <w:rFonts w:hint="eastAsia" w:ascii="宋体" w:hAnsi="宋体" w:eastAsia="宋体" w:cs="宋体"/>
          <w:color w:val="auto"/>
          <w:kern w:val="2"/>
          <w:sz w:val="21"/>
          <w:highlight w:val="none"/>
          <w:lang w:val="zh-CN"/>
        </w:rPr>
        <w:t>织</w:t>
      </w:r>
      <w:r>
        <w:rPr>
          <w:rFonts w:hint="eastAsia" w:ascii="宋体" w:hAnsi="宋体" w:eastAsia="宋体" w:cs="宋体"/>
          <w:color w:val="auto"/>
          <w:kern w:val="2"/>
          <w:sz w:val="21"/>
          <w:highlight w:val="none"/>
          <w:lang w:val="en-US" w:eastAsia="zh-CN"/>
        </w:rPr>
        <w:t>磋商活动</w:t>
      </w:r>
      <w:r>
        <w:rPr>
          <w:rFonts w:hint="eastAsia" w:ascii="宋体" w:hAnsi="宋体" w:eastAsia="宋体" w:cs="宋体"/>
          <w:color w:val="auto"/>
          <w:kern w:val="2"/>
          <w:sz w:val="21"/>
          <w:highlight w:val="none"/>
          <w:lang w:val="zh-CN"/>
        </w:rPr>
        <w:t>，全过程接受采购人</w:t>
      </w:r>
      <w:r>
        <w:rPr>
          <w:rFonts w:hint="eastAsia" w:ascii="宋体" w:hAnsi="宋体" w:eastAsia="宋体" w:cs="宋体"/>
          <w:color w:val="auto"/>
          <w:sz w:val="21"/>
          <w:szCs w:val="32"/>
          <w:highlight w:val="none"/>
        </w:rPr>
        <w:t>及</w:t>
      </w:r>
      <w:r>
        <w:rPr>
          <w:rFonts w:hint="eastAsia" w:ascii="宋体" w:hAnsi="宋体" w:eastAsia="宋体" w:cs="宋体"/>
          <w:color w:val="auto"/>
          <w:sz w:val="21"/>
          <w:szCs w:val="21"/>
          <w:highlight w:val="none"/>
          <w:lang w:val="zh-CN"/>
        </w:rPr>
        <w:t>相关部门</w:t>
      </w:r>
      <w:r>
        <w:rPr>
          <w:rFonts w:hint="eastAsia" w:ascii="宋体" w:hAnsi="宋体" w:eastAsia="宋体" w:cs="宋体"/>
          <w:color w:val="auto"/>
          <w:kern w:val="2"/>
          <w:sz w:val="21"/>
          <w:highlight w:val="none"/>
          <w:lang w:val="zh-CN"/>
        </w:rPr>
        <w:t>的监督、管理和指导。</w:t>
      </w:r>
    </w:p>
    <w:p>
      <w:pPr>
        <w:spacing w:line="360" w:lineRule="auto"/>
        <w:ind w:left="567" w:hanging="567"/>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1.4</w:t>
      </w:r>
      <w:r>
        <w:rPr>
          <w:rFonts w:hint="eastAsia" w:ascii="宋体" w:hAnsi="宋体" w:eastAsia="宋体" w:cs="宋体"/>
          <w:color w:val="auto"/>
          <w:kern w:val="2"/>
          <w:sz w:val="21"/>
          <w:highlight w:val="none"/>
          <w:lang w:val="en-US" w:eastAsia="zh-CN"/>
        </w:rPr>
        <w:t xml:space="preserve"> 磋商</w:t>
      </w:r>
      <w:r>
        <w:rPr>
          <w:rFonts w:hint="eastAsia" w:ascii="宋体" w:hAnsi="宋体" w:eastAsia="宋体" w:cs="宋体"/>
          <w:color w:val="auto"/>
          <w:kern w:val="2"/>
          <w:sz w:val="21"/>
          <w:highlight w:val="none"/>
          <w:lang w:val="zh-CN"/>
        </w:rPr>
        <w:t>按照</w:t>
      </w:r>
      <w:r>
        <w:rPr>
          <w:rFonts w:hint="eastAsia" w:ascii="宋体" w:hAnsi="宋体" w:eastAsia="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文件规定的内容进行，采取综合评分法进行评审。</w:t>
      </w:r>
    </w:p>
    <w:p>
      <w:pPr>
        <w:numPr>
          <w:ilvl w:val="0"/>
          <w:numId w:val="0"/>
        </w:numPr>
        <w:spacing w:line="360" w:lineRule="auto"/>
        <w:ind w:left="420" w:leftChars="0" w:hanging="420" w:hanging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en-US" w:eastAsia="zh-CN"/>
        </w:rPr>
        <w:t xml:space="preserve">1.5 </w:t>
      </w:r>
      <w:r>
        <w:rPr>
          <w:rFonts w:hint="eastAsia" w:ascii="宋体" w:hAnsi="宋体" w:eastAsia="宋体" w:cs="宋体"/>
          <w:color w:val="auto"/>
          <w:kern w:val="2"/>
          <w:sz w:val="21"/>
          <w:highlight w:val="none"/>
          <w:lang w:val="zh-CN"/>
        </w:rPr>
        <w:t>本办法的评审对象是指供应商按照</w:t>
      </w:r>
      <w:r>
        <w:rPr>
          <w:rFonts w:hint="eastAsia" w:ascii="宋体" w:hAnsi="宋体" w:eastAsia="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文件要求提供的有效响应文件，包括供应商应磋商小组要求对原响应文件作出的正式书面澄清文件。</w:t>
      </w:r>
    </w:p>
    <w:p>
      <w:pPr>
        <w:spacing w:line="360" w:lineRule="auto"/>
        <w:jc w:val="both"/>
        <w:rPr>
          <w:rFonts w:hint="eastAsia" w:ascii="宋体" w:hAnsi="宋体" w:eastAsia="宋体" w:cs="宋体"/>
          <w:color w:val="auto"/>
          <w:kern w:val="2"/>
          <w:highlight w:val="none"/>
          <w:lang w:val="zh-CN"/>
        </w:rPr>
      </w:pPr>
    </w:p>
    <w:p>
      <w:pPr>
        <w:tabs>
          <w:tab w:val="left" w:pos="360"/>
          <w:tab w:val="left" w:pos="600"/>
        </w:tabs>
        <w:spacing w:line="360" w:lineRule="auto"/>
        <w:ind w:left="600" w:hanging="600"/>
        <w:jc w:val="both"/>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highlight w:val="none"/>
          <w:lang w:val="zh-CN"/>
        </w:rPr>
        <w:t>2、磋商小组的组成</w:t>
      </w:r>
    </w:p>
    <w:p>
      <w:pPr>
        <w:keepNext w:val="0"/>
        <w:keepLines w:val="0"/>
        <w:pageBreakBefore w:val="0"/>
        <w:widowControl w:val="0"/>
        <w:tabs>
          <w:tab w:val="left" w:pos="567"/>
          <w:tab w:val="left" w:pos="1145"/>
        </w:tabs>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sz w:val="21"/>
          <w:highlight w:val="none"/>
        </w:rPr>
      </w:pPr>
      <w:r>
        <w:rPr>
          <w:rFonts w:hint="eastAsia" w:ascii="宋体" w:hAnsi="宋体" w:eastAsia="宋体" w:cs="宋体"/>
          <w:color w:val="auto"/>
          <w:kern w:val="2"/>
          <w:sz w:val="21"/>
          <w:highlight w:val="none"/>
          <w:lang w:val="zh-CN"/>
        </w:rPr>
        <w:t>2.1</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rPr>
        <w:t>磋商小组</w:t>
      </w:r>
      <w:r>
        <w:rPr>
          <w:rFonts w:hint="eastAsia" w:ascii="宋体" w:hAnsi="宋体" w:eastAsia="宋体" w:cs="宋体"/>
          <w:color w:val="auto"/>
          <w:sz w:val="21"/>
          <w:highlight w:val="none"/>
        </w:rPr>
        <w:t>由由采购人的代表和技术、经济等方面的专家组成，成员为</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rPr>
        <w:t>人，其中技术、经济等方面的专家不少于成员总数的三分之二。</w:t>
      </w:r>
      <w:r>
        <w:rPr>
          <w:rFonts w:hint="eastAsia" w:ascii="宋体" w:hAnsi="宋体" w:eastAsia="宋体" w:cs="宋体"/>
          <w:color w:val="auto"/>
          <w:kern w:val="2"/>
          <w:sz w:val="21"/>
          <w:highlight w:val="none"/>
          <w:lang w:val="zh-CN"/>
        </w:rPr>
        <w:t>专家依法从</w:t>
      </w:r>
      <w:r>
        <w:rPr>
          <w:rFonts w:hint="eastAsia" w:ascii="宋体" w:hAnsi="宋体" w:eastAsia="宋体" w:cs="宋体"/>
          <w:color w:val="auto"/>
          <w:sz w:val="21"/>
          <w:highlight w:val="none"/>
        </w:rPr>
        <w:t>专家库中随机抽取产生。</w:t>
      </w:r>
    </w:p>
    <w:p>
      <w:pPr>
        <w:tabs>
          <w:tab w:val="left" w:pos="567"/>
          <w:tab w:val="left" w:pos="1145"/>
        </w:tabs>
        <w:spacing w:line="360" w:lineRule="auto"/>
        <w:ind w:left="600" w:hanging="6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2.2</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磋商工作组由</w:t>
      </w:r>
      <w:r>
        <w:rPr>
          <w:rFonts w:hint="eastAsia" w:ascii="宋体" w:hAnsi="宋体" w:eastAsia="宋体" w:cs="宋体"/>
          <w:color w:val="auto"/>
          <w:kern w:val="2"/>
          <w:sz w:val="21"/>
          <w:highlight w:val="none"/>
          <w:lang w:val="en-US" w:eastAsia="zh-CN"/>
        </w:rPr>
        <w:t>采购</w:t>
      </w:r>
      <w:r>
        <w:rPr>
          <w:rFonts w:hint="eastAsia" w:ascii="宋体" w:hAnsi="宋体" w:eastAsia="宋体" w:cs="宋体"/>
          <w:color w:val="auto"/>
          <w:kern w:val="2"/>
          <w:sz w:val="21"/>
          <w:highlight w:val="none"/>
          <w:lang w:val="zh-CN"/>
        </w:rPr>
        <w:t>人、</w:t>
      </w:r>
      <w:r>
        <w:rPr>
          <w:rFonts w:hint="eastAsia" w:ascii="宋体" w:hAnsi="宋体" w:eastAsia="宋体" w:cs="宋体"/>
          <w:color w:val="auto"/>
          <w:kern w:val="2"/>
          <w:sz w:val="21"/>
          <w:highlight w:val="none"/>
          <w:lang w:val="en-US" w:eastAsia="zh-CN"/>
        </w:rPr>
        <w:t>采购</w:t>
      </w:r>
      <w:r>
        <w:rPr>
          <w:rFonts w:hint="eastAsia" w:ascii="宋体" w:hAnsi="宋体" w:eastAsia="宋体" w:cs="宋体"/>
          <w:color w:val="auto"/>
          <w:kern w:val="2"/>
          <w:sz w:val="21"/>
          <w:highlight w:val="none"/>
          <w:lang w:val="zh-CN"/>
        </w:rPr>
        <w:t>代理机构及有关专家组成。</w:t>
      </w:r>
    </w:p>
    <w:p>
      <w:pPr>
        <w:spacing w:line="360" w:lineRule="auto"/>
        <w:ind w:left="567" w:hanging="567"/>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2.3</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磋商工作组分成磋商小组、</w:t>
      </w:r>
      <w:r>
        <w:rPr>
          <w:rFonts w:hint="eastAsia" w:ascii="宋体" w:hAnsi="宋体" w:eastAsia="宋体" w:cs="宋体"/>
          <w:color w:val="auto"/>
          <w:kern w:val="2"/>
          <w:sz w:val="21"/>
          <w:highlight w:val="none"/>
          <w:lang w:val="en-US" w:eastAsia="zh-CN"/>
        </w:rPr>
        <w:t>采购</w:t>
      </w:r>
      <w:r>
        <w:rPr>
          <w:rFonts w:hint="eastAsia" w:ascii="宋体" w:hAnsi="宋体" w:eastAsia="宋体" w:cs="宋体"/>
          <w:color w:val="auto"/>
          <w:kern w:val="2"/>
          <w:sz w:val="21"/>
          <w:highlight w:val="none"/>
          <w:lang w:val="zh-CN"/>
        </w:rPr>
        <w:t>代理机构秘书组。</w:t>
      </w:r>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w:t>
      </w:r>
      <w:r>
        <w:rPr>
          <w:rFonts w:hint="eastAsia" w:ascii="宋体" w:hAnsi="宋体" w:eastAsia="宋体" w:cs="宋体"/>
          <w:color w:val="auto"/>
          <w:kern w:val="2"/>
          <w:sz w:val="21"/>
          <w:highlight w:val="none"/>
          <w:lang w:val="en-US" w:eastAsia="zh-CN"/>
        </w:rPr>
        <w:t xml:space="preserve">4 </w:t>
      </w:r>
      <w:r>
        <w:rPr>
          <w:rFonts w:hint="eastAsia" w:ascii="宋体" w:hAnsi="宋体" w:eastAsia="宋体" w:cs="宋体"/>
          <w:color w:val="auto"/>
          <w:kern w:val="2"/>
          <w:sz w:val="21"/>
          <w:highlight w:val="none"/>
        </w:rPr>
        <w:t>磋商小组</w:t>
      </w:r>
      <w:r>
        <w:rPr>
          <w:rFonts w:hint="eastAsia" w:ascii="宋体" w:hAnsi="宋体" w:eastAsia="宋体" w:cs="宋体"/>
          <w:color w:val="auto"/>
          <w:kern w:val="2"/>
          <w:sz w:val="21"/>
          <w:highlight w:val="none"/>
          <w:lang w:val="zh-CN"/>
        </w:rPr>
        <w:t>应相对独立工作，负责评审、</w:t>
      </w:r>
      <w:r>
        <w:rPr>
          <w:rFonts w:hint="eastAsia" w:ascii="宋体" w:hAnsi="宋体" w:eastAsia="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撰写评审报告。采购代理机构秘书组负责评审过程中资料的保管、发放及回收，协调技术和</w:t>
      </w:r>
      <w:r>
        <w:rPr>
          <w:rFonts w:hint="eastAsia" w:ascii="宋体" w:hAnsi="宋体" w:eastAsia="宋体" w:cs="宋体"/>
          <w:color w:val="auto"/>
          <w:kern w:val="2"/>
          <w:sz w:val="21"/>
          <w:highlight w:val="none"/>
        </w:rPr>
        <w:t>磋商小组</w:t>
      </w:r>
      <w:r>
        <w:rPr>
          <w:rFonts w:hint="eastAsia" w:ascii="宋体" w:hAnsi="宋体" w:eastAsia="宋体" w:cs="宋体"/>
          <w:color w:val="auto"/>
          <w:kern w:val="2"/>
          <w:sz w:val="21"/>
          <w:highlight w:val="none"/>
          <w:lang w:val="zh-CN"/>
        </w:rPr>
        <w:t>评审工作的进展和整理、汇总评审资料及复核。</w:t>
      </w:r>
    </w:p>
    <w:p>
      <w:pPr>
        <w:spacing w:line="360" w:lineRule="auto"/>
        <w:jc w:val="both"/>
        <w:rPr>
          <w:rFonts w:hint="eastAsia" w:ascii="宋体" w:hAnsi="宋体" w:eastAsia="宋体" w:cs="宋体"/>
          <w:color w:val="auto"/>
          <w:kern w:val="2"/>
          <w:highlight w:val="none"/>
          <w:lang w:val="zh-CN"/>
        </w:rPr>
      </w:pPr>
    </w:p>
    <w:p>
      <w:pPr>
        <w:spacing w:line="360" w:lineRule="auto"/>
        <w:jc w:val="both"/>
        <w:rPr>
          <w:rFonts w:hint="eastAsia" w:ascii="宋体" w:hAnsi="宋体" w:eastAsia="宋体" w:cs="宋体"/>
          <w:color w:val="auto"/>
          <w:kern w:val="2"/>
          <w:highlight w:val="none"/>
          <w:lang w:val="zh-CN"/>
        </w:rPr>
      </w:pPr>
      <w:r>
        <w:rPr>
          <w:rFonts w:hint="eastAsia" w:ascii="宋体" w:hAnsi="宋体" w:eastAsia="宋体" w:cs="宋体"/>
          <w:b/>
          <w:color w:val="auto"/>
          <w:kern w:val="2"/>
          <w:sz w:val="21"/>
          <w:szCs w:val="21"/>
          <w:highlight w:val="none"/>
          <w:lang w:val="zh-CN"/>
        </w:rPr>
        <w:t>3、</w:t>
      </w:r>
      <w:r>
        <w:rPr>
          <w:rFonts w:hint="eastAsia" w:ascii="宋体" w:hAnsi="宋体" w:eastAsia="宋体" w:cs="宋体"/>
          <w:b/>
          <w:bCs/>
          <w:color w:val="auto"/>
          <w:kern w:val="2"/>
          <w:sz w:val="21"/>
          <w:highlight w:val="none"/>
          <w:lang w:val="zh-CN"/>
        </w:rPr>
        <w:t>磋商小组职责</w:t>
      </w:r>
    </w:p>
    <w:p>
      <w:pPr>
        <w:spacing w:line="360" w:lineRule="auto"/>
        <w:ind w:left="424" w:leftChars="-1" w:hanging="426" w:hangingChars="203"/>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lang w:val="zh-CN"/>
        </w:rPr>
        <w:t>3.1</w:t>
      </w:r>
      <w:r>
        <w:rPr>
          <w:rFonts w:hint="eastAsia" w:ascii="宋体" w:hAnsi="宋体" w:eastAsia="宋体" w:cs="宋体"/>
          <w:b w:val="0"/>
          <w:bCs w:val="0"/>
          <w:color w:val="auto"/>
          <w:sz w:val="21"/>
          <w:highlight w:val="none"/>
          <w:lang w:val="en-US" w:eastAsia="zh-CN"/>
        </w:rPr>
        <w:t xml:space="preserve"> </w:t>
      </w:r>
      <w:r>
        <w:rPr>
          <w:rFonts w:hint="eastAsia" w:ascii="宋体" w:hAnsi="宋体" w:eastAsia="宋体" w:cs="宋体"/>
          <w:b w:val="0"/>
          <w:bCs w:val="0"/>
          <w:color w:val="auto"/>
          <w:sz w:val="21"/>
          <w:highlight w:val="none"/>
        </w:rPr>
        <w:t>磋商小组成员应当按照客观、公正、审慎的原则，根据竞争性磋商文件规定的评审程序、评审</w:t>
      </w:r>
    </w:p>
    <w:p>
      <w:pPr>
        <w:spacing w:line="360" w:lineRule="auto"/>
        <w:ind w:firstLine="420" w:firstLineChars="200"/>
        <w:rPr>
          <w:rFonts w:hint="eastAsia" w:ascii="宋体" w:hAnsi="宋体" w:eastAsia="宋体" w:cs="宋体"/>
          <w:b w:val="0"/>
          <w:bCs w:val="0"/>
          <w:color w:val="auto"/>
          <w:sz w:val="21"/>
          <w:highlight w:val="none"/>
          <w:lang w:val="zh-CN"/>
        </w:rPr>
      </w:pPr>
      <w:r>
        <w:rPr>
          <w:rFonts w:hint="eastAsia" w:ascii="宋体" w:hAnsi="宋体" w:eastAsia="宋体" w:cs="宋体"/>
          <w:b w:val="0"/>
          <w:bCs w:val="0"/>
          <w:color w:val="auto"/>
          <w:sz w:val="21"/>
          <w:highlight w:val="none"/>
        </w:rPr>
        <w:t>方法和评审标准进行独立评审</w:t>
      </w:r>
      <w:r>
        <w:rPr>
          <w:rFonts w:hint="eastAsia" w:ascii="宋体" w:hAnsi="宋体" w:eastAsia="宋体" w:cs="宋体"/>
          <w:b w:val="0"/>
          <w:bCs w:val="0"/>
          <w:color w:val="auto"/>
          <w:sz w:val="21"/>
          <w:highlight w:val="none"/>
          <w:lang w:val="zh-CN"/>
        </w:rPr>
        <w:t>；</w:t>
      </w:r>
    </w:p>
    <w:p>
      <w:pPr>
        <w:spacing w:line="360" w:lineRule="auto"/>
        <w:ind w:left="424" w:hanging="424" w:hangingChars="202"/>
        <w:rPr>
          <w:rFonts w:hint="eastAsia" w:ascii="宋体" w:hAnsi="宋体" w:eastAsia="宋体" w:cs="宋体"/>
          <w:b w:val="0"/>
          <w:bCs w:val="0"/>
          <w:color w:val="auto"/>
          <w:sz w:val="21"/>
          <w:highlight w:val="none"/>
          <w:lang w:val="zh-CN"/>
        </w:rPr>
      </w:pPr>
      <w:r>
        <w:rPr>
          <w:rFonts w:hint="eastAsia" w:ascii="宋体" w:hAnsi="宋体" w:eastAsia="宋体" w:cs="宋体"/>
          <w:b w:val="0"/>
          <w:bCs w:val="0"/>
          <w:color w:val="auto"/>
          <w:sz w:val="21"/>
          <w:highlight w:val="none"/>
          <w:lang w:val="zh-CN"/>
        </w:rPr>
        <w:t>3.2 供应商</w:t>
      </w:r>
      <w:r>
        <w:rPr>
          <w:rFonts w:hint="eastAsia" w:ascii="宋体" w:hAnsi="宋体" w:eastAsia="宋体" w:cs="宋体"/>
          <w:b w:val="0"/>
          <w:bCs w:val="0"/>
          <w:color w:val="auto"/>
          <w:sz w:val="21"/>
          <w:highlight w:val="none"/>
        </w:rPr>
        <w:t>未实质性响应竞争性磋商文件的响应文件按无效响应处理，磋商小组应当告知提交响应文件的供应商</w:t>
      </w:r>
      <w:r>
        <w:rPr>
          <w:rFonts w:hint="eastAsia" w:ascii="宋体" w:hAnsi="宋体" w:eastAsia="宋体" w:cs="宋体"/>
          <w:b w:val="0"/>
          <w:bCs w:val="0"/>
          <w:color w:val="auto"/>
          <w:sz w:val="21"/>
          <w:highlight w:val="none"/>
          <w:lang w:val="zh-CN"/>
        </w:rPr>
        <w:t>；</w:t>
      </w:r>
    </w:p>
    <w:p>
      <w:pPr>
        <w:spacing w:line="360" w:lineRule="auto"/>
        <w:ind w:left="424" w:hanging="424" w:hangingChars="202"/>
        <w:rPr>
          <w:rFonts w:hint="eastAsia" w:ascii="宋体" w:hAnsi="宋体" w:eastAsia="宋体" w:cs="宋体"/>
          <w:b w:val="0"/>
          <w:bCs w:val="0"/>
          <w:color w:val="auto"/>
          <w:sz w:val="21"/>
          <w:highlight w:val="none"/>
          <w:lang w:val="zh-CN"/>
        </w:rPr>
      </w:pPr>
      <w:r>
        <w:rPr>
          <w:rFonts w:hint="eastAsia" w:ascii="宋体" w:hAnsi="宋体" w:eastAsia="宋体" w:cs="宋体"/>
          <w:b w:val="0"/>
          <w:bCs w:val="0"/>
          <w:color w:val="auto"/>
          <w:sz w:val="21"/>
          <w:highlight w:val="none"/>
          <w:lang w:val="zh-CN"/>
        </w:rPr>
        <w:t>3.3 竞争性磋商文件内容违反国家有关强制性规定的，磋商小组应当停止评审并</w:t>
      </w:r>
      <w:r>
        <w:rPr>
          <w:rFonts w:hint="eastAsia" w:ascii="宋体" w:hAnsi="宋体" w:eastAsia="宋体" w:cs="宋体"/>
          <w:b w:val="0"/>
          <w:bCs w:val="0"/>
          <w:color w:val="auto"/>
          <w:sz w:val="21"/>
          <w:highlight w:val="none"/>
          <w:lang w:val="en-US" w:eastAsia="zh-CN"/>
        </w:rPr>
        <w:t>记录</w:t>
      </w:r>
      <w:r>
        <w:rPr>
          <w:rFonts w:hint="eastAsia" w:ascii="宋体" w:hAnsi="宋体" w:eastAsia="宋体" w:cs="宋体"/>
          <w:b w:val="0"/>
          <w:bCs w:val="0"/>
          <w:color w:val="auto"/>
          <w:sz w:val="21"/>
          <w:highlight w:val="none"/>
          <w:lang w:val="zh-CN"/>
        </w:rPr>
        <w:t>；</w:t>
      </w:r>
    </w:p>
    <w:p>
      <w:pPr>
        <w:tabs>
          <w:tab w:val="left" w:pos="675"/>
        </w:tabs>
        <w:spacing w:line="360" w:lineRule="auto"/>
        <w:ind w:left="567" w:hanging="567"/>
        <w:rPr>
          <w:rFonts w:hint="eastAsia" w:ascii="宋体" w:hAnsi="宋体" w:eastAsia="宋体" w:cs="宋体"/>
          <w:b w:val="0"/>
          <w:bCs w:val="0"/>
          <w:color w:val="auto"/>
          <w:sz w:val="21"/>
          <w:highlight w:val="none"/>
          <w:lang w:val="zh-CN"/>
        </w:rPr>
      </w:pPr>
      <w:r>
        <w:rPr>
          <w:rFonts w:hint="eastAsia" w:ascii="宋体" w:hAnsi="宋体" w:eastAsia="宋体" w:cs="宋体"/>
          <w:b w:val="0"/>
          <w:bCs w:val="0"/>
          <w:color w:val="auto"/>
          <w:sz w:val="21"/>
          <w:highlight w:val="none"/>
          <w:lang w:val="zh-CN"/>
        </w:rPr>
        <w:t>3.4 推荐成交候选人名单</w:t>
      </w:r>
      <w:r>
        <w:rPr>
          <w:rFonts w:hint="eastAsia" w:ascii="宋体" w:hAnsi="宋体" w:eastAsia="宋体" w:cs="宋体"/>
          <w:color w:val="auto"/>
          <w:sz w:val="21"/>
          <w:highlight w:val="none"/>
          <w:lang w:val="zh-CN"/>
        </w:rPr>
        <w:t>及排序</w:t>
      </w:r>
      <w:r>
        <w:rPr>
          <w:rFonts w:hint="eastAsia" w:ascii="宋体" w:hAnsi="宋体" w:eastAsia="宋体" w:cs="宋体"/>
          <w:b w:val="0"/>
          <w:bCs w:val="0"/>
          <w:color w:val="auto"/>
          <w:sz w:val="21"/>
          <w:highlight w:val="none"/>
          <w:lang w:val="zh-CN"/>
        </w:rPr>
        <w:t>；</w:t>
      </w:r>
    </w:p>
    <w:p>
      <w:pPr>
        <w:spacing w:line="360" w:lineRule="auto"/>
        <w:ind w:left="567" w:hanging="567"/>
        <w:rPr>
          <w:rFonts w:hint="eastAsia" w:ascii="宋体" w:hAnsi="宋体" w:eastAsia="宋体" w:cs="宋体"/>
          <w:b w:val="0"/>
          <w:bCs w:val="0"/>
          <w:color w:val="auto"/>
          <w:highlight w:val="none"/>
          <w:lang w:val="zh-CN"/>
        </w:rPr>
      </w:pPr>
      <w:r>
        <w:rPr>
          <w:rFonts w:hint="eastAsia" w:ascii="宋体" w:hAnsi="宋体" w:eastAsia="宋体" w:cs="宋体"/>
          <w:b w:val="0"/>
          <w:bCs w:val="0"/>
          <w:color w:val="auto"/>
          <w:sz w:val="21"/>
          <w:highlight w:val="none"/>
          <w:lang w:val="zh-CN"/>
        </w:rPr>
        <w:t>3.</w:t>
      </w:r>
      <w:r>
        <w:rPr>
          <w:rFonts w:hint="eastAsia" w:ascii="宋体" w:hAnsi="宋体" w:eastAsia="宋体" w:cs="宋体"/>
          <w:b w:val="0"/>
          <w:bCs w:val="0"/>
          <w:color w:val="auto"/>
          <w:sz w:val="21"/>
          <w:highlight w:val="none"/>
        </w:rPr>
        <w:t xml:space="preserve">5 </w:t>
      </w:r>
      <w:r>
        <w:rPr>
          <w:rFonts w:hint="eastAsia" w:ascii="宋体" w:hAnsi="宋体" w:eastAsia="宋体" w:cs="宋体"/>
          <w:b w:val="0"/>
          <w:bCs w:val="0"/>
          <w:color w:val="auto"/>
          <w:sz w:val="21"/>
          <w:highlight w:val="none"/>
          <w:lang w:val="zh-CN"/>
        </w:rPr>
        <w:t>向</w:t>
      </w:r>
      <w:r>
        <w:rPr>
          <w:rFonts w:hint="eastAsia" w:ascii="宋体" w:hAnsi="宋体" w:eastAsia="宋体" w:cs="宋体"/>
          <w:b w:val="0"/>
          <w:bCs w:val="0"/>
          <w:color w:val="auto"/>
          <w:sz w:val="21"/>
          <w:highlight w:val="none"/>
        </w:rPr>
        <w:t>采购</w:t>
      </w:r>
      <w:r>
        <w:rPr>
          <w:rFonts w:hint="eastAsia" w:ascii="宋体" w:hAnsi="宋体" w:eastAsia="宋体" w:cs="宋体"/>
          <w:b w:val="0"/>
          <w:bCs w:val="0"/>
          <w:color w:val="auto"/>
          <w:sz w:val="21"/>
          <w:highlight w:val="none"/>
          <w:lang w:val="zh-CN"/>
        </w:rPr>
        <w:t>人、</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val="zh-CN"/>
        </w:rPr>
        <w:t>代理机</w:t>
      </w:r>
      <w:r>
        <w:rPr>
          <w:rFonts w:hint="eastAsia" w:ascii="宋体" w:hAnsi="宋体" w:eastAsia="宋体" w:cs="宋体"/>
          <w:color w:val="auto"/>
          <w:sz w:val="21"/>
          <w:szCs w:val="21"/>
          <w:highlight w:val="none"/>
          <w:lang w:val="zh-CN"/>
        </w:rPr>
        <w:t>构</w:t>
      </w:r>
      <w:r>
        <w:rPr>
          <w:rFonts w:hint="eastAsia" w:ascii="宋体" w:hAnsi="宋体" w:eastAsia="宋体" w:cs="宋体"/>
          <w:b w:val="0"/>
          <w:bCs w:val="0"/>
          <w:color w:val="auto"/>
          <w:sz w:val="21"/>
          <w:highlight w:val="none"/>
          <w:lang w:val="zh-CN"/>
        </w:rPr>
        <w:t>或者有关部门报告非法干预评审工作的行为</w:t>
      </w:r>
      <w:r>
        <w:rPr>
          <w:rFonts w:hint="eastAsia" w:ascii="宋体" w:hAnsi="宋体" w:eastAsia="宋体" w:cs="宋体"/>
          <w:b w:val="0"/>
          <w:bCs w:val="0"/>
          <w:color w:val="auto"/>
          <w:highlight w:val="none"/>
          <w:lang w:val="zh-CN"/>
        </w:rPr>
        <w:t>。</w:t>
      </w:r>
    </w:p>
    <w:p>
      <w:pPr>
        <w:spacing w:line="360" w:lineRule="auto"/>
        <w:rPr>
          <w:rFonts w:hint="eastAsia" w:ascii="宋体" w:hAnsi="宋体" w:eastAsia="宋体" w:cs="宋体"/>
          <w:color w:val="auto"/>
          <w:highlight w:val="none"/>
          <w:lang w:val="zh-CN"/>
        </w:rPr>
      </w:pPr>
    </w:p>
    <w:p>
      <w:pPr>
        <w:tabs>
          <w:tab w:val="left" w:pos="405"/>
        </w:tabs>
        <w:spacing w:line="360" w:lineRule="auto"/>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4、</w:t>
      </w:r>
      <w:r>
        <w:rPr>
          <w:rFonts w:hint="eastAsia" w:ascii="宋体" w:hAnsi="宋体" w:eastAsia="宋体" w:cs="宋体"/>
          <w:b/>
          <w:bCs/>
          <w:color w:val="auto"/>
          <w:kern w:val="2"/>
          <w:sz w:val="21"/>
          <w:highlight w:val="none"/>
          <w:lang w:val="zh-CN"/>
        </w:rPr>
        <w:tab/>
      </w:r>
      <w:r>
        <w:rPr>
          <w:rFonts w:hint="eastAsia" w:ascii="宋体" w:hAnsi="宋体" w:eastAsia="宋体" w:cs="宋体"/>
          <w:b/>
          <w:bCs/>
          <w:color w:val="auto"/>
          <w:kern w:val="2"/>
          <w:sz w:val="21"/>
          <w:highlight w:val="none"/>
          <w:lang w:val="zh-CN"/>
        </w:rPr>
        <w:t>磋商小组</w:t>
      </w:r>
      <w:r>
        <w:rPr>
          <w:rFonts w:hint="eastAsia" w:ascii="宋体" w:hAnsi="宋体" w:eastAsia="宋体" w:cs="宋体"/>
          <w:b/>
          <w:bCs/>
          <w:color w:val="auto"/>
          <w:kern w:val="2"/>
          <w:sz w:val="21"/>
          <w:szCs w:val="21"/>
          <w:highlight w:val="none"/>
          <w:lang w:val="zh-CN"/>
        </w:rPr>
        <w:t>义务</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4.1 遵纪守法，客观、公正、廉洁地履行职责；</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4.2 按照竞争性磋商文件规定的评审方法和评审标准进行评审，对评审意见承担个人责任；</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4.3 对磋商过程和结果，以及供应商的商业秘密保密；</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4.4 参与评审报告的起草；</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4.5 配合有关部门的投诉处理工作；</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4.6 配合</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val="zh-CN"/>
        </w:rPr>
        <w:t>人、</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val="zh-CN"/>
        </w:rPr>
        <w:t>代理机构答复供应商提出的</w:t>
      </w:r>
      <w:r>
        <w:rPr>
          <w:rFonts w:hint="eastAsia" w:ascii="宋体" w:hAnsi="宋体" w:eastAsia="宋体" w:cs="宋体"/>
          <w:color w:val="auto"/>
          <w:sz w:val="21"/>
          <w:highlight w:val="none"/>
          <w:lang w:val="en-US" w:eastAsia="zh-CN"/>
        </w:rPr>
        <w:t>异议</w:t>
      </w:r>
      <w:r>
        <w:rPr>
          <w:rFonts w:hint="eastAsia" w:ascii="宋体" w:hAnsi="宋体" w:eastAsia="宋体" w:cs="宋体"/>
          <w:color w:val="auto"/>
          <w:sz w:val="21"/>
          <w:highlight w:val="none"/>
          <w:lang w:val="zh-CN"/>
        </w:rPr>
        <w:t>。</w:t>
      </w:r>
    </w:p>
    <w:p>
      <w:pPr>
        <w:spacing w:line="360" w:lineRule="auto"/>
        <w:rPr>
          <w:rFonts w:hint="eastAsia" w:ascii="宋体" w:hAnsi="宋体" w:eastAsia="宋体" w:cs="宋体"/>
          <w:color w:val="auto"/>
          <w:highlight w:val="none"/>
          <w:lang w:val="zh-CN"/>
        </w:rPr>
      </w:pPr>
    </w:p>
    <w:p>
      <w:pPr>
        <w:tabs>
          <w:tab w:val="left" w:pos="1547"/>
        </w:tabs>
        <w:spacing w:line="360" w:lineRule="auto"/>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5、磋商程序</w:t>
      </w:r>
    </w:p>
    <w:p>
      <w:pPr>
        <w:spacing w:line="360" w:lineRule="auto"/>
        <w:ind w:left="426" w:hanging="426"/>
        <w:jc w:val="both"/>
        <w:rPr>
          <w:rFonts w:hint="eastAsia" w:ascii="宋体" w:hAnsi="宋体" w:eastAsia="宋体" w:cs="宋体"/>
          <w:bCs/>
          <w:color w:val="auto"/>
          <w:kern w:val="2"/>
          <w:sz w:val="21"/>
          <w:highlight w:val="none"/>
          <w:lang w:val="zh-CN"/>
        </w:rPr>
      </w:pPr>
      <w:r>
        <w:rPr>
          <w:rFonts w:hint="eastAsia" w:ascii="宋体" w:hAnsi="宋体" w:eastAsia="宋体" w:cs="宋体"/>
          <w:bCs/>
          <w:color w:val="auto"/>
          <w:kern w:val="2"/>
          <w:sz w:val="21"/>
          <w:highlight w:val="none"/>
          <w:lang w:val="zh-CN"/>
        </w:rPr>
        <w:t>5.1</w:t>
      </w:r>
      <w:r>
        <w:rPr>
          <w:rFonts w:hint="eastAsia" w:ascii="宋体" w:hAnsi="宋体" w:eastAsia="宋体" w:cs="宋体"/>
          <w:bCs/>
          <w:color w:val="auto"/>
          <w:kern w:val="2"/>
          <w:sz w:val="21"/>
          <w:highlight w:val="none"/>
          <w:lang w:val="en-US" w:eastAsia="zh-CN"/>
        </w:rPr>
        <w:t xml:space="preserve"> 评审</w:t>
      </w:r>
      <w:r>
        <w:rPr>
          <w:rFonts w:hint="eastAsia" w:ascii="宋体" w:hAnsi="宋体" w:eastAsia="宋体" w:cs="宋体"/>
          <w:bCs/>
          <w:color w:val="auto"/>
          <w:kern w:val="2"/>
          <w:sz w:val="21"/>
          <w:highlight w:val="none"/>
          <w:lang w:val="zh-CN"/>
        </w:rPr>
        <w:t>首先由磋商小组对供应商的响应文件</w:t>
      </w:r>
      <w:r>
        <w:rPr>
          <w:rFonts w:hint="eastAsia" w:ascii="宋体" w:hAnsi="宋体" w:eastAsia="宋体" w:cs="宋体"/>
          <w:bCs/>
          <w:color w:val="auto"/>
          <w:kern w:val="2"/>
          <w:sz w:val="21"/>
          <w:highlight w:val="none"/>
          <w:lang w:val="en-US" w:eastAsia="zh-CN"/>
        </w:rPr>
        <w:t>做资格性检查</w:t>
      </w:r>
      <w:r>
        <w:rPr>
          <w:rFonts w:hint="eastAsia" w:ascii="宋体" w:hAnsi="宋体" w:eastAsia="宋体" w:cs="宋体"/>
          <w:b w:val="0"/>
          <w:bCs/>
          <w:color w:val="auto"/>
          <w:kern w:val="2"/>
          <w:sz w:val="21"/>
          <w:highlight w:val="none"/>
          <w:lang w:val="en-US" w:eastAsia="zh-CN"/>
        </w:rPr>
        <w:t>，对未能通过初审的响应文件不再进入下一阶段磋商。若本次采购过程中有效供应商只有2家时，</w:t>
      </w:r>
      <w:r>
        <w:rPr>
          <w:rFonts w:hint="eastAsia" w:ascii="宋体" w:hAnsi="宋体" w:eastAsia="宋体" w:cs="宋体"/>
          <w:color w:val="auto"/>
          <w:sz w:val="21"/>
          <w:szCs w:val="18"/>
          <w:highlight w:val="none"/>
        </w:rPr>
        <w:t>经</w:t>
      </w:r>
      <w:r>
        <w:rPr>
          <w:rFonts w:hint="eastAsia" w:ascii="宋体" w:hAnsi="宋体" w:eastAsia="宋体" w:cs="宋体"/>
          <w:color w:val="auto"/>
          <w:sz w:val="21"/>
          <w:szCs w:val="18"/>
          <w:highlight w:val="none"/>
          <w:lang w:val="en-US" w:eastAsia="zh-CN"/>
        </w:rPr>
        <w:t>磋商小组</w:t>
      </w:r>
      <w:r>
        <w:rPr>
          <w:rFonts w:hint="eastAsia" w:ascii="宋体" w:hAnsi="宋体" w:eastAsia="宋体" w:cs="宋体"/>
          <w:color w:val="auto"/>
          <w:sz w:val="21"/>
          <w:szCs w:val="18"/>
          <w:highlight w:val="none"/>
        </w:rPr>
        <w:t>论证，</w:t>
      </w:r>
      <w:r>
        <w:rPr>
          <w:rFonts w:hint="eastAsia" w:ascii="宋体" w:hAnsi="宋体" w:eastAsia="宋体" w:cs="宋体"/>
          <w:color w:val="auto"/>
          <w:sz w:val="21"/>
          <w:szCs w:val="18"/>
          <w:highlight w:val="none"/>
          <w:lang w:val="en-US" w:eastAsia="zh-CN"/>
        </w:rPr>
        <w:t>竞争性磋商</w:t>
      </w:r>
      <w:r>
        <w:rPr>
          <w:rFonts w:hint="eastAsia" w:ascii="宋体" w:hAnsi="宋体" w:eastAsia="宋体" w:cs="宋体"/>
          <w:color w:val="auto"/>
          <w:sz w:val="21"/>
          <w:szCs w:val="18"/>
          <w:highlight w:val="none"/>
        </w:rPr>
        <w:t>文件没有不合理条款、采购程序符合规定的</w:t>
      </w:r>
      <w:r>
        <w:rPr>
          <w:rFonts w:hint="eastAsia" w:ascii="宋体" w:hAnsi="宋体" w:eastAsia="宋体" w:cs="宋体"/>
          <w:color w:val="auto"/>
          <w:sz w:val="21"/>
          <w:szCs w:val="18"/>
          <w:highlight w:val="none"/>
          <w:lang w:eastAsia="zh-CN"/>
        </w:rPr>
        <w:t>，</w:t>
      </w:r>
      <w:r>
        <w:rPr>
          <w:rFonts w:hint="eastAsia" w:ascii="宋体" w:hAnsi="宋体" w:eastAsia="宋体" w:cs="宋体"/>
          <w:color w:val="auto"/>
          <w:sz w:val="21"/>
          <w:szCs w:val="18"/>
          <w:highlight w:val="none"/>
        </w:rPr>
        <w:t>经</w:t>
      </w:r>
      <w:r>
        <w:rPr>
          <w:rFonts w:hint="eastAsia" w:ascii="宋体" w:hAnsi="宋体" w:eastAsia="宋体" w:cs="宋体"/>
          <w:color w:val="auto"/>
          <w:sz w:val="21"/>
          <w:szCs w:val="18"/>
          <w:highlight w:val="none"/>
          <w:lang w:val="en-US" w:eastAsia="zh-CN"/>
        </w:rPr>
        <w:t>采购</w:t>
      </w:r>
      <w:r>
        <w:rPr>
          <w:rFonts w:hint="eastAsia" w:ascii="宋体" w:hAnsi="宋体" w:eastAsia="宋体" w:cs="宋体"/>
          <w:color w:val="auto"/>
          <w:sz w:val="21"/>
          <w:szCs w:val="18"/>
          <w:highlight w:val="none"/>
        </w:rPr>
        <w:t>人代表和作出实质性响应的</w:t>
      </w:r>
      <w:r>
        <w:rPr>
          <w:rFonts w:hint="eastAsia" w:ascii="宋体" w:hAnsi="宋体" w:eastAsia="宋体" w:cs="宋体"/>
          <w:color w:val="auto"/>
          <w:sz w:val="21"/>
          <w:szCs w:val="18"/>
          <w:highlight w:val="none"/>
          <w:lang w:val="en-US" w:eastAsia="zh-CN"/>
        </w:rPr>
        <w:t>供应商</w:t>
      </w:r>
      <w:r>
        <w:rPr>
          <w:rFonts w:hint="eastAsia" w:ascii="宋体" w:hAnsi="宋体" w:eastAsia="宋体" w:cs="宋体"/>
          <w:color w:val="auto"/>
          <w:sz w:val="21"/>
          <w:szCs w:val="18"/>
          <w:highlight w:val="none"/>
        </w:rPr>
        <w:t>代表同意后，</w:t>
      </w:r>
      <w:r>
        <w:rPr>
          <w:rFonts w:hint="eastAsia" w:ascii="宋体" w:hAnsi="宋体" w:eastAsia="宋体" w:cs="宋体"/>
          <w:b w:val="0"/>
          <w:bCs/>
          <w:color w:val="auto"/>
          <w:kern w:val="2"/>
          <w:sz w:val="21"/>
          <w:highlight w:val="none"/>
          <w:lang w:val="en-US" w:eastAsia="zh-CN"/>
        </w:rPr>
        <w:t>本竞争性磋商采购活动可以继续进行。若符合要求的供应商只有1家时，本次竞争性磋商失败</w:t>
      </w:r>
      <w:r>
        <w:rPr>
          <w:rFonts w:hint="eastAsia" w:ascii="宋体" w:hAnsi="宋体" w:eastAsia="宋体" w:cs="宋体"/>
          <w:b w:val="0"/>
          <w:bCs/>
          <w:color w:val="auto"/>
          <w:kern w:val="2"/>
          <w:sz w:val="21"/>
          <w:szCs w:val="21"/>
          <w:highlight w:val="none"/>
          <w:lang w:val="zh-CN"/>
        </w:rPr>
        <w:t>。</w:t>
      </w:r>
    </w:p>
    <w:p>
      <w:pPr>
        <w:spacing w:line="360" w:lineRule="auto"/>
        <w:ind w:left="426" w:hanging="426"/>
        <w:jc w:val="both"/>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zh-CN"/>
        </w:rPr>
        <w:t xml:space="preserve">5.2 </w:t>
      </w:r>
      <w:r>
        <w:rPr>
          <w:rFonts w:hint="eastAsia" w:ascii="宋体" w:hAnsi="宋体" w:eastAsia="宋体" w:cs="宋体"/>
          <w:color w:val="auto"/>
          <w:kern w:val="2"/>
          <w:sz w:val="21"/>
          <w:szCs w:val="21"/>
          <w:highlight w:val="none"/>
          <w:lang w:val="zh-CN"/>
        </w:rPr>
        <w:t>磋商小组将集中与单一通过初审的供应商（以响应供应商签到</w:t>
      </w:r>
      <w:r>
        <w:rPr>
          <w:rFonts w:hint="eastAsia" w:ascii="宋体" w:hAnsi="宋体" w:eastAsia="宋体" w:cs="宋体"/>
          <w:color w:val="auto"/>
          <w:kern w:val="2"/>
          <w:sz w:val="21"/>
          <w:szCs w:val="21"/>
          <w:highlight w:val="none"/>
          <w:lang w:val="en-US" w:eastAsia="zh-CN"/>
        </w:rPr>
        <w:t>时间</w:t>
      </w:r>
      <w:r>
        <w:rPr>
          <w:rFonts w:hint="eastAsia" w:ascii="宋体" w:hAnsi="宋体" w:eastAsia="宋体" w:cs="宋体"/>
          <w:color w:val="auto"/>
          <w:kern w:val="2"/>
          <w:sz w:val="21"/>
          <w:szCs w:val="21"/>
          <w:highlight w:val="none"/>
          <w:lang w:val="zh-CN"/>
        </w:rPr>
        <w:t>顺序为准）分别进行</w:t>
      </w:r>
      <w:r>
        <w:rPr>
          <w:rFonts w:hint="eastAsia" w:ascii="宋体" w:hAnsi="宋体" w:eastAsia="宋体" w:cs="宋体"/>
          <w:color w:val="auto"/>
          <w:kern w:val="2"/>
          <w:sz w:val="21"/>
          <w:szCs w:val="21"/>
          <w:highlight w:val="none"/>
          <w:lang w:val="en-US" w:eastAsia="zh-CN"/>
        </w:rPr>
        <w:t>现场</w:t>
      </w:r>
      <w:r>
        <w:rPr>
          <w:rFonts w:hint="eastAsia" w:ascii="宋体" w:hAnsi="宋体" w:eastAsia="宋体" w:cs="宋体"/>
          <w:color w:val="auto"/>
          <w:kern w:val="2"/>
          <w:sz w:val="21"/>
          <w:szCs w:val="21"/>
          <w:highlight w:val="none"/>
          <w:lang w:val="zh-CN"/>
        </w:rPr>
        <w:t>磋商，并给予所有参加磋商的响应供应商平等的磋商机会。</w:t>
      </w:r>
      <w:r>
        <w:rPr>
          <w:rFonts w:hint="eastAsia" w:ascii="宋体" w:hAnsi="宋体" w:eastAsia="宋体" w:cs="宋体"/>
          <w:color w:val="auto"/>
          <w:kern w:val="2"/>
          <w:sz w:val="21"/>
          <w:szCs w:val="21"/>
          <w:highlight w:val="none"/>
          <w:lang w:val="en-US" w:eastAsia="zh-CN"/>
        </w:rPr>
        <w:t>如需要，进行必要的澄清工作。</w:t>
      </w:r>
    </w:p>
    <w:p>
      <w:pPr>
        <w:spacing w:line="360" w:lineRule="auto"/>
        <w:ind w:left="424" w:hanging="424" w:hangingChars="202"/>
        <w:jc w:val="both"/>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3</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kern w:val="2"/>
          <w:sz w:val="21"/>
          <w:highlight w:val="none"/>
          <w:lang w:val="en-US" w:eastAsia="zh-CN"/>
        </w:rPr>
        <w:t>磋商小组将逐一对响应文件初审合格的供应商首次报价进行磋商。</w:t>
      </w:r>
    </w:p>
    <w:p>
      <w:pPr>
        <w:spacing w:line="360" w:lineRule="auto"/>
        <w:ind w:left="424" w:hanging="424" w:hanging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4</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kern w:val="2"/>
          <w:sz w:val="21"/>
          <w:highlight w:val="none"/>
        </w:rPr>
        <w:t>在磋商过程中，磋商小组可以根据竞争性磋商文件和磋商情况实质性变动采购需求中的技术、服务要求以及合同草案条款，但不得变动竞争性磋商文件中的其他内容。实质性变动的内容，</w:t>
      </w:r>
      <w:r>
        <w:rPr>
          <w:rFonts w:hint="eastAsia" w:ascii="宋体" w:hAnsi="宋体" w:eastAsia="宋体" w:cs="宋体"/>
          <w:color w:val="auto"/>
          <w:kern w:val="2"/>
          <w:sz w:val="21"/>
          <w:highlight w:val="none"/>
          <w:lang w:val="en-US" w:eastAsia="zh-CN"/>
        </w:rPr>
        <w:t>须经采购人确认，</w:t>
      </w:r>
      <w:r>
        <w:rPr>
          <w:rFonts w:hint="eastAsia" w:ascii="宋体" w:hAnsi="宋体" w:eastAsia="宋体" w:cs="宋体"/>
          <w:color w:val="auto"/>
          <w:kern w:val="2"/>
          <w:sz w:val="21"/>
          <w:highlight w:val="none"/>
        </w:rPr>
        <w:t>对竞争性磋商文件作出的实质性变动是竞争性磋商文件的有效组成部分，磋商小组应当及时以书面形式同时通知所有参加磋商的供应商。</w:t>
      </w:r>
    </w:p>
    <w:p>
      <w:pPr>
        <w:spacing w:line="360" w:lineRule="auto"/>
        <w:ind w:left="424" w:hanging="424" w:hangingChars="202"/>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5</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kern w:val="2"/>
          <w:sz w:val="21"/>
          <w:highlight w:val="none"/>
          <w:lang w:val="en-US" w:eastAsia="zh-CN"/>
        </w:rPr>
        <w:t>供应商应当按照竞争性磋商文件的变动情况和磋商小组的要求重新提交响应文件，并由其法定代表人/</w:t>
      </w:r>
      <w:r>
        <w:rPr>
          <w:rFonts w:hint="eastAsia" w:ascii="宋体" w:hAnsi="宋体" w:cs="宋体"/>
          <w:color w:val="auto"/>
          <w:kern w:val="2"/>
          <w:sz w:val="21"/>
          <w:highlight w:val="none"/>
          <w:lang w:val="en-US" w:eastAsia="zh-CN"/>
        </w:rPr>
        <w:t>执行事务合伙人</w:t>
      </w:r>
      <w:r>
        <w:rPr>
          <w:rFonts w:hint="eastAsia" w:ascii="宋体" w:hAnsi="宋体" w:eastAsia="宋体" w:cs="宋体"/>
          <w:color w:val="auto"/>
          <w:kern w:val="2"/>
          <w:sz w:val="21"/>
          <w:highlight w:val="none"/>
          <w:lang w:val="en-US" w:eastAsia="zh-CN"/>
        </w:rPr>
        <w:t>或授权代表签字或者加盖公章。由授权代表签字的，应当附法定代表人/</w:t>
      </w:r>
      <w:r>
        <w:rPr>
          <w:rFonts w:hint="eastAsia" w:ascii="宋体" w:hAnsi="宋体" w:cs="宋体"/>
          <w:color w:val="auto"/>
          <w:kern w:val="2"/>
          <w:sz w:val="21"/>
          <w:highlight w:val="none"/>
          <w:lang w:val="en-US" w:eastAsia="zh-CN"/>
        </w:rPr>
        <w:t>执行事务合伙人</w:t>
      </w:r>
      <w:r>
        <w:rPr>
          <w:rFonts w:hint="eastAsia" w:ascii="宋体" w:hAnsi="宋体" w:eastAsia="宋体" w:cs="宋体"/>
          <w:color w:val="auto"/>
          <w:kern w:val="2"/>
          <w:sz w:val="21"/>
          <w:highlight w:val="none"/>
          <w:lang w:val="en-US" w:eastAsia="zh-CN"/>
        </w:rPr>
        <w:t>授权书。供应商为自然人的，应当由本人签字并附身份证明。</w:t>
      </w:r>
    </w:p>
    <w:p>
      <w:pPr>
        <w:spacing w:line="360" w:lineRule="auto"/>
        <w:ind w:left="462" w:leftChars="0" w:hanging="462" w:hangingChars="220"/>
        <w:jc w:val="both"/>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lang w:val="en-US" w:eastAsia="zh-CN"/>
        </w:rPr>
        <w:t>5.6</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b w:val="0"/>
          <w:bCs w:val="0"/>
          <w:color w:val="auto"/>
          <w:kern w:val="2"/>
          <w:sz w:val="21"/>
          <w:szCs w:val="21"/>
          <w:highlight w:val="none"/>
          <w:u w:val="none"/>
          <w:lang w:val="zh-CN" w:eastAsia="zh-CN"/>
        </w:rPr>
        <w:t>竞争性磋商文件能够详细列明采购标的的技术、服务要求的，</w:t>
      </w:r>
      <w:r>
        <w:rPr>
          <w:rFonts w:hint="eastAsia" w:ascii="宋体" w:hAnsi="宋体" w:eastAsia="宋体" w:cs="宋体"/>
          <w:b w:val="0"/>
          <w:bCs w:val="0"/>
          <w:color w:val="auto"/>
          <w:kern w:val="2"/>
          <w:sz w:val="21"/>
          <w:szCs w:val="21"/>
          <w:highlight w:val="none"/>
          <w:u w:val="none"/>
          <w:lang w:val="zh-CN"/>
        </w:rPr>
        <w:t>磋商结束后，所有作出实质性响应的有效供应商应在规定的时间内集中密封提交</w:t>
      </w:r>
      <w:r>
        <w:rPr>
          <w:rFonts w:hint="eastAsia" w:ascii="宋体" w:hAnsi="宋体" w:eastAsia="宋体" w:cs="宋体"/>
          <w:b w:val="0"/>
          <w:bCs w:val="0"/>
          <w:color w:val="auto"/>
          <w:kern w:val="2"/>
          <w:sz w:val="21"/>
          <w:szCs w:val="21"/>
          <w:highlight w:val="none"/>
          <w:u w:val="none"/>
          <w:lang w:val="en-US" w:eastAsia="zh-CN"/>
        </w:rPr>
        <w:t>最</w:t>
      </w:r>
      <w:r>
        <w:rPr>
          <w:rFonts w:hint="eastAsia" w:ascii="宋体" w:hAnsi="宋体" w:cs="宋体"/>
          <w:b w:val="0"/>
          <w:bCs w:val="0"/>
          <w:color w:val="auto"/>
          <w:kern w:val="2"/>
          <w:sz w:val="21"/>
          <w:szCs w:val="21"/>
          <w:highlight w:val="none"/>
          <w:u w:val="none"/>
          <w:lang w:val="en-US" w:eastAsia="zh-CN"/>
        </w:rPr>
        <w:t>后</w:t>
      </w:r>
      <w:r>
        <w:rPr>
          <w:rFonts w:hint="eastAsia" w:ascii="宋体" w:hAnsi="宋体" w:eastAsia="宋体" w:cs="宋体"/>
          <w:b w:val="0"/>
          <w:bCs w:val="0"/>
          <w:color w:val="auto"/>
          <w:kern w:val="2"/>
          <w:sz w:val="21"/>
          <w:szCs w:val="21"/>
          <w:highlight w:val="none"/>
          <w:u w:val="none"/>
          <w:lang w:val="en-US" w:eastAsia="zh-CN"/>
        </w:rPr>
        <w:t>响应</w:t>
      </w:r>
      <w:r>
        <w:rPr>
          <w:rFonts w:hint="eastAsia" w:ascii="宋体" w:hAnsi="宋体" w:eastAsia="宋体" w:cs="宋体"/>
          <w:b w:val="0"/>
          <w:bCs w:val="0"/>
          <w:color w:val="auto"/>
          <w:kern w:val="2"/>
          <w:sz w:val="21"/>
          <w:szCs w:val="21"/>
          <w:highlight w:val="none"/>
          <w:u w:val="none"/>
          <w:lang w:val="zh-CN"/>
        </w:rPr>
        <w:t>报价（</w:t>
      </w:r>
      <w:r>
        <w:rPr>
          <w:rFonts w:hint="eastAsia" w:ascii="宋体" w:hAnsi="宋体" w:eastAsia="宋体" w:cs="宋体"/>
          <w:b w:val="0"/>
          <w:bCs w:val="0"/>
          <w:color w:val="auto"/>
          <w:kern w:val="2"/>
          <w:sz w:val="21"/>
          <w:szCs w:val="21"/>
          <w:highlight w:val="none"/>
          <w:u w:val="none"/>
          <w:lang w:val="en-US" w:eastAsia="zh-CN"/>
        </w:rPr>
        <w:t>最</w:t>
      </w:r>
      <w:r>
        <w:rPr>
          <w:rFonts w:hint="eastAsia" w:ascii="宋体" w:hAnsi="宋体" w:cs="宋体"/>
          <w:b w:val="0"/>
          <w:bCs w:val="0"/>
          <w:color w:val="auto"/>
          <w:kern w:val="2"/>
          <w:sz w:val="21"/>
          <w:szCs w:val="21"/>
          <w:highlight w:val="none"/>
          <w:u w:val="none"/>
          <w:lang w:val="en-US" w:eastAsia="zh-CN"/>
        </w:rPr>
        <w:t>后响应</w:t>
      </w:r>
      <w:r>
        <w:rPr>
          <w:rFonts w:hint="eastAsia" w:ascii="宋体" w:hAnsi="宋体" w:eastAsia="宋体" w:cs="宋体"/>
          <w:b w:val="0"/>
          <w:bCs w:val="0"/>
          <w:color w:val="auto"/>
          <w:kern w:val="2"/>
          <w:sz w:val="21"/>
          <w:szCs w:val="21"/>
          <w:highlight w:val="none"/>
          <w:u w:val="none"/>
          <w:lang w:val="en-US" w:eastAsia="zh-CN"/>
        </w:rPr>
        <w:t>报价时间视磋商进程由磋商小组决定</w:t>
      </w:r>
      <w:r>
        <w:rPr>
          <w:rFonts w:hint="eastAsia" w:ascii="宋体" w:hAnsi="宋体" w:eastAsia="宋体" w:cs="宋体"/>
          <w:b w:val="0"/>
          <w:bCs w:val="0"/>
          <w:color w:val="auto"/>
          <w:kern w:val="2"/>
          <w:sz w:val="21"/>
          <w:szCs w:val="21"/>
          <w:highlight w:val="none"/>
          <w:u w:val="none"/>
          <w:lang w:val="zh-CN"/>
        </w:rPr>
        <w:t>），</w:t>
      </w:r>
      <w:r>
        <w:rPr>
          <w:rFonts w:hint="eastAsia" w:ascii="宋体" w:hAnsi="宋体" w:eastAsia="宋体" w:cs="宋体"/>
          <w:b w:val="0"/>
          <w:bCs w:val="0"/>
          <w:color w:val="auto"/>
          <w:kern w:val="2"/>
          <w:sz w:val="21"/>
          <w:szCs w:val="21"/>
          <w:highlight w:val="none"/>
          <w:u w:val="none"/>
          <w:lang w:val="zh-CN" w:eastAsia="zh-CN"/>
        </w:rPr>
        <w:t>最</w:t>
      </w:r>
      <w:r>
        <w:rPr>
          <w:rFonts w:hint="eastAsia" w:ascii="宋体" w:hAnsi="宋体" w:cs="宋体"/>
          <w:b w:val="0"/>
          <w:bCs w:val="0"/>
          <w:color w:val="auto"/>
          <w:kern w:val="2"/>
          <w:sz w:val="21"/>
          <w:szCs w:val="21"/>
          <w:highlight w:val="none"/>
          <w:u w:val="none"/>
          <w:lang w:val="en-US" w:eastAsia="zh-CN"/>
        </w:rPr>
        <w:t>后</w:t>
      </w:r>
      <w:r>
        <w:rPr>
          <w:rFonts w:hint="eastAsia" w:ascii="宋体" w:hAnsi="宋体" w:eastAsia="宋体" w:cs="宋体"/>
          <w:b w:val="0"/>
          <w:bCs w:val="0"/>
          <w:color w:val="auto"/>
          <w:kern w:val="2"/>
          <w:sz w:val="21"/>
          <w:szCs w:val="21"/>
          <w:highlight w:val="none"/>
          <w:u w:val="none"/>
          <w:lang w:val="zh-CN" w:eastAsia="zh-CN"/>
        </w:rPr>
        <w:t>响应</w:t>
      </w:r>
      <w:r>
        <w:rPr>
          <w:rFonts w:hint="eastAsia" w:ascii="宋体" w:hAnsi="宋体" w:eastAsia="宋体" w:cs="宋体"/>
          <w:b w:val="0"/>
          <w:bCs w:val="0"/>
          <w:color w:val="auto"/>
          <w:kern w:val="2"/>
          <w:sz w:val="21"/>
          <w:szCs w:val="21"/>
          <w:highlight w:val="none"/>
          <w:u w:val="none"/>
          <w:lang w:val="zh-CN"/>
        </w:rPr>
        <w:t>报价是供应商响应文件的有效组成部分。</w:t>
      </w:r>
      <w:r>
        <w:rPr>
          <w:rFonts w:hint="eastAsia" w:ascii="宋体" w:hAnsi="宋体" w:eastAsia="宋体" w:cs="宋体"/>
          <w:b/>
          <w:bCs/>
          <w:color w:val="auto"/>
          <w:kern w:val="2"/>
          <w:sz w:val="21"/>
          <w:szCs w:val="21"/>
          <w:highlight w:val="none"/>
          <w:u w:val="single"/>
          <w:lang w:val="zh-CN"/>
        </w:rPr>
        <w:t>如在磋商中磋商小组没有对本磋商文件作实质性变动增加新的需求，后一轮报价不得高于前一轮报价</w:t>
      </w:r>
      <w:r>
        <w:rPr>
          <w:rFonts w:hint="eastAsia" w:ascii="宋体" w:hAnsi="宋体" w:eastAsia="宋体" w:cs="宋体"/>
          <w:b/>
          <w:bCs/>
          <w:color w:val="auto"/>
          <w:kern w:val="2"/>
          <w:sz w:val="21"/>
          <w:szCs w:val="21"/>
          <w:highlight w:val="none"/>
          <w:u w:val="none"/>
          <w:lang w:val="zh-CN"/>
        </w:rPr>
        <w:t>。</w:t>
      </w:r>
    </w:p>
    <w:p>
      <w:pPr>
        <w:spacing w:line="360" w:lineRule="auto"/>
        <w:ind w:left="424" w:leftChars="-12" w:hanging="453" w:hangingChars="216"/>
        <w:jc w:val="both"/>
        <w:rPr>
          <w:rFonts w:hint="eastAsia" w:ascii="宋体" w:hAnsi="宋体" w:eastAsia="宋体" w:cs="宋体"/>
          <w:bCs/>
          <w:color w:val="auto"/>
          <w:kern w:val="2"/>
          <w:sz w:val="21"/>
          <w:highlight w:val="none"/>
          <w:lang w:val="zh-CN"/>
        </w:rPr>
      </w:pPr>
      <w:r>
        <w:rPr>
          <w:rFonts w:hint="eastAsia" w:ascii="宋体" w:hAnsi="宋体" w:eastAsia="宋体" w:cs="宋体"/>
          <w:color w:val="auto"/>
          <w:kern w:val="2"/>
          <w:sz w:val="21"/>
          <w:highlight w:val="none"/>
          <w:u w:val="none"/>
          <w:lang w:val="zh-CN"/>
        </w:rPr>
        <w:t>5.</w:t>
      </w:r>
      <w:r>
        <w:rPr>
          <w:rFonts w:hint="eastAsia" w:ascii="宋体" w:hAnsi="宋体" w:eastAsia="宋体" w:cs="宋体"/>
          <w:color w:val="auto"/>
          <w:kern w:val="2"/>
          <w:sz w:val="21"/>
          <w:highlight w:val="none"/>
          <w:u w:val="none"/>
          <w:lang w:val="en-US" w:eastAsia="zh-CN"/>
        </w:rPr>
        <w:t>7</w:t>
      </w:r>
      <w:r>
        <w:rPr>
          <w:rFonts w:hint="eastAsia" w:ascii="宋体" w:hAnsi="宋体" w:eastAsia="宋体" w:cs="宋体"/>
          <w:color w:val="auto"/>
          <w:kern w:val="2"/>
          <w:sz w:val="21"/>
          <w:highlight w:val="none"/>
          <w:u w:val="none"/>
          <w:lang w:val="zh-CN"/>
        </w:rPr>
        <w:t xml:space="preserve"> </w:t>
      </w:r>
      <w:r>
        <w:rPr>
          <w:rFonts w:hint="eastAsia" w:ascii="宋体" w:hAnsi="宋体" w:eastAsia="宋体" w:cs="宋体"/>
          <w:color w:val="auto"/>
          <w:kern w:val="2"/>
          <w:sz w:val="21"/>
          <w:highlight w:val="none"/>
          <w:u w:val="none"/>
          <w:lang w:val="en-US" w:eastAsia="zh-CN"/>
        </w:rPr>
        <w:t>根据评分标准以及各项权重，磋商小组各成员单独就每个供应商的商务状况、技术状况进行比较和评价，评出其商务得分和技术得分。</w:t>
      </w:r>
    </w:p>
    <w:p>
      <w:pPr>
        <w:spacing w:line="360" w:lineRule="auto"/>
        <w:ind w:left="426" w:hanging="426"/>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8</w:t>
      </w:r>
      <w:r>
        <w:rPr>
          <w:rFonts w:hint="eastAsia" w:ascii="宋体" w:hAnsi="宋体" w:eastAsia="宋体" w:cs="宋体"/>
          <w:color w:val="auto"/>
          <w:kern w:val="2"/>
          <w:sz w:val="21"/>
          <w:highlight w:val="none"/>
          <w:lang w:val="zh-CN"/>
        </w:rPr>
        <w:t xml:space="preserve"> 对有效供应商的磋商报价进行审查和价格评分。</w:t>
      </w:r>
    </w:p>
    <w:p>
      <w:pPr>
        <w:keepNext w:val="0"/>
        <w:keepLines w:val="0"/>
        <w:pageBreakBefore w:val="0"/>
        <w:widowControl w:val="0"/>
        <w:kinsoku/>
        <w:wordWrap/>
        <w:overflowPunct/>
        <w:topLinePunct w:val="0"/>
        <w:autoSpaceDE w:val="0"/>
        <w:autoSpaceDN w:val="0"/>
        <w:bidi w:val="0"/>
        <w:adjustRightInd w:val="0"/>
        <w:snapToGrid/>
        <w:spacing w:line="360" w:lineRule="auto"/>
        <w:ind w:left="422" w:right="51" w:hanging="422" w:hangingChars="201"/>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9</w:t>
      </w:r>
      <w:r>
        <w:rPr>
          <w:rFonts w:hint="eastAsia" w:ascii="宋体" w:hAnsi="宋体" w:eastAsia="宋体" w:cs="宋体"/>
          <w:color w:val="auto"/>
          <w:kern w:val="2"/>
          <w:sz w:val="21"/>
          <w:highlight w:val="none"/>
          <w:lang w:val="zh-CN"/>
        </w:rPr>
        <w:t xml:space="preserve"> </w:t>
      </w:r>
      <w:r>
        <w:rPr>
          <w:rFonts w:hint="eastAsia" w:ascii="宋体" w:hAnsi="宋体" w:eastAsia="宋体" w:cs="宋体"/>
          <w:b/>
          <w:bCs/>
          <w:color w:val="auto"/>
          <w:kern w:val="2"/>
          <w:sz w:val="21"/>
          <w:highlight w:val="none"/>
          <w:u w:val="single"/>
          <w:lang w:val="zh-CN"/>
        </w:rPr>
        <w:t>磋商小组</w:t>
      </w:r>
      <w:r>
        <w:rPr>
          <w:rFonts w:hint="eastAsia" w:ascii="宋体" w:hAnsi="宋体" w:eastAsia="宋体" w:cs="宋体"/>
          <w:b/>
          <w:bCs/>
          <w:color w:val="auto"/>
          <w:sz w:val="21"/>
          <w:szCs w:val="21"/>
          <w:highlight w:val="none"/>
          <w:u w:val="single"/>
        </w:rPr>
        <w:t>将向采购人推荐</w:t>
      </w:r>
      <w:r>
        <w:rPr>
          <w:rFonts w:hint="eastAsia" w:ascii="宋体" w:hAnsi="宋体" w:eastAsia="宋体" w:cs="宋体"/>
          <w:b/>
          <w:bCs/>
          <w:color w:val="auto"/>
          <w:sz w:val="21"/>
          <w:szCs w:val="21"/>
          <w:highlight w:val="none"/>
          <w:u w:val="single"/>
          <w:lang w:eastAsia="zh-CN"/>
        </w:rPr>
        <w:t>评审</w:t>
      </w:r>
      <w:r>
        <w:rPr>
          <w:rFonts w:hint="eastAsia" w:ascii="宋体" w:hAnsi="宋体" w:eastAsia="宋体" w:cs="宋体"/>
          <w:b/>
          <w:bCs/>
          <w:color w:val="auto"/>
          <w:sz w:val="21"/>
          <w:szCs w:val="21"/>
          <w:highlight w:val="none"/>
          <w:u w:val="single"/>
        </w:rPr>
        <w:t>最后综合得分最高</w:t>
      </w:r>
      <w:r>
        <w:rPr>
          <w:rFonts w:hint="eastAsia" w:ascii="宋体" w:hAnsi="宋体" w:eastAsia="宋体" w:cs="宋体"/>
          <w:b/>
          <w:bCs/>
          <w:color w:val="auto"/>
          <w:sz w:val="21"/>
          <w:szCs w:val="21"/>
          <w:highlight w:val="none"/>
          <w:u w:val="single"/>
          <w:lang w:val="en-US" w:eastAsia="zh-CN"/>
        </w:rPr>
        <w:t>的前二名</w:t>
      </w:r>
      <w:r>
        <w:rPr>
          <w:rFonts w:hint="eastAsia" w:ascii="宋体" w:hAnsi="宋体" w:eastAsia="宋体" w:cs="宋体"/>
          <w:b/>
          <w:bCs/>
          <w:color w:val="auto"/>
          <w:kern w:val="2"/>
          <w:sz w:val="21"/>
          <w:highlight w:val="none"/>
          <w:u w:val="single"/>
          <w:lang w:val="en-US" w:eastAsia="zh-CN"/>
        </w:rPr>
        <w:t>供应商</w:t>
      </w:r>
      <w:r>
        <w:rPr>
          <w:rFonts w:hint="eastAsia" w:ascii="宋体" w:hAnsi="宋体" w:eastAsia="宋体" w:cs="宋体"/>
          <w:b/>
          <w:bCs/>
          <w:color w:val="auto"/>
          <w:kern w:val="2"/>
          <w:sz w:val="21"/>
          <w:highlight w:val="none"/>
          <w:u w:val="single"/>
        </w:rPr>
        <w:t>为</w:t>
      </w:r>
      <w:r>
        <w:rPr>
          <w:rFonts w:hint="eastAsia" w:ascii="宋体" w:hAnsi="宋体" w:eastAsia="宋体" w:cs="宋体"/>
          <w:b/>
          <w:bCs/>
          <w:color w:val="auto"/>
          <w:sz w:val="21"/>
          <w:szCs w:val="21"/>
          <w:highlight w:val="none"/>
          <w:u w:val="single"/>
          <w:lang w:val="en-US" w:eastAsia="zh-CN"/>
        </w:rPr>
        <w:t>成交</w:t>
      </w:r>
      <w:r>
        <w:rPr>
          <w:rFonts w:hint="eastAsia" w:ascii="宋体" w:hAnsi="宋体" w:eastAsia="宋体" w:cs="宋体"/>
          <w:b/>
          <w:bCs/>
          <w:color w:val="auto"/>
          <w:sz w:val="21"/>
          <w:szCs w:val="21"/>
          <w:highlight w:val="none"/>
          <w:u w:val="single"/>
        </w:rPr>
        <w:t>候选人</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并标明排列顺序</w:t>
      </w:r>
      <w:r>
        <w:rPr>
          <w:rFonts w:hint="eastAsia" w:ascii="宋体" w:hAnsi="宋体" w:eastAsia="宋体" w:cs="宋体"/>
          <w:color w:val="auto"/>
          <w:kern w:val="2"/>
          <w:sz w:val="21"/>
          <w:highlight w:val="none"/>
          <w:lang w:val="zh-CN"/>
        </w:rPr>
        <w:t>。</w:t>
      </w:r>
    </w:p>
    <w:p>
      <w:pPr>
        <w:tabs>
          <w:tab w:val="left" w:pos="360"/>
        </w:tabs>
        <w:spacing w:line="360" w:lineRule="auto"/>
        <w:ind w:left="645" w:right="51" w:hanging="644" w:hangingChars="307"/>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highlight w:val="none"/>
          <w:lang w:val="zh-CN"/>
        </w:rPr>
        <w:t>5.</w:t>
      </w:r>
      <w:r>
        <w:rPr>
          <w:rFonts w:hint="eastAsia" w:ascii="宋体" w:hAnsi="宋体" w:eastAsia="宋体" w:cs="宋体"/>
          <w:color w:val="auto"/>
          <w:kern w:val="2"/>
          <w:sz w:val="21"/>
          <w:highlight w:val="none"/>
          <w:lang w:val="zh-CN"/>
        </w:rPr>
        <w:t>1</w:t>
      </w:r>
      <w:r>
        <w:rPr>
          <w:rFonts w:hint="eastAsia" w:ascii="宋体" w:hAnsi="宋体" w:eastAsia="宋体" w:cs="宋体"/>
          <w:color w:val="auto"/>
          <w:kern w:val="2"/>
          <w:sz w:val="21"/>
          <w:highlight w:val="none"/>
          <w:lang w:val="en-US" w:eastAsia="zh-CN"/>
        </w:rPr>
        <w:t>0</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sz w:val="21"/>
          <w:highlight w:val="none"/>
          <w:lang w:val="zh-CN"/>
        </w:rPr>
        <w:t>磋商小组</w:t>
      </w:r>
      <w:r>
        <w:rPr>
          <w:rFonts w:hint="eastAsia" w:ascii="宋体" w:hAnsi="宋体" w:eastAsia="宋体" w:cs="宋体"/>
          <w:color w:val="auto"/>
          <w:kern w:val="2"/>
          <w:sz w:val="21"/>
          <w:highlight w:val="none"/>
          <w:lang w:val="zh-CN"/>
        </w:rPr>
        <w:t>根据评审结果编写评审报告。</w:t>
      </w:r>
    </w:p>
    <w:p>
      <w:pPr>
        <w:tabs>
          <w:tab w:val="left" w:pos="1140"/>
        </w:tabs>
        <w:spacing w:line="360" w:lineRule="auto"/>
        <w:ind w:firstLine="3213" w:firstLineChars="1000"/>
        <w:rPr>
          <w:rFonts w:hint="eastAsia" w:ascii="宋体" w:hAnsi="宋体" w:eastAsia="宋体" w:cs="宋体"/>
          <w:b/>
          <w:bCs/>
          <w:color w:val="auto"/>
          <w:kern w:val="2"/>
          <w:sz w:val="32"/>
          <w:szCs w:val="32"/>
          <w:highlight w:val="none"/>
        </w:rPr>
      </w:pPr>
    </w:p>
    <w:p>
      <w:pPr>
        <w:tabs>
          <w:tab w:val="left" w:pos="1140"/>
        </w:tabs>
        <w:spacing w:line="360" w:lineRule="auto"/>
        <w:ind w:firstLine="2811" w:firstLineChars="1000"/>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二、响应文件的初审</w:t>
      </w:r>
    </w:p>
    <w:p>
      <w:pPr>
        <w:spacing w:line="360" w:lineRule="auto"/>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6、响应文件的初审分为资格性检查和符合性检查。</w:t>
      </w:r>
    </w:p>
    <w:p>
      <w:pPr>
        <w:spacing w:line="360" w:lineRule="auto"/>
        <w:ind w:left="443" w:leftChars="8" w:hanging="424" w:hangingChars="202"/>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6.1 资格性检查是指磋商小组依据法律法规和竞争性磋商文件的规定，对响应文件中的资格证明</w:t>
      </w:r>
      <w:r>
        <w:rPr>
          <w:rFonts w:hint="eastAsia" w:ascii="宋体" w:hAnsi="宋体" w:eastAsia="宋体" w:cs="宋体"/>
          <w:b w:val="0"/>
          <w:color w:val="auto"/>
          <w:kern w:val="2"/>
          <w:sz w:val="21"/>
          <w:szCs w:val="24"/>
          <w:highlight w:val="none"/>
          <w:lang w:val="zh-CN"/>
        </w:rPr>
        <w:t>、磋商保证金（</w:t>
      </w:r>
      <w:r>
        <w:rPr>
          <w:rFonts w:hint="eastAsia" w:ascii="宋体" w:hAnsi="宋体" w:eastAsia="宋体" w:cs="宋体"/>
          <w:b w:val="0"/>
          <w:color w:val="auto"/>
          <w:kern w:val="2"/>
          <w:sz w:val="21"/>
          <w:szCs w:val="24"/>
          <w:highlight w:val="none"/>
          <w:lang w:val="zh-CN" w:eastAsia="zh-CN"/>
        </w:rPr>
        <w:t>若有</w:t>
      </w:r>
      <w:r>
        <w:rPr>
          <w:rFonts w:hint="eastAsia" w:ascii="宋体" w:hAnsi="宋体" w:eastAsia="宋体" w:cs="宋体"/>
          <w:b w:val="0"/>
          <w:color w:val="auto"/>
          <w:kern w:val="2"/>
          <w:sz w:val="21"/>
          <w:szCs w:val="24"/>
          <w:highlight w:val="none"/>
          <w:lang w:val="zh-CN"/>
        </w:rPr>
        <w:t>）、</w:t>
      </w:r>
      <w:r>
        <w:rPr>
          <w:rFonts w:hint="eastAsia" w:ascii="宋体" w:hAnsi="宋体" w:eastAsia="宋体" w:cs="宋体"/>
          <w:b w:val="0"/>
          <w:color w:val="auto"/>
          <w:kern w:val="2"/>
          <w:sz w:val="21"/>
          <w:szCs w:val="24"/>
          <w:highlight w:val="none"/>
          <w:lang w:val="en-US" w:eastAsia="zh-CN"/>
        </w:rPr>
        <w:t>供应商</w:t>
      </w:r>
      <w:r>
        <w:rPr>
          <w:rFonts w:hint="eastAsia" w:ascii="宋体" w:hAnsi="宋体" w:eastAsia="宋体" w:cs="宋体"/>
          <w:b w:val="0"/>
          <w:color w:val="auto"/>
          <w:kern w:val="2"/>
          <w:sz w:val="21"/>
          <w:szCs w:val="24"/>
          <w:highlight w:val="none"/>
          <w:lang w:val="zh-CN"/>
        </w:rPr>
        <w:t>（含其不具有独立法人资格的分支机构）信用（由</w:t>
      </w:r>
      <w:r>
        <w:rPr>
          <w:rFonts w:hint="eastAsia" w:ascii="宋体" w:hAnsi="宋体" w:eastAsia="宋体" w:cs="宋体"/>
          <w:b w:val="0"/>
          <w:color w:val="auto"/>
          <w:kern w:val="2"/>
          <w:sz w:val="21"/>
          <w:szCs w:val="24"/>
          <w:highlight w:val="none"/>
          <w:lang w:val="en-US" w:eastAsia="zh-CN"/>
        </w:rPr>
        <w:t>采购</w:t>
      </w:r>
      <w:r>
        <w:rPr>
          <w:rFonts w:hint="eastAsia" w:ascii="宋体" w:hAnsi="宋体" w:eastAsia="宋体" w:cs="宋体"/>
          <w:b w:val="0"/>
          <w:color w:val="auto"/>
          <w:kern w:val="2"/>
          <w:sz w:val="21"/>
          <w:szCs w:val="24"/>
          <w:highlight w:val="none"/>
          <w:lang w:val="zh-CN"/>
        </w:rPr>
        <w:t>代理机构在递交</w:t>
      </w:r>
      <w:r>
        <w:rPr>
          <w:rFonts w:hint="eastAsia" w:ascii="宋体" w:hAnsi="宋体" w:eastAsia="宋体" w:cs="宋体"/>
          <w:b w:val="0"/>
          <w:color w:val="auto"/>
          <w:kern w:val="2"/>
          <w:sz w:val="21"/>
          <w:szCs w:val="24"/>
          <w:highlight w:val="none"/>
          <w:lang w:val="en-US" w:eastAsia="zh-CN"/>
        </w:rPr>
        <w:t>响应</w:t>
      </w:r>
      <w:r>
        <w:rPr>
          <w:rFonts w:hint="eastAsia" w:ascii="宋体" w:hAnsi="宋体" w:eastAsia="宋体" w:cs="宋体"/>
          <w:b w:val="0"/>
          <w:color w:val="auto"/>
          <w:kern w:val="2"/>
          <w:sz w:val="21"/>
          <w:szCs w:val="24"/>
          <w:highlight w:val="none"/>
          <w:lang w:val="zh-CN"/>
        </w:rPr>
        <w:t>文件截止时间当天通过“信用中国”网站对</w:t>
      </w:r>
      <w:r>
        <w:rPr>
          <w:rFonts w:hint="eastAsia" w:ascii="宋体" w:hAnsi="宋体" w:eastAsia="宋体" w:cs="宋体"/>
          <w:b w:val="0"/>
          <w:color w:val="auto"/>
          <w:kern w:val="2"/>
          <w:sz w:val="21"/>
          <w:szCs w:val="24"/>
          <w:highlight w:val="none"/>
          <w:lang w:val="en-US" w:eastAsia="zh-CN"/>
        </w:rPr>
        <w:t>供应商</w:t>
      </w:r>
      <w:r>
        <w:rPr>
          <w:rFonts w:hint="eastAsia" w:ascii="宋体" w:hAnsi="宋体" w:eastAsia="宋体" w:cs="宋体"/>
          <w:b w:val="0"/>
          <w:color w:val="auto"/>
          <w:kern w:val="2"/>
          <w:sz w:val="21"/>
          <w:szCs w:val="24"/>
          <w:highlight w:val="none"/>
          <w:lang w:val="zh-CN"/>
        </w:rPr>
        <w:t>信用进行查询，</w:t>
      </w:r>
      <w:r>
        <w:rPr>
          <w:rFonts w:hint="eastAsia" w:ascii="宋体" w:hAnsi="宋体" w:eastAsia="宋体" w:cs="宋体"/>
          <w:b w:val="0"/>
          <w:color w:val="auto"/>
          <w:kern w:val="2"/>
          <w:sz w:val="21"/>
          <w:szCs w:val="24"/>
          <w:highlight w:val="none"/>
          <w:lang w:val="en-US" w:eastAsia="zh-CN"/>
        </w:rPr>
        <w:t>采购</w:t>
      </w:r>
      <w:r>
        <w:rPr>
          <w:rFonts w:hint="eastAsia" w:ascii="宋体" w:hAnsi="宋体" w:eastAsia="宋体" w:cs="宋体"/>
          <w:b w:val="0"/>
          <w:color w:val="auto"/>
          <w:kern w:val="2"/>
          <w:sz w:val="21"/>
          <w:szCs w:val="24"/>
          <w:highlight w:val="none"/>
          <w:lang w:val="zh-CN"/>
        </w:rPr>
        <w:t>代理机构将查询情况提交</w:t>
      </w:r>
      <w:r>
        <w:rPr>
          <w:rFonts w:hint="eastAsia" w:ascii="宋体" w:hAnsi="宋体" w:eastAsia="宋体" w:cs="宋体"/>
          <w:b w:val="0"/>
          <w:color w:val="auto"/>
          <w:kern w:val="2"/>
          <w:sz w:val="21"/>
          <w:szCs w:val="24"/>
          <w:highlight w:val="none"/>
          <w:lang w:val="en-US" w:eastAsia="zh-CN"/>
        </w:rPr>
        <w:t>磋商小组</w:t>
      </w:r>
      <w:r>
        <w:rPr>
          <w:rFonts w:hint="eastAsia" w:ascii="宋体" w:hAnsi="宋体" w:eastAsia="宋体" w:cs="宋体"/>
          <w:b w:val="0"/>
          <w:color w:val="auto"/>
          <w:kern w:val="2"/>
          <w:sz w:val="21"/>
          <w:szCs w:val="24"/>
          <w:highlight w:val="none"/>
          <w:lang w:val="zh-CN"/>
        </w:rPr>
        <w:t>评审）</w:t>
      </w:r>
      <w:r>
        <w:rPr>
          <w:rFonts w:hint="eastAsia" w:ascii="宋体" w:hAnsi="宋体" w:eastAsia="宋体" w:cs="宋体"/>
          <w:color w:val="auto"/>
          <w:kern w:val="2"/>
          <w:sz w:val="21"/>
          <w:highlight w:val="none"/>
          <w:lang w:val="zh-CN"/>
        </w:rPr>
        <w:t>等进行审查，以确定供应商是否具备响应资格。</w:t>
      </w:r>
    </w:p>
    <w:p>
      <w:pPr>
        <w:spacing w:line="360" w:lineRule="auto"/>
        <w:ind w:left="424" w:hanging="424" w:hangingChars="202"/>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6.2 符合性检查是指磋商小组依据竞争性磋商文件规定，从响应文件的有效性、完整性和对竞争性磋商文件的响应程度进行审查，以确定是否对竞争性磋商文件的实质性要求作出响应。</w:t>
      </w:r>
    </w:p>
    <w:p>
      <w:pPr>
        <w:spacing w:line="360" w:lineRule="auto"/>
        <w:ind w:left="545" w:leftChars="227" w:firstLine="420" w:firstLine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实质性响应的磋商响应指的是符合竞争性磋商文件要求的全部“★”条款和验收标准而无任何重大偏离或保留。重大偏离或保留系指实质上影响到合同项下的供货</w:t>
      </w:r>
      <w:r>
        <w:rPr>
          <w:rFonts w:hint="eastAsia" w:ascii="宋体" w:hAnsi="宋体" w:eastAsia="宋体" w:cs="宋体"/>
          <w:color w:val="auto"/>
          <w:kern w:val="2"/>
          <w:sz w:val="21"/>
          <w:highlight w:val="none"/>
          <w:lang w:val="en-US" w:eastAsia="zh-CN"/>
        </w:rPr>
        <w:t>或</w:t>
      </w:r>
      <w:r>
        <w:rPr>
          <w:rFonts w:hint="eastAsia" w:ascii="宋体" w:hAnsi="宋体" w:eastAsia="宋体" w:cs="宋体"/>
          <w:color w:val="auto"/>
          <w:kern w:val="2"/>
          <w:sz w:val="21"/>
          <w:highlight w:val="none"/>
          <w:lang w:val="zh-CN"/>
        </w:rPr>
        <w:t>服务范围、质量和性能，或指与竞争性磋商文件有实质不一致，限制了合同项下采购人的权利和承包人的义务, 或对该重大偏离的修改对提交实质性响应磋商的其他供应商将不公平。</w:t>
      </w:r>
    </w:p>
    <w:p>
      <w:pPr>
        <w:spacing w:line="360" w:lineRule="auto"/>
        <w:ind w:firstLine="945" w:firstLineChars="4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磋商小组决定竞争性磋商文件的响应性是基于响应文件的内容本身而不靠外部的证据。</w:t>
      </w:r>
    </w:p>
    <w:p>
      <w:pPr>
        <w:spacing w:line="360" w:lineRule="auto"/>
        <w:ind w:left="545" w:leftChars="227" w:firstLine="422" w:firstLineChars="200"/>
        <w:jc w:val="both"/>
        <w:rPr>
          <w:rFonts w:hint="eastAsia" w:ascii="宋体" w:hAnsi="宋体" w:eastAsia="宋体" w:cs="宋体"/>
          <w:b/>
          <w:bCs/>
          <w:color w:val="auto"/>
          <w:kern w:val="2"/>
          <w:sz w:val="21"/>
          <w:highlight w:val="none"/>
          <w:u w:val="single"/>
          <w:lang w:val="zh-CN"/>
        </w:rPr>
      </w:pPr>
      <w:r>
        <w:rPr>
          <w:rFonts w:hint="eastAsia" w:ascii="宋体" w:hAnsi="宋体" w:eastAsia="宋体" w:cs="宋体"/>
          <w:b/>
          <w:bCs/>
          <w:color w:val="auto"/>
          <w:kern w:val="2"/>
          <w:sz w:val="21"/>
          <w:highlight w:val="none"/>
          <w:u w:val="single"/>
          <w:lang w:val="zh-CN"/>
        </w:rPr>
        <w:t>对是否符合实质性响应竞争性磋商文件有争议的响应文件,磋商小组将以记名方式表决,</w:t>
      </w:r>
      <w:r>
        <w:rPr>
          <w:rFonts w:hint="eastAsia" w:ascii="宋体" w:hAnsi="宋体" w:eastAsia="宋体" w:cs="宋体"/>
          <w:b/>
          <w:bCs/>
          <w:color w:val="auto"/>
          <w:kern w:val="2"/>
          <w:sz w:val="21"/>
          <w:highlight w:val="none"/>
          <w:u w:val="single"/>
          <w:lang w:val="en-US" w:eastAsia="zh-CN"/>
        </w:rPr>
        <w:t>根据少数服从多数的原则，获多数表决</w:t>
      </w:r>
      <w:r>
        <w:rPr>
          <w:rFonts w:hint="eastAsia" w:ascii="宋体" w:hAnsi="宋体" w:eastAsia="宋体" w:cs="宋体"/>
          <w:b/>
          <w:bCs/>
          <w:color w:val="auto"/>
          <w:kern w:val="2"/>
          <w:sz w:val="21"/>
          <w:highlight w:val="none"/>
          <w:u w:val="single"/>
          <w:lang w:val="zh-CN"/>
        </w:rPr>
        <w:t>的供应商才有资格进入下一阶段的评审,否则将被认定为无效响应文件</w:t>
      </w:r>
      <w:r>
        <w:rPr>
          <w:rFonts w:hint="eastAsia" w:ascii="宋体" w:hAnsi="宋体" w:eastAsia="宋体" w:cs="宋体"/>
          <w:b/>
          <w:bCs/>
          <w:color w:val="auto"/>
          <w:kern w:val="2"/>
          <w:sz w:val="21"/>
          <w:highlight w:val="none"/>
          <w:u w:val="none"/>
          <w:lang w:val="zh-CN"/>
        </w:rPr>
        <w:t>。</w:t>
      </w:r>
    </w:p>
    <w:p>
      <w:pPr>
        <w:spacing w:line="360" w:lineRule="auto"/>
        <w:jc w:val="both"/>
        <w:rPr>
          <w:rFonts w:hint="eastAsia" w:ascii="宋体" w:hAnsi="宋体" w:eastAsia="宋体" w:cs="宋体"/>
          <w:color w:val="auto"/>
          <w:kern w:val="2"/>
          <w:sz w:val="21"/>
          <w:highlight w:val="none"/>
          <w:lang w:val="zh-CN"/>
        </w:rPr>
      </w:pPr>
    </w:p>
    <w:p>
      <w:pPr>
        <w:spacing w:line="360" w:lineRule="auto"/>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7、响应文件出现下列情况之一的，被认定为无效</w:t>
      </w:r>
      <w:r>
        <w:rPr>
          <w:rFonts w:hint="eastAsia" w:ascii="宋体" w:hAnsi="宋体" w:eastAsia="宋体" w:cs="宋体"/>
          <w:b/>
          <w:color w:val="auto"/>
          <w:kern w:val="2"/>
          <w:sz w:val="21"/>
          <w:highlight w:val="none"/>
          <w:lang w:val="en-US" w:eastAsia="zh-CN"/>
        </w:rPr>
        <w:t>响应</w:t>
      </w:r>
      <w:r>
        <w:rPr>
          <w:rFonts w:hint="eastAsia" w:ascii="宋体" w:hAnsi="宋体" w:eastAsia="宋体" w:cs="宋体"/>
          <w:b/>
          <w:color w:val="auto"/>
          <w:kern w:val="2"/>
          <w:sz w:val="21"/>
          <w:highlight w:val="none"/>
          <w:lang w:val="zh-CN"/>
        </w:rPr>
        <w:t>：</w:t>
      </w:r>
    </w:p>
    <w:p>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color w:val="auto"/>
          <w:sz w:val="21"/>
          <w:szCs w:val="21"/>
          <w:highlight w:val="none"/>
          <w:u w:val="single"/>
        </w:rPr>
        <w:t>最</w:t>
      </w:r>
      <w:r>
        <w:rPr>
          <w:rFonts w:hint="eastAsia" w:ascii="宋体" w:hAnsi="宋体" w:eastAsia="宋体" w:cs="宋体"/>
          <w:b/>
          <w:color w:val="auto"/>
          <w:sz w:val="21"/>
          <w:szCs w:val="21"/>
          <w:highlight w:val="none"/>
          <w:u w:val="single"/>
          <w:lang w:val="en-US" w:eastAsia="zh-CN"/>
        </w:rPr>
        <w:t>后</w:t>
      </w:r>
      <w:r>
        <w:rPr>
          <w:rFonts w:hint="eastAsia" w:ascii="宋体" w:hAnsi="宋体" w:eastAsia="宋体" w:cs="宋体"/>
          <w:b/>
          <w:color w:val="auto"/>
          <w:sz w:val="21"/>
          <w:szCs w:val="21"/>
          <w:highlight w:val="none"/>
          <w:u w:val="single"/>
        </w:rPr>
        <w:t>响应报价</w:t>
      </w:r>
      <w:r>
        <w:rPr>
          <w:rFonts w:hint="eastAsia" w:ascii="宋体" w:hAnsi="宋体" w:eastAsia="宋体" w:cs="宋体"/>
          <w:b/>
          <w:color w:val="auto"/>
          <w:sz w:val="21"/>
          <w:szCs w:val="21"/>
          <w:highlight w:val="none"/>
          <w:u w:val="single"/>
          <w:lang w:val="en-US" w:eastAsia="zh-CN"/>
        </w:rPr>
        <w:t>高于</w:t>
      </w:r>
      <w:r>
        <w:rPr>
          <w:rFonts w:hint="eastAsia" w:ascii="宋体" w:hAnsi="宋体" w:eastAsia="宋体" w:cs="宋体"/>
          <w:b/>
          <w:color w:val="auto"/>
          <w:sz w:val="21"/>
          <w:szCs w:val="21"/>
          <w:highlight w:val="none"/>
          <w:u w:val="single"/>
        </w:rPr>
        <w:t>最高限价的</w:t>
      </w:r>
      <w:r>
        <w:rPr>
          <w:rFonts w:hint="eastAsia" w:ascii="宋体" w:hAnsi="宋体" w:eastAsia="宋体" w:cs="宋体"/>
          <w:b/>
          <w:color w:val="auto"/>
          <w:sz w:val="21"/>
          <w:szCs w:val="21"/>
          <w:highlight w:val="none"/>
        </w:rPr>
        <w:t>；</w:t>
      </w:r>
    </w:p>
    <w:p>
      <w:pPr>
        <w:pStyle w:val="187"/>
        <w:spacing w:line="360" w:lineRule="auto"/>
        <w:ind w:left="493" w:leftChars="0" w:hanging="493" w:hangingChars="234"/>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sz w:val="21"/>
          <w:szCs w:val="21"/>
          <w:highlight w:val="none"/>
          <w:lang w:val="en-US" w:eastAsia="zh-CN"/>
        </w:rPr>
        <w:t xml:space="preserve">7.2 </w:t>
      </w:r>
      <w:r>
        <w:rPr>
          <w:rFonts w:hint="eastAsia" w:ascii="宋体" w:hAnsi="宋体" w:eastAsia="宋体" w:cs="宋体"/>
          <w:b/>
          <w:color w:val="auto"/>
          <w:sz w:val="21"/>
          <w:szCs w:val="21"/>
          <w:highlight w:val="none"/>
          <w:u w:val="single"/>
          <w:lang w:val="en-US" w:eastAsia="zh-CN"/>
        </w:rPr>
        <w:t>供</w:t>
      </w:r>
      <w:r>
        <w:rPr>
          <w:rFonts w:hint="eastAsia" w:ascii="宋体" w:hAnsi="宋体" w:eastAsia="宋体" w:cs="宋体"/>
          <w:b/>
          <w:color w:val="auto"/>
          <w:kern w:val="0"/>
          <w:sz w:val="21"/>
          <w:szCs w:val="21"/>
          <w:highlight w:val="none"/>
          <w:u w:val="single"/>
          <w:lang w:val="en-US" w:eastAsia="zh-CN"/>
        </w:rPr>
        <w:t>应商</w:t>
      </w:r>
      <w:r>
        <w:rPr>
          <w:rFonts w:hint="eastAsia" w:ascii="宋体" w:hAnsi="宋体" w:eastAsia="宋体" w:cs="宋体"/>
          <w:b/>
          <w:color w:val="auto"/>
          <w:kern w:val="0"/>
          <w:sz w:val="21"/>
          <w:szCs w:val="21"/>
          <w:highlight w:val="none"/>
          <w:u w:val="single"/>
        </w:rPr>
        <w:t>以低于企业成本价报价，且</w:t>
      </w:r>
      <w:r>
        <w:rPr>
          <w:rFonts w:hint="eastAsia" w:ascii="宋体" w:hAnsi="宋体" w:eastAsia="宋体" w:cs="宋体"/>
          <w:b/>
          <w:color w:val="auto"/>
          <w:kern w:val="0"/>
          <w:sz w:val="21"/>
          <w:szCs w:val="21"/>
          <w:highlight w:val="none"/>
          <w:u w:val="single"/>
          <w:lang w:val="en-US" w:eastAsia="zh-CN"/>
        </w:rPr>
        <w:t>供应商</w:t>
      </w:r>
      <w:r>
        <w:rPr>
          <w:rFonts w:hint="eastAsia" w:ascii="宋体" w:hAnsi="宋体" w:eastAsia="宋体" w:cs="宋体"/>
          <w:b/>
          <w:color w:val="auto"/>
          <w:kern w:val="0"/>
          <w:sz w:val="21"/>
          <w:szCs w:val="21"/>
          <w:highlight w:val="none"/>
          <w:u w:val="single"/>
        </w:rPr>
        <w:t>不能合理说明或不能提供相关证明材料</w:t>
      </w:r>
      <w:r>
        <w:rPr>
          <w:rFonts w:hint="eastAsia" w:ascii="宋体" w:hAnsi="宋体" w:eastAsia="宋体" w:cs="宋体"/>
          <w:b/>
          <w:color w:val="auto"/>
          <w:kern w:val="0"/>
          <w:sz w:val="21"/>
          <w:szCs w:val="21"/>
          <w:highlight w:val="none"/>
          <w:u w:val="none"/>
        </w:rPr>
        <w:t>；</w:t>
      </w:r>
    </w:p>
    <w:p>
      <w:pPr>
        <w:pStyle w:val="187"/>
        <w:spacing w:line="360" w:lineRule="auto"/>
        <w:ind w:left="493" w:leftChars="0" w:hanging="493" w:hangingChars="234"/>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供应商不符合合格供应商的基本条件[含未提供资格证明文件，或供应商（含其不具有独立法人</w:t>
      </w:r>
    </w:p>
    <w:p>
      <w:pPr>
        <w:pStyle w:val="187"/>
        <w:spacing w:line="360" w:lineRule="auto"/>
        <w:ind w:left="418" w:leftChars="174"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rPr>
        <w:t>资格的分支机构）被列入“信用中国”网站（www.creditchina.gov.cn）失信被执行人、</w:t>
      </w:r>
      <w:r>
        <w:rPr>
          <w:rFonts w:hint="eastAsia" w:ascii="宋体" w:hAnsi="宋体" w:eastAsia="宋体" w:cs="宋体"/>
          <w:b/>
          <w:color w:val="auto"/>
          <w:sz w:val="21"/>
          <w:szCs w:val="21"/>
          <w:highlight w:val="none"/>
          <w:u w:val="single"/>
          <w:lang w:val="zh-CN"/>
        </w:rPr>
        <w:t>重大税收违法失信主体</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eastAsia="zh-CN"/>
        </w:rPr>
        <w:t>政府采购严重违法失信行为记录名单</w:t>
      </w:r>
      <w:r>
        <w:rPr>
          <w:rFonts w:hint="eastAsia" w:ascii="宋体" w:hAnsi="宋体" w:eastAsia="宋体" w:cs="宋体"/>
          <w:b/>
          <w:color w:val="auto"/>
          <w:sz w:val="21"/>
          <w:szCs w:val="21"/>
          <w:highlight w:val="none"/>
          <w:u w:val="single"/>
        </w:rPr>
        <w:t>（受惩黑名单），被列入但处罚期限届满的除外]</w:t>
      </w:r>
      <w:r>
        <w:rPr>
          <w:rFonts w:hint="eastAsia" w:ascii="宋体" w:hAnsi="宋体" w:eastAsia="宋体" w:cs="宋体"/>
          <w:b/>
          <w:color w:val="auto"/>
          <w:sz w:val="21"/>
          <w:szCs w:val="21"/>
          <w:highlight w:val="none"/>
        </w:rPr>
        <w:t>；</w:t>
      </w:r>
    </w:p>
    <w:p>
      <w:pPr>
        <w:pStyle w:val="187"/>
        <w:spacing w:line="360" w:lineRule="auto"/>
        <w:ind w:left="464" w:hanging="464" w:hangingChars="22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响应文件未按照</w:t>
      </w:r>
      <w:r>
        <w:rPr>
          <w:rFonts w:hint="eastAsia" w:ascii="宋体" w:hAnsi="宋体" w:eastAsia="宋体" w:cs="宋体"/>
          <w:b/>
          <w:color w:val="auto"/>
          <w:sz w:val="21"/>
          <w:szCs w:val="21"/>
          <w:highlight w:val="none"/>
          <w:u w:val="single"/>
          <w:lang w:eastAsia="zh-CN"/>
        </w:rPr>
        <w:t>竞争性磋商文件</w:t>
      </w:r>
      <w:r>
        <w:rPr>
          <w:rFonts w:hint="eastAsia" w:ascii="宋体" w:hAnsi="宋体" w:eastAsia="宋体" w:cs="宋体"/>
          <w:b/>
          <w:color w:val="auto"/>
          <w:sz w:val="21"/>
          <w:szCs w:val="21"/>
          <w:highlight w:val="none"/>
          <w:u w:val="single"/>
        </w:rPr>
        <w:t>规定要求密封；响应文件无</w:t>
      </w:r>
      <w:r>
        <w:rPr>
          <w:rFonts w:hint="eastAsia" w:ascii="宋体" w:hAnsi="宋体" w:eastAsia="宋体" w:cs="宋体"/>
          <w:b/>
          <w:color w:val="auto"/>
          <w:sz w:val="21"/>
          <w:szCs w:val="21"/>
          <w:highlight w:val="none"/>
          <w:u w:val="single"/>
          <w:lang w:eastAsia="zh-CN"/>
        </w:rPr>
        <w:t>法定代表人/执行事务合伙人</w:t>
      </w:r>
      <w:r>
        <w:rPr>
          <w:rFonts w:hint="eastAsia" w:ascii="宋体" w:hAnsi="宋体" w:eastAsia="宋体" w:cs="宋体"/>
          <w:b/>
          <w:color w:val="auto"/>
          <w:sz w:val="21"/>
          <w:szCs w:val="21"/>
          <w:highlight w:val="none"/>
          <w:u w:val="single"/>
        </w:rPr>
        <w:t>或其授权代表签字（或盖私章），或签字人无</w:t>
      </w:r>
      <w:r>
        <w:rPr>
          <w:rFonts w:hint="eastAsia" w:ascii="宋体" w:hAnsi="宋体" w:eastAsia="宋体" w:cs="宋体"/>
          <w:b/>
          <w:color w:val="auto"/>
          <w:sz w:val="21"/>
          <w:szCs w:val="21"/>
          <w:highlight w:val="none"/>
          <w:u w:val="single"/>
          <w:lang w:eastAsia="zh-CN"/>
        </w:rPr>
        <w:t>法定代表人/执行事务合伙人</w:t>
      </w:r>
      <w:r>
        <w:rPr>
          <w:rFonts w:hint="eastAsia" w:ascii="宋体" w:hAnsi="宋体" w:eastAsia="宋体" w:cs="宋体"/>
          <w:b/>
          <w:color w:val="auto"/>
          <w:sz w:val="21"/>
          <w:szCs w:val="21"/>
          <w:highlight w:val="none"/>
          <w:u w:val="single"/>
        </w:rPr>
        <w:t>有效授权的；签字盖章不符合</w:t>
      </w:r>
      <w:r>
        <w:rPr>
          <w:rFonts w:hint="eastAsia" w:ascii="宋体" w:hAnsi="宋体" w:eastAsia="宋体" w:cs="宋体"/>
          <w:b/>
          <w:color w:val="auto"/>
          <w:sz w:val="21"/>
          <w:szCs w:val="21"/>
          <w:highlight w:val="none"/>
          <w:u w:val="single"/>
          <w:lang w:val="en-US" w:eastAsia="zh-CN"/>
        </w:rPr>
        <w:t>竞争性磋商</w:t>
      </w:r>
      <w:r>
        <w:rPr>
          <w:rFonts w:hint="eastAsia" w:ascii="宋体" w:hAnsi="宋体" w:eastAsia="宋体" w:cs="宋体"/>
          <w:b/>
          <w:color w:val="auto"/>
          <w:sz w:val="21"/>
          <w:szCs w:val="21"/>
          <w:highlight w:val="none"/>
          <w:u w:val="single"/>
        </w:rPr>
        <w:t>文件要求的</w:t>
      </w:r>
      <w:r>
        <w:rPr>
          <w:rFonts w:hint="eastAsia" w:ascii="宋体" w:hAnsi="宋体" w:eastAsia="宋体" w:cs="宋体"/>
          <w:b/>
          <w:color w:val="auto"/>
          <w:sz w:val="21"/>
          <w:szCs w:val="21"/>
          <w:highlight w:val="none"/>
        </w:rPr>
        <w:t xml:space="preserve">； </w:t>
      </w:r>
    </w:p>
    <w:p>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lang w:val="en-US" w:eastAsia="zh-CN"/>
        </w:rPr>
        <w:t>响应文件</w:t>
      </w:r>
      <w:r>
        <w:rPr>
          <w:rFonts w:hint="eastAsia" w:ascii="宋体" w:hAnsi="宋体" w:eastAsia="宋体" w:cs="宋体"/>
          <w:b/>
          <w:color w:val="auto"/>
          <w:sz w:val="21"/>
          <w:szCs w:val="21"/>
          <w:highlight w:val="none"/>
          <w:u w:val="single"/>
        </w:rPr>
        <w:t>有效期限不符合要求</w:t>
      </w:r>
      <w:r>
        <w:rPr>
          <w:rFonts w:hint="eastAsia" w:ascii="宋体" w:hAnsi="宋体" w:eastAsia="宋体" w:cs="宋体"/>
          <w:b/>
          <w:color w:val="auto"/>
          <w:sz w:val="21"/>
          <w:szCs w:val="21"/>
          <w:highlight w:val="none"/>
        </w:rPr>
        <w:t>；</w:t>
      </w:r>
    </w:p>
    <w:p>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lang w:val="en-US" w:eastAsia="zh-CN"/>
        </w:rPr>
        <w:t>响应文件未对采购范围内的全部内容进行响应报价</w:t>
      </w:r>
      <w:r>
        <w:rPr>
          <w:rFonts w:hint="eastAsia" w:ascii="宋体" w:hAnsi="宋体" w:eastAsia="宋体" w:cs="宋体"/>
          <w:b/>
          <w:color w:val="auto"/>
          <w:sz w:val="21"/>
          <w:szCs w:val="21"/>
          <w:highlight w:val="none"/>
          <w:u w:val="single"/>
        </w:rPr>
        <w:t>或</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rPr>
        <w:t>方案不是唯一</w:t>
      </w:r>
      <w:r>
        <w:rPr>
          <w:rFonts w:hint="eastAsia" w:ascii="宋体" w:hAnsi="宋体" w:eastAsia="宋体" w:cs="宋体"/>
          <w:b/>
          <w:color w:val="auto"/>
          <w:sz w:val="21"/>
          <w:szCs w:val="21"/>
          <w:highlight w:val="none"/>
        </w:rPr>
        <w:t>；</w:t>
      </w:r>
    </w:p>
    <w:p>
      <w:pPr>
        <w:pStyle w:val="187"/>
        <w:spacing w:line="360" w:lineRule="auto"/>
        <w:ind w:left="493" w:leftChars="0" w:hanging="493" w:hangingChars="234"/>
        <w:rPr>
          <w:rFonts w:hint="eastAsia" w:ascii="宋体" w:hAnsi="宋体" w:eastAsia="宋体" w:cs="宋体"/>
          <w:b/>
          <w:color w:val="auto"/>
          <w:sz w:val="21"/>
          <w:szCs w:val="21"/>
          <w:highlight w:val="none"/>
          <w:u w:val="single"/>
          <w:lang w:val="en-US" w:eastAsia="zh-CN"/>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 xml:space="preserve">7 </w:t>
      </w:r>
      <w:r>
        <w:rPr>
          <w:rFonts w:hint="eastAsia" w:ascii="宋体" w:hAnsi="宋体" w:eastAsia="宋体" w:cs="宋体"/>
          <w:b/>
          <w:color w:val="auto"/>
          <w:sz w:val="21"/>
          <w:szCs w:val="21"/>
          <w:highlight w:val="none"/>
          <w:u w:val="single"/>
          <w:lang w:val="en-US" w:eastAsia="zh-CN"/>
        </w:rPr>
        <w:t>未提供或</w:t>
      </w:r>
      <w:r>
        <w:rPr>
          <w:rFonts w:hint="eastAsia" w:ascii="宋体" w:hAnsi="宋体" w:eastAsia="宋体" w:cs="宋体"/>
          <w:b/>
          <w:color w:val="auto"/>
          <w:sz w:val="21"/>
          <w:szCs w:val="21"/>
          <w:highlight w:val="none"/>
          <w:u w:val="single"/>
        </w:rPr>
        <w:t>虚假填写《合同条款偏离表》和《用户需求偏离表》的，或</w:t>
      </w:r>
      <w:r>
        <w:rPr>
          <w:rFonts w:hint="eastAsia" w:ascii="宋体" w:hAnsi="宋体" w:eastAsia="宋体" w:cs="宋体"/>
          <w:b/>
          <w:color w:val="auto"/>
          <w:sz w:val="21"/>
          <w:szCs w:val="21"/>
          <w:highlight w:val="none"/>
          <w:u w:val="single"/>
          <w:lang w:val="en-US" w:eastAsia="zh-CN"/>
        </w:rPr>
        <w:t>经磋商小组与供应商进行</w:t>
      </w:r>
    </w:p>
    <w:p>
      <w:pPr>
        <w:pStyle w:val="187"/>
        <w:spacing w:line="360" w:lineRule="auto"/>
        <w:ind w:left="418" w:leftChars="174"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lang w:val="en-US" w:eastAsia="zh-CN"/>
        </w:rPr>
        <w:t>磋商后，供应商最终的</w:t>
      </w:r>
      <w:r>
        <w:rPr>
          <w:rFonts w:hint="eastAsia" w:ascii="宋体" w:hAnsi="宋体" w:eastAsia="宋体" w:cs="宋体"/>
          <w:b/>
          <w:color w:val="auto"/>
          <w:sz w:val="21"/>
          <w:szCs w:val="21"/>
          <w:highlight w:val="none"/>
          <w:u w:val="single"/>
        </w:rPr>
        <w:t>《合同条款偏离表》</w:t>
      </w:r>
      <w:r>
        <w:rPr>
          <w:rFonts w:hint="eastAsia" w:ascii="宋体" w:hAnsi="宋体" w:eastAsia="宋体" w:cs="宋体"/>
          <w:b/>
          <w:color w:val="auto"/>
          <w:sz w:val="21"/>
          <w:szCs w:val="21"/>
          <w:highlight w:val="none"/>
          <w:u w:val="single"/>
          <w:lang w:val="en-US" w:eastAsia="zh-CN"/>
        </w:rPr>
        <w:t>响应条款</w:t>
      </w:r>
      <w:r>
        <w:rPr>
          <w:rFonts w:hint="eastAsia" w:ascii="宋体" w:hAnsi="宋体" w:eastAsia="宋体" w:cs="宋体"/>
          <w:b/>
          <w:color w:val="auto"/>
          <w:sz w:val="21"/>
          <w:szCs w:val="21"/>
          <w:highlight w:val="none"/>
          <w:u w:val="single"/>
        </w:rPr>
        <w:t>有重大的负偏离导致采购人利益无法得到保障、存在采购人无法接受的风险的</w:t>
      </w:r>
      <w:r>
        <w:rPr>
          <w:rFonts w:hint="eastAsia" w:ascii="宋体" w:hAnsi="宋体" w:eastAsia="宋体" w:cs="宋体"/>
          <w:b/>
          <w:color w:val="auto"/>
          <w:sz w:val="21"/>
          <w:szCs w:val="21"/>
          <w:highlight w:val="none"/>
        </w:rPr>
        <w:t>；</w:t>
      </w:r>
    </w:p>
    <w:p>
      <w:pPr>
        <w:pStyle w:val="187"/>
        <w:spacing w:line="360" w:lineRule="auto"/>
        <w:ind w:firstLine="0" w:firstLineChars="0"/>
        <w:rPr>
          <w:rFonts w:hint="eastAsia" w:ascii="宋体" w:hAnsi="宋体" w:eastAsia="宋体" w:cs="宋体"/>
          <w:color w:val="auto"/>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未实质性满足</w:t>
      </w:r>
      <w:r>
        <w:rPr>
          <w:rFonts w:hint="eastAsia" w:ascii="宋体" w:hAnsi="宋体" w:eastAsia="宋体" w:cs="宋体"/>
          <w:b/>
          <w:color w:val="auto"/>
          <w:sz w:val="21"/>
          <w:szCs w:val="21"/>
          <w:highlight w:val="none"/>
          <w:u w:val="single"/>
          <w:lang w:eastAsia="zh-CN"/>
        </w:rPr>
        <w:t>竞争性磋商文件</w:t>
      </w:r>
      <w:r>
        <w:rPr>
          <w:rFonts w:hint="eastAsia" w:ascii="宋体" w:hAnsi="宋体" w:eastAsia="宋体" w:cs="宋体"/>
          <w:b/>
          <w:color w:val="auto"/>
          <w:sz w:val="21"/>
          <w:szCs w:val="21"/>
          <w:highlight w:val="none"/>
          <w:u w:val="single"/>
        </w:rPr>
        <w:t>提出的实质性要求和条件（标注★的条款）</w:t>
      </w:r>
      <w:r>
        <w:rPr>
          <w:rFonts w:hint="eastAsia" w:ascii="宋体" w:hAnsi="宋体" w:eastAsia="宋体" w:cs="宋体"/>
          <w:b/>
          <w:color w:val="auto"/>
          <w:sz w:val="21"/>
          <w:szCs w:val="21"/>
          <w:highlight w:val="none"/>
        </w:rPr>
        <w:t>。</w:t>
      </w:r>
    </w:p>
    <w:p>
      <w:pPr>
        <w:spacing w:line="360" w:lineRule="auto"/>
        <w:ind w:left="315" w:hanging="315" w:hangingChars="150"/>
        <w:jc w:val="both"/>
        <w:rPr>
          <w:rFonts w:hint="eastAsia" w:ascii="宋体" w:hAnsi="宋体" w:eastAsia="宋体" w:cs="宋体"/>
          <w:color w:val="auto"/>
          <w:sz w:val="21"/>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270" w:hanging="270" w:hangingChars="129"/>
        <w:jc w:val="both"/>
        <w:textAlignment w:val="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8、磋商小组应当书面要求存在细微偏差的供应商在磋商评审结束前予以补正。细微偏差是指响应文件在实质上响应竞争性磋商文件要求，但在个别地方存在漏项或者提供了不完整的技术方案信息和数据等情况，并且补正这些遗漏或者不完整不会对其他供应商造成不公平的结果。细微偏差不影响响应文件的有效性。</w:t>
      </w:r>
    </w:p>
    <w:p>
      <w:pPr>
        <w:pStyle w:val="187"/>
        <w:spacing w:line="360" w:lineRule="auto"/>
        <w:ind w:left="735" w:firstLine="0" w:firstLineChars="0"/>
        <w:rPr>
          <w:rFonts w:hint="eastAsia" w:ascii="宋体" w:hAnsi="宋体" w:eastAsia="宋体" w:cs="宋体"/>
          <w:b/>
          <w:color w:val="auto"/>
          <w:sz w:val="21"/>
          <w:szCs w:val="21"/>
          <w:highlight w:val="none"/>
        </w:rPr>
      </w:pPr>
    </w:p>
    <w:p>
      <w:pPr>
        <w:tabs>
          <w:tab w:val="left" w:pos="1140"/>
        </w:tabs>
        <w:spacing w:line="360" w:lineRule="auto"/>
        <w:ind w:firstLine="3528" w:firstLineChars="1255"/>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三、澄清有关问题</w:t>
      </w:r>
    </w:p>
    <w:p>
      <w:pPr>
        <w:keepNext w:val="0"/>
        <w:keepLines w:val="0"/>
        <w:pageBreakBefore w:val="0"/>
        <w:widowControl w:val="0"/>
        <w:kinsoku/>
        <w:wordWrap/>
        <w:overflowPunct/>
        <w:topLinePunct w:val="0"/>
        <w:autoSpaceDE w:val="0"/>
        <w:autoSpaceDN w:val="0"/>
        <w:bidi w:val="0"/>
        <w:adjustRightInd w:val="0"/>
        <w:snapToGrid/>
        <w:spacing w:line="360" w:lineRule="auto"/>
        <w:ind w:left="270" w:hanging="270" w:hangingChars="129"/>
        <w:jc w:val="both"/>
        <w:textAlignment w:val="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9、在响应</w:t>
      </w:r>
      <w:r>
        <w:rPr>
          <w:rFonts w:hint="eastAsia" w:ascii="宋体" w:hAnsi="宋体" w:eastAsia="宋体" w:cs="宋体"/>
          <w:color w:val="auto"/>
          <w:sz w:val="21"/>
          <w:highlight w:val="none"/>
          <w:lang w:val="zh-CN" w:eastAsia="zh-CN"/>
        </w:rPr>
        <w:t>文件</w:t>
      </w:r>
      <w:r>
        <w:rPr>
          <w:rFonts w:hint="eastAsia" w:ascii="宋体" w:hAnsi="宋体" w:eastAsia="宋体" w:cs="宋体"/>
          <w:color w:val="auto"/>
          <w:sz w:val="21"/>
          <w:highlight w:val="none"/>
          <w:lang w:val="zh-CN"/>
        </w:rPr>
        <w:t>的商务、技术资格性检查及符合性检查过程中，供应商可应磋商小组要求对响应文件中有关问题进行书面澄清。该书面澄清作为其响应文件的一部分。</w:t>
      </w:r>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9.1</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对</w:t>
      </w:r>
      <w:r>
        <w:rPr>
          <w:rFonts w:hint="eastAsia" w:ascii="宋体" w:hAnsi="宋体" w:eastAsia="宋体" w:cs="宋体"/>
          <w:color w:val="auto"/>
          <w:sz w:val="21"/>
          <w:highlight w:val="none"/>
          <w:lang w:val="zh-CN"/>
        </w:rPr>
        <w:t>响应文件</w:t>
      </w:r>
      <w:r>
        <w:rPr>
          <w:rFonts w:hint="eastAsia" w:ascii="宋体" w:hAnsi="宋体" w:eastAsia="宋体" w:cs="宋体"/>
          <w:color w:val="auto"/>
          <w:kern w:val="2"/>
          <w:sz w:val="21"/>
          <w:highlight w:val="none"/>
          <w:lang w:val="zh-CN"/>
        </w:rPr>
        <w:t>中含义不明确、同类问题表述不一致或者有明显文字和计算错误的内容，磋商小组可以书面形式（由磋商小组成员签字）要求供应商作出必要的澄清、说明或者纠正。</w:t>
      </w:r>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9.2 供应商的澄清、说明或者纠正应当采用书面形式，由其授权的代表签字，并不得超出响应文件的范围或者改变响应文件的实质性内容。</w:t>
      </w:r>
    </w:p>
    <w:p>
      <w:pPr>
        <w:keepNext w:val="0"/>
        <w:keepLines w:val="0"/>
        <w:pageBreakBefore w:val="0"/>
        <w:widowControl w:val="0"/>
        <w:kinsoku/>
        <w:wordWrap/>
        <w:overflowPunct/>
        <w:topLinePunct w:val="0"/>
        <w:autoSpaceDE w:val="0"/>
        <w:autoSpaceDN w:val="0"/>
        <w:bidi w:val="0"/>
        <w:adjustRightInd w:val="0"/>
        <w:snapToGrid/>
        <w:spacing w:line="360" w:lineRule="auto"/>
        <w:ind w:left="420" w:right="18"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9.3 经过澄清后仍不符合要求，则该项目在下一步评审进行评分调整；若重大（实质性）偏差仍存在，且不可接受，供应商则被认为是“不响应竞争性磋商文件要求的供应商”，不再进入下一步评审。</w:t>
      </w:r>
    </w:p>
    <w:p>
      <w:pPr>
        <w:pStyle w:val="187"/>
        <w:spacing w:line="360" w:lineRule="auto"/>
        <w:ind w:left="424" w:hanging="424" w:hanging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 竞争性磋商文件计算错误的修正</w:t>
      </w:r>
    </w:p>
    <w:p>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（1）当以数字表示的金额与以文字表示的金额不一致时，以文字表示的金额为准；</w:t>
      </w:r>
    </w:p>
    <w:p>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（2）当分项报价表内合计与</w:t>
      </w:r>
      <w:r>
        <w:rPr>
          <w:rFonts w:hint="eastAsia" w:ascii="宋体" w:hAnsi="宋体" w:eastAsia="宋体" w:cs="宋体"/>
          <w:color w:val="auto"/>
          <w:kern w:val="2"/>
          <w:sz w:val="21"/>
          <w:szCs w:val="21"/>
          <w:highlight w:val="none"/>
          <w:lang w:val="en-US" w:eastAsia="zh-CN"/>
        </w:rPr>
        <w:t>首次</w:t>
      </w:r>
      <w:r>
        <w:rPr>
          <w:rFonts w:hint="eastAsia" w:ascii="宋体" w:hAnsi="宋体" w:eastAsia="宋体" w:cs="宋体"/>
          <w:color w:val="auto"/>
          <w:kern w:val="2"/>
          <w:sz w:val="21"/>
          <w:szCs w:val="21"/>
          <w:highlight w:val="none"/>
          <w:lang w:val="zh-CN" w:eastAsia="zh-CN"/>
        </w:rPr>
        <w:t>报价表内报价不一致时，以</w:t>
      </w:r>
      <w:r>
        <w:rPr>
          <w:rFonts w:hint="eastAsia" w:ascii="宋体" w:hAnsi="宋体" w:eastAsia="宋体" w:cs="宋体"/>
          <w:color w:val="auto"/>
          <w:kern w:val="2"/>
          <w:sz w:val="21"/>
          <w:szCs w:val="21"/>
          <w:highlight w:val="none"/>
          <w:lang w:val="en-US" w:eastAsia="zh-CN"/>
        </w:rPr>
        <w:t>首次</w:t>
      </w:r>
      <w:r>
        <w:rPr>
          <w:rFonts w:hint="eastAsia" w:ascii="宋体" w:hAnsi="宋体" w:eastAsia="宋体" w:cs="宋体"/>
          <w:color w:val="auto"/>
          <w:kern w:val="2"/>
          <w:sz w:val="21"/>
          <w:szCs w:val="21"/>
          <w:highlight w:val="none"/>
          <w:lang w:val="zh-CN" w:eastAsia="zh-CN"/>
        </w:rPr>
        <w:t>报价表为准，修正分项报价表内的</w:t>
      </w:r>
    </w:p>
    <w:p>
      <w:pPr>
        <w:tabs>
          <w:tab w:val="left" w:pos="709"/>
          <w:tab w:val="left" w:pos="851"/>
        </w:tabs>
        <w:autoSpaceDE/>
        <w:autoSpaceDN/>
        <w:snapToGrid w:val="0"/>
        <w:spacing w:line="360" w:lineRule="auto"/>
        <w:ind w:left="0" w:leftChars="0" w:firstLine="478" w:firstLineChars="228"/>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eastAsia="zh-CN"/>
        </w:rPr>
        <w:t>各分项报价</w:t>
      </w:r>
      <w:r>
        <w:rPr>
          <w:rFonts w:hint="eastAsia" w:ascii="宋体" w:hAnsi="宋体" w:eastAsia="宋体" w:cs="宋体"/>
          <w:color w:val="auto"/>
          <w:kern w:val="2"/>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szCs w:val="24"/>
          <w:highlight w:val="none"/>
          <w:lang w:val="zh-CN"/>
        </w:rPr>
        <w:t>9.</w:t>
      </w:r>
      <w:r>
        <w:rPr>
          <w:rFonts w:hint="eastAsia" w:ascii="宋体" w:hAnsi="宋体" w:eastAsia="宋体" w:cs="宋体"/>
          <w:b/>
          <w:bCs/>
          <w:color w:val="auto"/>
          <w:kern w:val="2"/>
          <w:sz w:val="21"/>
          <w:szCs w:val="24"/>
          <w:highlight w:val="none"/>
          <w:lang w:val="zh-CN" w:eastAsia="zh-CN"/>
        </w:rPr>
        <w:t xml:space="preserve">5 </w:t>
      </w:r>
      <w:r>
        <w:rPr>
          <w:rFonts w:hint="eastAsia" w:ascii="宋体" w:hAnsi="宋体" w:eastAsia="宋体" w:cs="宋体"/>
          <w:b/>
          <w:bCs/>
          <w:color w:val="auto"/>
          <w:kern w:val="2"/>
          <w:sz w:val="21"/>
          <w:highlight w:val="none"/>
          <w:lang w:val="zh-CN"/>
        </w:rPr>
        <w:t>磋商小组按上述修正误差的原则调整的价格对其响应供应商具有约束力。如果响应供应商不接受修正后的价格，其报价将被拒绝</w:t>
      </w:r>
      <w:r>
        <w:rPr>
          <w:rFonts w:hint="eastAsia" w:ascii="宋体" w:hAnsi="宋体" w:cs="宋体"/>
          <w:b/>
          <w:bCs/>
          <w:color w:val="auto"/>
          <w:kern w:val="2"/>
          <w:sz w:val="21"/>
          <w:highlight w:val="none"/>
          <w:lang w:val="zh-CN"/>
        </w:rPr>
        <w:t>，</w:t>
      </w:r>
      <w:r>
        <w:rPr>
          <w:rFonts w:hint="eastAsia" w:ascii="宋体" w:hAnsi="宋体" w:eastAsia="宋体" w:cs="宋体"/>
          <w:b/>
          <w:bCs/>
          <w:color w:val="auto"/>
          <w:kern w:val="2"/>
          <w:sz w:val="21"/>
          <w:highlight w:val="none"/>
          <w:lang w:val="zh-CN"/>
        </w:rPr>
        <w:t>作为无效响应处理。</w:t>
      </w:r>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en-US" w:eastAsia="zh-CN"/>
        </w:rPr>
        <w:t xml:space="preserve">9.6 </w:t>
      </w:r>
      <w:r>
        <w:rPr>
          <w:rFonts w:hint="eastAsia" w:ascii="宋体" w:hAnsi="宋体" w:eastAsia="宋体" w:cs="宋体"/>
          <w:b/>
          <w:color w:val="auto"/>
          <w:sz w:val="21"/>
          <w:szCs w:val="21"/>
          <w:highlight w:val="none"/>
          <w:lang w:val="zh-CN"/>
        </w:rPr>
        <w:t>若</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出现超低报价，有可能影响服务质量和不能诚信履约的，</w:t>
      </w:r>
      <w:r>
        <w:rPr>
          <w:rFonts w:hint="eastAsia" w:ascii="宋体" w:hAnsi="宋体" w:eastAsia="宋体" w:cs="宋体"/>
          <w:b/>
          <w:color w:val="auto"/>
          <w:sz w:val="21"/>
          <w:szCs w:val="21"/>
          <w:highlight w:val="none"/>
          <w:lang w:val="en-US" w:eastAsia="zh-CN"/>
        </w:rPr>
        <w:t>磋商小组</w:t>
      </w:r>
      <w:r>
        <w:rPr>
          <w:rFonts w:hint="eastAsia" w:ascii="宋体" w:hAnsi="宋体" w:eastAsia="宋体" w:cs="宋体"/>
          <w:b/>
          <w:color w:val="auto"/>
          <w:sz w:val="21"/>
          <w:szCs w:val="21"/>
          <w:highlight w:val="none"/>
          <w:lang w:val="zh-CN"/>
        </w:rPr>
        <w:t>将要求该</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作出书面说明并提供相关证明材料，以确定</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是否以低于企业成本价报价。若</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不能合理说明或不能提供相关证明材料的，</w:t>
      </w:r>
      <w:r>
        <w:rPr>
          <w:rFonts w:hint="eastAsia" w:ascii="宋体" w:hAnsi="宋体" w:eastAsia="宋体" w:cs="宋体"/>
          <w:b/>
          <w:color w:val="auto"/>
          <w:sz w:val="21"/>
          <w:szCs w:val="21"/>
          <w:highlight w:val="none"/>
          <w:lang w:val="en-US" w:eastAsia="zh-CN"/>
        </w:rPr>
        <w:t>磋商小组</w:t>
      </w:r>
      <w:r>
        <w:rPr>
          <w:rFonts w:hint="eastAsia" w:ascii="宋体" w:hAnsi="宋体" w:eastAsia="宋体" w:cs="宋体"/>
          <w:b/>
          <w:color w:val="auto"/>
          <w:sz w:val="21"/>
          <w:szCs w:val="21"/>
          <w:highlight w:val="none"/>
          <w:lang w:val="zh-CN"/>
        </w:rPr>
        <w:t>将认定其</w:t>
      </w:r>
      <w:r>
        <w:rPr>
          <w:rFonts w:hint="eastAsia" w:ascii="宋体" w:hAnsi="宋体" w:eastAsia="宋体" w:cs="宋体"/>
          <w:b/>
          <w:color w:val="auto"/>
          <w:sz w:val="21"/>
          <w:szCs w:val="21"/>
          <w:highlight w:val="none"/>
          <w:lang w:val="en-US" w:eastAsia="zh-CN"/>
        </w:rPr>
        <w:t>响应</w:t>
      </w:r>
      <w:r>
        <w:rPr>
          <w:rFonts w:hint="eastAsia" w:ascii="宋体" w:hAnsi="宋体" w:eastAsia="宋体" w:cs="宋体"/>
          <w:b/>
          <w:color w:val="auto"/>
          <w:sz w:val="21"/>
          <w:szCs w:val="21"/>
          <w:highlight w:val="none"/>
          <w:lang w:val="zh-CN"/>
        </w:rPr>
        <w:t>报价低于成本，同时否决其</w:t>
      </w:r>
      <w:r>
        <w:rPr>
          <w:rFonts w:hint="eastAsia" w:ascii="宋体" w:hAnsi="宋体" w:eastAsia="宋体" w:cs="宋体"/>
          <w:b/>
          <w:color w:val="auto"/>
          <w:sz w:val="21"/>
          <w:szCs w:val="21"/>
          <w:highlight w:val="none"/>
          <w:lang w:val="en-US" w:eastAsia="zh-CN"/>
        </w:rPr>
        <w:t>递交的响应文件</w:t>
      </w:r>
      <w:r>
        <w:rPr>
          <w:rFonts w:hint="eastAsia" w:ascii="宋体" w:hAnsi="宋体" w:eastAsia="宋体" w:cs="宋体"/>
          <w:b/>
          <w:color w:val="auto"/>
          <w:sz w:val="21"/>
          <w:szCs w:val="21"/>
          <w:highlight w:val="none"/>
          <w:lang w:val="zh-CN"/>
        </w:rPr>
        <w:t>。</w:t>
      </w:r>
    </w:p>
    <w:p>
      <w:pPr>
        <w:pStyle w:val="187"/>
        <w:spacing w:line="360" w:lineRule="auto"/>
        <w:ind w:left="735" w:firstLine="0" w:firstLineChars="0"/>
        <w:rPr>
          <w:rFonts w:hint="eastAsia" w:ascii="宋体" w:hAnsi="宋体" w:eastAsia="宋体" w:cs="宋体"/>
          <w:color w:val="auto"/>
          <w:kern w:val="2"/>
          <w:sz w:val="21"/>
          <w:szCs w:val="21"/>
          <w:highlight w:val="none"/>
        </w:rPr>
      </w:pPr>
    </w:p>
    <w:p>
      <w:pPr>
        <w:spacing w:line="360" w:lineRule="auto"/>
        <w:ind w:firstLine="3528" w:firstLineChars="1255"/>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四、比较和评价</w:t>
      </w:r>
    </w:p>
    <w:p>
      <w:pPr>
        <w:spacing w:line="360" w:lineRule="auto"/>
        <w:ind w:left="422" w:leftChars="1" w:hanging="420" w:hanging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10、</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按</w:t>
      </w:r>
      <w:r>
        <w:rPr>
          <w:rFonts w:hint="eastAsia" w:ascii="宋体" w:hAnsi="宋体" w:eastAsia="宋体" w:cs="宋体"/>
          <w:color w:val="auto"/>
          <w:kern w:val="2"/>
          <w:sz w:val="21"/>
          <w:highlight w:val="none"/>
          <w:lang w:val="en-US" w:eastAsia="zh-CN"/>
        </w:rPr>
        <w:t>竞争性磋商</w:t>
      </w:r>
      <w:r>
        <w:rPr>
          <w:rFonts w:hint="eastAsia" w:ascii="宋体" w:hAnsi="宋体" w:eastAsia="宋体" w:cs="宋体"/>
          <w:color w:val="auto"/>
          <w:kern w:val="2"/>
          <w:sz w:val="21"/>
          <w:highlight w:val="none"/>
          <w:lang w:val="zh-CN"/>
        </w:rPr>
        <w:t>文件中规定的评审方法和标准，对资格性检查和符合性检查合格的响应文件进行商务和技术评估、综合比较与评价；</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 xml:space="preserve">根据商务和技术评估的结果，采用综合评分法，分别对响应文件的商务、技术、价格等内容进行打分。 </w:t>
      </w:r>
    </w:p>
    <w:p>
      <w:pPr>
        <w:tabs>
          <w:tab w:val="left" w:pos="780"/>
        </w:tabs>
        <w:spacing w:line="360" w:lineRule="auto"/>
        <w:ind w:left="780" w:hanging="780"/>
        <w:jc w:val="both"/>
        <w:rPr>
          <w:rFonts w:hint="eastAsia" w:ascii="宋体" w:hAnsi="宋体" w:eastAsia="宋体" w:cs="宋体"/>
          <w:b w:val="0"/>
          <w:bCs/>
          <w:color w:val="auto"/>
          <w:kern w:val="2"/>
          <w:sz w:val="21"/>
          <w:highlight w:val="none"/>
          <w:lang w:val="zh-CN"/>
        </w:rPr>
      </w:pPr>
      <w:r>
        <w:rPr>
          <w:rFonts w:hint="eastAsia" w:ascii="宋体" w:hAnsi="宋体" w:eastAsia="宋体" w:cs="宋体"/>
          <w:b w:val="0"/>
          <w:bCs/>
          <w:color w:val="auto"/>
          <w:kern w:val="2"/>
          <w:sz w:val="21"/>
          <w:highlight w:val="none"/>
          <w:lang w:val="zh-CN"/>
        </w:rPr>
        <w:t>11、</w:t>
      </w:r>
      <w:r>
        <w:rPr>
          <w:rFonts w:hint="eastAsia" w:ascii="宋体" w:hAnsi="宋体" w:eastAsia="宋体" w:cs="宋体"/>
          <w:b w:val="0"/>
          <w:bCs/>
          <w:color w:val="auto"/>
          <w:kern w:val="2"/>
          <w:sz w:val="21"/>
          <w:highlight w:val="none"/>
        </w:rPr>
        <w:t>磋商小组</w:t>
      </w:r>
      <w:r>
        <w:rPr>
          <w:rFonts w:hint="eastAsia" w:ascii="宋体" w:hAnsi="宋体" w:eastAsia="宋体" w:cs="宋体"/>
          <w:b w:val="0"/>
          <w:bCs/>
          <w:color w:val="auto"/>
          <w:kern w:val="2"/>
          <w:sz w:val="21"/>
          <w:highlight w:val="none"/>
          <w:lang w:val="zh-CN"/>
        </w:rPr>
        <w:t>打分办法</w:t>
      </w:r>
    </w:p>
    <w:p>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）参加评分的磋商小组成员应尽力体现客观、实事求是，避免学派偏见和个人偏好。</w:t>
      </w:r>
    </w:p>
    <w:p>
      <w:pPr>
        <w:spacing w:line="360" w:lineRule="auto"/>
        <w:ind w:left="422" w:leftChars="1" w:hanging="420" w:hanging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w:t>
      </w:r>
      <w:r>
        <w:rPr>
          <w:rFonts w:hint="eastAsia" w:ascii="宋体" w:hAnsi="宋体" w:eastAsia="宋体" w:cs="宋体"/>
          <w:color w:val="auto"/>
          <w:kern w:val="2"/>
          <w:sz w:val="21"/>
          <w:highlight w:val="none"/>
          <w:lang w:val="en-US" w:eastAsia="zh-CN"/>
        </w:rPr>
        <w:t>2</w:t>
      </w:r>
      <w:r>
        <w:rPr>
          <w:rFonts w:hint="eastAsia" w:ascii="宋体" w:hAnsi="宋体" w:eastAsia="宋体" w:cs="宋体"/>
          <w:color w:val="auto"/>
          <w:kern w:val="2"/>
          <w:sz w:val="21"/>
          <w:highlight w:val="none"/>
          <w:lang w:val="zh-CN"/>
        </w:rPr>
        <w:t>）衡量、对比的依据，应以竞争性磋商文件、响应文件、提供的正式试验数据、澄清中的文字为</w:t>
      </w:r>
    </w:p>
    <w:p>
      <w:pPr>
        <w:tabs>
          <w:tab w:val="left" w:pos="1134"/>
        </w:tabs>
        <w:spacing w:line="360" w:lineRule="auto"/>
        <w:ind w:left="1053" w:leftChars="220" w:hanging="525" w:hanging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准，口头回答和收集的资料只作为参考。</w:t>
      </w:r>
    </w:p>
    <w:p>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）评分主要是为比较各供应商的商务、技术和价格综合排序。</w:t>
      </w:r>
    </w:p>
    <w:p>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）磋商小组打分采取记名形式。</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504" w:hanging="504" w:hangingChars="24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highlight w:val="none"/>
          <w:lang w:val="zh-CN"/>
        </w:rPr>
        <w:t>各磋商小组成员根据秘书组提供的商务、技术打分表独立自主打分，任何人不得要求评委统一打分或统一确定等次顺序。</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504" w:hanging="504" w:hangingChars="24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w:t>
      </w:r>
      <w:r>
        <w:rPr>
          <w:rFonts w:hint="eastAsia" w:ascii="宋体" w:hAnsi="宋体" w:eastAsia="宋体" w:cs="宋体"/>
          <w:color w:val="auto"/>
          <w:kern w:val="2"/>
          <w:sz w:val="21"/>
          <w:highlight w:val="none"/>
          <w:lang w:val="en-US" w:eastAsia="zh-CN"/>
        </w:rPr>
        <w:t>6</w:t>
      </w:r>
      <w:r>
        <w:rPr>
          <w:rFonts w:hint="eastAsia" w:ascii="宋体" w:hAnsi="宋体" w:eastAsia="宋体" w:cs="宋体"/>
          <w:color w:val="auto"/>
          <w:kern w:val="2"/>
          <w:sz w:val="21"/>
          <w:highlight w:val="none"/>
          <w:lang w:val="zh-CN"/>
        </w:rPr>
        <w:t>）对打分表中的每项条款，各磋商小组成员应根据响应文件、澄清材料、竞争性磋商文件要求，按满足的程度给供应商打分。</w:t>
      </w:r>
    </w:p>
    <w:p>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）评分程序</w:t>
      </w:r>
    </w:p>
    <w:p>
      <w:pPr>
        <w:tabs>
          <w:tab w:val="left" w:pos="1134"/>
        </w:tabs>
        <w:spacing w:line="360" w:lineRule="auto"/>
        <w:ind w:left="1053" w:leftChars="220" w:hanging="525" w:hanging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1）就供应商的响应文件对照整理出商务、技术评审因素对比表，并在经过校核的基础上逐项</w:t>
      </w:r>
    </w:p>
    <w:p>
      <w:pPr>
        <w:tabs>
          <w:tab w:val="left" w:pos="1134"/>
        </w:tabs>
        <w:spacing w:line="360" w:lineRule="auto"/>
        <w:ind w:firstLine="840" w:firstLineChars="4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打分。</w:t>
      </w:r>
    </w:p>
    <w:p>
      <w:pPr>
        <w:spacing w:line="360" w:lineRule="auto"/>
        <w:ind w:firstLine="525" w:firstLine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2）各磋商小组成员独立完成打分后，将统计好的评分表交给</w:t>
      </w:r>
      <w:r>
        <w:rPr>
          <w:rFonts w:hint="eastAsia" w:ascii="宋体" w:hAnsi="宋体" w:eastAsia="宋体" w:cs="宋体"/>
          <w:color w:val="auto"/>
          <w:kern w:val="2"/>
          <w:sz w:val="21"/>
          <w:highlight w:val="none"/>
          <w:lang w:val="en-US" w:eastAsia="zh-CN"/>
        </w:rPr>
        <w:t>现场工作人员</w:t>
      </w:r>
      <w:r>
        <w:rPr>
          <w:rFonts w:hint="eastAsia" w:ascii="宋体" w:hAnsi="宋体" w:eastAsia="宋体" w:cs="宋体"/>
          <w:color w:val="auto"/>
          <w:kern w:val="2"/>
          <w:sz w:val="21"/>
          <w:highlight w:val="none"/>
          <w:lang w:val="zh-CN"/>
        </w:rPr>
        <w:t>复核。</w:t>
      </w:r>
    </w:p>
    <w:p>
      <w:pPr>
        <w:spacing w:line="360" w:lineRule="auto"/>
        <w:ind w:firstLine="525" w:firstLine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3）评分统计表中各供应商得分应为评委打分的算术平均值。</w:t>
      </w:r>
    </w:p>
    <w:p>
      <w:pPr>
        <w:spacing w:line="360" w:lineRule="auto"/>
        <w:ind w:left="2" w:leftChars="1"/>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12、评分因素及分值</w:t>
      </w:r>
    </w:p>
    <w:tbl>
      <w:tblPr>
        <w:tblStyle w:val="5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372"/>
        <w:gridCol w:w="49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评分因素</w:t>
            </w:r>
          </w:p>
        </w:tc>
        <w:tc>
          <w:tcPr>
            <w:tcW w:w="26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1、商务</w:t>
            </w:r>
          </w:p>
        </w:tc>
        <w:tc>
          <w:tcPr>
            <w:tcW w:w="2646"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en-US" w:eastAsia="zh-CN"/>
              </w:rPr>
              <w:t>45</w:t>
            </w:r>
            <w:r>
              <w:rPr>
                <w:rFonts w:hint="eastAsia" w:ascii="宋体" w:hAnsi="宋体" w:eastAsia="宋体" w:cs="宋体"/>
                <w:color w:val="auto"/>
                <w:kern w:val="2"/>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2、技术</w:t>
            </w:r>
          </w:p>
        </w:tc>
        <w:tc>
          <w:tcPr>
            <w:tcW w:w="2646"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en-US" w:eastAsia="zh-CN"/>
              </w:rPr>
              <w:t>45</w:t>
            </w:r>
            <w:r>
              <w:rPr>
                <w:rFonts w:hint="eastAsia" w:ascii="宋体" w:hAnsi="宋体" w:eastAsia="宋体" w:cs="宋体"/>
                <w:color w:val="auto"/>
                <w:kern w:val="2"/>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3、价格</w:t>
            </w:r>
          </w:p>
        </w:tc>
        <w:tc>
          <w:tcPr>
            <w:tcW w:w="2646"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val="zh-CN"/>
              </w:rPr>
              <w:t>分</w:t>
            </w:r>
          </w:p>
        </w:tc>
      </w:tr>
    </w:tbl>
    <w:p>
      <w:pPr>
        <w:keepNext w:val="0"/>
        <w:keepLines w:val="0"/>
        <w:pageBreakBefore w:val="0"/>
        <w:widowControl w:val="0"/>
        <w:tabs>
          <w:tab w:val="left" w:pos="585"/>
        </w:tabs>
        <w:kinsoku/>
        <w:wordWrap/>
        <w:overflowPunct/>
        <w:topLinePunct w:val="0"/>
        <w:bidi w:val="0"/>
        <w:snapToGrid/>
        <w:spacing w:line="360" w:lineRule="auto"/>
        <w:jc w:val="both"/>
        <w:textAlignment w:val="auto"/>
        <w:rPr>
          <w:rFonts w:hint="eastAsia" w:ascii="宋体" w:hAnsi="宋体" w:eastAsia="宋体" w:cs="宋体"/>
          <w:b/>
          <w:color w:val="auto"/>
          <w:kern w:val="2"/>
          <w:sz w:val="21"/>
          <w:szCs w:val="21"/>
          <w:highlight w:val="none"/>
          <w:lang w:val="zh-CN"/>
        </w:rPr>
      </w:pPr>
    </w:p>
    <w:p>
      <w:pPr>
        <w:keepNext w:val="0"/>
        <w:keepLines w:val="0"/>
        <w:pageBreakBefore w:val="0"/>
        <w:widowControl w:val="0"/>
        <w:tabs>
          <w:tab w:val="left" w:pos="585"/>
        </w:tabs>
        <w:kinsoku/>
        <w:wordWrap/>
        <w:overflowPunct/>
        <w:topLinePunct w:val="0"/>
        <w:bidi w:val="0"/>
        <w:snapToGrid/>
        <w:spacing w:line="360" w:lineRule="auto"/>
        <w:jc w:val="both"/>
        <w:textAlignment w:val="auto"/>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12.1商务：</w:t>
      </w:r>
    </w:p>
    <w:tbl>
      <w:tblPr>
        <w:tblStyle w:val="5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169"/>
        <w:gridCol w:w="929"/>
        <w:gridCol w:w="6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6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评审内容</w:t>
            </w: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满分值</w:t>
            </w:r>
          </w:p>
        </w:tc>
        <w:tc>
          <w:tcPr>
            <w:tcW w:w="3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财务状况</w:t>
            </w: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3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供应商202</w:t>
            </w:r>
            <w:r>
              <w:rPr>
                <w:rFonts w:hint="eastAsia" w:ascii="宋体" w:hAnsi="宋体" w:cs="宋体"/>
                <w:b w:val="0"/>
                <w:bCs/>
                <w:color w:val="auto"/>
                <w:kern w:val="0"/>
                <w:sz w:val="21"/>
                <w:szCs w:val="21"/>
                <w:highlight w:val="none"/>
                <w:lang w:val="en-US" w:eastAsia="zh-CN"/>
              </w:rPr>
              <w:t>2</w:t>
            </w:r>
            <w:r>
              <w:rPr>
                <w:rFonts w:hint="eastAsia" w:ascii="宋体" w:hAnsi="宋体" w:eastAsia="宋体" w:cs="宋体"/>
                <w:b w:val="0"/>
                <w:bCs/>
                <w:color w:val="auto"/>
                <w:kern w:val="0"/>
                <w:sz w:val="21"/>
                <w:szCs w:val="21"/>
                <w:highlight w:val="none"/>
                <w:lang w:val="zh-CN"/>
              </w:rPr>
              <w:t>年-202</w:t>
            </w:r>
            <w:r>
              <w:rPr>
                <w:rFonts w:hint="eastAsia" w:ascii="宋体" w:hAnsi="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lang w:val="zh-CN"/>
              </w:rPr>
              <w:t>年三个年度，每具有1个年度盈利的得</w:t>
            </w: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lang w:val="zh-CN"/>
              </w:rPr>
              <w:t>分，满分</w:t>
            </w:r>
            <w:r>
              <w:rPr>
                <w:rFonts w:hint="eastAsia" w:ascii="宋体" w:hAnsi="宋体" w:eastAsia="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lang w:val="zh-CN"/>
              </w:rPr>
              <w:t>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val="zh-CN"/>
              </w:rPr>
              <w:t>注：盈利指净利润为正数（非零、非负数），供应商应提供202</w:t>
            </w:r>
            <w:r>
              <w:rPr>
                <w:rFonts w:hint="eastAsia" w:ascii="宋体" w:hAnsi="宋体" w:cs="宋体"/>
                <w:b/>
                <w:color w:val="auto"/>
                <w:kern w:val="0"/>
                <w:sz w:val="21"/>
                <w:szCs w:val="21"/>
                <w:highlight w:val="none"/>
                <w:lang w:val="en-US" w:eastAsia="zh-CN"/>
              </w:rPr>
              <w:t>2</w:t>
            </w:r>
            <w:r>
              <w:rPr>
                <w:rFonts w:hint="eastAsia" w:ascii="宋体" w:hAnsi="宋体" w:eastAsia="宋体" w:cs="宋体"/>
                <w:b/>
                <w:color w:val="auto"/>
                <w:kern w:val="0"/>
                <w:sz w:val="21"/>
                <w:szCs w:val="21"/>
                <w:highlight w:val="none"/>
                <w:lang w:val="zh-CN"/>
              </w:rPr>
              <w:t>年、202</w:t>
            </w:r>
            <w:r>
              <w:rPr>
                <w:rFonts w:hint="eastAsia" w:ascii="宋体" w:hAnsi="宋体" w:cs="宋体"/>
                <w:b/>
                <w:color w:val="auto"/>
                <w:kern w:val="0"/>
                <w:sz w:val="21"/>
                <w:szCs w:val="21"/>
                <w:highlight w:val="none"/>
                <w:lang w:val="en-US" w:eastAsia="zh-CN"/>
              </w:rPr>
              <w:t>3</w:t>
            </w:r>
            <w:r>
              <w:rPr>
                <w:rFonts w:hint="eastAsia" w:ascii="宋体" w:hAnsi="宋体" w:eastAsia="宋体" w:cs="宋体"/>
                <w:b/>
                <w:color w:val="auto"/>
                <w:kern w:val="0"/>
                <w:sz w:val="21"/>
                <w:szCs w:val="21"/>
                <w:highlight w:val="none"/>
                <w:lang w:val="zh-CN"/>
              </w:rPr>
              <w:t>年、202</w:t>
            </w:r>
            <w:r>
              <w:rPr>
                <w:rFonts w:hint="eastAsia" w:ascii="宋体" w:hAnsi="宋体" w:cs="宋体"/>
                <w:b/>
                <w:color w:val="auto"/>
                <w:kern w:val="0"/>
                <w:sz w:val="21"/>
                <w:szCs w:val="21"/>
                <w:highlight w:val="none"/>
                <w:lang w:val="en-US" w:eastAsia="zh-CN"/>
              </w:rPr>
              <w:t>4</w:t>
            </w:r>
            <w:r>
              <w:rPr>
                <w:rFonts w:hint="eastAsia" w:ascii="宋体" w:hAnsi="宋体" w:eastAsia="宋体" w:cs="宋体"/>
                <w:b/>
                <w:color w:val="auto"/>
                <w:kern w:val="0"/>
                <w:sz w:val="21"/>
                <w:szCs w:val="21"/>
                <w:highlight w:val="none"/>
                <w:lang w:val="zh-CN"/>
              </w:rPr>
              <w:t>年三个年度的财务报表，净利润以对应年度经审计的财务报表为准，应提供经独立会计师事务所审计过的有效的财务报表复印件；未提供前述财务报表或财务报表未能反映净利润的，不得分。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9" w:type="pc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629" w:type="pc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50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分</w:t>
            </w:r>
          </w:p>
        </w:tc>
        <w:tc>
          <w:tcPr>
            <w:tcW w:w="3430" w:type="pct"/>
            <w:tcBorders>
              <w:top w:val="single" w:color="auto" w:sz="4" w:space="0"/>
              <w:left w:val="single" w:color="auto" w:sz="4" w:space="0"/>
              <w:bottom w:val="single" w:color="auto" w:sz="4" w:space="0"/>
              <w:right w:val="single" w:color="auto" w:sz="4" w:space="0"/>
            </w:tcBorders>
            <w:noWrap w:val="0"/>
            <w:vAlign w:val="center"/>
          </w:tcPr>
          <w:p>
            <w:pPr>
              <w:pStyle w:val="32"/>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以来具有资产审计服务业绩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合同签订日期时间为2022年1月1日或以后）</w:t>
            </w:r>
            <w:r>
              <w:rPr>
                <w:rFonts w:hint="eastAsia" w:ascii="宋体" w:hAnsi="宋体" w:eastAsia="宋体" w:cs="宋体"/>
                <w:color w:val="auto"/>
                <w:sz w:val="21"/>
                <w:szCs w:val="21"/>
                <w:highlight w:val="none"/>
                <w:lang w:val="en-US" w:eastAsia="zh-CN"/>
              </w:rPr>
              <w:t>进行评审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每项得2分，</w:t>
            </w:r>
            <w:r>
              <w:rPr>
                <w:rFonts w:hint="eastAsia" w:ascii="宋体" w:hAnsi="宋体" w:eastAsia="宋体" w:cs="宋体"/>
                <w:color w:val="auto"/>
                <w:sz w:val="21"/>
                <w:szCs w:val="21"/>
                <w:highlight w:val="none"/>
              </w:rPr>
              <w:t>本项</w:t>
            </w:r>
            <w:r>
              <w:rPr>
                <w:rFonts w:hint="eastAsia" w:ascii="宋体" w:hAnsi="宋体" w:eastAsia="宋体" w:cs="宋体"/>
                <w:color w:val="auto"/>
                <w:sz w:val="21"/>
                <w:szCs w:val="21"/>
                <w:highlight w:val="none"/>
                <w:lang w:val="en-US" w:eastAsia="zh-CN"/>
              </w:rPr>
              <w:t>满分6</w:t>
            </w:r>
            <w:r>
              <w:rPr>
                <w:rFonts w:hint="eastAsia" w:ascii="宋体" w:hAnsi="宋体" w:eastAsia="宋体" w:cs="宋体"/>
                <w:color w:val="auto"/>
                <w:sz w:val="21"/>
                <w:szCs w:val="21"/>
                <w:highlight w:val="none"/>
              </w:rPr>
              <w:t>分；</w:t>
            </w:r>
          </w:p>
          <w:p>
            <w:pPr>
              <w:pStyle w:val="32"/>
              <w:keepNext w:val="0"/>
              <w:keepLines w:val="0"/>
              <w:suppressLineNumbers w:val="0"/>
              <w:adjustRightInd/>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以来具有企业清算审计服务业绩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合同签订日期时间为2022年1月1日或以后）</w:t>
            </w:r>
            <w:r>
              <w:rPr>
                <w:rFonts w:hint="eastAsia" w:ascii="宋体" w:hAnsi="宋体" w:eastAsia="宋体" w:cs="宋体"/>
                <w:color w:val="auto"/>
                <w:sz w:val="21"/>
                <w:szCs w:val="21"/>
                <w:highlight w:val="none"/>
                <w:lang w:val="en-US" w:eastAsia="zh-CN"/>
              </w:rPr>
              <w:t>进行评审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每项得2分，</w:t>
            </w:r>
            <w:r>
              <w:rPr>
                <w:rFonts w:hint="eastAsia" w:ascii="宋体" w:hAnsi="宋体" w:eastAsia="宋体" w:cs="宋体"/>
                <w:color w:val="auto"/>
                <w:sz w:val="21"/>
                <w:szCs w:val="21"/>
                <w:highlight w:val="none"/>
              </w:rPr>
              <w:t>本项</w:t>
            </w:r>
            <w:r>
              <w:rPr>
                <w:rFonts w:hint="eastAsia" w:ascii="宋体" w:hAnsi="宋体" w:eastAsia="宋体" w:cs="宋体"/>
                <w:color w:val="auto"/>
                <w:sz w:val="21"/>
                <w:szCs w:val="21"/>
                <w:highlight w:val="none"/>
                <w:lang w:val="en-US" w:eastAsia="zh-CN"/>
              </w:rPr>
              <w:t>满分6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32"/>
              <w:keepNext w:val="0"/>
              <w:keepLines w:val="0"/>
              <w:suppressLineNumbers w:val="0"/>
              <w:adjustRightInd/>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以来具有财税咨询服务业绩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合同签订日期时间为2022年1月1日或以后）</w:t>
            </w:r>
            <w:r>
              <w:rPr>
                <w:rFonts w:hint="eastAsia" w:ascii="宋体" w:hAnsi="宋体" w:eastAsia="宋体" w:cs="宋体"/>
                <w:color w:val="auto"/>
                <w:sz w:val="21"/>
                <w:szCs w:val="21"/>
                <w:highlight w:val="none"/>
                <w:lang w:val="en-US" w:eastAsia="zh-CN"/>
              </w:rPr>
              <w:t>进行评审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每项得2分，</w:t>
            </w:r>
            <w:r>
              <w:rPr>
                <w:rFonts w:hint="eastAsia" w:ascii="宋体" w:hAnsi="宋体" w:eastAsia="宋体" w:cs="宋体"/>
                <w:color w:val="auto"/>
                <w:sz w:val="21"/>
                <w:szCs w:val="21"/>
                <w:highlight w:val="none"/>
              </w:rPr>
              <w:t>本项</w:t>
            </w:r>
            <w:r>
              <w:rPr>
                <w:rFonts w:hint="eastAsia" w:ascii="宋体" w:hAnsi="宋体" w:eastAsia="宋体" w:cs="宋体"/>
                <w:color w:val="auto"/>
                <w:sz w:val="21"/>
                <w:szCs w:val="21"/>
                <w:highlight w:val="none"/>
                <w:lang w:val="en-US" w:eastAsia="zh-CN"/>
              </w:rPr>
              <w:t>满分6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lang w:val="en-US" w:eastAsia="zh-CN"/>
              </w:rPr>
            </w:pPr>
          </w:p>
          <w:p>
            <w:pPr>
              <w:pStyle w:val="32"/>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pStyle w:val="32"/>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u w:val="none"/>
                <w:lang w:val="en-US" w:eastAsia="zh-CN"/>
              </w:rPr>
              <w:t>业绩必须附合同复印件（合同服务提供方为供应商）。合同必须能反映评分条件（</w:t>
            </w:r>
            <w:r>
              <w:rPr>
                <w:rFonts w:hint="eastAsia" w:ascii="宋体" w:hAnsi="宋体" w:eastAsia="宋体" w:cs="宋体"/>
                <w:b/>
                <w:bCs/>
                <w:color w:val="auto"/>
                <w:sz w:val="21"/>
                <w:szCs w:val="21"/>
                <w:highlight w:val="none"/>
                <w:lang w:val="en-US" w:eastAsia="zh-CN"/>
              </w:rPr>
              <w:t>合同签订时间、服务内容</w:t>
            </w:r>
            <w:r>
              <w:rPr>
                <w:rFonts w:hint="eastAsia" w:ascii="宋体" w:hAnsi="宋体" w:eastAsia="宋体" w:cs="宋体"/>
                <w:b/>
                <w:bCs/>
                <w:color w:val="auto"/>
                <w:sz w:val="21"/>
                <w:szCs w:val="21"/>
                <w:highlight w:val="none"/>
                <w:u w:val="none"/>
                <w:lang w:val="en-US" w:eastAsia="zh-CN"/>
              </w:rPr>
              <w:t>），合同服务内容必须为资产审计服务或清算审计服务或财税咨询服务（以上服务内容可包括在同一份合同内），否则，需同时提供服务委托人（业主）出具的书面补充说明文件复印件作为辅助证明（补充情况说明文件复印件能显示委托人公章），否则不得分。</w:t>
            </w:r>
          </w:p>
          <w:p>
            <w:pPr>
              <w:pStyle w:val="32"/>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（2）若同一份合同业绩中同时包含资产审计服务、企业清算审计服务和财税咨询服务的仅按一个业绩计算。</w:t>
            </w:r>
          </w:p>
          <w:p>
            <w:pPr>
              <w:pStyle w:val="32"/>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（3）业绩不重复计分，由供应商自行放入对应的评分子项；</w:t>
            </w:r>
          </w:p>
          <w:p>
            <w:pPr>
              <w:pStyle w:val="32"/>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）未按上述要求提供证明材料的业绩，或所附材料无法证明符合本项</w:t>
            </w:r>
            <w:r>
              <w:rPr>
                <w:rFonts w:hint="eastAsia" w:ascii="宋体" w:hAnsi="宋体" w:eastAsia="宋体" w:cs="宋体"/>
                <w:b/>
                <w:bCs/>
                <w:color w:val="auto"/>
                <w:sz w:val="21"/>
                <w:szCs w:val="21"/>
                <w:highlight w:val="none"/>
                <w:lang w:val="en-US" w:eastAsia="zh-CN"/>
              </w:rPr>
              <w:t>评分要求的业绩，在评审时将不予考虑</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6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w:t>
            </w:r>
            <w:r>
              <w:rPr>
                <w:rFonts w:hint="eastAsia" w:ascii="宋体" w:hAnsi="宋体" w:eastAsia="宋体" w:cs="宋体"/>
                <w:color w:val="auto"/>
                <w:sz w:val="21"/>
                <w:szCs w:val="21"/>
                <w:highlight w:val="none"/>
                <w:lang w:val="en-US" w:eastAsia="zh-CN"/>
              </w:rPr>
              <w:t>投入</w:t>
            </w:r>
            <w:r>
              <w:rPr>
                <w:rFonts w:hint="eastAsia" w:ascii="宋体" w:hAnsi="宋体" w:eastAsia="宋体" w:cs="宋体"/>
                <w:color w:val="auto"/>
                <w:sz w:val="21"/>
                <w:szCs w:val="21"/>
                <w:highlight w:val="none"/>
              </w:rPr>
              <w:t>本项目人员情况</w:t>
            </w: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34" w:firstLine="35" w:firstLineChars="17"/>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default"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3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（1）拟投入本项目的</w:t>
            </w:r>
            <w:r>
              <w:rPr>
                <w:rFonts w:hint="eastAsia" w:ascii="宋体" w:hAnsi="宋体" w:cs="宋体"/>
                <w:b/>
                <w:bCs/>
                <w:color w:val="auto"/>
                <w:sz w:val="21"/>
                <w:szCs w:val="21"/>
                <w:highlight w:val="none"/>
                <w:lang w:val="en-US" w:eastAsia="zh-CN"/>
              </w:rPr>
              <w:t>审计类</w:t>
            </w:r>
            <w:r>
              <w:rPr>
                <w:rFonts w:hint="eastAsia" w:ascii="宋体" w:hAnsi="宋体" w:eastAsia="宋体" w:cs="宋体"/>
                <w:b/>
                <w:bCs/>
                <w:color w:val="auto"/>
                <w:sz w:val="21"/>
                <w:szCs w:val="21"/>
                <w:highlight w:val="none"/>
                <w:lang w:val="en-US" w:eastAsia="zh-CN"/>
              </w:rPr>
              <w:t>负责人（本小项最高得</w:t>
            </w:r>
            <w:r>
              <w:rPr>
                <w:rFonts w:hint="default"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①具有</w:t>
            </w:r>
            <w:r>
              <w:rPr>
                <w:rFonts w:hint="eastAsia" w:ascii="宋体" w:hAnsi="宋体" w:cs="宋体"/>
                <w:color w:val="auto"/>
                <w:sz w:val="21"/>
                <w:szCs w:val="21"/>
                <w:highlight w:val="none"/>
                <w:lang w:val="en-US" w:eastAsia="zh-CN"/>
              </w:rPr>
              <w:t>财政部门或中国注册会计师协会</w:t>
            </w:r>
            <w:r>
              <w:rPr>
                <w:rFonts w:hint="eastAsia" w:ascii="宋体" w:hAnsi="宋体" w:eastAsia="宋体" w:cs="宋体"/>
                <w:color w:val="auto"/>
                <w:sz w:val="21"/>
                <w:szCs w:val="21"/>
                <w:highlight w:val="none"/>
                <w:lang w:val="en-US" w:eastAsia="zh-CN"/>
              </w:rPr>
              <w:t>颁发的执业证书</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aps w:val="0"/>
                <w:color w:val="auto"/>
                <w:spacing w:val="0"/>
                <w:sz w:val="21"/>
                <w:szCs w:val="21"/>
                <w:highlight w:val="none"/>
                <w:shd w:val="clear"/>
              </w:rPr>
              <w:t>职业资格</w:t>
            </w:r>
            <w:r>
              <w:rPr>
                <w:rFonts w:hint="eastAsia" w:ascii="宋体" w:hAnsi="宋体" w:eastAsia="宋体" w:cs="宋体"/>
                <w:i w:val="0"/>
                <w:iCs w:val="0"/>
                <w:caps w:val="0"/>
                <w:color w:val="auto"/>
                <w:spacing w:val="0"/>
                <w:sz w:val="21"/>
                <w:szCs w:val="21"/>
                <w:highlight w:val="none"/>
                <w:shd w:val="clear"/>
                <w:lang w:val="en-US" w:eastAsia="zh-CN"/>
              </w:rPr>
              <w:t>须包含</w:t>
            </w:r>
            <w:r>
              <w:rPr>
                <w:rFonts w:hint="eastAsia" w:ascii="宋体" w:hAnsi="宋体" w:cs="宋体"/>
                <w:i w:val="0"/>
                <w:iCs w:val="0"/>
                <w:caps w:val="0"/>
                <w:color w:val="auto"/>
                <w:spacing w:val="0"/>
                <w:sz w:val="21"/>
                <w:szCs w:val="21"/>
                <w:highlight w:val="none"/>
                <w:shd w:val="clear"/>
                <w:lang w:val="en-US" w:eastAsia="zh-CN"/>
              </w:rPr>
              <w:t>注册会计师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且执业资格在</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年（或以上）的，得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bCs/>
                <w:color w:val="auto"/>
                <w:kern w:val="2"/>
                <w:sz w:val="21"/>
                <w:szCs w:val="21"/>
                <w:highlight w:val="none"/>
                <w:lang w:val="en-US" w:eastAsia="zh-CN" w:bidi="ar-SA"/>
              </w:rPr>
              <w:t>2022年以来（</w:t>
            </w:r>
            <w:r>
              <w:rPr>
                <w:rFonts w:hint="eastAsia" w:ascii="宋体" w:hAnsi="宋体" w:cs="宋体"/>
                <w:bCs/>
                <w:color w:val="auto"/>
                <w:kern w:val="2"/>
                <w:sz w:val="21"/>
                <w:szCs w:val="21"/>
                <w:highlight w:val="none"/>
                <w:lang w:val="en-US" w:eastAsia="zh-CN" w:bidi="ar-SA"/>
              </w:rPr>
              <w:t>合同签订</w:t>
            </w:r>
            <w:r>
              <w:rPr>
                <w:rFonts w:hint="eastAsia" w:ascii="宋体" w:hAnsi="宋体" w:eastAsia="宋体" w:cs="宋体"/>
                <w:bCs/>
                <w:color w:val="auto"/>
                <w:kern w:val="2"/>
                <w:sz w:val="21"/>
                <w:szCs w:val="21"/>
                <w:highlight w:val="none"/>
                <w:lang w:val="en-US" w:eastAsia="zh-CN" w:bidi="ar-SA"/>
              </w:rPr>
              <w:t>时间为2022年1月1日或以后）完成过</w:t>
            </w:r>
            <w:r>
              <w:rPr>
                <w:rFonts w:hint="eastAsia" w:ascii="宋体" w:hAnsi="宋体" w:cs="宋体"/>
                <w:bCs/>
                <w:color w:val="auto"/>
                <w:kern w:val="2"/>
                <w:sz w:val="21"/>
                <w:szCs w:val="21"/>
                <w:highlight w:val="none"/>
                <w:lang w:val="en-US" w:eastAsia="zh-CN" w:bidi="ar-SA"/>
              </w:rPr>
              <w:t>a.</w:t>
            </w:r>
            <w:r>
              <w:rPr>
                <w:rFonts w:hint="eastAsia" w:ascii="宋体" w:hAnsi="宋体" w:eastAsia="宋体" w:cs="宋体"/>
                <w:bCs/>
                <w:color w:val="auto"/>
                <w:kern w:val="2"/>
                <w:sz w:val="21"/>
                <w:szCs w:val="21"/>
                <w:highlight w:val="none"/>
                <w:lang w:val="en-US" w:eastAsia="zh-CN" w:bidi="ar-SA"/>
              </w:rPr>
              <w:t>资产审计</w:t>
            </w:r>
            <w:r>
              <w:rPr>
                <w:rFonts w:hint="eastAsia" w:ascii="宋体" w:hAnsi="宋体" w:cs="宋体"/>
                <w:bCs/>
                <w:color w:val="auto"/>
                <w:kern w:val="2"/>
                <w:sz w:val="21"/>
                <w:szCs w:val="21"/>
                <w:highlight w:val="none"/>
                <w:lang w:val="en-US" w:eastAsia="zh-CN" w:bidi="ar-SA"/>
              </w:rPr>
              <w:t>类业绩，</w:t>
            </w:r>
            <w:r>
              <w:rPr>
                <w:rFonts w:hint="eastAsia" w:ascii="宋体" w:hAnsi="宋体" w:eastAsia="宋体" w:cs="宋体"/>
                <w:bCs/>
                <w:color w:val="auto"/>
                <w:kern w:val="2"/>
                <w:sz w:val="21"/>
                <w:szCs w:val="21"/>
                <w:highlight w:val="none"/>
                <w:lang w:val="en-US" w:eastAsia="zh-CN" w:bidi="ar-SA"/>
              </w:rPr>
              <w:t>得</w:t>
            </w: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分，本项满分2分</w:t>
            </w:r>
            <w:r>
              <w:rPr>
                <w:rFonts w:hint="eastAsia" w:ascii="宋体" w:hAnsi="宋体" w:cs="宋体"/>
                <w:bCs/>
                <w:color w:val="auto"/>
                <w:kern w:val="2"/>
                <w:sz w:val="21"/>
                <w:szCs w:val="21"/>
                <w:highlight w:val="none"/>
                <w:lang w:val="en-US" w:eastAsia="zh-CN" w:bidi="ar-SA"/>
              </w:rPr>
              <w:t>；b.</w:t>
            </w:r>
            <w:r>
              <w:rPr>
                <w:rFonts w:hint="eastAsia" w:ascii="宋体" w:hAnsi="宋体" w:eastAsia="宋体" w:cs="宋体"/>
                <w:bCs/>
                <w:color w:val="auto"/>
                <w:kern w:val="2"/>
                <w:sz w:val="21"/>
                <w:szCs w:val="21"/>
                <w:highlight w:val="none"/>
                <w:lang w:val="en-US" w:eastAsia="zh-CN" w:bidi="ar-SA"/>
              </w:rPr>
              <w:t>清算审计类服务业绩</w:t>
            </w:r>
            <w:r>
              <w:rPr>
                <w:rFonts w:hint="eastAsia" w:ascii="宋体" w:hAnsi="宋体" w:cs="宋体"/>
                <w:bCs/>
                <w:color w:val="auto"/>
                <w:kern w:val="2"/>
                <w:sz w:val="21"/>
                <w:szCs w:val="21"/>
                <w:highlight w:val="none"/>
                <w:lang w:val="en-US" w:eastAsia="zh-CN" w:bidi="ar-SA"/>
              </w:rPr>
              <w:t>的，</w:t>
            </w:r>
            <w:r>
              <w:rPr>
                <w:rFonts w:hint="eastAsia" w:ascii="宋体" w:hAnsi="宋体" w:eastAsia="宋体" w:cs="宋体"/>
                <w:bCs/>
                <w:color w:val="auto"/>
                <w:kern w:val="2"/>
                <w:sz w:val="21"/>
                <w:szCs w:val="21"/>
                <w:highlight w:val="none"/>
                <w:lang w:val="en-US" w:eastAsia="zh-CN" w:bidi="ar-SA"/>
              </w:rPr>
              <w:t>得</w:t>
            </w: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分，本项满分2分</w:t>
            </w:r>
            <w:r>
              <w:rPr>
                <w:rFonts w:hint="eastAsia" w:ascii="宋体" w:hAnsi="宋体" w:eastAsia="宋体" w:cs="宋体"/>
                <w:color w:val="auto"/>
                <w:sz w:val="21"/>
                <w:szCs w:val="21"/>
                <w:highlight w:val="none"/>
                <w:lang w:val="en-US"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color w:val="auto"/>
                <w:highlight w:val="none"/>
                <w:lang w:eastAsia="zh-CN"/>
              </w:rPr>
            </w:pPr>
            <w:r>
              <w:rPr>
                <w:rFonts w:hint="eastAsia" w:ascii="宋体" w:hAnsi="宋体" w:eastAsia="宋体" w:cs="宋体"/>
                <w:b/>
                <w:bCs/>
                <w:color w:val="auto"/>
                <w:sz w:val="21"/>
                <w:szCs w:val="21"/>
                <w:highlight w:val="none"/>
                <w:lang w:val="en-US" w:eastAsia="zh-CN"/>
              </w:rPr>
              <w:t>（2）对拟投入本项目的</w:t>
            </w:r>
            <w:r>
              <w:rPr>
                <w:rFonts w:hint="eastAsia" w:ascii="宋体" w:hAnsi="宋体" w:cs="宋体"/>
                <w:b/>
                <w:bCs/>
                <w:color w:val="auto"/>
                <w:sz w:val="21"/>
                <w:szCs w:val="21"/>
                <w:highlight w:val="none"/>
                <w:lang w:val="en-US" w:eastAsia="zh-CN"/>
              </w:rPr>
              <w:t>财税咨询类</w:t>
            </w:r>
            <w:r>
              <w:rPr>
                <w:rFonts w:hint="eastAsia" w:ascii="宋体" w:hAnsi="宋体" w:eastAsia="宋体" w:cs="宋体"/>
                <w:b/>
                <w:bCs/>
                <w:color w:val="auto"/>
                <w:sz w:val="21"/>
                <w:szCs w:val="21"/>
                <w:highlight w:val="none"/>
                <w:lang w:val="en-US" w:eastAsia="zh-CN"/>
              </w:rPr>
              <w:t>负责人（本小项最高得</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分）</w:t>
            </w:r>
            <w:r>
              <w:rPr>
                <w:rFonts w:hint="eastAsia"/>
                <w:color w:val="auto"/>
                <w:highlight w:val="none"/>
                <w:lang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①具有税务总局</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lang w:val="en-US" w:eastAsia="zh-CN"/>
              </w:rPr>
              <w:t>人力资源社会保障部</w:t>
            </w:r>
            <w:r>
              <w:rPr>
                <w:rFonts w:hint="eastAsia" w:ascii="宋体" w:hAnsi="宋体" w:cs="宋体"/>
                <w:color w:val="auto"/>
                <w:sz w:val="21"/>
                <w:szCs w:val="21"/>
                <w:highlight w:val="none"/>
                <w:lang w:val="en-US" w:eastAsia="zh-CN"/>
              </w:rPr>
              <w:t>或中国注册税务师协会</w:t>
            </w:r>
            <w:r>
              <w:rPr>
                <w:rFonts w:hint="eastAsia" w:ascii="宋体" w:hAnsi="宋体" w:eastAsia="宋体" w:cs="宋体"/>
                <w:color w:val="auto"/>
                <w:sz w:val="21"/>
                <w:szCs w:val="21"/>
                <w:highlight w:val="none"/>
                <w:lang w:val="en-US" w:eastAsia="zh-CN"/>
              </w:rPr>
              <w:t>颁发的执业证书</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aps w:val="0"/>
                <w:color w:val="auto"/>
                <w:spacing w:val="0"/>
                <w:sz w:val="21"/>
                <w:szCs w:val="21"/>
                <w:highlight w:val="none"/>
                <w:shd w:val="clear"/>
              </w:rPr>
              <w:t>职业资格</w:t>
            </w:r>
            <w:r>
              <w:rPr>
                <w:rFonts w:hint="eastAsia" w:ascii="宋体" w:hAnsi="宋体" w:eastAsia="宋体" w:cs="宋体"/>
                <w:i w:val="0"/>
                <w:iCs w:val="0"/>
                <w:caps w:val="0"/>
                <w:color w:val="auto"/>
                <w:spacing w:val="0"/>
                <w:sz w:val="21"/>
                <w:szCs w:val="21"/>
                <w:highlight w:val="none"/>
                <w:shd w:val="clear"/>
                <w:lang w:val="en-US" w:eastAsia="zh-CN"/>
              </w:rPr>
              <w:t>须包含</w:t>
            </w:r>
            <w:r>
              <w:rPr>
                <w:rFonts w:hint="eastAsia" w:ascii="宋体" w:hAnsi="宋体" w:cs="宋体"/>
                <w:color w:val="auto"/>
                <w:sz w:val="21"/>
                <w:szCs w:val="21"/>
                <w:highlight w:val="none"/>
                <w:lang w:val="en-US" w:eastAsia="zh-CN"/>
              </w:rPr>
              <w:t>税务师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且执业资格在</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年（或以上）的，得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bCs/>
                <w:color w:val="auto"/>
                <w:kern w:val="2"/>
                <w:sz w:val="21"/>
                <w:szCs w:val="21"/>
                <w:highlight w:val="none"/>
                <w:lang w:val="en-US" w:eastAsia="zh-CN" w:bidi="ar-SA"/>
              </w:rPr>
              <w:t>2022年以来（</w:t>
            </w:r>
            <w:r>
              <w:rPr>
                <w:rFonts w:hint="eastAsia" w:ascii="宋体" w:hAnsi="宋体" w:cs="宋体"/>
                <w:bCs/>
                <w:color w:val="auto"/>
                <w:kern w:val="2"/>
                <w:sz w:val="21"/>
                <w:szCs w:val="21"/>
                <w:highlight w:val="none"/>
                <w:lang w:val="en-US" w:eastAsia="zh-CN" w:bidi="ar-SA"/>
              </w:rPr>
              <w:t>合同签订</w:t>
            </w:r>
            <w:r>
              <w:rPr>
                <w:rFonts w:hint="eastAsia" w:ascii="宋体" w:hAnsi="宋体" w:eastAsia="宋体" w:cs="宋体"/>
                <w:bCs/>
                <w:color w:val="auto"/>
                <w:kern w:val="2"/>
                <w:sz w:val="21"/>
                <w:szCs w:val="21"/>
                <w:highlight w:val="none"/>
                <w:lang w:val="en-US" w:eastAsia="zh-CN" w:bidi="ar-SA"/>
              </w:rPr>
              <w:t>时间为2022年1月1日或以后）完成过</w:t>
            </w:r>
            <w:r>
              <w:rPr>
                <w:rFonts w:hint="eastAsia" w:ascii="宋体" w:hAnsi="宋体" w:cs="宋体"/>
                <w:bCs/>
                <w:color w:val="auto"/>
                <w:kern w:val="2"/>
                <w:sz w:val="21"/>
                <w:szCs w:val="21"/>
                <w:highlight w:val="none"/>
                <w:lang w:val="en-US" w:eastAsia="zh-CN" w:bidi="ar-SA"/>
              </w:rPr>
              <w:t>财税咨询服务类业绩，</w:t>
            </w:r>
            <w:r>
              <w:rPr>
                <w:rFonts w:hint="eastAsia" w:ascii="宋体" w:hAnsi="宋体" w:eastAsia="宋体" w:cs="宋体"/>
                <w:bCs/>
                <w:color w:val="auto"/>
                <w:kern w:val="2"/>
                <w:sz w:val="21"/>
                <w:szCs w:val="21"/>
                <w:highlight w:val="none"/>
                <w:lang w:val="en-US" w:eastAsia="zh-CN" w:bidi="ar-SA"/>
              </w:rPr>
              <w:t>得</w:t>
            </w: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分，本项满分2分</w:t>
            </w:r>
            <w:r>
              <w:rPr>
                <w:rFonts w:hint="eastAsia" w:ascii="宋体" w:hAnsi="宋体" w:eastAsia="宋体" w:cs="宋体"/>
                <w:color w:val="auto"/>
                <w:sz w:val="21"/>
                <w:szCs w:val="21"/>
                <w:highlight w:val="none"/>
                <w:lang w:val="en-US" w:eastAsia="zh-CN"/>
              </w:rPr>
              <w:t>。</w:t>
            </w:r>
          </w:p>
          <w:p>
            <w:pPr>
              <w:keepNext w:val="0"/>
              <w:keepLines w:val="0"/>
              <w:pageBreakBefore w:val="0"/>
              <w:widowControl w:val="0"/>
              <w:numPr>
                <w:ilvl w:val="0"/>
                <w:numId w:val="15"/>
              </w:numPr>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根据供应商拟投入本项目的服务团队成员（</w:t>
            </w:r>
            <w:r>
              <w:rPr>
                <w:rFonts w:hint="eastAsia" w:ascii="宋体" w:hAnsi="宋体" w:cs="宋体"/>
                <w:b/>
                <w:bCs/>
                <w:color w:val="auto"/>
                <w:sz w:val="21"/>
                <w:szCs w:val="21"/>
                <w:highlight w:val="none"/>
                <w:lang w:val="en-US" w:eastAsia="zh-CN"/>
              </w:rPr>
              <w:t>前述两项负责人</w:t>
            </w:r>
            <w:r>
              <w:rPr>
                <w:rFonts w:hint="eastAsia" w:ascii="宋体" w:hAnsi="宋体" w:eastAsia="宋体" w:cs="宋体"/>
                <w:b/>
                <w:bCs/>
                <w:color w:val="auto"/>
                <w:sz w:val="21"/>
                <w:szCs w:val="21"/>
                <w:highlight w:val="none"/>
                <w:lang w:val="en-US" w:eastAsia="zh-CN"/>
              </w:rPr>
              <w:t>除外）的执业经验进行评审：</w:t>
            </w:r>
          </w:p>
          <w:p>
            <w:pPr>
              <w:keepNext w:val="0"/>
              <w:keepLines w:val="0"/>
              <w:pageBreakBefore w:val="0"/>
              <w:widowControl w:val="0"/>
              <w:numPr>
                <w:ilvl w:val="-1"/>
                <w:numId w:val="0"/>
              </w:numPr>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审计服务</w:t>
            </w:r>
            <w:r>
              <w:rPr>
                <w:rFonts w:hint="eastAsia" w:ascii="宋体" w:hAnsi="宋体" w:eastAsia="宋体" w:cs="宋体"/>
                <w:color w:val="auto"/>
                <w:sz w:val="21"/>
                <w:szCs w:val="21"/>
                <w:highlight w:val="none"/>
                <w:lang w:val="en-US" w:eastAsia="zh-CN"/>
              </w:rPr>
              <w:t>执业经验</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年（含）以上的，每人得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财税服务</w:t>
            </w:r>
            <w:r>
              <w:rPr>
                <w:rFonts w:hint="eastAsia" w:ascii="宋体" w:hAnsi="宋体" w:eastAsia="宋体" w:cs="宋体"/>
                <w:color w:val="auto"/>
                <w:sz w:val="21"/>
                <w:szCs w:val="21"/>
                <w:highlight w:val="none"/>
                <w:lang w:val="en-US" w:eastAsia="zh-CN"/>
              </w:rPr>
              <w:t>执业经验</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年（含）以上的，每人得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分；本项满分</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pPr>
              <w:keepNext w:val="0"/>
              <w:keepLines w:val="0"/>
              <w:pageBreakBefore w:val="0"/>
              <w:widowControl w:val="0"/>
              <w:numPr>
                <w:ilvl w:val="0"/>
                <w:numId w:val="0"/>
              </w:numPr>
              <w:suppressLineNumbers w:val="0"/>
              <w:kinsoku/>
              <w:overflowPunct/>
              <w:topLinePunct w:val="0"/>
              <w:autoSpaceDE w:val="0"/>
              <w:autoSpaceDN w:val="0"/>
              <w:bidi w:val="0"/>
              <w:snapToGrid/>
              <w:spacing w:before="0" w:beforeAutospacing="0" w:after="0" w:afterAutospacing="0" w:line="400" w:lineRule="exact"/>
              <w:ind w:left="0" w:leftChars="0" w:right="0" w:firstLine="0" w:firstLineChars="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备注：</w:t>
            </w:r>
          </w:p>
          <w:p>
            <w:pPr>
              <w:keepNext w:val="0"/>
              <w:keepLines w:val="0"/>
              <w:pageBreakBefore w:val="0"/>
              <w:widowControl w:val="0"/>
              <w:numPr>
                <w:ilvl w:val="0"/>
                <w:numId w:val="0"/>
              </w:numPr>
              <w:suppressLineNumbers w:val="0"/>
              <w:kinsoku/>
              <w:overflowPunct/>
              <w:topLinePunct w:val="0"/>
              <w:autoSpaceDE w:val="0"/>
              <w:autoSpaceDN w:val="0"/>
              <w:bidi w:val="0"/>
              <w:snapToGrid/>
              <w:spacing w:before="0" w:beforeAutospacing="0" w:after="0" w:afterAutospacing="0" w:line="400" w:lineRule="exact"/>
              <w:ind w:left="0" w:leftChars="0" w:right="0" w:firstLine="0" w:firstLineChars="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①以上所有人员须提供人员身份证复印件、职业资格</w:t>
            </w:r>
            <w:r>
              <w:rPr>
                <w:rFonts w:hint="eastAsia" w:ascii="宋体" w:hAnsi="宋体" w:cs="宋体"/>
                <w:b/>
                <w:bCs w:val="0"/>
                <w:color w:val="auto"/>
                <w:kern w:val="2"/>
                <w:sz w:val="21"/>
                <w:szCs w:val="21"/>
                <w:highlight w:val="none"/>
                <w:lang w:val="en-US" w:eastAsia="zh-CN" w:bidi="ar-SA"/>
              </w:rPr>
              <w:t>（职称）</w:t>
            </w:r>
            <w:r>
              <w:rPr>
                <w:rFonts w:hint="eastAsia" w:ascii="宋体" w:hAnsi="宋体" w:eastAsia="宋体" w:cs="宋体"/>
                <w:b/>
                <w:bCs w:val="0"/>
                <w:color w:val="auto"/>
                <w:kern w:val="2"/>
                <w:sz w:val="21"/>
                <w:szCs w:val="21"/>
                <w:highlight w:val="none"/>
                <w:lang w:val="en-US" w:eastAsia="zh-CN" w:bidi="ar-SA"/>
              </w:rPr>
              <w:t>证书复印件、</w:t>
            </w:r>
            <w:r>
              <w:rPr>
                <w:rFonts w:hint="eastAsia" w:ascii="宋体" w:hAnsi="宋体" w:eastAsia="宋体" w:cs="宋体"/>
                <w:b/>
                <w:bCs w:val="0"/>
                <w:color w:val="auto"/>
                <w:kern w:val="0"/>
                <w:sz w:val="21"/>
                <w:szCs w:val="21"/>
                <w:highlight w:val="none"/>
              </w:rPr>
              <w:t>人力资源和社会保障部门（或税务部门）出具的</w:t>
            </w:r>
            <w:r>
              <w:rPr>
                <w:rFonts w:hint="eastAsia" w:ascii="宋体" w:hAnsi="宋体" w:eastAsia="宋体" w:cs="宋体"/>
                <w:b/>
                <w:bCs w:val="0"/>
                <w:color w:val="auto"/>
                <w:kern w:val="0"/>
                <w:sz w:val="21"/>
                <w:szCs w:val="21"/>
                <w:highlight w:val="none"/>
                <w:lang w:val="en-US" w:eastAsia="zh-CN"/>
              </w:rPr>
              <w:t>供应商</w:t>
            </w:r>
            <w:r>
              <w:rPr>
                <w:rFonts w:hint="eastAsia" w:ascii="宋体" w:hAnsi="宋体" w:cs="宋体"/>
                <w:b/>
                <w:bCs w:val="0"/>
                <w:color w:val="auto"/>
                <w:kern w:val="0"/>
                <w:sz w:val="21"/>
                <w:szCs w:val="21"/>
                <w:highlight w:val="none"/>
                <w:lang w:eastAsia="zh-CN"/>
              </w:rPr>
              <w:t>2025年</w:t>
            </w:r>
            <w:r>
              <w:rPr>
                <w:rFonts w:hint="eastAsia" w:ascii="宋体" w:hAnsi="宋体" w:cs="宋体"/>
                <w:b/>
                <w:bCs w:val="0"/>
                <w:color w:val="auto"/>
                <w:kern w:val="0"/>
                <w:sz w:val="21"/>
                <w:szCs w:val="21"/>
                <w:highlight w:val="none"/>
                <w:lang w:val="en-US" w:eastAsia="zh-CN"/>
              </w:rPr>
              <w:t>4</w:t>
            </w:r>
            <w:r>
              <w:rPr>
                <w:rFonts w:hint="eastAsia" w:ascii="宋体" w:hAnsi="宋体" w:cs="宋体"/>
                <w:b/>
                <w:bCs w:val="0"/>
                <w:color w:val="auto"/>
                <w:kern w:val="0"/>
                <w:sz w:val="21"/>
                <w:szCs w:val="21"/>
                <w:highlight w:val="none"/>
                <w:lang w:eastAsia="zh-CN"/>
              </w:rPr>
              <w:t>月、2025年</w:t>
            </w:r>
            <w:r>
              <w:rPr>
                <w:rFonts w:hint="eastAsia" w:ascii="宋体" w:hAnsi="宋体" w:cs="宋体"/>
                <w:b/>
                <w:bCs w:val="0"/>
                <w:color w:val="auto"/>
                <w:kern w:val="0"/>
                <w:sz w:val="21"/>
                <w:szCs w:val="21"/>
                <w:highlight w:val="none"/>
                <w:lang w:val="en-US" w:eastAsia="zh-CN"/>
              </w:rPr>
              <w:t>5</w:t>
            </w:r>
            <w:r>
              <w:rPr>
                <w:rFonts w:hint="eastAsia" w:ascii="宋体" w:hAnsi="宋体" w:cs="宋体"/>
                <w:b/>
                <w:bCs w:val="0"/>
                <w:color w:val="auto"/>
                <w:kern w:val="0"/>
                <w:sz w:val="21"/>
                <w:szCs w:val="21"/>
                <w:highlight w:val="none"/>
                <w:lang w:eastAsia="zh-CN"/>
              </w:rPr>
              <w:t>月、2025年</w:t>
            </w:r>
            <w:r>
              <w:rPr>
                <w:rFonts w:hint="eastAsia" w:ascii="宋体" w:hAnsi="宋体" w:cs="宋体"/>
                <w:b/>
                <w:bCs w:val="0"/>
                <w:color w:val="auto"/>
                <w:kern w:val="0"/>
                <w:sz w:val="21"/>
                <w:szCs w:val="21"/>
                <w:highlight w:val="none"/>
                <w:lang w:val="en-US" w:eastAsia="zh-CN"/>
              </w:rPr>
              <w:t>6</w:t>
            </w:r>
            <w:r>
              <w:rPr>
                <w:rFonts w:hint="eastAsia" w:ascii="宋体" w:hAnsi="宋体" w:cs="宋体"/>
                <w:b/>
                <w:bCs w:val="0"/>
                <w:color w:val="auto"/>
                <w:kern w:val="0"/>
                <w:sz w:val="21"/>
                <w:szCs w:val="21"/>
                <w:highlight w:val="none"/>
                <w:lang w:eastAsia="zh-CN"/>
              </w:rPr>
              <w:t>月</w:t>
            </w:r>
            <w:r>
              <w:rPr>
                <w:rFonts w:hint="eastAsia" w:ascii="宋体" w:hAnsi="宋体" w:eastAsia="宋体" w:cs="宋体"/>
                <w:b/>
                <w:bCs w:val="0"/>
                <w:color w:val="auto"/>
                <w:kern w:val="0"/>
                <w:sz w:val="21"/>
                <w:szCs w:val="21"/>
                <w:highlight w:val="none"/>
                <w:lang w:val="en-US" w:eastAsia="zh-CN"/>
              </w:rPr>
              <w:t>（共三个月）</w:t>
            </w:r>
            <w:r>
              <w:rPr>
                <w:rFonts w:hint="eastAsia" w:ascii="宋体" w:hAnsi="宋体" w:eastAsia="宋体" w:cs="宋体"/>
                <w:b/>
                <w:bCs w:val="0"/>
                <w:color w:val="auto"/>
                <w:kern w:val="0"/>
                <w:sz w:val="21"/>
                <w:szCs w:val="21"/>
                <w:highlight w:val="none"/>
              </w:rPr>
              <w:t>为其缴纳的社保证明复印件</w:t>
            </w:r>
            <w:r>
              <w:rPr>
                <w:rFonts w:hint="eastAsia" w:ascii="宋体" w:hAnsi="宋体" w:eastAsia="宋体" w:cs="宋体"/>
                <w:b/>
                <w:bCs w:val="0"/>
                <w:color w:val="auto"/>
                <w:kern w:val="0"/>
                <w:sz w:val="21"/>
                <w:szCs w:val="21"/>
                <w:highlight w:val="none"/>
                <w:lang w:eastAsia="zh-CN"/>
              </w:rPr>
              <w:t>；</w:t>
            </w:r>
          </w:p>
          <w:p>
            <w:pPr>
              <w:keepNext w:val="0"/>
              <w:keepLines w:val="0"/>
              <w:pageBreakBefore w:val="0"/>
              <w:widowControl w:val="0"/>
              <w:numPr>
                <w:ilvl w:val="0"/>
                <w:numId w:val="0"/>
              </w:numPr>
              <w:suppressLineNumbers w:val="0"/>
              <w:kinsoku/>
              <w:wordWrap w:val="0"/>
              <w:overflowPunct/>
              <w:topLinePunct w:val="0"/>
              <w:autoSpaceDE w:val="0"/>
              <w:autoSpaceDN w:val="0"/>
              <w:bidi w:val="0"/>
              <w:snapToGrid/>
              <w:spacing w:before="0" w:beforeAutospacing="0" w:after="0" w:afterAutospacing="0" w:line="400" w:lineRule="exact"/>
              <w:ind w:left="0" w:leftChars="0" w:right="0" w:firstLine="0" w:firstLineChars="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rPr>
              <w:t>②执业年限以</w:t>
            </w:r>
            <w:r>
              <w:rPr>
                <w:rFonts w:hint="eastAsia" w:ascii="宋体" w:hAnsi="宋体" w:cs="宋体"/>
                <w:b/>
                <w:color w:val="auto"/>
                <w:kern w:val="2"/>
                <w:sz w:val="21"/>
                <w:szCs w:val="21"/>
                <w:highlight w:val="none"/>
                <w:lang w:val="en-US" w:eastAsia="zh-CN"/>
              </w:rPr>
              <w:t>注册会计师及税务师执业资格证上的发证日期为准，若因资格证书办理变更而上交主管部门等原因无法提供的，可提供执业资格证及注册地注册协会出具的相关证明</w:t>
            </w:r>
            <w:r>
              <w:rPr>
                <w:rFonts w:hint="eastAsia" w:ascii="宋体" w:hAnsi="宋体" w:eastAsia="宋体" w:cs="宋体"/>
                <w:b/>
                <w:bCs w:val="0"/>
                <w:color w:val="auto"/>
                <w:kern w:val="2"/>
                <w:sz w:val="21"/>
                <w:szCs w:val="21"/>
                <w:highlight w:val="none"/>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③</w:t>
            </w:r>
            <w:r>
              <w:rPr>
                <w:rFonts w:hint="eastAsia" w:ascii="宋体" w:hAnsi="宋体" w:cs="宋体"/>
                <w:b/>
                <w:bCs/>
                <w:color w:val="auto"/>
                <w:sz w:val="21"/>
                <w:szCs w:val="21"/>
                <w:highlight w:val="none"/>
                <w:lang w:val="en-US" w:eastAsia="zh-CN"/>
              </w:rPr>
              <w:t>审计类</w:t>
            </w:r>
            <w:r>
              <w:rPr>
                <w:rFonts w:hint="eastAsia" w:ascii="宋体" w:hAnsi="宋体" w:eastAsia="宋体" w:cs="宋体"/>
                <w:b/>
                <w:bCs w:val="0"/>
                <w:color w:val="auto"/>
                <w:kern w:val="2"/>
                <w:sz w:val="21"/>
                <w:szCs w:val="21"/>
                <w:highlight w:val="none"/>
                <w:lang w:val="en-US" w:eastAsia="zh-CN" w:bidi="ar-SA"/>
              </w:rPr>
              <w:t>负责人资产审计、清算审计类服务附以下证明材料：</w:t>
            </w:r>
            <w:r>
              <w:rPr>
                <w:rFonts w:hint="eastAsia" w:ascii="宋体" w:hAnsi="宋体" w:eastAsia="宋体" w:cs="宋体"/>
                <w:b/>
                <w:color w:val="auto"/>
                <w:kern w:val="2"/>
                <w:sz w:val="21"/>
                <w:szCs w:val="21"/>
                <w:highlight w:val="none"/>
                <w:lang w:val="en-US" w:eastAsia="zh-CN"/>
              </w:rPr>
              <w:t>1.</w:t>
            </w:r>
            <w:r>
              <w:rPr>
                <w:rFonts w:hint="eastAsia" w:ascii="宋体" w:hAnsi="宋体" w:eastAsia="宋体" w:cs="宋体"/>
                <w:b/>
                <w:color w:val="auto"/>
                <w:kern w:val="2"/>
                <w:sz w:val="21"/>
                <w:szCs w:val="21"/>
                <w:highlight w:val="none"/>
              </w:rPr>
              <w:t>项目合同</w:t>
            </w:r>
            <w:r>
              <w:rPr>
                <w:rFonts w:hint="eastAsia" w:ascii="宋体" w:hAnsi="宋体" w:eastAsia="宋体" w:cs="宋体"/>
                <w:b/>
                <w:color w:val="auto"/>
                <w:kern w:val="2"/>
                <w:sz w:val="21"/>
                <w:szCs w:val="21"/>
                <w:highlight w:val="none"/>
                <w:lang w:val="en-US" w:eastAsia="zh-CN"/>
              </w:rPr>
              <w:t>复印件</w:t>
            </w:r>
            <w:r>
              <w:rPr>
                <w:rFonts w:hint="eastAsia" w:ascii="宋体" w:hAnsi="宋体" w:eastAsia="宋体" w:cs="宋体"/>
                <w:b/>
                <w:color w:val="auto"/>
                <w:kern w:val="2"/>
                <w:sz w:val="21"/>
                <w:szCs w:val="21"/>
                <w:highlight w:val="none"/>
                <w:lang w:eastAsia="zh-CN"/>
              </w:rPr>
              <w:t>；</w:t>
            </w:r>
            <w:r>
              <w:rPr>
                <w:rFonts w:hint="eastAsia" w:ascii="宋体" w:hAnsi="宋体" w:eastAsia="宋体" w:cs="宋体"/>
                <w:b/>
                <w:color w:val="auto"/>
                <w:kern w:val="2"/>
                <w:sz w:val="21"/>
                <w:szCs w:val="21"/>
                <w:highlight w:val="none"/>
                <w:lang w:val="en-US" w:eastAsia="zh-CN"/>
              </w:rPr>
              <w:t>2.</w:t>
            </w:r>
            <w:r>
              <w:rPr>
                <w:rFonts w:hint="eastAsia" w:ascii="宋体" w:hAnsi="宋体" w:eastAsia="宋体" w:cs="宋体"/>
                <w:b/>
                <w:color w:val="auto"/>
                <w:kern w:val="2"/>
                <w:sz w:val="21"/>
                <w:szCs w:val="21"/>
                <w:highlight w:val="none"/>
              </w:rPr>
              <w:t>相关报告封面</w:t>
            </w:r>
            <w:r>
              <w:rPr>
                <w:rFonts w:hint="eastAsia" w:ascii="宋体" w:hAnsi="宋体" w:eastAsia="宋体" w:cs="宋体"/>
                <w:b/>
                <w:color w:val="auto"/>
                <w:kern w:val="2"/>
                <w:sz w:val="21"/>
                <w:szCs w:val="21"/>
                <w:highlight w:val="none"/>
                <w:lang w:eastAsia="zh-CN"/>
              </w:rPr>
              <w:t>；</w:t>
            </w:r>
            <w:r>
              <w:rPr>
                <w:rFonts w:hint="eastAsia" w:ascii="宋体" w:hAnsi="宋体" w:eastAsia="宋体" w:cs="宋体"/>
                <w:b/>
                <w:color w:val="auto"/>
                <w:kern w:val="2"/>
                <w:sz w:val="21"/>
                <w:szCs w:val="21"/>
                <w:highlight w:val="none"/>
                <w:lang w:val="en-US" w:eastAsia="zh-CN"/>
              </w:rPr>
              <w:t>3.</w:t>
            </w:r>
            <w:r>
              <w:rPr>
                <w:rFonts w:hint="eastAsia" w:ascii="宋体" w:hAnsi="宋体" w:eastAsia="宋体" w:cs="宋体"/>
                <w:b/>
                <w:bCs/>
                <w:color w:val="auto"/>
                <w:kern w:val="2"/>
                <w:sz w:val="21"/>
                <w:szCs w:val="21"/>
                <w:highlight w:val="none"/>
              </w:rPr>
              <w:t>项目负责人出具</w:t>
            </w:r>
            <w:r>
              <w:rPr>
                <w:rFonts w:hint="eastAsia" w:ascii="宋体" w:hAnsi="宋体" w:eastAsia="宋体" w:cs="宋体"/>
                <w:b/>
                <w:bCs/>
                <w:color w:val="auto"/>
                <w:kern w:val="2"/>
                <w:sz w:val="21"/>
                <w:szCs w:val="21"/>
                <w:highlight w:val="none"/>
                <w:lang w:val="en-US" w:eastAsia="zh-CN"/>
              </w:rPr>
              <w:t>成果文件</w:t>
            </w:r>
            <w:r>
              <w:rPr>
                <w:rFonts w:hint="eastAsia" w:ascii="宋体" w:hAnsi="宋体" w:eastAsia="宋体" w:cs="宋体"/>
                <w:b/>
                <w:bCs/>
                <w:color w:val="auto"/>
                <w:kern w:val="2"/>
                <w:sz w:val="21"/>
                <w:szCs w:val="21"/>
                <w:highlight w:val="none"/>
              </w:rPr>
              <w:t>的</w:t>
            </w:r>
            <w:r>
              <w:rPr>
                <w:rFonts w:hint="eastAsia" w:ascii="宋体" w:hAnsi="宋体" w:eastAsia="宋体" w:cs="宋体"/>
                <w:b/>
                <w:bCs/>
                <w:color w:val="auto"/>
                <w:kern w:val="2"/>
                <w:sz w:val="21"/>
                <w:szCs w:val="21"/>
                <w:highlight w:val="none"/>
                <w:lang w:val="zh-CN"/>
              </w:rPr>
              <w:t>签署页；</w:t>
            </w:r>
            <w:r>
              <w:rPr>
                <w:rFonts w:hint="eastAsia" w:ascii="宋体" w:hAnsi="宋体" w:eastAsia="宋体" w:cs="宋体"/>
                <w:b/>
                <w:bCs/>
                <w:color w:val="auto"/>
                <w:kern w:val="2"/>
                <w:sz w:val="21"/>
                <w:szCs w:val="21"/>
                <w:highlight w:val="none"/>
                <w:lang w:val="en-US" w:eastAsia="zh-CN"/>
              </w:rPr>
              <w:t>4.</w:t>
            </w:r>
            <w:r>
              <w:rPr>
                <w:rFonts w:hint="eastAsia" w:ascii="宋体" w:hAnsi="宋体" w:eastAsia="宋体" w:cs="宋体"/>
                <w:b/>
                <w:color w:val="auto"/>
                <w:kern w:val="2"/>
                <w:sz w:val="21"/>
                <w:szCs w:val="21"/>
                <w:highlight w:val="none"/>
              </w:rPr>
              <w:t>主要</w:t>
            </w:r>
            <w:r>
              <w:rPr>
                <w:rFonts w:hint="eastAsia" w:ascii="宋体" w:hAnsi="宋体" w:eastAsia="宋体" w:cs="宋体"/>
                <w:b/>
                <w:color w:val="auto"/>
                <w:kern w:val="2"/>
                <w:sz w:val="21"/>
                <w:szCs w:val="21"/>
                <w:highlight w:val="none"/>
                <w:lang w:val="en-US" w:eastAsia="zh-CN"/>
              </w:rPr>
              <w:t>工作</w:t>
            </w:r>
            <w:r>
              <w:rPr>
                <w:rFonts w:hint="eastAsia" w:ascii="宋体" w:hAnsi="宋体" w:eastAsia="宋体" w:cs="宋体"/>
                <w:b/>
                <w:color w:val="auto"/>
                <w:kern w:val="2"/>
                <w:sz w:val="21"/>
                <w:szCs w:val="21"/>
                <w:highlight w:val="none"/>
              </w:rPr>
              <w:t>内容复印件</w:t>
            </w:r>
            <w:r>
              <w:rPr>
                <w:rFonts w:hint="eastAsia" w:ascii="宋体" w:hAnsi="宋体" w:eastAsia="宋体" w:cs="宋体"/>
                <w:b/>
                <w:color w:val="auto"/>
                <w:kern w:val="2"/>
                <w:sz w:val="21"/>
                <w:szCs w:val="21"/>
                <w:highlight w:val="none"/>
                <w:lang w:val="en-US" w:eastAsia="zh-CN"/>
              </w:rPr>
              <w:t>加盖供应商公章</w:t>
            </w:r>
            <w:r>
              <w:rPr>
                <w:rFonts w:hint="eastAsia" w:ascii="宋体" w:hAnsi="宋体" w:cs="宋体"/>
                <w:b/>
                <w:bCs/>
                <w:color w:val="auto"/>
                <w:sz w:val="21"/>
                <w:szCs w:val="21"/>
                <w:highlight w:val="none"/>
                <w:lang w:val="en-US" w:eastAsia="zh-CN"/>
              </w:rPr>
              <w:t>；财税咨询类</w:t>
            </w:r>
            <w:r>
              <w:rPr>
                <w:rFonts w:hint="eastAsia" w:ascii="宋体" w:hAnsi="宋体" w:eastAsia="宋体" w:cs="宋体"/>
                <w:b/>
                <w:bCs w:val="0"/>
                <w:color w:val="auto"/>
                <w:kern w:val="2"/>
                <w:sz w:val="21"/>
                <w:szCs w:val="21"/>
                <w:highlight w:val="none"/>
                <w:lang w:val="en-US" w:eastAsia="zh-CN" w:bidi="ar-SA"/>
              </w:rPr>
              <w:t>负责人财税咨询服务</w:t>
            </w:r>
            <w:r>
              <w:rPr>
                <w:rFonts w:hint="eastAsia" w:ascii="宋体" w:hAnsi="宋体" w:cs="宋体"/>
                <w:b/>
                <w:bCs w:val="0"/>
                <w:color w:val="auto"/>
                <w:kern w:val="2"/>
                <w:sz w:val="21"/>
                <w:szCs w:val="21"/>
                <w:highlight w:val="none"/>
                <w:lang w:val="en-US" w:eastAsia="zh-CN" w:bidi="ar-SA"/>
              </w:rPr>
              <w:t>附以下证明材料：1.项目合同复印件；</w:t>
            </w:r>
            <w:r>
              <w:rPr>
                <w:rFonts w:hint="eastAsia" w:ascii="宋体" w:hAnsi="宋体" w:cs="宋体"/>
                <w:b/>
                <w:bCs/>
                <w:color w:val="auto"/>
                <w:kern w:val="2"/>
                <w:sz w:val="21"/>
                <w:szCs w:val="21"/>
                <w:highlight w:val="none"/>
                <w:lang w:val="en-US" w:eastAsia="zh-CN"/>
              </w:rPr>
              <w:t>2</w:t>
            </w:r>
            <w:r>
              <w:rPr>
                <w:rFonts w:hint="eastAsia" w:ascii="宋体" w:hAnsi="宋体" w:eastAsia="宋体" w:cs="宋体"/>
                <w:b/>
                <w:bCs/>
                <w:color w:val="auto"/>
                <w:kern w:val="2"/>
                <w:sz w:val="21"/>
                <w:szCs w:val="21"/>
                <w:highlight w:val="none"/>
                <w:lang w:val="en-US" w:eastAsia="zh-CN"/>
              </w:rPr>
              <w:t>.</w:t>
            </w:r>
            <w:r>
              <w:rPr>
                <w:rFonts w:hint="eastAsia" w:ascii="宋体" w:hAnsi="宋体" w:eastAsia="宋体" w:cs="宋体"/>
                <w:b/>
                <w:color w:val="auto"/>
                <w:kern w:val="2"/>
                <w:sz w:val="21"/>
                <w:szCs w:val="21"/>
                <w:highlight w:val="none"/>
              </w:rPr>
              <w:t>主要</w:t>
            </w:r>
            <w:r>
              <w:rPr>
                <w:rFonts w:hint="eastAsia" w:ascii="宋体" w:hAnsi="宋体" w:eastAsia="宋体" w:cs="宋体"/>
                <w:b/>
                <w:color w:val="auto"/>
                <w:kern w:val="2"/>
                <w:sz w:val="21"/>
                <w:szCs w:val="21"/>
                <w:highlight w:val="none"/>
                <w:lang w:val="en-US" w:eastAsia="zh-CN"/>
              </w:rPr>
              <w:t>工作</w:t>
            </w:r>
            <w:r>
              <w:rPr>
                <w:rFonts w:hint="eastAsia" w:ascii="宋体" w:hAnsi="宋体" w:eastAsia="宋体" w:cs="宋体"/>
                <w:b/>
                <w:color w:val="auto"/>
                <w:kern w:val="2"/>
                <w:sz w:val="21"/>
                <w:szCs w:val="21"/>
                <w:highlight w:val="none"/>
              </w:rPr>
              <w:t>内容复印件</w:t>
            </w:r>
            <w:r>
              <w:rPr>
                <w:rFonts w:hint="eastAsia" w:ascii="宋体" w:hAnsi="宋体" w:eastAsia="宋体" w:cs="宋体"/>
                <w:b/>
                <w:color w:val="auto"/>
                <w:kern w:val="2"/>
                <w:sz w:val="21"/>
                <w:szCs w:val="21"/>
                <w:highlight w:val="none"/>
                <w:lang w:val="en-US" w:eastAsia="zh-CN"/>
              </w:rPr>
              <w:t>加盖供应商公章</w:t>
            </w:r>
            <w:r>
              <w:rPr>
                <w:rFonts w:hint="eastAsia" w:ascii="宋体" w:hAnsi="宋体" w:cs="宋体"/>
                <w:b/>
                <w:color w:val="auto"/>
                <w:kern w:val="2"/>
                <w:sz w:val="21"/>
                <w:szCs w:val="21"/>
                <w:highlight w:val="none"/>
                <w:lang w:val="en-US" w:eastAsia="zh-CN"/>
              </w:rPr>
              <w:t>；</w:t>
            </w:r>
            <w:r>
              <w:rPr>
                <w:rFonts w:hint="eastAsia" w:ascii="宋体" w:hAnsi="宋体" w:cs="宋体"/>
                <w:b/>
                <w:bCs/>
                <w:color w:val="auto"/>
                <w:sz w:val="21"/>
                <w:szCs w:val="21"/>
                <w:highlight w:val="none"/>
                <w:lang w:val="en-US" w:eastAsia="zh-CN"/>
              </w:rPr>
              <w:t>（若一个业绩中同时含有审计服务和财税服务的，只计一次得分，不重复计分）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④审计类及财税咨询类负责人可为同一人兼任；</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default"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⑤服务团队成员</w:t>
            </w:r>
            <w:r>
              <w:rPr>
                <w:rFonts w:hint="eastAsia" w:ascii="宋体" w:hAnsi="宋体" w:cs="宋体"/>
                <w:b/>
                <w:bCs/>
                <w:color w:val="auto"/>
                <w:sz w:val="21"/>
                <w:szCs w:val="21"/>
                <w:highlight w:val="none"/>
                <w:lang w:val="en-US" w:eastAsia="zh-CN"/>
              </w:rPr>
              <w:t>须提供相关参与项目的业绩合同证明材料。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4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6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行业信誉</w:t>
            </w: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34" w:firstLine="35" w:firstLineChars="17"/>
              <w:jc w:val="center"/>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3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供应商自202</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年1月1日以来，每进入</w:t>
            </w:r>
            <w:r>
              <w:rPr>
                <w:rFonts w:hint="eastAsia" w:ascii="宋体" w:hAnsi="宋体" w:cs="宋体"/>
                <w:color w:val="auto"/>
                <w:sz w:val="21"/>
                <w:szCs w:val="21"/>
                <w:highlight w:val="none"/>
                <w:lang w:val="en-US" w:eastAsia="zh-CN"/>
              </w:rPr>
              <w:t>中国注册会计师协会</w:t>
            </w:r>
            <w:r>
              <w:rPr>
                <w:rFonts w:hint="eastAsia" w:ascii="宋体" w:hAnsi="宋体" w:eastAsia="宋体" w:cs="宋体"/>
                <w:color w:val="auto"/>
                <w:sz w:val="21"/>
                <w:szCs w:val="21"/>
                <w:highlight w:val="none"/>
                <w:lang w:val="en-US" w:eastAsia="zh-CN"/>
              </w:rPr>
              <w:t>发布的会计师事务所综合评价排名名单一次，得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供应商自202</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年1月1日以来，每进入</w:t>
            </w:r>
            <w:r>
              <w:rPr>
                <w:rFonts w:hint="eastAsia" w:ascii="宋体" w:hAnsi="宋体" w:cs="宋体"/>
                <w:color w:val="auto"/>
                <w:sz w:val="21"/>
                <w:szCs w:val="21"/>
                <w:highlight w:val="none"/>
                <w:lang w:val="en-US" w:eastAsia="zh-CN"/>
              </w:rPr>
              <w:t>省级注册会计师协会</w:t>
            </w:r>
            <w:r>
              <w:rPr>
                <w:rFonts w:hint="eastAsia" w:ascii="宋体" w:hAnsi="宋体" w:eastAsia="宋体" w:cs="宋体"/>
                <w:color w:val="auto"/>
                <w:sz w:val="21"/>
                <w:szCs w:val="21"/>
                <w:highlight w:val="none"/>
                <w:lang w:val="en-US" w:eastAsia="zh-CN"/>
              </w:rPr>
              <w:t>发布的会计师事务所综合评价排名名单一次，得1分。</w:t>
            </w:r>
          </w:p>
          <w:p>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bCs/>
                <w:color w:val="auto"/>
                <w:sz w:val="21"/>
                <w:szCs w:val="21"/>
                <w:highlight w:val="none"/>
                <w:lang w:val="en-US" w:eastAsia="zh-CN"/>
              </w:rPr>
              <w:t>备注：评审以</w:t>
            </w:r>
            <w:r>
              <w:rPr>
                <w:rFonts w:hint="eastAsia" w:ascii="宋体" w:hAnsi="宋体" w:cs="宋体"/>
                <w:b/>
                <w:bCs/>
                <w:color w:val="auto"/>
                <w:sz w:val="21"/>
                <w:szCs w:val="21"/>
                <w:highlight w:val="none"/>
                <w:lang w:val="en-US" w:eastAsia="zh-CN"/>
              </w:rPr>
              <w:t>注册会计师协会</w:t>
            </w:r>
            <w:r>
              <w:rPr>
                <w:rFonts w:hint="eastAsia" w:ascii="宋体" w:hAnsi="宋体" w:eastAsia="宋体" w:cs="宋体"/>
                <w:b/>
                <w:bCs/>
                <w:color w:val="auto"/>
                <w:sz w:val="21"/>
                <w:szCs w:val="21"/>
                <w:highlight w:val="none"/>
                <w:lang w:val="en-US" w:eastAsia="zh-CN"/>
              </w:rPr>
              <w:t>发布的</w:t>
            </w:r>
            <w:r>
              <w:rPr>
                <w:rFonts w:hint="eastAsia" w:ascii="宋体" w:hAnsi="宋体" w:cs="宋体"/>
                <w:b/>
                <w:bCs/>
                <w:color w:val="auto"/>
                <w:sz w:val="21"/>
                <w:szCs w:val="21"/>
                <w:highlight w:val="none"/>
                <w:lang w:val="en-US" w:eastAsia="zh-CN"/>
              </w:rPr>
              <w:t>会计师事务所综合评价</w:t>
            </w:r>
            <w:r>
              <w:rPr>
                <w:rFonts w:hint="eastAsia" w:ascii="宋体" w:hAnsi="宋体" w:eastAsia="宋体" w:cs="宋体"/>
                <w:b/>
                <w:bCs/>
                <w:color w:val="auto"/>
                <w:sz w:val="21"/>
                <w:szCs w:val="21"/>
                <w:highlight w:val="none"/>
                <w:lang w:val="en-US" w:eastAsia="zh-CN"/>
              </w:rPr>
              <w:t>名单公告为准，</w:t>
            </w:r>
            <w:r>
              <w:rPr>
                <w:rFonts w:hint="eastAsia" w:ascii="宋体" w:hAnsi="宋体" w:eastAsia="宋体" w:cs="宋体"/>
                <w:b/>
                <w:bCs/>
                <w:i w:val="0"/>
                <w:iCs w:val="0"/>
                <w:caps w:val="0"/>
                <w:color w:val="auto"/>
                <w:spacing w:val="0"/>
                <w:sz w:val="21"/>
                <w:szCs w:val="21"/>
                <w:highlight w:val="none"/>
              </w:rPr>
              <w:t>须提供对应年份</w:t>
            </w:r>
            <w:r>
              <w:rPr>
                <w:rFonts w:hint="eastAsia" w:ascii="宋体" w:hAnsi="宋体" w:eastAsia="宋体" w:cs="宋体"/>
                <w:b/>
                <w:bCs/>
                <w:i w:val="0"/>
                <w:iCs w:val="0"/>
                <w:caps w:val="0"/>
                <w:color w:val="auto"/>
                <w:spacing w:val="0"/>
                <w:sz w:val="21"/>
                <w:szCs w:val="21"/>
                <w:highlight w:val="none"/>
                <w:lang w:val="en-US" w:eastAsia="zh-CN"/>
              </w:rPr>
              <w:t>的协会</w:t>
            </w:r>
            <w:r>
              <w:rPr>
                <w:rFonts w:hint="eastAsia" w:ascii="宋体" w:hAnsi="宋体" w:eastAsia="宋体" w:cs="宋体"/>
                <w:b/>
                <w:bCs/>
                <w:color w:val="auto"/>
                <w:sz w:val="21"/>
                <w:szCs w:val="21"/>
                <w:highlight w:val="none"/>
                <w:lang w:val="en-US" w:eastAsia="zh-CN"/>
              </w:rPr>
              <w:t>公告截图【凭证界面需显示有相关协会名称并同时显示该网址】加盖供应商公章。</w:t>
            </w:r>
            <w:r>
              <w:rPr>
                <w:rFonts w:hint="eastAsia" w:ascii="宋体" w:hAnsi="宋体" w:eastAsia="宋体" w:cs="宋体"/>
                <w:b/>
                <w:bCs/>
                <w:i w:val="0"/>
                <w:iCs w:val="0"/>
                <w:caps w:val="0"/>
                <w:color w:val="auto"/>
                <w:spacing w:val="0"/>
                <w:sz w:val="21"/>
                <w:szCs w:val="21"/>
                <w:highlight w:val="none"/>
              </w:rPr>
              <w:t>不同年份每进入</w:t>
            </w:r>
            <w:r>
              <w:rPr>
                <w:rFonts w:hint="eastAsia" w:ascii="宋体" w:hAnsi="宋体" w:eastAsia="宋体" w:cs="宋体"/>
                <w:b/>
                <w:bCs/>
                <w:i w:val="0"/>
                <w:iCs w:val="0"/>
                <w:caps w:val="0"/>
                <w:color w:val="auto"/>
                <w:spacing w:val="0"/>
                <w:sz w:val="21"/>
                <w:szCs w:val="21"/>
                <w:highlight w:val="none"/>
                <w:lang w:val="en-US" w:eastAsia="zh-CN"/>
              </w:rPr>
              <w:t>排名名单的，可累计计分。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风险承担水平</w:t>
            </w: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34" w:firstLine="35" w:firstLineChars="17"/>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3分</w:t>
            </w:r>
          </w:p>
        </w:tc>
        <w:tc>
          <w:tcPr>
            <w:tcW w:w="3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spacing w:before="0" w:beforeAutospacing="0" w:after="0" w:afterAutospacing="0" w:line="360" w:lineRule="auto"/>
              <w:ind w:left="0" w:right="0"/>
              <w:rPr>
                <w:rFonts w:hint="eastAsia" w:ascii="宋体" w:hAnsi="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根据供应商购买的会计师事务所职业责任保险累计赔偿金额（或累计责任金额）进行评分，累计赔偿金额（或累计责任金额）最高的供应商的金额为基准价，其分值为满分3分，其他供应商的金额得分统一按照下列公式计算：</w:t>
            </w:r>
          </w:p>
          <w:p>
            <w:pPr>
              <w:keepNext w:val="0"/>
              <w:keepLines w:val="0"/>
              <w:widowControl w:val="0"/>
              <w:suppressLineNumbers w:val="0"/>
              <w:adjustRightInd/>
              <w:spacing w:before="0" w:beforeAutospacing="0" w:after="0" w:afterAutospacing="0" w:line="360" w:lineRule="auto"/>
              <w:ind w:left="0" w:right="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得分=【累计赔偿金额（或累计责任金额）/基准价】×3</w:t>
            </w:r>
          </w:p>
          <w:p>
            <w:pPr>
              <w:keepNext w:val="0"/>
              <w:keepLines w:val="0"/>
              <w:widowControl w:val="0"/>
              <w:suppressLineNumbers w:val="0"/>
              <w:adjustRightInd/>
              <w:spacing w:before="0" w:beforeAutospacing="0" w:after="0" w:afterAutospacing="0" w:line="360" w:lineRule="auto"/>
              <w:ind w:left="0" w:right="0"/>
              <w:rPr>
                <w:rFonts w:hint="default" w:ascii="宋体" w:hAnsi="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注：须提供供应商购买的会计师事务所职业责任保险单复印件加盖供应商公章。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4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6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w:t>
            </w:r>
          </w:p>
          <w:p>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便利性</w:t>
            </w: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34" w:firstLine="35" w:firstLineChars="17"/>
              <w:jc w:val="center"/>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c>
          <w:tcPr>
            <w:tcW w:w="3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根据供应商承诺的服务便利性响应时间进行评审：</w:t>
            </w:r>
          </w:p>
          <w:p>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（1）供应商承诺</w:t>
            </w:r>
            <w:r>
              <w:rPr>
                <w:rFonts w:hint="eastAsia" w:ascii="宋体" w:hAnsi="宋体" w:eastAsia="宋体" w:cs="宋体"/>
                <w:b w:val="0"/>
                <w:bCs/>
                <w:color w:val="auto"/>
                <w:sz w:val="21"/>
                <w:szCs w:val="21"/>
                <w:highlight w:val="none"/>
                <w:lang w:val="en-US" w:eastAsia="zh-CN"/>
              </w:rPr>
              <w:t>项目负责人</w:t>
            </w:r>
            <w:r>
              <w:rPr>
                <w:rFonts w:hint="eastAsia" w:ascii="宋体" w:hAnsi="宋体" w:eastAsia="宋体" w:cs="宋体"/>
                <w:b w:val="0"/>
                <w:bCs/>
                <w:color w:val="auto"/>
                <w:kern w:val="2"/>
                <w:sz w:val="21"/>
                <w:szCs w:val="21"/>
                <w:highlight w:val="none"/>
                <w:lang w:val="en-US" w:eastAsia="zh-CN"/>
              </w:rPr>
              <w:t>接到采购人通知后1小时(含)内响应，2小时(含)内到达采购人指定地点的，得</w:t>
            </w:r>
            <w:r>
              <w:rPr>
                <w:rFonts w:hint="default" w:ascii="宋体" w:hAnsi="宋体" w:eastAsia="宋体" w:cs="宋体"/>
                <w:b w:val="0"/>
                <w:bCs/>
                <w:color w:val="auto"/>
                <w:kern w:val="2"/>
                <w:sz w:val="21"/>
                <w:szCs w:val="21"/>
                <w:highlight w:val="none"/>
                <w:lang w:val="en-US" w:eastAsia="zh-CN"/>
              </w:rPr>
              <w:t>2</w:t>
            </w:r>
            <w:r>
              <w:rPr>
                <w:rFonts w:hint="eastAsia" w:ascii="宋体" w:hAnsi="宋体" w:eastAsia="宋体" w:cs="宋体"/>
                <w:b w:val="0"/>
                <w:bCs/>
                <w:color w:val="auto"/>
                <w:kern w:val="2"/>
                <w:sz w:val="21"/>
                <w:szCs w:val="21"/>
                <w:highlight w:val="none"/>
                <w:lang w:val="en-US" w:eastAsia="zh-CN"/>
              </w:rPr>
              <w:t>分；</w:t>
            </w:r>
          </w:p>
          <w:p>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（2）供应商承诺项目负责人接到采购人通知后2小时(含)内响应，4小时(含)内到达采购人指定地点的，得</w:t>
            </w:r>
            <w:r>
              <w:rPr>
                <w:rFonts w:hint="default" w:ascii="宋体" w:hAnsi="宋体" w:eastAsia="宋体" w:cs="宋体"/>
                <w:b w:val="0"/>
                <w:bCs/>
                <w:color w:val="auto"/>
                <w:kern w:val="2"/>
                <w:sz w:val="21"/>
                <w:szCs w:val="21"/>
                <w:highlight w:val="none"/>
                <w:lang w:val="en-US" w:eastAsia="zh-CN"/>
              </w:rPr>
              <w:t>1</w:t>
            </w:r>
            <w:r>
              <w:rPr>
                <w:rFonts w:hint="eastAsia" w:ascii="宋体" w:hAnsi="宋体" w:eastAsia="宋体" w:cs="宋体"/>
                <w:b w:val="0"/>
                <w:bCs/>
                <w:color w:val="auto"/>
                <w:kern w:val="2"/>
                <w:sz w:val="21"/>
                <w:szCs w:val="21"/>
                <w:highlight w:val="none"/>
                <w:lang w:val="en-US" w:eastAsia="zh-CN"/>
              </w:rPr>
              <w:t>分；</w:t>
            </w:r>
          </w:p>
          <w:p>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（3）供应商承诺项目负责人接到采购人通知后3小时(含)内响应，8小时(含)内到达采购人指定地点的，得</w:t>
            </w:r>
            <w:r>
              <w:rPr>
                <w:rFonts w:hint="default" w:ascii="宋体" w:hAnsi="宋体" w:eastAsia="宋体" w:cs="宋体"/>
                <w:b w:val="0"/>
                <w:bCs/>
                <w:color w:val="auto"/>
                <w:kern w:val="2"/>
                <w:sz w:val="21"/>
                <w:szCs w:val="21"/>
                <w:highlight w:val="none"/>
                <w:lang w:val="en-US" w:eastAsia="zh-CN"/>
              </w:rPr>
              <w:t>0.5</w:t>
            </w:r>
            <w:r>
              <w:rPr>
                <w:rFonts w:hint="eastAsia" w:ascii="宋体" w:hAnsi="宋体" w:eastAsia="宋体" w:cs="宋体"/>
                <w:b w:val="0"/>
                <w:bCs/>
                <w:color w:val="auto"/>
                <w:kern w:val="2"/>
                <w:sz w:val="21"/>
                <w:szCs w:val="21"/>
                <w:highlight w:val="none"/>
                <w:lang w:val="en-US" w:eastAsia="zh-CN"/>
              </w:rPr>
              <w:t>分；</w:t>
            </w:r>
          </w:p>
          <w:p>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（4）其他情况不得分。</w:t>
            </w:r>
          </w:p>
          <w:p>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备注：</w:t>
            </w:r>
          </w:p>
          <w:p>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1）提供供应商办公场地自有产权证明复印件（或非自有产权式提供承租人为供应商的租赁合同复印件），产权证明或租赁合同的有效期须至2025年12月31日或以后，否则在评标时将不予考虑；</w:t>
            </w:r>
          </w:p>
          <w:p>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2）须同时提供供应商办公场地到采购人办公地址（东莞市南城街道滨河路100号二期（东莞市水务集团净水有限公司）新大门内3号楼3楼东莞市水务集团实业发展有限公司）时间的证明材料（包括但不限于地图软件截图）作为依据进行评审，证明材料与供应商提供的《服务便利性响应时间承诺表》承诺情况不符的，本项不得分。</w:t>
            </w:r>
          </w:p>
          <w:p>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3）供应商有多处办公场地符合评分条件的，按最高得分标准计算，不重复得分。</w:t>
            </w:r>
          </w:p>
        </w:tc>
      </w:tr>
    </w:tbl>
    <w:p>
      <w:pPr>
        <w:pStyle w:val="10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lang w:val="zh-CN"/>
        </w:rPr>
      </w:pPr>
    </w:p>
    <w:p>
      <w:pPr>
        <w:keepNext w:val="0"/>
        <w:keepLines w:val="0"/>
        <w:pageBreakBefore w:val="0"/>
        <w:widowControl w:val="0"/>
        <w:tabs>
          <w:tab w:val="left" w:pos="585"/>
        </w:tabs>
        <w:kinsoku/>
        <w:wordWrap/>
        <w:overflowPunct/>
        <w:topLinePunct w:val="0"/>
        <w:bidi w:val="0"/>
        <w:snapToGrid/>
        <w:spacing w:line="360" w:lineRule="auto"/>
        <w:jc w:val="both"/>
        <w:textAlignment w:val="auto"/>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1</w:t>
      </w:r>
      <w:r>
        <w:rPr>
          <w:rFonts w:hint="eastAsia" w:ascii="宋体" w:hAnsi="宋体" w:eastAsia="宋体" w:cs="宋体"/>
          <w:b/>
          <w:color w:val="auto"/>
          <w:kern w:val="2"/>
          <w:sz w:val="21"/>
          <w:szCs w:val="21"/>
          <w:highlight w:val="none"/>
        </w:rPr>
        <w:t>2</w:t>
      </w:r>
      <w:r>
        <w:rPr>
          <w:rFonts w:hint="eastAsia" w:ascii="宋体" w:hAnsi="宋体" w:eastAsia="宋体" w:cs="宋体"/>
          <w:b/>
          <w:color w:val="auto"/>
          <w:kern w:val="2"/>
          <w:sz w:val="21"/>
          <w:szCs w:val="21"/>
          <w:highlight w:val="none"/>
          <w:lang w:val="zh-CN"/>
        </w:rPr>
        <w:t>.</w:t>
      </w:r>
      <w:r>
        <w:rPr>
          <w:rFonts w:hint="eastAsia" w:ascii="宋体" w:hAnsi="宋体" w:eastAsia="宋体" w:cs="宋体"/>
          <w:b/>
          <w:color w:val="auto"/>
          <w:kern w:val="2"/>
          <w:sz w:val="21"/>
          <w:szCs w:val="21"/>
          <w:highlight w:val="none"/>
        </w:rPr>
        <w:t>2</w:t>
      </w:r>
      <w:r>
        <w:rPr>
          <w:rFonts w:hint="eastAsia" w:ascii="宋体" w:hAnsi="宋体" w:eastAsia="宋体" w:cs="宋体"/>
          <w:b/>
          <w:color w:val="auto"/>
          <w:kern w:val="2"/>
          <w:sz w:val="21"/>
          <w:szCs w:val="21"/>
          <w:highlight w:val="none"/>
          <w:lang w:val="zh-CN"/>
        </w:rPr>
        <w:t>技术：</w:t>
      </w:r>
    </w:p>
    <w:tbl>
      <w:tblPr>
        <w:tblStyle w:val="55"/>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78"/>
        <w:gridCol w:w="957"/>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7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评审项目</w:t>
            </w:r>
          </w:p>
        </w:tc>
        <w:tc>
          <w:tcPr>
            <w:tcW w:w="9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满分值</w:t>
            </w:r>
          </w:p>
        </w:tc>
        <w:tc>
          <w:tcPr>
            <w:tcW w:w="63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8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c>
          <w:tcPr>
            <w:tcW w:w="117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工作方案</w:t>
            </w:r>
          </w:p>
        </w:tc>
        <w:tc>
          <w:tcPr>
            <w:tcW w:w="9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p>
        </w:tc>
        <w:tc>
          <w:tcPr>
            <w:tcW w:w="63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根据供应商针对本项目</w:t>
            </w:r>
            <w:r>
              <w:rPr>
                <w:rFonts w:hint="eastAsia" w:ascii="宋体" w:hAnsi="宋体" w:cs="宋体"/>
                <w:b/>
                <w:bCs/>
                <w:color w:val="auto"/>
                <w:sz w:val="21"/>
                <w:szCs w:val="21"/>
                <w:highlight w:val="none"/>
                <w:lang w:val="en-US" w:eastAsia="zh-CN"/>
              </w:rPr>
              <w:t>工作重点、难点及其解决措施</w:t>
            </w:r>
            <w:r>
              <w:rPr>
                <w:rFonts w:hint="eastAsia" w:ascii="宋体" w:hAnsi="宋体" w:eastAsia="宋体" w:cs="宋体"/>
                <w:b/>
                <w:bCs/>
                <w:color w:val="auto"/>
                <w:sz w:val="21"/>
                <w:szCs w:val="21"/>
                <w:highlight w:val="none"/>
                <w:lang w:val="en-US" w:eastAsia="zh-CN"/>
              </w:rPr>
              <w:t>进行评审：</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优：</w:t>
            </w:r>
            <w:r>
              <w:rPr>
                <w:rFonts w:hint="eastAsia" w:ascii="宋体" w:hAnsi="宋体" w:cs="宋体"/>
                <w:b w:val="0"/>
                <w:bCs w:val="0"/>
                <w:color w:val="auto"/>
                <w:sz w:val="21"/>
                <w:szCs w:val="21"/>
                <w:highlight w:val="none"/>
                <w:lang w:val="en-US" w:eastAsia="zh-CN"/>
              </w:rPr>
              <w:t>对项目背景所提及企业的营业范围的各项目业务有深入了解，熟悉其审计、税务重点难点，对审计、税务服务可预见性的问题能提出合理的解决方案</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良：</w:t>
            </w:r>
            <w:r>
              <w:rPr>
                <w:rFonts w:hint="eastAsia" w:ascii="宋体" w:hAnsi="宋体" w:cs="宋体"/>
                <w:b w:val="0"/>
                <w:bCs w:val="0"/>
                <w:color w:val="auto"/>
                <w:sz w:val="21"/>
                <w:szCs w:val="21"/>
                <w:highlight w:val="none"/>
                <w:lang w:val="en-US" w:eastAsia="zh-CN"/>
              </w:rPr>
              <w:t>对项目背景所提及企业的营业范围的各项目业务比较了解，基本知悉审计、税务重点难点，提出的解决方案较为合理</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zh-CN" w:eastAsia="zh-CN"/>
              </w:rPr>
              <w:t>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中：</w:t>
            </w:r>
            <w:r>
              <w:rPr>
                <w:rFonts w:hint="eastAsia" w:ascii="宋体" w:hAnsi="宋体" w:cs="宋体"/>
                <w:b w:val="0"/>
                <w:bCs w:val="0"/>
                <w:color w:val="auto"/>
                <w:sz w:val="21"/>
                <w:szCs w:val="21"/>
                <w:highlight w:val="none"/>
                <w:lang w:val="en-US" w:eastAsia="zh-CN"/>
              </w:rPr>
              <w:t>对项目背景所提及企业的营业范围的各项目业务了解一般，知悉部分其审计、税务重点难点，提出的解决方案一般</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zh-CN" w:eastAsia="zh-CN"/>
              </w:rPr>
              <w:t>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差：</w:t>
            </w:r>
            <w:r>
              <w:rPr>
                <w:rFonts w:hint="eastAsia" w:ascii="宋体" w:hAnsi="宋体" w:cs="宋体"/>
                <w:b w:val="0"/>
                <w:bCs w:val="0"/>
                <w:color w:val="auto"/>
                <w:sz w:val="21"/>
                <w:szCs w:val="21"/>
                <w:highlight w:val="none"/>
                <w:lang w:val="en-US" w:eastAsia="zh-CN"/>
              </w:rPr>
              <w:t>对项目背景所提及企业的营业范围的各项目业务不了解，知悉部分其审计、税务重点难点，提出的解决方案较差</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zh-CN"/>
              </w:rPr>
              <w:t>-0</w:t>
            </w:r>
            <w:r>
              <w:rPr>
                <w:rFonts w:hint="eastAsia" w:ascii="宋体" w:hAnsi="宋体" w:eastAsia="宋体" w:cs="宋体"/>
                <w:color w:val="auto"/>
                <w:sz w:val="21"/>
                <w:szCs w:val="21"/>
                <w:highlight w:val="none"/>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8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17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i w:val="0"/>
                <w:iCs w:val="0"/>
                <w:caps w:val="0"/>
                <w:color w:val="auto"/>
                <w:spacing w:val="0"/>
                <w:sz w:val="21"/>
                <w:szCs w:val="21"/>
                <w:highlight w:val="none"/>
                <w:shd w:val="clear" w:fill="auto"/>
                <w:lang w:val="en-US" w:eastAsia="zh-CN"/>
              </w:rPr>
              <w:t>信息安全管理</w:t>
            </w:r>
          </w:p>
        </w:tc>
        <w:tc>
          <w:tcPr>
            <w:tcW w:w="9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2.5分</w:t>
            </w:r>
          </w:p>
        </w:tc>
        <w:tc>
          <w:tcPr>
            <w:tcW w:w="63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根据供应商提供涉密数据保密措施、档案资料保存情况方案进行评审：</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cs="宋体"/>
                <w:color w:val="auto"/>
                <w:sz w:val="21"/>
                <w:szCs w:val="21"/>
                <w:highlight w:val="none"/>
                <w:lang w:val="zh-CN" w:eastAsia="zh-CN"/>
              </w:rPr>
            </w:pPr>
            <w:r>
              <w:rPr>
                <w:rFonts w:hint="eastAsia" w:ascii="宋体" w:hAnsi="宋体" w:cs="宋体"/>
                <w:b/>
                <w:bCs/>
                <w:color w:val="auto"/>
                <w:sz w:val="21"/>
                <w:szCs w:val="21"/>
                <w:highlight w:val="none"/>
                <w:lang w:val="en-US" w:eastAsia="zh-CN"/>
              </w:rPr>
              <w:t>优：</w:t>
            </w:r>
            <w:r>
              <w:rPr>
                <w:rFonts w:hint="eastAsia" w:ascii="宋体" w:hAnsi="宋体" w:cs="宋体"/>
                <w:b w:val="0"/>
                <w:bCs w:val="0"/>
                <w:color w:val="auto"/>
                <w:sz w:val="21"/>
                <w:szCs w:val="21"/>
                <w:highlight w:val="none"/>
                <w:lang w:val="en-US" w:eastAsia="zh-CN"/>
              </w:rPr>
              <w:t>建立相关信息安全保障制度，涉密数据保密措施详细完整，档案资料保存方案完善、有利于项目后续使用查找的，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zh-CN"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cs="宋体"/>
                <w:color w:val="auto"/>
                <w:sz w:val="21"/>
                <w:szCs w:val="21"/>
                <w:highlight w:val="none"/>
                <w:lang w:val="zh-CN" w:eastAsia="zh-CN"/>
              </w:rPr>
            </w:pPr>
            <w:r>
              <w:rPr>
                <w:rFonts w:hint="eastAsia" w:ascii="宋体" w:hAnsi="宋体" w:cs="宋体"/>
                <w:b/>
                <w:bCs/>
                <w:color w:val="auto"/>
                <w:sz w:val="21"/>
                <w:szCs w:val="21"/>
                <w:highlight w:val="none"/>
                <w:lang w:val="en-US" w:eastAsia="zh-CN"/>
              </w:rPr>
              <w:t>良：</w:t>
            </w:r>
            <w:r>
              <w:rPr>
                <w:rFonts w:hint="eastAsia" w:ascii="宋体" w:hAnsi="宋体" w:cs="宋体"/>
                <w:b w:val="0"/>
                <w:bCs w:val="0"/>
                <w:color w:val="auto"/>
                <w:sz w:val="21"/>
                <w:szCs w:val="21"/>
                <w:highlight w:val="none"/>
                <w:lang w:val="en-US" w:eastAsia="zh-CN"/>
              </w:rPr>
              <w:t>建立相关信息安全保障制度，涉密数据保密措施比较详细，档案资料保存方案比较完善、比较利于项目后续使用查找的，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zh-CN"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cs="宋体"/>
                <w:color w:val="auto"/>
                <w:sz w:val="21"/>
                <w:szCs w:val="21"/>
                <w:highlight w:val="none"/>
                <w:lang w:val="zh-CN" w:eastAsia="zh-CN"/>
              </w:rPr>
            </w:pPr>
            <w:r>
              <w:rPr>
                <w:rFonts w:hint="eastAsia" w:ascii="宋体" w:hAnsi="宋体" w:cs="宋体"/>
                <w:b/>
                <w:bCs/>
                <w:color w:val="auto"/>
                <w:sz w:val="21"/>
                <w:szCs w:val="21"/>
                <w:highlight w:val="none"/>
                <w:lang w:val="en-US" w:eastAsia="zh-CN"/>
              </w:rPr>
              <w:t>中：</w:t>
            </w:r>
            <w:r>
              <w:rPr>
                <w:rFonts w:hint="eastAsia" w:ascii="宋体" w:hAnsi="宋体" w:cs="宋体"/>
                <w:b w:val="0"/>
                <w:bCs w:val="0"/>
                <w:color w:val="auto"/>
                <w:sz w:val="21"/>
                <w:szCs w:val="21"/>
                <w:highlight w:val="none"/>
                <w:lang w:val="en-US" w:eastAsia="zh-CN"/>
              </w:rPr>
              <w:t>建立相关信息安全保障制度，涉密数据保密措施一般，档案资料保存方案完善度一般、基本利于项目后续使用查找的，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zh-CN" w:eastAsia="zh-CN"/>
              </w:rPr>
              <w:t>；</w:t>
            </w:r>
          </w:p>
          <w:p>
            <w:pPr>
              <w:pStyle w:val="4"/>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eastAsia="宋体" w:cs="宋体"/>
                <w:color w:val="auto"/>
                <w:highlight w:val="none"/>
                <w:lang w:val="en-US" w:eastAsia="zh-CN"/>
              </w:rPr>
            </w:pPr>
            <w:r>
              <w:rPr>
                <w:rFonts w:hint="eastAsia" w:ascii="宋体" w:hAnsi="宋体" w:cs="宋体"/>
                <w:b/>
                <w:bCs/>
                <w:color w:val="auto"/>
                <w:sz w:val="21"/>
                <w:szCs w:val="21"/>
                <w:highlight w:val="none"/>
                <w:lang w:val="en-US" w:eastAsia="zh-CN"/>
              </w:rPr>
              <w:t>差：</w:t>
            </w:r>
            <w:r>
              <w:rPr>
                <w:rFonts w:hint="eastAsia" w:ascii="宋体" w:hAnsi="宋体" w:cs="宋体"/>
                <w:b w:val="0"/>
                <w:bCs w:val="0"/>
                <w:color w:val="auto"/>
                <w:sz w:val="21"/>
                <w:szCs w:val="21"/>
                <w:highlight w:val="none"/>
                <w:lang w:val="en-US" w:eastAsia="zh-CN"/>
              </w:rPr>
              <w:t>建立相关信息安全保障制度，涉密数据保密措施差，档案资料保存方案完善度差、不利于项目后续使用查找的，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81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17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auto"/>
                <w:lang w:val="en-US" w:eastAsia="zh-CN"/>
              </w:rPr>
              <w:t>质量管理水平</w:t>
            </w:r>
          </w:p>
        </w:tc>
        <w:tc>
          <w:tcPr>
            <w:tcW w:w="9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6分</w:t>
            </w:r>
          </w:p>
        </w:tc>
        <w:tc>
          <w:tcPr>
            <w:tcW w:w="63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根据供应商提供的审计服务项目咨询方案进行评审：</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cs="宋体"/>
                <w:color w:val="auto"/>
                <w:sz w:val="21"/>
                <w:szCs w:val="21"/>
                <w:highlight w:val="none"/>
                <w:lang w:val="zh-CN" w:eastAsia="zh-CN"/>
              </w:rPr>
            </w:pPr>
            <w:r>
              <w:rPr>
                <w:rFonts w:hint="eastAsia" w:ascii="宋体" w:hAnsi="宋体" w:cs="宋体"/>
                <w:b/>
                <w:bCs/>
                <w:color w:val="auto"/>
                <w:sz w:val="21"/>
                <w:szCs w:val="21"/>
                <w:highlight w:val="none"/>
                <w:lang w:val="en-US" w:eastAsia="zh-CN"/>
              </w:rPr>
              <w:t>优：</w:t>
            </w:r>
            <w:r>
              <w:rPr>
                <w:rFonts w:hint="eastAsia" w:ascii="宋体" w:hAnsi="宋体" w:cs="宋体"/>
                <w:b w:val="0"/>
                <w:bCs w:val="0"/>
                <w:color w:val="auto"/>
                <w:sz w:val="21"/>
                <w:szCs w:val="21"/>
                <w:highlight w:val="none"/>
                <w:lang w:val="en-US" w:eastAsia="zh-CN"/>
              </w:rPr>
              <w:t>方案制定非常详细、针对性强，非常科学合理且操作性非常强，处理措施和跟进保障措施完善严密的，得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zh-CN"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cs="宋体"/>
                <w:color w:val="auto"/>
                <w:sz w:val="21"/>
                <w:szCs w:val="21"/>
                <w:highlight w:val="none"/>
                <w:lang w:val="zh-CN" w:eastAsia="zh-CN"/>
              </w:rPr>
            </w:pPr>
            <w:r>
              <w:rPr>
                <w:rFonts w:hint="eastAsia" w:ascii="宋体" w:hAnsi="宋体" w:cs="宋体"/>
                <w:b/>
                <w:bCs/>
                <w:color w:val="auto"/>
                <w:sz w:val="21"/>
                <w:szCs w:val="21"/>
                <w:highlight w:val="none"/>
                <w:lang w:val="en-US" w:eastAsia="zh-CN"/>
              </w:rPr>
              <w:t>良：</w:t>
            </w:r>
            <w:r>
              <w:rPr>
                <w:rFonts w:hint="eastAsia" w:ascii="宋体" w:hAnsi="宋体" w:cs="宋体"/>
                <w:b w:val="0"/>
                <w:bCs w:val="0"/>
                <w:color w:val="auto"/>
                <w:sz w:val="21"/>
                <w:szCs w:val="21"/>
                <w:highlight w:val="none"/>
                <w:lang w:val="en-US" w:eastAsia="zh-CN"/>
              </w:rPr>
              <w:t>方案制定较详细、针对性较强，科学合理、操作性较强，处理措施和跟进保障措施较完善严密的，得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zh-CN"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cs="宋体"/>
                <w:color w:val="auto"/>
                <w:sz w:val="21"/>
                <w:szCs w:val="21"/>
                <w:highlight w:val="none"/>
                <w:lang w:val="zh-CN" w:eastAsia="zh-CN"/>
              </w:rPr>
            </w:pPr>
            <w:r>
              <w:rPr>
                <w:rFonts w:hint="eastAsia" w:ascii="宋体" w:hAnsi="宋体" w:cs="宋体"/>
                <w:b/>
                <w:bCs/>
                <w:color w:val="auto"/>
                <w:sz w:val="21"/>
                <w:szCs w:val="21"/>
                <w:highlight w:val="none"/>
                <w:lang w:val="en-US" w:eastAsia="zh-CN"/>
              </w:rPr>
              <w:t>中：</w:t>
            </w:r>
            <w:r>
              <w:rPr>
                <w:rFonts w:hint="eastAsia" w:ascii="宋体" w:hAnsi="宋体" w:cs="宋体"/>
                <w:b w:val="0"/>
                <w:bCs w:val="0"/>
                <w:color w:val="auto"/>
                <w:sz w:val="21"/>
                <w:szCs w:val="21"/>
                <w:highlight w:val="none"/>
                <w:lang w:val="en-US" w:eastAsia="zh-CN"/>
              </w:rPr>
              <w:t>方案制定基本详细、具有一定针对性，基本合理、操作性一般，处理措施和跟进保障措施基本完善严密的，得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zh-CN"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highlight w:val="none"/>
                <w:lang w:val="en-US" w:eastAsia="zh-CN"/>
              </w:rPr>
            </w:pPr>
            <w:r>
              <w:rPr>
                <w:rFonts w:hint="eastAsia" w:ascii="宋体" w:hAnsi="宋体" w:cs="宋体"/>
                <w:b/>
                <w:bCs/>
                <w:color w:val="auto"/>
                <w:sz w:val="21"/>
                <w:szCs w:val="21"/>
                <w:highlight w:val="none"/>
                <w:lang w:val="en-US" w:eastAsia="zh-CN"/>
              </w:rPr>
              <w:t>差：</w:t>
            </w:r>
            <w:r>
              <w:rPr>
                <w:rFonts w:hint="eastAsia" w:ascii="宋体" w:hAnsi="宋体" w:cs="宋体"/>
                <w:b w:val="0"/>
                <w:bCs w:val="0"/>
                <w:color w:val="auto"/>
                <w:sz w:val="21"/>
                <w:szCs w:val="21"/>
                <w:highlight w:val="none"/>
                <w:lang w:val="en-US" w:eastAsia="zh-CN"/>
              </w:rPr>
              <w:t>方案制定一般、针对性、可操作性较差，处理措施和跟进保障措施较差的，得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81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宋体" w:hAnsi="宋体" w:eastAsia="宋体" w:cs="宋体"/>
                <w:color w:val="auto"/>
                <w:sz w:val="21"/>
                <w:szCs w:val="21"/>
                <w:highlight w:val="none"/>
                <w:lang w:val="en-US" w:eastAsia="zh-CN"/>
              </w:rPr>
            </w:pPr>
          </w:p>
        </w:tc>
        <w:tc>
          <w:tcPr>
            <w:tcW w:w="117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cs="宋体"/>
                <w:i w:val="0"/>
                <w:iCs w:val="0"/>
                <w:caps w:val="0"/>
                <w:color w:val="auto"/>
                <w:spacing w:val="0"/>
                <w:sz w:val="21"/>
                <w:szCs w:val="21"/>
                <w:highlight w:val="none"/>
                <w:shd w:val="clear" w:fill="auto"/>
                <w:lang w:val="en-US" w:eastAsia="zh-CN"/>
              </w:rPr>
            </w:pPr>
          </w:p>
        </w:tc>
        <w:tc>
          <w:tcPr>
            <w:tcW w:w="9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6分</w:t>
            </w:r>
          </w:p>
        </w:tc>
        <w:tc>
          <w:tcPr>
            <w:tcW w:w="63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根据供应商提供的审计服务意见分歧解决方案进行评审：</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cs="宋体"/>
                <w:color w:val="auto"/>
                <w:sz w:val="21"/>
                <w:szCs w:val="21"/>
                <w:highlight w:val="none"/>
                <w:lang w:val="zh-CN" w:eastAsia="zh-CN"/>
              </w:rPr>
            </w:pPr>
            <w:r>
              <w:rPr>
                <w:rFonts w:hint="eastAsia" w:ascii="宋体" w:hAnsi="宋体" w:cs="宋体"/>
                <w:b/>
                <w:bCs/>
                <w:color w:val="auto"/>
                <w:sz w:val="21"/>
                <w:szCs w:val="21"/>
                <w:highlight w:val="none"/>
                <w:lang w:val="en-US" w:eastAsia="zh-CN"/>
              </w:rPr>
              <w:t>优：</w:t>
            </w:r>
            <w:r>
              <w:rPr>
                <w:rFonts w:hint="eastAsia" w:ascii="宋体" w:hAnsi="宋体" w:cs="宋体"/>
                <w:b w:val="0"/>
                <w:bCs w:val="0"/>
                <w:color w:val="auto"/>
                <w:sz w:val="21"/>
                <w:szCs w:val="21"/>
                <w:highlight w:val="none"/>
                <w:lang w:val="en-US" w:eastAsia="zh-CN"/>
              </w:rPr>
              <w:t>方案制定非常详细、针对性强，非常科学合理且操作性非常强，处理措施和跟进保障措施完善严密的，得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zh-CN"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cs="宋体"/>
                <w:color w:val="auto"/>
                <w:sz w:val="21"/>
                <w:szCs w:val="21"/>
                <w:highlight w:val="none"/>
                <w:lang w:val="zh-CN" w:eastAsia="zh-CN"/>
              </w:rPr>
            </w:pPr>
            <w:r>
              <w:rPr>
                <w:rFonts w:hint="eastAsia" w:ascii="宋体" w:hAnsi="宋体" w:cs="宋体"/>
                <w:b/>
                <w:bCs/>
                <w:color w:val="auto"/>
                <w:sz w:val="21"/>
                <w:szCs w:val="21"/>
                <w:highlight w:val="none"/>
                <w:lang w:val="en-US" w:eastAsia="zh-CN"/>
              </w:rPr>
              <w:t>良：</w:t>
            </w:r>
            <w:r>
              <w:rPr>
                <w:rFonts w:hint="eastAsia" w:ascii="宋体" w:hAnsi="宋体" w:cs="宋体"/>
                <w:b w:val="0"/>
                <w:bCs w:val="0"/>
                <w:color w:val="auto"/>
                <w:sz w:val="21"/>
                <w:szCs w:val="21"/>
                <w:highlight w:val="none"/>
                <w:lang w:val="en-US" w:eastAsia="zh-CN"/>
              </w:rPr>
              <w:t>方案制定较详细、针对性较强，科学合理、操作性较强，处理措施和跟进保障措施较完善严密的，得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zh-CN"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cs="宋体"/>
                <w:color w:val="auto"/>
                <w:sz w:val="21"/>
                <w:szCs w:val="21"/>
                <w:highlight w:val="none"/>
                <w:lang w:val="zh-CN" w:eastAsia="zh-CN"/>
              </w:rPr>
            </w:pPr>
            <w:r>
              <w:rPr>
                <w:rFonts w:hint="eastAsia" w:ascii="宋体" w:hAnsi="宋体" w:cs="宋体"/>
                <w:b/>
                <w:bCs/>
                <w:color w:val="auto"/>
                <w:sz w:val="21"/>
                <w:szCs w:val="21"/>
                <w:highlight w:val="none"/>
                <w:lang w:val="en-US" w:eastAsia="zh-CN"/>
              </w:rPr>
              <w:t>中：</w:t>
            </w:r>
            <w:r>
              <w:rPr>
                <w:rFonts w:hint="eastAsia" w:ascii="宋体" w:hAnsi="宋体" w:cs="宋体"/>
                <w:b w:val="0"/>
                <w:bCs w:val="0"/>
                <w:color w:val="auto"/>
                <w:sz w:val="21"/>
                <w:szCs w:val="21"/>
                <w:highlight w:val="none"/>
                <w:lang w:val="en-US" w:eastAsia="zh-CN"/>
              </w:rPr>
              <w:t>方案制定基本详细、具有一定针对性，基本合理、操作性一般，处理措施和跟进保障措施基本完善严密的，得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zh-CN"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差：</w:t>
            </w:r>
            <w:r>
              <w:rPr>
                <w:rFonts w:hint="eastAsia" w:ascii="宋体" w:hAnsi="宋体" w:cs="宋体"/>
                <w:b w:val="0"/>
                <w:bCs w:val="0"/>
                <w:color w:val="auto"/>
                <w:sz w:val="21"/>
                <w:szCs w:val="21"/>
                <w:highlight w:val="none"/>
                <w:lang w:val="en-US" w:eastAsia="zh-CN"/>
              </w:rPr>
              <w:t>方案制定一般、针对性、可操作性较差，处理措施和跟进保障措施较差的，得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81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宋体" w:hAnsi="宋体" w:eastAsia="宋体" w:cs="宋体"/>
                <w:color w:val="auto"/>
                <w:sz w:val="21"/>
                <w:szCs w:val="21"/>
                <w:highlight w:val="none"/>
                <w:lang w:val="en-US" w:eastAsia="zh-CN"/>
              </w:rPr>
            </w:pPr>
          </w:p>
        </w:tc>
        <w:tc>
          <w:tcPr>
            <w:tcW w:w="117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cs="宋体"/>
                <w:i w:val="0"/>
                <w:iCs w:val="0"/>
                <w:caps w:val="0"/>
                <w:color w:val="auto"/>
                <w:spacing w:val="0"/>
                <w:sz w:val="21"/>
                <w:szCs w:val="21"/>
                <w:highlight w:val="none"/>
                <w:shd w:val="clear" w:fill="auto"/>
                <w:lang w:val="en-US" w:eastAsia="zh-CN"/>
              </w:rPr>
            </w:pPr>
          </w:p>
        </w:tc>
        <w:tc>
          <w:tcPr>
            <w:tcW w:w="9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6分</w:t>
            </w:r>
          </w:p>
        </w:tc>
        <w:tc>
          <w:tcPr>
            <w:tcW w:w="63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根据供应商提供的审计服务项目质量复核方案进行评审：</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cs="宋体"/>
                <w:color w:val="auto"/>
                <w:sz w:val="21"/>
                <w:szCs w:val="21"/>
                <w:highlight w:val="none"/>
                <w:lang w:val="zh-CN" w:eastAsia="zh-CN"/>
              </w:rPr>
            </w:pPr>
            <w:r>
              <w:rPr>
                <w:rFonts w:hint="eastAsia" w:ascii="宋体" w:hAnsi="宋体" w:cs="宋体"/>
                <w:b/>
                <w:bCs/>
                <w:color w:val="auto"/>
                <w:sz w:val="21"/>
                <w:szCs w:val="21"/>
                <w:highlight w:val="none"/>
                <w:lang w:val="en-US" w:eastAsia="zh-CN"/>
              </w:rPr>
              <w:t>优：</w:t>
            </w:r>
            <w:r>
              <w:rPr>
                <w:rFonts w:hint="eastAsia" w:ascii="宋体" w:hAnsi="宋体" w:cs="宋体"/>
                <w:b w:val="0"/>
                <w:bCs w:val="0"/>
                <w:color w:val="auto"/>
                <w:sz w:val="21"/>
                <w:szCs w:val="21"/>
                <w:highlight w:val="none"/>
                <w:lang w:val="en-US" w:eastAsia="zh-CN"/>
              </w:rPr>
              <w:t>方案制定非常详细、针对性强，非常科学合理且操作性非常强，处理措施和跟进保障措施完善严密的，得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zh-CN"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cs="宋体"/>
                <w:color w:val="auto"/>
                <w:sz w:val="21"/>
                <w:szCs w:val="21"/>
                <w:highlight w:val="none"/>
                <w:lang w:val="zh-CN" w:eastAsia="zh-CN"/>
              </w:rPr>
            </w:pPr>
            <w:r>
              <w:rPr>
                <w:rFonts w:hint="eastAsia" w:ascii="宋体" w:hAnsi="宋体" w:cs="宋体"/>
                <w:b/>
                <w:bCs/>
                <w:color w:val="auto"/>
                <w:sz w:val="21"/>
                <w:szCs w:val="21"/>
                <w:highlight w:val="none"/>
                <w:lang w:val="en-US" w:eastAsia="zh-CN"/>
              </w:rPr>
              <w:t>良：</w:t>
            </w:r>
            <w:r>
              <w:rPr>
                <w:rFonts w:hint="eastAsia" w:ascii="宋体" w:hAnsi="宋体" w:cs="宋体"/>
                <w:b w:val="0"/>
                <w:bCs w:val="0"/>
                <w:color w:val="auto"/>
                <w:sz w:val="21"/>
                <w:szCs w:val="21"/>
                <w:highlight w:val="none"/>
                <w:lang w:val="en-US" w:eastAsia="zh-CN"/>
              </w:rPr>
              <w:t>方案制定较详细、针对性较强，科学合理、操作性较强，处理措施和跟进保障措施较完善严密的，得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zh-CN"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cs="宋体"/>
                <w:color w:val="auto"/>
                <w:sz w:val="21"/>
                <w:szCs w:val="21"/>
                <w:highlight w:val="none"/>
                <w:lang w:val="zh-CN" w:eastAsia="zh-CN"/>
              </w:rPr>
            </w:pPr>
            <w:r>
              <w:rPr>
                <w:rFonts w:hint="eastAsia" w:ascii="宋体" w:hAnsi="宋体" w:cs="宋体"/>
                <w:b/>
                <w:bCs/>
                <w:color w:val="auto"/>
                <w:sz w:val="21"/>
                <w:szCs w:val="21"/>
                <w:highlight w:val="none"/>
                <w:lang w:val="en-US" w:eastAsia="zh-CN"/>
              </w:rPr>
              <w:t>中：</w:t>
            </w:r>
            <w:r>
              <w:rPr>
                <w:rFonts w:hint="eastAsia" w:ascii="宋体" w:hAnsi="宋体" w:cs="宋体"/>
                <w:b w:val="0"/>
                <w:bCs w:val="0"/>
                <w:color w:val="auto"/>
                <w:sz w:val="21"/>
                <w:szCs w:val="21"/>
                <w:highlight w:val="none"/>
                <w:lang w:val="en-US" w:eastAsia="zh-CN"/>
              </w:rPr>
              <w:t>方案制定基本详细、具有一定针对性，基本合理、操作性一般，处理措施和跟进保障措施基本完善严密的，得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zh-CN"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差：</w:t>
            </w:r>
            <w:r>
              <w:rPr>
                <w:rFonts w:hint="eastAsia" w:ascii="宋体" w:hAnsi="宋体" w:cs="宋体"/>
                <w:b w:val="0"/>
                <w:bCs w:val="0"/>
                <w:color w:val="auto"/>
                <w:sz w:val="21"/>
                <w:szCs w:val="21"/>
                <w:highlight w:val="none"/>
                <w:lang w:val="en-US" w:eastAsia="zh-CN"/>
              </w:rPr>
              <w:t>方案制定一般、针对性、可操作性较差，处理措施和跟进保障措施较差的，得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81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宋体" w:hAnsi="宋体" w:eastAsia="宋体" w:cs="宋体"/>
                <w:color w:val="auto"/>
                <w:sz w:val="21"/>
                <w:szCs w:val="21"/>
                <w:highlight w:val="none"/>
                <w:lang w:val="en-US" w:eastAsia="zh-CN"/>
              </w:rPr>
            </w:pPr>
          </w:p>
        </w:tc>
        <w:tc>
          <w:tcPr>
            <w:tcW w:w="117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cs="宋体"/>
                <w:i w:val="0"/>
                <w:iCs w:val="0"/>
                <w:caps w:val="0"/>
                <w:color w:val="auto"/>
                <w:spacing w:val="0"/>
                <w:sz w:val="21"/>
                <w:szCs w:val="21"/>
                <w:highlight w:val="none"/>
                <w:shd w:val="clear" w:fill="auto"/>
                <w:lang w:val="en-US" w:eastAsia="zh-CN"/>
              </w:rPr>
            </w:pPr>
          </w:p>
        </w:tc>
        <w:tc>
          <w:tcPr>
            <w:tcW w:w="9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6分</w:t>
            </w:r>
          </w:p>
        </w:tc>
        <w:tc>
          <w:tcPr>
            <w:tcW w:w="63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根据供应商提供的审计服务项目质量检查方案进行评审：</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cs="宋体"/>
                <w:color w:val="auto"/>
                <w:sz w:val="21"/>
                <w:szCs w:val="21"/>
                <w:highlight w:val="none"/>
                <w:lang w:val="zh-CN" w:eastAsia="zh-CN"/>
              </w:rPr>
            </w:pPr>
            <w:r>
              <w:rPr>
                <w:rFonts w:hint="eastAsia" w:ascii="宋体" w:hAnsi="宋体" w:cs="宋体"/>
                <w:b/>
                <w:bCs/>
                <w:color w:val="auto"/>
                <w:sz w:val="21"/>
                <w:szCs w:val="21"/>
                <w:highlight w:val="none"/>
                <w:lang w:val="en-US" w:eastAsia="zh-CN"/>
              </w:rPr>
              <w:t>优：</w:t>
            </w:r>
            <w:r>
              <w:rPr>
                <w:rFonts w:hint="eastAsia" w:ascii="宋体" w:hAnsi="宋体" w:cs="宋体"/>
                <w:b w:val="0"/>
                <w:bCs w:val="0"/>
                <w:color w:val="auto"/>
                <w:sz w:val="21"/>
                <w:szCs w:val="21"/>
                <w:highlight w:val="none"/>
                <w:lang w:val="en-US" w:eastAsia="zh-CN"/>
              </w:rPr>
              <w:t>方案制定非常详细、针对性强，非常科学合理且操作性非常强，处理措施和跟进保障措施完善严密的，得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zh-CN"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cs="宋体"/>
                <w:color w:val="auto"/>
                <w:sz w:val="21"/>
                <w:szCs w:val="21"/>
                <w:highlight w:val="none"/>
                <w:lang w:val="zh-CN" w:eastAsia="zh-CN"/>
              </w:rPr>
            </w:pPr>
            <w:r>
              <w:rPr>
                <w:rFonts w:hint="eastAsia" w:ascii="宋体" w:hAnsi="宋体" w:cs="宋体"/>
                <w:b/>
                <w:bCs/>
                <w:color w:val="auto"/>
                <w:sz w:val="21"/>
                <w:szCs w:val="21"/>
                <w:highlight w:val="none"/>
                <w:lang w:val="en-US" w:eastAsia="zh-CN"/>
              </w:rPr>
              <w:t>良：</w:t>
            </w:r>
            <w:r>
              <w:rPr>
                <w:rFonts w:hint="eastAsia" w:ascii="宋体" w:hAnsi="宋体" w:cs="宋体"/>
                <w:b w:val="0"/>
                <w:bCs w:val="0"/>
                <w:color w:val="auto"/>
                <w:sz w:val="21"/>
                <w:szCs w:val="21"/>
                <w:highlight w:val="none"/>
                <w:lang w:val="en-US" w:eastAsia="zh-CN"/>
              </w:rPr>
              <w:t>方案制定较详细、针对性较强，科学合理、操作性较强，处理措施和跟进保障措施较完善严密的，得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zh-CN"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cs="宋体"/>
                <w:color w:val="auto"/>
                <w:sz w:val="21"/>
                <w:szCs w:val="21"/>
                <w:highlight w:val="none"/>
                <w:lang w:val="zh-CN" w:eastAsia="zh-CN"/>
              </w:rPr>
            </w:pPr>
            <w:r>
              <w:rPr>
                <w:rFonts w:hint="eastAsia" w:ascii="宋体" w:hAnsi="宋体" w:cs="宋体"/>
                <w:b/>
                <w:bCs/>
                <w:color w:val="auto"/>
                <w:sz w:val="21"/>
                <w:szCs w:val="21"/>
                <w:highlight w:val="none"/>
                <w:lang w:val="en-US" w:eastAsia="zh-CN"/>
              </w:rPr>
              <w:t>中：</w:t>
            </w:r>
            <w:r>
              <w:rPr>
                <w:rFonts w:hint="eastAsia" w:ascii="宋体" w:hAnsi="宋体" w:cs="宋体"/>
                <w:b w:val="0"/>
                <w:bCs w:val="0"/>
                <w:color w:val="auto"/>
                <w:sz w:val="21"/>
                <w:szCs w:val="21"/>
                <w:highlight w:val="none"/>
                <w:lang w:val="en-US" w:eastAsia="zh-CN"/>
              </w:rPr>
              <w:t>方案制定基本详细、具有一定针对性，基本合理、操作性一般，处理措施和跟进保障措施基本完善严密的，得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zh-CN"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差：</w:t>
            </w:r>
            <w:r>
              <w:rPr>
                <w:rFonts w:hint="eastAsia" w:ascii="宋体" w:hAnsi="宋体" w:cs="宋体"/>
                <w:b w:val="0"/>
                <w:bCs w:val="0"/>
                <w:color w:val="auto"/>
                <w:sz w:val="21"/>
                <w:szCs w:val="21"/>
                <w:highlight w:val="none"/>
                <w:lang w:val="en-US" w:eastAsia="zh-CN"/>
              </w:rPr>
              <w:t>方案制定一般、针对性、可操作性较差，处理措施和跟进保障措施较差的，得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81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宋体" w:hAnsi="宋体" w:eastAsia="宋体" w:cs="宋体"/>
                <w:color w:val="auto"/>
                <w:sz w:val="21"/>
                <w:szCs w:val="21"/>
                <w:highlight w:val="none"/>
                <w:lang w:val="en-US" w:eastAsia="zh-CN"/>
              </w:rPr>
            </w:pPr>
          </w:p>
        </w:tc>
        <w:tc>
          <w:tcPr>
            <w:tcW w:w="117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cs="宋体"/>
                <w:i w:val="0"/>
                <w:iCs w:val="0"/>
                <w:caps w:val="0"/>
                <w:color w:val="auto"/>
                <w:spacing w:val="0"/>
                <w:sz w:val="21"/>
                <w:szCs w:val="21"/>
                <w:highlight w:val="none"/>
                <w:shd w:val="clear" w:fill="auto"/>
                <w:lang w:val="en-US" w:eastAsia="zh-CN"/>
              </w:rPr>
            </w:pPr>
          </w:p>
        </w:tc>
        <w:tc>
          <w:tcPr>
            <w:tcW w:w="9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6分</w:t>
            </w:r>
          </w:p>
        </w:tc>
        <w:tc>
          <w:tcPr>
            <w:tcW w:w="63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根据供应商提供的审计服务质量管理缺陷识别与整改方案进行评审：</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cs="宋体"/>
                <w:color w:val="auto"/>
                <w:sz w:val="21"/>
                <w:szCs w:val="21"/>
                <w:highlight w:val="none"/>
                <w:lang w:val="zh-CN" w:eastAsia="zh-CN"/>
              </w:rPr>
            </w:pPr>
            <w:r>
              <w:rPr>
                <w:rFonts w:hint="eastAsia" w:ascii="宋体" w:hAnsi="宋体" w:cs="宋体"/>
                <w:b/>
                <w:bCs/>
                <w:color w:val="auto"/>
                <w:sz w:val="21"/>
                <w:szCs w:val="21"/>
                <w:highlight w:val="none"/>
                <w:lang w:val="en-US" w:eastAsia="zh-CN"/>
              </w:rPr>
              <w:t>优：</w:t>
            </w:r>
            <w:r>
              <w:rPr>
                <w:rFonts w:hint="eastAsia" w:ascii="宋体" w:hAnsi="宋体" w:cs="宋体"/>
                <w:b w:val="0"/>
                <w:bCs w:val="0"/>
                <w:color w:val="auto"/>
                <w:sz w:val="21"/>
                <w:szCs w:val="21"/>
                <w:highlight w:val="none"/>
                <w:lang w:val="en-US" w:eastAsia="zh-CN"/>
              </w:rPr>
              <w:t>方案制定非常详细、针对性强，非常科学合理且操作性非常强，处理措施和跟进保障措施完善严密的，得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zh-CN"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cs="宋体"/>
                <w:color w:val="auto"/>
                <w:sz w:val="21"/>
                <w:szCs w:val="21"/>
                <w:highlight w:val="none"/>
                <w:lang w:val="zh-CN" w:eastAsia="zh-CN"/>
              </w:rPr>
            </w:pPr>
            <w:r>
              <w:rPr>
                <w:rFonts w:hint="eastAsia" w:ascii="宋体" w:hAnsi="宋体" w:cs="宋体"/>
                <w:b/>
                <w:bCs/>
                <w:color w:val="auto"/>
                <w:sz w:val="21"/>
                <w:szCs w:val="21"/>
                <w:highlight w:val="none"/>
                <w:lang w:val="en-US" w:eastAsia="zh-CN"/>
              </w:rPr>
              <w:t>良：</w:t>
            </w:r>
            <w:r>
              <w:rPr>
                <w:rFonts w:hint="eastAsia" w:ascii="宋体" w:hAnsi="宋体" w:cs="宋体"/>
                <w:b w:val="0"/>
                <w:bCs w:val="0"/>
                <w:color w:val="auto"/>
                <w:sz w:val="21"/>
                <w:szCs w:val="21"/>
                <w:highlight w:val="none"/>
                <w:lang w:val="en-US" w:eastAsia="zh-CN"/>
              </w:rPr>
              <w:t>方案制定较详细、针对性较强，科学合理、操作性较强，处理措施和跟进保障措施较完善严密的，得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zh-CN"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cs="宋体"/>
                <w:color w:val="auto"/>
                <w:sz w:val="21"/>
                <w:szCs w:val="21"/>
                <w:highlight w:val="none"/>
                <w:lang w:val="zh-CN" w:eastAsia="zh-CN"/>
              </w:rPr>
            </w:pPr>
            <w:r>
              <w:rPr>
                <w:rFonts w:hint="eastAsia" w:ascii="宋体" w:hAnsi="宋体" w:cs="宋体"/>
                <w:b/>
                <w:bCs/>
                <w:color w:val="auto"/>
                <w:sz w:val="21"/>
                <w:szCs w:val="21"/>
                <w:highlight w:val="none"/>
                <w:lang w:val="en-US" w:eastAsia="zh-CN"/>
              </w:rPr>
              <w:t>中：</w:t>
            </w:r>
            <w:r>
              <w:rPr>
                <w:rFonts w:hint="eastAsia" w:ascii="宋体" w:hAnsi="宋体" w:cs="宋体"/>
                <w:b w:val="0"/>
                <w:bCs w:val="0"/>
                <w:color w:val="auto"/>
                <w:sz w:val="21"/>
                <w:szCs w:val="21"/>
                <w:highlight w:val="none"/>
                <w:lang w:val="en-US" w:eastAsia="zh-CN"/>
              </w:rPr>
              <w:t>方案制定基本详细、具有一定针对性，基本合理、操作性一般，处理措施和跟进保障措施基本完善严密的，得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zh-CN"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差：</w:t>
            </w:r>
            <w:r>
              <w:rPr>
                <w:rFonts w:hint="eastAsia" w:ascii="宋体" w:hAnsi="宋体" w:cs="宋体"/>
                <w:b w:val="0"/>
                <w:bCs w:val="0"/>
                <w:color w:val="auto"/>
                <w:sz w:val="21"/>
                <w:szCs w:val="21"/>
                <w:highlight w:val="none"/>
                <w:lang w:val="en-US" w:eastAsia="zh-CN"/>
              </w:rPr>
              <w:t>方案制定一般、针对性、可操作性较差，处理措施和跟进保障措施较差的，得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81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宋体" w:hAnsi="宋体" w:eastAsia="宋体" w:cs="宋体"/>
                <w:color w:val="auto"/>
                <w:sz w:val="21"/>
                <w:szCs w:val="21"/>
                <w:highlight w:val="none"/>
                <w:lang w:val="en-US" w:eastAsia="zh-CN"/>
              </w:rPr>
            </w:pPr>
          </w:p>
        </w:tc>
        <w:tc>
          <w:tcPr>
            <w:tcW w:w="117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cs="宋体"/>
                <w:i w:val="0"/>
                <w:iCs w:val="0"/>
                <w:caps w:val="0"/>
                <w:color w:val="auto"/>
                <w:spacing w:val="0"/>
                <w:sz w:val="21"/>
                <w:szCs w:val="21"/>
                <w:highlight w:val="none"/>
                <w:shd w:val="clear" w:fill="auto"/>
                <w:lang w:val="en-US" w:eastAsia="zh-CN"/>
              </w:rPr>
            </w:pPr>
          </w:p>
        </w:tc>
        <w:tc>
          <w:tcPr>
            <w:tcW w:w="9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10分</w:t>
            </w:r>
          </w:p>
        </w:tc>
        <w:tc>
          <w:tcPr>
            <w:tcW w:w="63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根据供应商提供的审计、财税综合服务质量管理制度进行评审：</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cs="宋体"/>
                <w:color w:val="auto"/>
                <w:sz w:val="21"/>
                <w:szCs w:val="21"/>
                <w:highlight w:val="none"/>
                <w:lang w:val="zh-CN" w:eastAsia="zh-CN"/>
              </w:rPr>
            </w:pPr>
            <w:r>
              <w:rPr>
                <w:rFonts w:hint="eastAsia" w:ascii="宋体" w:hAnsi="宋体" w:cs="宋体"/>
                <w:b/>
                <w:bCs/>
                <w:color w:val="auto"/>
                <w:sz w:val="21"/>
                <w:szCs w:val="21"/>
                <w:highlight w:val="none"/>
                <w:lang w:val="en-US" w:eastAsia="zh-CN"/>
              </w:rPr>
              <w:t>优：</w:t>
            </w:r>
            <w:r>
              <w:rPr>
                <w:rFonts w:hint="eastAsia" w:ascii="宋体" w:hAnsi="宋体" w:cs="宋体"/>
                <w:b w:val="0"/>
                <w:bCs w:val="0"/>
                <w:color w:val="auto"/>
                <w:sz w:val="21"/>
                <w:szCs w:val="21"/>
                <w:highlight w:val="none"/>
                <w:lang w:val="en-US" w:eastAsia="zh-CN"/>
              </w:rPr>
              <w:t>质量管理制度制定非常详细、针对性强，非常科学合理且操作性非常强的，得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zh-CN"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cs="宋体"/>
                <w:color w:val="auto"/>
                <w:sz w:val="21"/>
                <w:szCs w:val="21"/>
                <w:highlight w:val="none"/>
                <w:lang w:val="zh-CN" w:eastAsia="zh-CN"/>
              </w:rPr>
            </w:pPr>
            <w:r>
              <w:rPr>
                <w:rFonts w:hint="eastAsia" w:ascii="宋体" w:hAnsi="宋体" w:cs="宋体"/>
                <w:b/>
                <w:bCs/>
                <w:color w:val="auto"/>
                <w:sz w:val="21"/>
                <w:szCs w:val="21"/>
                <w:highlight w:val="none"/>
                <w:lang w:val="en-US" w:eastAsia="zh-CN"/>
              </w:rPr>
              <w:t>良：</w:t>
            </w:r>
            <w:r>
              <w:rPr>
                <w:rFonts w:hint="eastAsia" w:ascii="宋体" w:hAnsi="宋体" w:cs="宋体"/>
                <w:b w:val="0"/>
                <w:bCs w:val="0"/>
                <w:color w:val="auto"/>
                <w:sz w:val="21"/>
                <w:szCs w:val="21"/>
                <w:highlight w:val="none"/>
                <w:lang w:val="en-US" w:eastAsia="zh-CN"/>
              </w:rPr>
              <w:t>质量管理制度制定较详细、针对性较强，科学合理、操作性较强的，得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zh-CN"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cs="宋体"/>
                <w:color w:val="auto"/>
                <w:sz w:val="21"/>
                <w:szCs w:val="21"/>
                <w:highlight w:val="none"/>
                <w:lang w:val="zh-CN" w:eastAsia="zh-CN"/>
              </w:rPr>
            </w:pPr>
            <w:r>
              <w:rPr>
                <w:rFonts w:hint="eastAsia" w:ascii="宋体" w:hAnsi="宋体" w:cs="宋体"/>
                <w:b/>
                <w:bCs/>
                <w:color w:val="auto"/>
                <w:sz w:val="21"/>
                <w:szCs w:val="21"/>
                <w:highlight w:val="none"/>
                <w:lang w:val="en-US" w:eastAsia="zh-CN"/>
              </w:rPr>
              <w:t>中：</w:t>
            </w:r>
            <w:r>
              <w:rPr>
                <w:rFonts w:hint="eastAsia" w:ascii="宋体" w:hAnsi="宋体" w:cs="宋体"/>
                <w:b w:val="0"/>
                <w:bCs w:val="0"/>
                <w:color w:val="auto"/>
                <w:sz w:val="21"/>
                <w:szCs w:val="21"/>
                <w:highlight w:val="none"/>
                <w:lang w:val="en-US" w:eastAsia="zh-CN"/>
              </w:rPr>
              <w:t>质量管理制度制定基本详细、具有一定针对性，基本合理、操作性一般的，得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zh-CN"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差：</w:t>
            </w:r>
            <w:r>
              <w:rPr>
                <w:rFonts w:hint="eastAsia" w:ascii="宋体" w:hAnsi="宋体" w:cs="宋体"/>
                <w:b w:val="0"/>
                <w:bCs w:val="0"/>
                <w:color w:val="auto"/>
                <w:sz w:val="21"/>
                <w:szCs w:val="21"/>
                <w:highlight w:val="none"/>
                <w:lang w:val="en-US" w:eastAsia="zh-CN"/>
              </w:rPr>
              <w:t>质量管理制度制定一般、针对性、可操作性较差的，得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zh-CN" w:eastAsia="zh-CN"/>
              </w:rPr>
              <w:t>。</w:t>
            </w:r>
          </w:p>
        </w:tc>
      </w:tr>
    </w:tbl>
    <w:p>
      <w:pPr>
        <w:autoSpaceDE w:val="0"/>
        <w:autoSpaceDN w:val="0"/>
        <w:adjustRightInd w:val="0"/>
        <w:snapToGrid w:val="0"/>
        <w:spacing w:line="360" w:lineRule="auto"/>
        <w:ind w:left="480" w:leftChars="200"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备注：</w:t>
      </w:r>
    </w:p>
    <w:p>
      <w:pPr>
        <w:autoSpaceDE w:val="0"/>
        <w:autoSpaceDN w:val="0"/>
        <w:adjustRightInd w:val="0"/>
        <w:spacing w:line="360" w:lineRule="auto"/>
        <w:ind w:left="480" w:leftChars="200"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①表中“[”代表闭区间，“]”代表闭区间，如[0，1]代表该分数段范围为大于等于0且小于等于1。表中“（”代表开区间，“]”代表闭区间，如（1，2]代表该分数段范围为大于1且小于等于2。</w:t>
      </w:r>
    </w:p>
    <w:p>
      <w:pPr>
        <w:autoSpaceDE w:val="0"/>
        <w:autoSpaceDN w:val="0"/>
        <w:adjustRightInd w:val="0"/>
        <w:spacing w:line="360" w:lineRule="auto"/>
        <w:ind w:left="480" w:leftChars="200"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②分数出现小数点，保留小数点后2位，从小数点后第3位四舍五入。</w:t>
      </w:r>
    </w:p>
    <w:p>
      <w:pPr>
        <w:autoSpaceDE w:val="0"/>
        <w:autoSpaceDN w:val="0"/>
        <w:adjustRightInd w:val="0"/>
        <w:spacing w:line="360" w:lineRule="auto"/>
        <w:ind w:left="480" w:leftChars="200" w:firstLine="422" w:firstLineChars="200"/>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③上述“评分项目”中按“优、良、中、差”区间评审的，若低于该项满分分值60%时，</w:t>
      </w:r>
      <w:r>
        <w:rPr>
          <w:rFonts w:hint="eastAsia" w:ascii="宋体" w:hAnsi="宋体" w:eastAsia="宋体" w:cs="宋体"/>
          <w:b/>
          <w:color w:val="auto"/>
          <w:sz w:val="21"/>
          <w:szCs w:val="21"/>
          <w:highlight w:val="none"/>
          <w:lang w:val="en-US" w:eastAsia="zh-CN"/>
        </w:rPr>
        <w:t>磋商小组成员</w:t>
      </w:r>
      <w:r>
        <w:rPr>
          <w:rFonts w:hint="eastAsia" w:ascii="宋体" w:hAnsi="宋体" w:eastAsia="宋体" w:cs="宋体"/>
          <w:b/>
          <w:color w:val="auto"/>
          <w:sz w:val="21"/>
          <w:szCs w:val="21"/>
          <w:highlight w:val="none"/>
          <w:lang w:val="zh-CN"/>
        </w:rPr>
        <w:t>需详细填写该项低分的充分理由，例如：该项目内容存在违反国家有关标准和规范或与项目实际不符等原则性问题。</w:t>
      </w:r>
    </w:p>
    <w:p>
      <w:pPr>
        <w:autoSpaceDE w:val="0"/>
        <w:autoSpaceDN w:val="0"/>
        <w:adjustRightInd w:val="0"/>
        <w:spacing w:line="360" w:lineRule="auto"/>
        <w:ind w:left="480" w:leftChars="200" w:firstLine="422"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④</w:t>
      </w:r>
      <w:r>
        <w:rPr>
          <w:rFonts w:hint="eastAsia" w:ascii="宋体" w:hAnsi="宋体" w:eastAsia="宋体" w:cs="宋体"/>
          <w:b/>
          <w:color w:val="auto"/>
          <w:kern w:val="0"/>
          <w:sz w:val="21"/>
          <w:szCs w:val="21"/>
          <w:highlight w:val="none"/>
          <w:lang w:val="zh-CN"/>
        </w:rPr>
        <w:t>对</w:t>
      </w:r>
      <w:r>
        <w:rPr>
          <w:rFonts w:hint="eastAsia" w:ascii="宋体" w:hAnsi="宋体" w:eastAsia="宋体" w:cs="宋体"/>
          <w:b/>
          <w:color w:val="auto"/>
          <w:kern w:val="0"/>
          <w:sz w:val="21"/>
          <w:szCs w:val="21"/>
          <w:highlight w:val="none"/>
        </w:rPr>
        <w:t>于各</w:t>
      </w:r>
      <w:r>
        <w:rPr>
          <w:rFonts w:hint="eastAsia" w:ascii="宋体" w:hAnsi="宋体" w:eastAsia="宋体" w:cs="宋体"/>
          <w:b/>
          <w:color w:val="auto"/>
          <w:kern w:val="0"/>
          <w:sz w:val="21"/>
          <w:szCs w:val="21"/>
          <w:highlight w:val="none"/>
          <w:lang w:val="en-US" w:eastAsia="zh-CN"/>
        </w:rPr>
        <w:t>磋商小组</w:t>
      </w:r>
      <w:r>
        <w:rPr>
          <w:rFonts w:hint="eastAsia" w:ascii="宋体" w:hAnsi="宋体" w:eastAsia="宋体" w:cs="宋体"/>
          <w:b/>
          <w:color w:val="auto"/>
          <w:kern w:val="0"/>
          <w:sz w:val="21"/>
          <w:szCs w:val="21"/>
          <w:highlight w:val="none"/>
          <w:lang w:val="zh-CN"/>
        </w:rPr>
        <w:t>成员</w:t>
      </w:r>
      <w:r>
        <w:rPr>
          <w:rFonts w:hint="eastAsia" w:ascii="宋体" w:hAnsi="宋体" w:eastAsia="宋体" w:cs="宋体"/>
          <w:b/>
          <w:color w:val="auto"/>
          <w:kern w:val="0"/>
          <w:sz w:val="21"/>
          <w:szCs w:val="21"/>
          <w:highlight w:val="none"/>
        </w:rPr>
        <w:t>存在客观分打分不一致时</w:t>
      </w:r>
      <w:r>
        <w:rPr>
          <w:rFonts w:hint="eastAsia" w:ascii="宋体" w:hAnsi="宋体" w:eastAsia="宋体" w:cs="宋体"/>
          <w:b/>
          <w:color w:val="auto"/>
          <w:kern w:val="0"/>
          <w:sz w:val="21"/>
          <w:szCs w:val="21"/>
          <w:highlight w:val="none"/>
          <w:lang w:val="zh-CN"/>
        </w:rPr>
        <w:t>,根据少数服</w:t>
      </w:r>
      <w:r>
        <w:rPr>
          <w:rFonts w:hint="eastAsia" w:ascii="宋体" w:hAnsi="宋体" w:eastAsia="宋体" w:cs="宋体"/>
          <w:b/>
          <w:color w:val="auto"/>
          <w:kern w:val="0"/>
          <w:sz w:val="21"/>
          <w:szCs w:val="21"/>
          <w:highlight w:val="none"/>
        </w:rPr>
        <w:t>从</w:t>
      </w:r>
      <w:r>
        <w:rPr>
          <w:rFonts w:hint="eastAsia" w:ascii="宋体" w:hAnsi="宋体" w:eastAsia="宋体" w:cs="宋体"/>
          <w:b/>
          <w:color w:val="auto"/>
          <w:kern w:val="0"/>
          <w:sz w:val="21"/>
          <w:szCs w:val="21"/>
          <w:highlight w:val="none"/>
          <w:lang w:val="zh-CN"/>
        </w:rPr>
        <w:t>多数的原则，以记名方式表决</w:t>
      </w:r>
      <w:r>
        <w:rPr>
          <w:rFonts w:hint="eastAsia" w:ascii="宋体" w:hAnsi="宋体" w:eastAsia="宋体" w:cs="宋体"/>
          <w:b/>
          <w:color w:val="auto"/>
          <w:kern w:val="0"/>
          <w:sz w:val="21"/>
          <w:szCs w:val="21"/>
          <w:highlight w:val="none"/>
        </w:rPr>
        <w:t>确定该项的评分。</w:t>
      </w:r>
    </w:p>
    <w:p>
      <w:pPr>
        <w:pStyle w:val="187"/>
        <w:spacing w:line="360" w:lineRule="auto"/>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1</w:t>
      </w:r>
      <w:r>
        <w:rPr>
          <w:rFonts w:hint="eastAsia" w:ascii="宋体" w:hAnsi="宋体" w:eastAsia="宋体" w:cs="宋体"/>
          <w:b/>
          <w:bCs/>
          <w:color w:val="auto"/>
          <w:sz w:val="21"/>
          <w:szCs w:val="21"/>
          <w:highlight w:val="none"/>
        </w:rPr>
        <w:t>2.3 价格评分：</w:t>
      </w:r>
      <w:r>
        <w:rPr>
          <w:rFonts w:hint="eastAsia" w:ascii="宋体" w:hAnsi="宋体" w:eastAsia="宋体" w:cs="宋体"/>
          <w:b/>
          <w:bCs/>
          <w:color w:val="auto"/>
          <w:sz w:val="21"/>
          <w:szCs w:val="21"/>
          <w:highlight w:val="none"/>
          <w:lang w:val="zh-CN"/>
        </w:rPr>
        <w:t>总分</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val="zh-CN"/>
        </w:rPr>
        <w:t>分</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A、根据有效</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供应商的</w:t>
      </w:r>
      <w:r>
        <w:rPr>
          <w:rFonts w:hint="eastAsia" w:ascii="宋体" w:hAnsi="宋体" w:cs="宋体"/>
          <w:color w:val="auto"/>
          <w:sz w:val="21"/>
          <w:szCs w:val="21"/>
          <w:highlight w:val="none"/>
          <w:lang w:val="en-US" w:eastAsia="zh-CN"/>
        </w:rPr>
        <w:t>最终</w:t>
      </w:r>
      <w:r>
        <w:rPr>
          <w:rFonts w:hint="eastAsia" w:ascii="宋体" w:hAnsi="宋体" w:eastAsia="宋体" w:cs="宋体"/>
          <w:color w:val="auto"/>
          <w:sz w:val="21"/>
          <w:szCs w:val="21"/>
          <w:highlight w:val="none"/>
        </w:rPr>
        <w:t>报价，所有有效的最终响应报价的</w:t>
      </w:r>
      <w:r>
        <w:rPr>
          <w:rFonts w:hint="eastAsia" w:ascii="宋体" w:hAnsi="宋体" w:eastAsia="宋体" w:cs="宋体"/>
          <w:b/>
          <w:bCs/>
          <w:color w:val="auto"/>
          <w:sz w:val="21"/>
          <w:szCs w:val="21"/>
          <w:highlight w:val="none"/>
        </w:rPr>
        <w:t>平均值</w:t>
      </w:r>
      <w:r>
        <w:rPr>
          <w:rFonts w:hint="eastAsia" w:ascii="宋体" w:hAnsi="宋体" w:eastAsia="宋体" w:cs="宋体"/>
          <w:color w:val="auto"/>
          <w:sz w:val="21"/>
          <w:szCs w:val="21"/>
          <w:highlight w:val="none"/>
        </w:rPr>
        <w:t>作为基准价，供应商最终响应报价等于基准价的得满分1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分，其他供应商的价格分统一按照下列公式计算：</w:t>
      </w:r>
    </w:p>
    <w:p>
      <w:pPr>
        <w:widowControl/>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价格得分=（1-∣基准价-最终响应报价∣/基准价）×</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B、分数出现小数点，保留小数点后2位，从小数点后第3位四舍五入。</w:t>
      </w:r>
    </w:p>
    <w:p>
      <w:pPr>
        <w:spacing w:line="360" w:lineRule="auto"/>
        <w:rPr>
          <w:rFonts w:hint="eastAsia" w:ascii="宋体" w:hAnsi="宋体" w:eastAsia="宋体" w:cs="宋体"/>
          <w:b/>
          <w:color w:val="auto"/>
          <w:sz w:val="21"/>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13.综合得分排名</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总得分=F1＋F2＋……+Fn</w:t>
      </w:r>
    </w:p>
    <w:p>
      <w:pPr>
        <w:spacing w:line="360" w:lineRule="auto"/>
        <w:ind w:firstLine="567" w:firstLineChars="2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F1、F2、……Fn分别为各项评分因素的得分；</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kern w:val="2"/>
          <w:sz w:val="28"/>
          <w:szCs w:val="28"/>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五、推荐成交人</w:t>
      </w:r>
    </w:p>
    <w:p>
      <w:pPr>
        <w:spacing w:line="360" w:lineRule="auto"/>
        <w:jc w:val="both"/>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zh-CN"/>
        </w:rPr>
        <w:t>14.</w:t>
      </w:r>
      <w:r>
        <w:rPr>
          <w:rFonts w:hint="eastAsia" w:ascii="宋体" w:hAnsi="宋体" w:eastAsia="宋体" w:cs="宋体"/>
          <w:color w:val="auto"/>
          <w:kern w:val="2"/>
          <w:sz w:val="21"/>
          <w:highlight w:val="none"/>
          <w:lang w:val="en-US" w:eastAsia="zh-CN"/>
        </w:rPr>
        <w:t xml:space="preserve">1 </w:t>
      </w:r>
      <w:r>
        <w:rPr>
          <w:rFonts w:hint="eastAsia" w:ascii="宋体" w:hAnsi="宋体" w:eastAsia="宋体" w:cs="宋体"/>
          <w:color w:val="auto"/>
          <w:kern w:val="2"/>
          <w:sz w:val="21"/>
          <w:highlight w:val="none"/>
          <w:lang w:val="zh-CN"/>
        </w:rPr>
        <w:t>磋商小组</w:t>
      </w:r>
      <w:r>
        <w:rPr>
          <w:rFonts w:hint="eastAsia" w:ascii="宋体" w:hAnsi="宋体" w:eastAsia="宋体" w:cs="宋体"/>
          <w:color w:val="auto"/>
          <w:kern w:val="2"/>
          <w:sz w:val="21"/>
          <w:highlight w:val="none"/>
          <w:lang w:val="en-US" w:eastAsia="zh-CN"/>
        </w:rPr>
        <w:t>按评审后得分由高到低顺序排列，并向采购人推荐最后综合得分最高的前二名供应商</w:t>
      </w:r>
    </w:p>
    <w:p>
      <w:pPr>
        <w:spacing w:line="360" w:lineRule="auto"/>
        <w:ind w:left="417" w:leftChars="173" w:hanging="2" w:hangingChars="1"/>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en-US" w:eastAsia="zh-CN"/>
        </w:rPr>
        <w:t>为成交候选人（最后综合得分排名第一、第二的供应商分别为第一、第二成交候选人），采购人将确定第一成交候选人为成交人</w:t>
      </w:r>
      <w:r>
        <w:rPr>
          <w:rFonts w:hint="eastAsia" w:ascii="宋体" w:hAnsi="宋体" w:eastAsia="宋体" w:cs="宋体"/>
          <w:color w:val="auto"/>
          <w:kern w:val="2"/>
          <w:sz w:val="21"/>
          <w:highlight w:val="none"/>
          <w:lang w:val="zh-CN"/>
        </w:rPr>
        <w:t>。</w:t>
      </w:r>
    </w:p>
    <w:p>
      <w:pPr>
        <w:spacing w:line="360" w:lineRule="auto"/>
        <w:ind w:left="624" w:leftChars="260" w:firstLine="417" w:firstLineChars="199"/>
        <w:jc w:val="both"/>
        <w:rPr>
          <w:rFonts w:hint="eastAsia" w:ascii="宋体" w:hAnsi="宋体" w:eastAsia="宋体" w:cs="宋体"/>
          <w:color w:val="auto"/>
          <w:kern w:val="2"/>
          <w:sz w:val="21"/>
          <w:highlight w:val="none"/>
          <w:lang w:val="zh-CN" w:eastAsia="zh-CN"/>
        </w:rPr>
      </w:pPr>
      <w:r>
        <w:rPr>
          <w:rFonts w:hint="eastAsia" w:ascii="宋体" w:hAnsi="宋体" w:eastAsia="宋体" w:cs="宋体"/>
          <w:color w:val="auto"/>
          <w:kern w:val="2"/>
          <w:sz w:val="21"/>
          <w:highlight w:val="none"/>
          <w:lang w:val="zh-CN" w:eastAsia="zh-CN"/>
        </w:rPr>
        <w:t>如果有两个或以上的供应商的最后综合得分相同，则在最后综合得分相同的供应商中按最终报价由低到高顺序排出次序，报价低的排前，报价高的排后。如果出现供应商的最后综合得分及最终报价均相同时，则按技术评审得分高低排出次序，得分高的排前，得分低的排后。如果出现供应商的最后综合得分、最终报价及技术得分均相同时，由磋商小组进行投票，得票多的排名在先。当第一轮投票结果为供应商得票数相同时，再次进行投票，如此类推，直到能确定排序次序为止。</w:t>
      </w:r>
    </w:p>
    <w:p>
      <w:pPr>
        <w:spacing w:line="360" w:lineRule="auto"/>
        <w:ind w:left="424" w:leftChars="-1" w:hanging="426" w:hangingChars="203"/>
        <w:jc w:val="both"/>
        <w:rPr>
          <w:rFonts w:hint="eastAsia" w:ascii="宋体" w:hAnsi="宋体" w:eastAsia="宋体" w:cs="宋体"/>
          <w:color w:val="auto"/>
          <w:kern w:val="2"/>
          <w:sz w:val="21"/>
          <w:highlight w:val="none"/>
          <w:lang w:val="zh-CN"/>
        </w:rPr>
      </w:pPr>
    </w:p>
    <w:p>
      <w:pPr>
        <w:spacing w:line="360" w:lineRule="auto"/>
        <w:ind w:left="211" w:leftChars="88" w:firstLine="3443" w:firstLineChars="1225"/>
        <w:jc w:val="both"/>
        <w:rPr>
          <w:rFonts w:hint="eastAsia" w:ascii="宋体" w:hAnsi="宋体" w:eastAsia="宋体" w:cs="宋体"/>
          <w:b/>
          <w:bCs/>
          <w:color w:val="auto"/>
          <w:kern w:val="2"/>
          <w:sz w:val="28"/>
          <w:szCs w:val="28"/>
          <w:highlight w:val="none"/>
          <w:lang w:val="zh-CN"/>
        </w:rPr>
      </w:pPr>
    </w:p>
    <w:p>
      <w:pPr>
        <w:spacing w:line="360" w:lineRule="auto"/>
        <w:ind w:left="211" w:leftChars="88" w:firstLine="3443" w:firstLineChars="1225"/>
        <w:jc w:val="both"/>
        <w:rPr>
          <w:rFonts w:hint="eastAsia" w:ascii="宋体" w:hAnsi="宋体" w:eastAsia="宋体" w:cs="宋体"/>
          <w:b/>
          <w:bCs/>
          <w:color w:val="auto"/>
          <w:kern w:val="2"/>
          <w:sz w:val="28"/>
          <w:szCs w:val="28"/>
          <w:highlight w:val="none"/>
          <w:lang w:val="zh-CN"/>
        </w:rPr>
      </w:pPr>
      <w:r>
        <w:rPr>
          <w:rFonts w:hint="eastAsia" w:ascii="宋体" w:hAnsi="宋体" w:eastAsia="宋体" w:cs="宋体"/>
          <w:b/>
          <w:bCs/>
          <w:color w:val="auto"/>
          <w:kern w:val="2"/>
          <w:sz w:val="28"/>
          <w:szCs w:val="28"/>
          <w:highlight w:val="none"/>
          <w:lang w:val="zh-CN"/>
        </w:rPr>
        <w:t>六、编写评审报告</w:t>
      </w:r>
    </w:p>
    <w:p>
      <w:pPr>
        <w:spacing w:line="360" w:lineRule="auto"/>
        <w:ind w:left="420" w:hanging="420" w:hangingChars="200"/>
        <w:rPr>
          <w:rFonts w:hint="eastAsia" w:ascii="宋体" w:hAnsi="宋体" w:eastAsia="宋体" w:cs="宋体"/>
          <w:b/>
          <w:bCs/>
          <w:color w:val="auto"/>
          <w:kern w:val="2"/>
          <w:sz w:val="21"/>
          <w:szCs w:val="32"/>
          <w:highlight w:val="none"/>
          <w:lang w:val="zh-CN"/>
        </w:rPr>
      </w:pPr>
      <w:r>
        <w:rPr>
          <w:rFonts w:hint="eastAsia" w:ascii="宋体" w:hAnsi="宋体" w:eastAsia="宋体" w:cs="宋体"/>
          <w:color w:val="auto"/>
          <w:kern w:val="2"/>
          <w:sz w:val="21"/>
          <w:highlight w:val="none"/>
        </w:rPr>
        <w:t>15</w:t>
      </w:r>
      <w:r>
        <w:rPr>
          <w:rFonts w:hint="eastAsia" w:ascii="宋体" w:hAnsi="宋体" w:eastAsia="宋体" w:cs="宋体"/>
          <w:color w:val="auto"/>
          <w:kern w:val="2"/>
          <w:sz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根据评审结果撰写评审报告。评审报告是</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根据全体</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成员签字的原始评审记录和评审结果编写的报告，其主要内容包括：</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1）磋商邀请时间、</w:t>
      </w:r>
      <w:r>
        <w:rPr>
          <w:rFonts w:hint="eastAsia" w:ascii="宋体" w:hAnsi="宋体" w:eastAsia="宋体" w:cs="宋体"/>
          <w:color w:val="auto"/>
          <w:sz w:val="21"/>
          <w:highlight w:val="none"/>
          <w:lang w:val="en-US" w:eastAsia="zh-CN"/>
        </w:rPr>
        <w:t>磋商</w:t>
      </w:r>
      <w:r>
        <w:rPr>
          <w:rFonts w:hint="eastAsia" w:ascii="宋体" w:hAnsi="宋体" w:eastAsia="宋体" w:cs="宋体"/>
          <w:color w:val="auto"/>
          <w:sz w:val="21"/>
          <w:highlight w:val="none"/>
          <w:lang w:val="zh-CN"/>
        </w:rPr>
        <w:t>日期和地点；</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2）供应商名单和</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highlight w:val="none"/>
          <w:lang w:val="zh-CN"/>
        </w:rPr>
        <w:t>成员名单；</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xml:space="preserve">      3）磋商记录；</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4）评审方法和标准；</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5）评审记录和评审情况及说明，包括响应无效供应商名单及原因；</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6）评审结果和</w:t>
      </w:r>
      <w:r>
        <w:rPr>
          <w:rFonts w:hint="eastAsia" w:ascii="宋体" w:hAnsi="宋体" w:eastAsia="宋体" w:cs="宋体"/>
          <w:color w:val="auto"/>
          <w:sz w:val="21"/>
          <w:highlight w:val="none"/>
          <w:lang w:val="en-US" w:eastAsia="zh-CN"/>
        </w:rPr>
        <w:t>成交</w:t>
      </w:r>
      <w:r>
        <w:rPr>
          <w:rFonts w:hint="eastAsia" w:ascii="宋体" w:hAnsi="宋体" w:eastAsia="宋体" w:cs="宋体"/>
          <w:color w:val="auto"/>
          <w:sz w:val="21"/>
          <w:highlight w:val="none"/>
          <w:lang w:val="zh-CN"/>
        </w:rPr>
        <w:t>候选供应商排序表；</w:t>
      </w:r>
    </w:p>
    <w:p>
      <w:pPr>
        <w:spacing w:line="360" w:lineRule="auto"/>
        <w:ind w:left="420" w:firstLine="210" w:firstLineChars="1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7）</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的推荐建议。</w:t>
      </w:r>
    </w:p>
    <w:p>
      <w:pPr>
        <w:spacing w:line="360" w:lineRule="auto"/>
        <w:jc w:val="center"/>
        <w:rPr>
          <w:rFonts w:hint="eastAsia" w:ascii="宋体" w:hAnsi="宋体" w:eastAsia="宋体" w:cs="宋体"/>
          <w:b/>
          <w:bCs/>
          <w:color w:val="auto"/>
          <w:kern w:val="2"/>
          <w:sz w:val="28"/>
          <w:szCs w:val="28"/>
          <w:highlight w:val="none"/>
          <w:lang w:val="zh-CN"/>
        </w:rPr>
      </w:pPr>
    </w:p>
    <w:p>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28"/>
          <w:szCs w:val="28"/>
          <w:highlight w:val="none"/>
          <w:lang w:val="zh-CN"/>
        </w:rPr>
        <w:t>七、注意事项</w:t>
      </w:r>
    </w:p>
    <w:p>
      <w:pPr>
        <w:spacing w:line="360" w:lineRule="auto"/>
        <w:ind w:left="315" w:hanging="315" w:hangingChars="1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rPr>
        <w:t>16</w:t>
      </w:r>
      <w:r>
        <w:rPr>
          <w:rFonts w:hint="eastAsia" w:ascii="宋体" w:hAnsi="宋体" w:eastAsia="宋体" w:cs="宋体"/>
          <w:color w:val="auto"/>
          <w:kern w:val="2"/>
          <w:sz w:val="21"/>
          <w:highlight w:val="none"/>
          <w:lang w:val="zh-CN"/>
        </w:rPr>
        <w:t>、为确保磋商活动的顺利进行，防止因泄密或其它意外而造成的不良后果及影响，凡参加磋商活动的人员都必须认真执行本规定：</w:t>
      </w:r>
    </w:p>
    <w:p>
      <w:pPr>
        <w:spacing w:line="360" w:lineRule="auto"/>
        <w:ind w:left="905" w:leftChars="237" w:hanging="336" w:hangingChars="16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1）在磋商期间，所有分发的供应商响应文件、资料等仅限于在磋商场所中使用，不得带往其它地方，所有的磋商文件、供应商响应文件、资料等一律编号登记。</w:t>
      </w:r>
    </w:p>
    <w:p>
      <w:pPr>
        <w:spacing w:line="360" w:lineRule="auto"/>
        <w:ind w:left="905" w:leftChars="237" w:hanging="336" w:hangingChars="16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2）磋商小组成员及工作人员不得在公共场合谈论有关评审内容。</w:t>
      </w:r>
    </w:p>
    <w:p>
      <w:pPr>
        <w:spacing w:line="360" w:lineRule="auto"/>
        <w:ind w:left="905" w:leftChars="237" w:hanging="336" w:hangingChars="16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磋商小组成员及工作人员不得以书信、电讯、口述等方式将有关评审内容（如资料、供应商响应文件、磋商报价、评审方式、磋商小组的决定、磋商小组机构、磋商小组人员名单等）披露给未参加磋商的任何无关人员，包括上级领导、同级和下级人员，任何与评审无关的人员（包括亲朋好友和同事）不得进入磋商场所。</w:t>
      </w:r>
    </w:p>
    <w:p>
      <w:pPr>
        <w:spacing w:line="360" w:lineRule="auto"/>
        <w:ind w:left="915" w:leftChars="250" w:hanging="315" w:hangingChars="1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4）在举行与各供应商的澄清会之前磋商小组应明确参加会议的人员及主谈人。任何需要供应商在澄清会上澄清的问题必须经磋商小组成员签字并由主谈人提出。在澄清期间，对于涉及本规定保密范畴的所有内容，主谈人不得向供应商透露。</w:t>
      </w:r>
    </w:p>
    <w:p>
      <w:pPr>
        <w:spacing w:line="360" w:lineRule="auto"/>
        <w:ind w:left="120" w:leftChars="50" w:firstLine="525" w:firstLineChars="250"/>
        <w:jc w:val="both"/>
        <w:rPr>
          <w:rFonts w:hint="eastAsia" w:ascii="宋体" w:hAnsi="宋体" w:eastAsia="宋体" w:cs="宋体"/>
          <w:color w:val="auto"/>
          <w:highlight w:val="none"/>
        </w:rPr>
      </w:pPr>
      <w:r>
        <w:rPr>
          <w:rFonts w:hint="eastAsia" w:ascii="宋体" w:hAnsi="宋体" w:eastAsia="宋体" w:cs="宋体"/>
          <w:color w:val="auto"/>
          <w:kern w:val="2"/>
          <w:sz w:val="21"/>
          <w:highlight w:val="none"/>
          <w:lang w:val="zh-CN"/>
        </w:rPr>
        <w:t>5）任何磋商人员和工作人员不得对外公布磋商的一切内容。</w:t>
      </w:r>
    </w:p>
    <w:sectPr>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幼圆">
    <w:altName w:val="宋体"/>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微软雅黑"/>
    <w:panose1 w:val="00000000000000000000"/>
    <w:charset w:val="00"/>
    <w:family w:val="auto"/>
    <w:pitch w:val="default"/>
    <w:sig w:usb0="00000000" w:usb1="00000000" w:usb2="00000000" w:usb3="00000000" w:csb0="00040001" w:csb1="0000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Roman">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FrutigerNext LT Light">
    <w:altName w:val="宋体"/>
    <w:panose1 w:val="00000000000000000000"/>
    <w:charset w:val="86"/>
    <w:family w:val="swiss"/>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roman"/>
    <w:pitch w:val="default"/>
    <w:sig w:usb0="E00006FF" w:usb1="420024FF" w:usb2="02000000" w:usb3="00000000" w:csb0="2000019F" w:csb1="00000000"/>
  </w:font>
  <w:font w:name="_x001A_">
    <w:altName w:val="Times New Roman"/>
    <w:panose1 w:val="00000000000000000000"/>
    <w:charset w:val="00"/>
    <w:family w:val="roman"/>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Lucida Grande">
    <w:altName w:val="Arial"/>
    <w:panose1 w:val="020B0600040502020204"/>
    <w:charset w:val="00"/>
    <w:family w:val="auto"/>
    <w:pitch w:val="default"/>
    <w:sig w:usb0="00000000" w:usb1="00000000" w:usb2="00000000" w:usb3="00000000" w:csb0="000001BF"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1e/c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cWxO25x4Ocf388/f59/fSPL&#10;LE8foMasx4B5abjxAy7N7Ad0ZtaDijZ/kQ/BOIp7uogrh0REfrRarlYVhgTG5gvis6fnIUK6k96S&#10;bDQ04vSKqPx4D2lMnVNyNedvtTFlgsb95UDM7GG597HHbKVhN0yEdr49IZ8eB99Qh3tOifnoUNe8&#10;I7MRZ2M3G4cQ9b4rS5TrQfhwSNhE6S1XGGGnwjixwm7arrwSz+8l6+mP2v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9Xv3LIAQAAmQMAAA4AAAAAAAAAAQAgAAAAHgEAAGRycy9lMm9Eb2Mu&#10;eG1sUEsFBgAAAAAGAAYAWQEAAFgFAAAAAA==&#10;">
              <v:fill on="f" focussize="0,0"/>
              <v:stroke on="f"/>
              <v:imagedata o:title=""/>
              <o:lock v:ext="edit" aspectratio="f"/>
              <v:textbox inset="0mm,0mm,0mm,0mm" style="mso-fit-shape-to-text:t;">
                <w:txbxContent>
                  <w:p>
                    <w:pPr>
                      <w:pStyle w:val="39"/>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0"/>
      </w:rPr>
    </w:pPr>
    <w:r>
      <w:fldChar w:fldCharType="begin"/>
    </w:r>
    <w:r>
      <w:rPr>
        <w:rStyle w:val="60"/>
      </w:rPr>
      <w:instrText xml:space="preserve">PAGE  </w:instrText>
    </w:r>
    <w:r>
      <w:fldChar w:fldCharType="end"/>
    </w:r>
  </w:p>
  <w:p>
    <w:pPr>
      <w:pStyle w:val="39"/>
      <w:ind w:right="360"/>
    </w:pPr>
  </w:p>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EIRckBAACZ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MQhFyQEAAJkDAAAOAAAAAAAAAAEAIAAAAB4BAABkcnMvZTJvRG9j&#10;LnhtbFBLBQYAAAAABgAGAFkBAABZBQAAAAA=&#10;">
              <v:fill on="f" focussize="0,0"/>
              <v:stroke on="f"/>
              <v:imagedata o:title=""/>
              <o:lock v:ext="edit" aspectratio="f"/>
              <v:textbox inset="0mm,0mm,0mm,0mm" style="mso-fit-shape-to-text:t;">
                <w:txbxContent>
                  <w:p>
                    <w:pPr>
                      <w:pStyle w:val="39"/>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BA6VsgBAACa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koieMWJ37++eP86/H88J28&#10;yfr0AWpMuwuYmIb3fsDc2Q/ozLQHFW3+IiGCcYQ6XdSVQyIiP1otV6sKQwJj8wXx2dPzECF9kN6S&#10;bDQ04viKqvz4CdKYOqfkas7famPKCI37y4GY2cNy72OP2UrDbpgI7Xx7Qj49Tr6hDhedEvPRobDY&#10;X5qNOBu72TiEqPdd2aJcD8K7Q8ImSm+5wgg7FcaRFXbTeuWd+PNesp5+qc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AQOlbIAQAAmgMAAA4AAAAAAAAAAQAgAAAAHgEAAGRycy9lMm9Eb2Mu&#10;eG1sUEsFBgAAAAAGAAYAWQEAAFgFAAAAAA==&#10;">
              <v:fill on="f" focussize="0,0"/>
              <v:stroke on="f"/>
              <v:imagedata o:title=""/>
              <o:lock v:ext="edit" aspectratio="f"/>
              <v:textbox inset="0mm,0mm,0mm,0mm" style="mso-fit-shape-to-text:t;">
                <w:txbxContent>
                  <w:p>
                    <w:pPr>
                      <w:pStyle w:val="39"/>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p>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pPr>
                          <w:r>
                            <w:t>第</w:t>
                          </w: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pPr>
                      <w:pStyle w:val="39"/>
                    </w:pPr>
                    <w:r>
                      <w:t>第</w:t>
                    </w: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1UOcgBAACa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2FJieMWJ37++eP868/593dy&#10;nfXpA9SY9hAwMQ0f/IC5sx/QmWkPKtr8RUIE46ju6aKuHBIR+dFquVpVGBIYmy+Izx6fhwjpo/SW&#10;ZKOhEcdXVOXHO0hj6pySqzl/q40pIzTuPwdiZg/LvY89ZisNu2EitPPtCfn0OPmGOlx0Sswnh8Lm&#10;JZmNOBu72TiEqPdd2aJcD8L7Q8ImSm+5wgg7FcaRFXbTeuWd+Pdesh5/qc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DdVDnIAQAAmgMAAA4AAAAAAAAAAQAgAAAAHgEAAGRycy9lMm9Eb2Mu&#10;eG1sUEsFBgAAAAAGAAYAWQEAAFgFAAAAAA==&#10;">
              <v:fill on="f" focussize="0,0"/>
              <v:stroke on="f"/>
              <v:imagedata o:title=""/>
              <o:lock v:ext="edit" aspectratio="f"/>
              <v:textbox inset="0mm,0mm,0mm,0mm" style="mso-fit-shape-to-text:t;">
                <w:txbxContent>
                  <w:p>
                    <w:pPr>
                      <w:pStyle w:val="39"/>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p>
    <w:pP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LvjDskBAACa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aEsctTvz888f515/z7+/k&#10;b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wu+MOyQEAAJoDAAAOAAAAAAAAAAEAIAAAAB4BAABkcnMvZTJvRG9j&#10;LnhtbFBLBQYAAAAABgAGAFkBAABZBQAAAAA=&#10;">
              <v:fill on="f" focussize="0,0"/>
              <v:stroke on="f"/>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none" w:color="auto" w:sz="0" w:space="0"/>
        <w:left w:val="none" w:color="auto" w:sz="0" w:space="0"/>
        <w:bottom w:val="none" w:color="auto" w:sz="0" w:space="1"/>
        <w:right w:val="none" w:color="auto" w:sz="0" w:space="0"/>
        <w:between w:val="none" w:color="auto" w:sz="0" w:space="0"/>
      </w:pBdr>
      <w:rPr>
        <w:rFonts w:hint="eastAsia" w:ascii="宋体" w:hAnsi="宋体" w:eastAsia="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rPr>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4AA5C4"/>
    <w:multiLevelType w:val="singleLevel"/>
    <w:tmpl w:val="D14AA5C4"/>
    <w:lvl w:ilvl="0" w:tentative="0">
      <w:start w:val="3"/>
      <w:numFmt w:val="chineseCounting"/>
      <w:suff w:val="space"/>
      <w:lvlText w:val="第%1条"/>
      <w:lvlJc w:val="left"/>
      <w:rPr>
        <w:rFonts w:hint="eastAsia"/>
      </w:rPr>
    </w:lvl>
  </w:abstractNum>
  <w:abstractNum w:abstractNumId="1">
    <w:nsid w:val="027C0FD1"/>
    <w:multiLevelType w:val="multilevel"/>
    <w:tmpl w:val="027C0FD1"/>
    <w:lvl w:ilvl="0" w:tentative="0">
      <w:start w:val="1"/>
      <w:numFmt w:val="decimal"/>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pStyle w:val="478"/>
      <w:lvlText w:val="%1.%2.%3.%4.%5.%6.%7.%8.%9."/>
      <w:lvlJc w:val="left"/>
      <w:pPr>
        <w:tabs>
          <w:tab w:val="left" w:pos="1559"/>
        </w:tabs>
        <w:ind w:left="1559" w:hanging="1559"/>
      </w:pPr>
      <w:rPr>
        <w:rFonts w:hint="eastAsia"/>
      </w:rPr>
    </w:lvl>
  </w:abstractNum>
  <w:abstractNum w:abstractNumId="2">
    <w:nsid w:val="115801B5"/>
    <w:multiLevelType w:val="multilevel"/>
    <w:tmpl w:val="115801B5"/>
    <w:lvl w:ilvl="0" w:tentative="0">
      <w:start w:val="1"/>
      <w:numFmt w:val="decimal"/>
      <w:pStyle w:val="477"/>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4DCE88C"/>
    <w:multiLevelType w:val="singleLevel"/>
    <w:tmpl w:val="14DCE88C"/>
    <w:lvl w:ilvl="0" w:tentative="0">
      <w:start w:val="3"/>
      <w:numFmt w:val="decimal"/>
      <w:suff w:val="nothing"/>
      <w:lvlText w:val="（%1）"/>
      <w:lvlJc w:val="left"/>
    </w:lvl>
  </w:abstractNum>
  <w:abstractNum w:abstractNumId="4">
    <w:nsid w:val="19340C4F"/>
    <w:multiLevelType w:val="singleLevel"/>
    <w:tmpl w:val="19340C4F"/>
    <w:lvl w:ilvl="0" w:tentative="0">
      <w:start w:val="12"/>
      <w:numFmt w:val="chineseCounting"/>
      <w:suff w:val="nothing"/>
      <w:lvlText w:val="%1、"/>
      <w:lvlJc w:val="left"/>
      <w:rPr>
        <w:rFonts w:hint="eastAsia"/>
      </w:rPr>
    </w:lvl>
  </w:abstractNum>
  <w:abstractNum w:abstractNumId="5">
    <w:nsid w:val="1EC9440B"/>
    <w:multiLevelType w:val="multilevel"/>
    <w:tmpl w:val="1EC9440B"/>
    <w:lvl w:ilvl="0" w:tentative="0">
      <w:start w:val="1"/>
      <w:numFmt w:val="decimal"/>
      <w:pStyle w:val="607"/>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23466618"/>
    <w:multiLevelType w:val="multilevel"/>
    <w:tmpl w:val="23466618"/>
    <w:lvl w:ilvl="0" w:tentative="0">
      <w:start w:val="1"/>
      <w:numFmt w:val="decimal"/>
      <w:pStyle w:val="572"/>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5DE29EA"/>
    <w:multiLevelType w:val="singleLevel"/>
    <w:tmpl w:val="25DE29EA"/>
    <w:lvl w:ilvl="0" w:tentative="0">
      <w:start w:val="7"/>
      <w:numFmt w:val="chineseCounting"/>
      <w:suff w:val="nothing"/>
      <w:lvlText w:val="%1、"/>
      <w:lvlJc w:val="left"/>
      <w:rPr>
        <w:rFonts w:hint="eastAsia"/>
      </w:rPr>
    </w:lvl>
  </w:abstractNum>
  <w:abstractNum w:abstractNumId="8">
    <w:nsid w:val="2B8C6822"/>
    <w:multiLevelType w:val="multilevel"/>
    <w:tmpl w:val="2B8C6822"/>
    <w:lvl w:ilvl="0" w:tentative="0">
      <w:start w:val="1"/>
      <w:numFmt w:val="decimal"/>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b w:val="0"/>
        <w:bCs/>
      </w:rPr>
    </w:lvl>
    <w:lvl w:ilvl="2" w:tentative="0">
      <w:start w:val="1"/>
      <w:numFmt w:val="decimal"/>
      <w:pStyle w:val="498"/>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2F8D6FBB"/>
    <w:multiLevelType w:val="multilevel"/>
    <w:tmpl w:val="2F8D6FBB"/>
    <w:lvl w:ilvl="0" w:tentative="0">
      <w:start w:val="1"/>
      <w:numFmt w:val="decimal"/>
      <w:pStyle w:val="584"/>
      <w:lvlText w:val="%1."/>
      <w:legacy w:legacy="1" w:legacySpace="0" w:legacyIndent="360"/>
      <w:lvlJc w:val="left"/>
      <w:rPr>
        <w:rFonts w:hint="eastAsia" w:ascii="等线 Light" w:hAnsi="等线 Light" w:eastAsia="等线 Light"/>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10">
    <w:nsid w:val="52F84DAB"/>
    <w:multiLevelType w:val="multilevel"/>
    <w:tmpl w:val="52F84DAB"/>
    <w:lvl w:ilvl="0" w:tentative="0">
      <w:start w:val="1"/>
      <w:numFmt w:val="decimal"/>
      <w:lvlText w:val="%1"/>
      <w:lvlJc w:val="left"/>
      <w:pPr>
        <w:tabs>
          <w:tab w:val="left" w:pos="425"/>
        </w:tabs>
        <w:ind w:left="425" w:hanging="425"/>
      </w:pPr>
      <w:rPr>
        <w:rFonts w:hint="eastAsia"/>
      </w:rPr>
    </w:lvl>
    <w:lvl w:ilvl="1" w:tentative="0">
      <w:start w:val="1"/>
      <w:numFmt w:val="chineseCountingThousand"/>
      <w:pStyle w:val="475"/>
      <w:lvlText w:val="(%2)"/>
      <w:lvlJc w:val="left"/>
      <w:pPr>
        <w:tabs>
          <w:tab w:val="left" w:pos="567"/>
        </w:tabs>
        <w:ind w:left="567" w:hanging="567"/>
      </w:pPr>
      <w:rPr>
        <w:rFonts w:hint="eastAsia"/>
        <w:b w:val="0"/>
        <w:bCs/>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572D1240"/>
    <w:multiLevelType w:val="multilevel"/>
    <w:tmpl w:val="572D1240"/>
    <w:lvl w:ilvl="0" w:tentative="0">
      <w:start w:val="1"/>
      <w:numFmt w:val="decimal"/>
      <w:pStyle w:val="525"/>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5B4DB846"/>
    <w:multiLevelType w:val="singleLevel"/>
    <w:tmpl w:val="5B4DB846"/>
    <w:lvl w:ilvl="0" w:tentative="0">
      <w:start w:val="6"/>
      <w:numFmt w:val="chineseCounting"/>
      <w:pStyle w:val="16"/>
      <w:suff w:val="space"/>
      <w:lvlText w:val="第%1条"/>
      <w:lvlJc w:val="left"/>
    </w:lvl>
  </w:abstractNum>
  <w:abstractNum w:abstractNumId="13">
    <w:nsid w:val="69D4D353"/>
    <w:multiLevelType w:val="singleLevel"/>
    <w:tmpl w:val="69D4D353"/>
    <w:lvl w:ilvl="0" w:tentative="0">
      <w:start w:val="1"/>
      <w:numFmt w:val="decimal"/>
      <w:suff w:val="nothing"/>
      <w:lvlText w:val="（%1）"/>
      <w:lvlJc w:val="left"/>
    </w:lvl>
  </w:abstractNum>
  <w:abstractNum w:abstractNumId="14">
    <w:nsid w:val="7E8B76FF"/>
    <w:multiLevelType w:val="multilevel"/>
    <w:tmpl w:val="7E8B76FF"/>
    <w:lvl w:ilvl="0" w:tentative="0">
      <w:start w:val="1"/>
      <w:numFmt w:val="decimal"/>
      <w:pStyle w:val="28"/>
      <w:lvlText w:val="%1、"/>
      <w:lvlJc w:val="left"/>
      <w:pPr>
        <w:tabs>
          <w:tab w:val="left" w:pos="360"/>
        </w:tabs>
        <w:ind w:left="340" w:hanging="340"/>
      </w:pPr>
      <w:rPr>
        <w:rFonts w:hint="default"/>
      </w:rPr>
    </w:lvl>
    <w:lvl w:ilvl="1" w:tentative="0">
      <w:start w:val="1"/>
      <w:numFmt w:val="decimal"/>
      <w:lvlText w:val="%2)"/>
      <w:lvlJc w:val="left"/>
      <w:pPr>
        <w:tabs>
          <w:tab w:val="left" w:pos="786"/>
        </w:tabs>
        <w:ind w:left="786" w:hanging="360"/>
      </w:pPr>
      <w:rPr>
        <w:rFonts w:hint="default"/>
        <w:color w:val="auto"/>
      </w:rPr>
    </w:lvl>
    <w:lvl w:ilvl="2" w:tentative="0">
      <w:start w:val="3"/>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14"/>
  </w:num>
  <w:num w:numId="3">
    <w:abstractNumId w:val="13"/>
  </w:num>
  <w:num w:numId="4">
    <w:abstractNumId w:val="10"/>
  </w:num>
  <w:num w:numId="5">
    <w:abstractNumId w:val="2"/>
  </w:num>
  <w:num w:numId="6">
    <w:abstractNumId w:val="1"/>
  </w:num>
  <w:num w:numId="7">
    <w:abstractNumId w:val="8"/>
  </w:num>
  <w:num w:numId="8">
    <w:abstractNumId w:val="11"/>
  </w:num>
  <w:num w:numId="9">
    <w:abstractNumId w:val="6"/>
  </w:num>
  <w:num w:numId="10">
    <w:abstractNumId w:val="9"/>
  </w:num>
  <w:num w:numId="11">
    <w:abstractNumId w:val="5"/>
  </w:num>
  <w:num w:numId="12">
    <w:abstractNumId w:val="0"/>
  </w:num>
  <w:num w:numId="13">
    <w:abstractNumId w:val="7"/>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NDFiYWJlOTYyYjBkNzE3NzhjZWZjNmJhMzliMDMifQ=="/>
  </w:docVars>
  <w:rsids>
    <w:rsidRoot w:val="00172A27"/>
    <w:rsid w:val="0000033B"/>
    <w:rsid w:val="000004D8"/>
    <w:rsid w:val="00000A48"/>
    <w:rsid w:val="00001384"/>
    <w:rsid w:val="0000145D"/>
    <w:rsid w:val="000014AA"/>
    <w:rsid w:val="00001F26"/>
    <w:rsid w:val="0000293E"/>
    <w:rsid w:val="000031BA"/>
    <w:rsid w:val="000033DB"/>
    <w:rsid w:val="000036B5"/>
    <w:rsid w:val="00003B3D"/>
    <w:rsid w:val="00004156"/>
    <w:rsid w:val="00004AC9"/>
    <w:rsid w:val="00004D05"/>
    <w:rsid w:val="00004F7C"/>
    <w:rsid w:val="00005043"/>
    <w:rsid w:val="00005297"/>
    <w:rsid w:val="00005507"/>
    <w:rsid w:val="00005BF8"/>
    <w:rsid w:val="00006195"/>
    <w:rsid w:val="00006738"/>
    <w:rsid w:val="00007089"/>
    <w:rsid w:val="00007345"/>
    <w:rsid w:val="00007716"/>
    <w:rsid w:val="000079EA"/>
    <w:rsid w:val="00007A04"/>
    <w:rsid w:val="00007C62"/>
    <w:rsid w:val="00007DA6"/>
    <w:rsid w:val="00010367"/>
    <w:rsid w:val="0001123B"/>
    <w:rsid w:val="000112F4"/>
    <w:rsid w:val="000113B2"/>
    <w:rsid w:val="000113BF"/>
    <w:rsid w:val="00011BA9"/>
    <w:rsid w:val="000122D0"/>
    <w:rsid w:val="00012E7B"/>
    <w:rsid w:val="0001406B"/>
    <w:rsid w:val="00014400"/>
    <w:rsid w:val="000145A6"/>
    <w:rsid w:val="00014E7F"/>
    <w:rsid w:val="00015044"/>
    <w:rsid w:val="00015146"/>
    <w:rsid w:val="00015373"/>
    <w:rsid w:val="0001553F"/>
    <w:rsid w:val="000156AA"/>
    <w:rsid w:val="00015725"/>
    <w:rsid w:val="00015822"/>
    <w:rsid w:val="00015ECB"/>
    <w:rsid w:val="00016090"/>
    <w:rsid w:val="00016149"/>
    <w:rsid w:val="00016244"/>
    <w:rsid w:val="00016657"/>
    <w:rsid w:val="00016E51"/>
    <w:rsid w:val="000177BE"/>
    <w:rsid w:val="00017E79"/>
    <w:rsid w:val="00017FAD"/>
    <w:rsid w:val="00020534"/>
    <w:rsid w:val="00020BBC"/>
    <w:rsid w:val="00021475"/>
    <w:rsid w:val="00021E70"/>
    <w:rsid w:val="00021F28"/>
    <w:rsid w:val="00021FDC"/>
    <w:rsid w:val="00022434"/>
    <w:rsid w:val="00022A75"/>
    <w:rsid w:val="00022B36"/>
    <w:rsid w:val="00022F7B"/>
    <w:rsid w:val="00023124"/>
    <w:rsid w:val="0002334F"/>
    <w:rsid w:val="00023385"/>
    <w:rsid w:val="0002437D"/>
    <w:rsid w:val="0002493B"/>
    <w:rsid w:val="00024A55"/>
    <w:rsid w:val="00024BD4"/>
    <w:rsid w:val="00024E24"/>
    <w:rsid w:val="000251B9"/>
    <w:rsid w:val="000255AC"/>
    <w:rsid w:val="00026007"/>
    <w:rsid w:val="00026292"/>
    <w:rsid w:val="000267B4"/>
    <w:rsid w:val="00026ABF"/>
    <w:rsid w:val="00027107"/>
    <w:rsid w:val="0002720D"/>
    <w:rsid w:val="00027587"/>
    <w:rsid w:val="00027D04"/>
    <w:rsid w:val="00027E42"/>
    <w:rsid w:val="0003121B"/>
    <w:rsid w:val="00031793"/>
    <w:rsid w:val="00031AC9"/>
    <w:rsid w:val="00031C8B"/>
    <w:rsid w:val="00031C8E"/>
    <w:rsid w:val="00031DD4"/>
    <w:rsid w:val="00031F4C"/>
    <w:rsid w:val="00031F9D"/>
    <w:rsid w:val="00032201"/>
    <w:rsid w:val="0003229F"/>
    <w:rsid w:val="000322CF"/>
    <w:rsid w:val="00032384"/>
    <w:rsid w:val="00033203"/>
    <w:rsid w:val="000339C4"/>
    <w:rsid w:val="00033DEF"/>
    <w:rsid w:val="00033FFB"/>
    <w:rsid w:val="0003410A"/>
    <w:rsid w:val="0003466F"/>
    <w:rsid w:val="0003490A"/>
    <w:rsid w:val="00034E66"/>
    <w:rsid w:val="000351A9"/>
    <w:rsid w:val="0003573C"/>
    <w:rsid w:val="000359DE"/>
    <w:rsid w:val="00035B8C"/>
    <w:rsid w:val="00035C80"/>
    <w:rsid w:val="00036A97"/>
    <w:rsid w:val="0003759C"/>
    <w:rsid w:val="00040187"/>
    <w:rsid w:val="0004081E"/>
    <w:rsid w:val="00040A10"/>
    <w:rsid w:val="00040B47"/>
    <w:rsid w:val="000419FD"/>
    <w:rsid w:val="00041BDE"/>
    <w:rsid w:val="00041E42"/>
    <w:rsid w:val="0004217E"/>
    <w:rsid w:val="000427DE"/>
    <w:rsid w:val="00042BF1"/>
    <w:rsid w:val="00042D41"/>
    <w:rsid w:val="00043BBF"/>
    <w:rsid w:val="00044171"/>
    <w:rsid w:val="00044272"/>
    <w:rsid w:val="000444C8"/>
    <w:rsid w:val="000449CB"/>
    <w:rsid w:val="00044E06"/>
    <w:rsid w:val="0004507A"/>
    <w:rsid w:val="00045120"/>
    <w:rsid w:val="000451E8"/>
    <w:rsid w:val="0004527C"/>
    <w:rsid w:val="000461E4"/>
    <w:rsid w:val="000463B3"/>
    <w:rsid w:val="0004682F"/>
    <w:rsid w:val="00046D80"/>
    <w:rsid w:val="00047935"/>
    <w:rsid w:val="000479CD"/>
    <w:rsid w:val="00047B8E"/>
    <w:rsid w:val="00047F1B"/>
    <w:rsid w:val="00051BA1"/>
    <w:rsid w:val="00051C5B"/>
    <w:rsid w:val="00051E3C"/>
    <w:rsid w:val="00051F96"/>
    <w:rsid w:val="00052DE9"/>
    <w:rsid w:val="00053D70"/>
    <w:rsid w:val="00053F7F"/>
    <w:rsid w:val="000541E3"/>
    <w:rsid w:val="000545E2"/>
    <w:rsid w:val="000546A8"/>
    <w:rsid w:val="00054B86"/>
    <w:rsid w:val="00055978"/>
    <w:rsid w:val="000561E3"/>
    <w:rsid w:val="000564D7"/>
    <w:rsid w:val="00056A02"/>
    <w:rsid w:val="00056BD4"/>
    <w:rsid w:val="000571C6"/>
    <w:rsid w:val="00057559"/>
    <w:rsid w:val="00057573"/>
    <w:rsid w:val="00060006"/>
    <w:rsid w:val="000604BB"/>
    <w:rsid w:val="00060AA1"/>
    <w:rsid w:val="00061B6F"/>
    <w:rsid w:val="00061F9E"/>
    <w:rsid w:val="0006202C"/>
    <w:rsid w:val="00062C32"/>
    <w:rsid w:val="000637E4"/>
    <w:rsid w:val="0006396E"/>
    <w:rsid w:val="00063B2A"/>
    <w:rsid w:val="00063CB4"/>
    <w:rsid w:val="00064AB0"/>
    <w:rsid w:val="00065283"/>
    <w:rsid w:val="000652FC"/>
    <w:rsid w:val="00065C22"/>
    <w:rsid w:val="00065CBF"/>
    <w:rsid w:val="00065F1F"/>
    <w:rsid w:val="00066C42"/>
    <w:rsid w:val="00066D70"/>
    <w:rsid w:val="00066FCB"/>
    <w:rsid w:val="0006748D"/>
    <w:rsid w:val="00067973"/>
    <w:rsid w:val="00067CF6"/>
    <w:rsid w:val="00067DFE"/>
    <w:rsid w:val="00067FF3"/>
    <w:rsid w:val="00070787"/>
    <w:rsid w:val="00070DCB"/>
    <w:rsid w:val="00071F67"/>
    <w:rsid w:val="00072C3B"/>
    <w:rsid w:val="00072C8D"/>
    <w:rsid w:val="000732DB"/>
    <w:rsid w:val="0007396A"/>
    <w:rsid w:val="000739F4"/>
    <w:rsid w:val="00073C18"/>
    <w:rsid w:val="00073EE6"/>
    <w:rsid w:val="0007409C"/>
    <w:rsid w:val="000741A0"/>
    <w:rsid w:val="0007421C"/>
    <w:rsid w:val="0007533A"/>
    <w:rsid w:val="0007560D"/>
    <w:rsid w:val="00075B43"/>
    <w:rsid w:val="00077DA2"/>
    <w:rsid w:val="0008029C"/>
    <w:rsid w:val="000806E4"/>
    <w:rsid w:val="000807BB"/>
    <w:rsid w:val="00080BB6"/>
    <w:rsid w:val="00081050"/>
    <w:rsid w:val="000810B6"/>
    <w:rsid w:val="00081285"/>
    <w:rsid w:val="00081815"/>
    <w:rsid w:val="00081A68"/>
    <w:rsid w:val="00081D58"/>
    <w:rsid w:val="000821A4"/>
    <w:rsid w:val="00082411"/>
    <w:rsid w:val="000828B9"/>
    <w:rsid w:val="00082F8C"/>
    <w:rsid w:val="00083591"/>
    <w:rsid w:val="000835A2"/>
    <w:rsid w:val="00083639"/>
    <w:rsid w:val="000837B8"/>
    <w:rsid w:val="0008386F"/>
    <w:rsid w:val="00083DC1"/>
    <w:rsid w:val="000840C7"/>
    <w:rsid w:val="00084DC3"/>
    <w:rsid w:val="00085354"/>
    <w:rsid w:val="00085849"/>
    <w:rsid w:val="00085C17"/>
    <w:rsid w:val="00085F66"/>
    <w:rsid w:val="00085F9E"/>
    <w:rsid w:val="00086402"/>
    <w:rsid w:val="000867FB"/>
    <w:rsid w:val="00087168"/>
    <w:rsid w:val="00087178"/>
    <w:rsid w:val="000871F0"/>
    <w:rsid w:val="000872C7"/>
    <w:rsid w:val="00087A37"/>
    <w:rsid w:val="00090491"/>
    <w:rsid w:val="0009129F"/>
    <w:rsid w:val="0009135D"/>
    <w:rsid w:val="000917F4"/>
    <w:rsid w:val="000920E2"/>
    <w:rsid w:val="000921FA"/>
    <w:rsid w:val="000922C3"/>
    <w:rsid w:val="00092B8C"/>
    <w:rsid w:val="00092D0D"/>
    <w:rsid w:val="000931C5"/>
    <w:rsid w:val="00093438"/>
    <w:rsid w:val="000948F2"/>
    <w:rsid w:val="00094905"/>
    <w:rsid w:val="00094CA6"/>
    <w:rsid w:val="00094D9E"/>
    <w:rsid w:val="00094DCA"/>
    <w:rsid w:val="00094E96"/>
    <w:rsid w:val="00094F30"/>
    <w:rsid w:val="0009552D"/>
    <w:rsid w:val="00095DF6"/>
    <w:rsid w:val="00095F0E"/>
    <w:rsid w:val="00096BAF"/>
    <w:rsid w:val="000977FF"/>
    <w:rsid w:val="000978E8"/>
    <w:rsid w:val="00097BC7"/>
    <w:rsid w:val="00097E30"/>
    <w:rsid w:val="000A064E"/>
    <w:rsid w:val="000A0861"/>
    <w:rsid w:val="000A0979"/>
    <w:rsid w:val="000A0A86"/>
    <w:rsid w:val="000A1B6B"/>
    <w:rsid w:val="000A1C7A"/>
    <w:rsid w:val="000A1DB9"/>
    <w:rsid w:val="000A1F95"/>
    <w:rsid w:val="000A22E0"/>
    <w:rsid w:val="000A37D9"/>
    <w:rsid w:val="000A427B"/>
    <w:rsid w:val="000A5080"/>
    <w:rsid w:val="000A5107"/>
    <w:rsid w:val="000A5697"/>
    <w:rsid w:val="000A5857"/>
    <w:rsid w:val="000A58F0"/>
    <w:rsid w:val="000A5AD3"/>
    <w:rsid w:val="000A5B72"/>
    <w:rsid w:val="000A5F92"/>
    <w:rsid w:val="000A648B"/>
    <w:rsid w:val="000A6D3C"/>
    <w:rsid w:val="000A6F71"/>
    <w:rsid w:val="000A70FF"/>
    <w:rsid w:val="000A74D3"/>
    <w:rsid w:val="000A7ECF"/>
    <w:rsid w:val="000A7F63"/>
    <w:rsid w:val="000B0338"/>
    <w:rsid w:val="000B04A8"/>
    <w:rsid w:val="000B0C76"/>
    <w:rsid w:val="000B132D"/>
    <w:rsid w:val="000B13DB"/>
    <w:rsid w:val="000B145F"/>
    <w:rsid w:val="000B211C"/>
    <w:rsid w:val="000B236E"/>
    <w:rsid w:val="000B2756"/>
    <w:rsid w:val="000B3481"/>
    <w:rsid w:val="000B3909"/>
    <w:rsid w:val="000B3AED"/>
    <w:rsid w:val="000B3FF8"/>
    <w:rsid w:val="000B429E"/>
    <w:rsid w:val="000B56C1"/>
    <w:rsid w:val="000B5759"/>
    <w:rsid w:val="000B5D35"/>
    <w:rsid w:val="000B61F5"/>
    <w:rsid w:val="000B6345"/>
    <w:rsid w:val="000B668E"/>
    <w:rsid w:val="000B682D"/>
    <w:rsid w:val="000B694F"/>
    <w:rsid w:val="000B6B79"/>
    <w:rsid w:val="000B72C4"/>
    <w:rsid w:val="000B742F"/>
    <w:rsid w:val="000B7F0F"/>
    <w:rsid w:val="000B7FD1"/>
    <w:rsid w:val="000C07BA"/>
    <w:rsid w:val="000C0FCF"/>
    <w:rsid w:val="000C104B"/>
    <w:rsid w:val="000C1875"/>
    <w:rsid w:val="000C1D23"/>
    <w:rsid w:val="000C29A0"/>
    <w:rsid w:val="000C2DA6"/>
    <w:rsid w:val="000C2FE8"/>
    <w:rsid w:val="000C3106"/>
    <w:rsid w:val="000C39A6"/>
    <w:rsid w:val="000C407F"/>
    <w:rsid w:val="000C4728"/>
    <w:rsid w:val="000C4965"/>
    <w:rsid w:val="000C4B4C"/>
    <w:rsid w:val="000C4F9C"/>
    <w:rsid w:val="000C52E5"/>
    <w:rsid w:val="000C5989"/>
    <w:rsid w:val="000C5992"/>
    <w:rsid w:val="000C5BC6"/>
    <w:rsid w:val="000C5C86"/>
    <w:rsid w:val="000C66C4"/>
    <w:rsid w:val="000C673C"/>
    <w:rsid w:val="000C6D36"/>
    <w:rsid w:val="000C7D7E"/>
    <w:rsid w:val="000D041A"/>
    <w:rsid w:val="000D0C5F"/>
    <w:rsid w:val="000D1B62"/>
    <w:rsid w:val="000D1BAD"/>
    <w:rsid w:val="000D276F"/>
    <w:rsid w:val="000D27B9"/>
    <w:rsid w:val="000D2D6D"/>
    <w:rsid w:val="000D31D2"/>
    <w:rsid w:val="000D3815"/>
    <w:rsid w:val="000D397B"/>
    <w:rsid w:val="000D3999"/>
    <w:rsid w:val="000D4302"/>
    <w:rsid w:val="000D4367"/>
    <w:rsid w:val="000D47D4"/>
    <w:rsid w:val="000D496A"/>
    <w:rsid w:val="000D4B38"/>
    <w:rsid w:val="000D4F7D"/>
    <w:rsid w:val="000D4F89"/>
    <w:rsid w:val="000D531F"/>
    <w:rsid w:val="000D5598"/>
    <w:rsid w:val="000D59BD"/>
    <w:rsid w:val="000D5A0D"/>
    <w:rsid w:val="000D6224"/>
    <w:rsid w:val="000D65DD"/>
    <w:rsid w:val="000D6D96"/>
    <w:rsid w:val="000D7621"/>
    <w:rsid w:val="000D7827"/>
    <w:rsid w:val="000D7CE2"/>
    <w:rsid w:val="000D7F19"/>
    <w:rsid w:val="000E0FC8"/>
    <w:rsid w:val="000E1CEA"/>
    <w:rsid w:val="000E2758"/>
    <w:rsid w:val="000E2AA6"/>
    <w:rsid w:val="000E2B76"/>
    <w:rsid w:val="000E2C5A"/>
    <w:rsid w:val="000E2EE2"/>
    <w:rsid w:val="000E3457"/>
    <w:rsid w:val="000E365C"/>
    <w:rsid w:val="000E3B73"/>
    <w:rsid w:val="000E3C04"/>
    <w:rsid w:val="000E3DE6"/>
    <w:rsid w:val="000E49C8"/>
    <w:rsid w:val="000E4C43"/>
    <w:rsid w:val="000E58B8"/>
    <w:rsid w:val="000E5AEA"/>
    <w:rsid w:val="000E5C7B"/>
    <w:rsid w:val="000E6E4B"/>
    <w:rsid w:val="000E72B3"/>
    <w:rsid w:val="000E7925"/>
    <w:rsid w:val="000E7B98"/>
    <w:rsid w:val="000F0799"/>
    <w:rsid w:val="000F0F69"/>
    <w:rsid w:val="000F21B9"/>
    <w:rsid w:val="000F22DD"/>
    <w:rsid w:val="000F2761"/>
    <w:rsid w:val="000F286D"/>
    <w:rsid w:val="000F35D4"/>
    <w:rsid w:val="000F4E93"/>
    <w:rsid w:val="000F4FB2"/>
    <w:rsid w:val="000F537F"/>
    <w:rsid w:val="000F557C"/>
    <w:rsid w:val="000F5791"/>
    <w:rsid w:val="000F60CF"/>
    <w:rsid w:val="000F64E9"/>
    <w:rsid w:val="000F7161"/>
    <w:rsid w:val="000F7666"/>
    <w:rsid w:val="000F7B5B"/>
    <w:rsid w:val="000F7D1C"/>
    <w:rsid w:val="000F7EDC"/>
    <w:rsid w:val="001002E5"/>
    <w:rsid w:val="001006A2"/>
    <w:rsid w:val="00100C14"/>
    <w:rsid w:val="0010143B"/>
    <w:rsid w:val="00101670"/>
    <w:rsid w:val="00101956"/>
    <w:rsid w:val="00101A85"/>
    <w:rsid w:val="00101D6C"/>
    <w:rsid w:val="0010230B"/>
    <w:rsid w:val="001025F8"/>
    <w:rsid w:val="001026AB"/>
    <w:rsid w:val="001028C1"/>
    <w:rsid w:val="001028E9"/>
    <w:rsid w:val="00102F08"/>
    <w:rsid w:val="00103335"/>
    <w:rsid w:val="00103D0D"/>
    <w:rsid w:val="00104291"/>
    <w:rsid w:val="0010453C"/>
    <w:rsid w:val="00104C62"/>
    <w:rsid w:val="001053CD"/>
    <w:rsid w:val="0010609D"/>
    <w:rsid w:val="00106E59"/>
    <w:rsid w:val="001078B6"/>
    <w:rsid w:val="00107F3C"/>
    <w:rsid w:val="0011074A"/>
    <w:rsid w:val="00110C8C"/>
    <w:rsid w:val="00110E26"/>
    <w:rsid w:val="00111279"/>
    <w:rsid w:val="001115F8"/>
    <w:rsid w:val="0011162B"/>
    <w:rsid w:val="001120DC"/>
    <w:rsid w:val="0011295D"/>
    <w:rsid w:val="00112EC1"/>
    <w:rsid w:val="00113510"/>
    <w:rsid w:val="001135C9"/>
    <w:rsid w:val="00113D18"/>
    <w:rsid w:val="001141BF"/>
    <w:rsid w:val="001146E7"/>
    <w:rsid w:val="00114788"/>
    <w:rsid w:val="001149CF"/>
    <w:rsid w:val="00114AA2"/>
    <w:rsid w:val="00115A04"/>
    <w:rsid w:val="0011623A"/>
    <w:rsid w:val="0011650B"/>
    <w:rsid w:val="00116FBB"/>
    <w:rsid w:val="0011709A"/>
    <w:rsid w:val="00117224"/>
    <w:rsid w:val="0011724A"/>
    <w:rsid w:val="00117A79"/>
    <w:rsid w:val="00117C2A"/>
    <w:rsid w:val="00117EB4"/>
    <w:rsid w:val="00121175"/>
    <w:rsid w:val="00121953"/>
    <w:rsid w:val="00121C23"/>
    <w:rsid w:val="001225A6"/>
    <w:rsid w:val="00122A49"/>
    <w:rsid w:val="00122E40"/>
    <w:rsid w:val="0012334E"/>
    <w:rsid w:val="001233FC"/>
    <w:rsid w:val="00123F1F"/>
    <w:rsid w:val="00124062"/>
    <w:rsid w:val="00124D05"/>
    <w:rsid w:val="00124EF1"/>
    <w:rsid w:val="00125571"/>
    <w:rsid w:val="00125903"/>
    <w:rsid w:val="00125A9F"/>
    <w:rsid w:val="00125B8B"/>
    <w:rsid w:val="00125CCB"/>
    <w:rsid w:val="001264E3"/>
    <w:rsid w:val="0012672B"/>
    <w:rsid w:val="00126B39"/>
    <w:rsid w:val="001274AC"/>
    <w:rsid w:val="0012755A"/>
    <w:rsid w:val="00127EA3"/>
    <w:rsid w:val="001303FB"/>
    <w:rsid w:val="001304D7"/>
    <w:rsid w:val="00130AC3"/>
    <w:rsid w:val="00130D20"/>
    <w:rsid w:val="00130EBF"/>
    <w:rsid w:val="001310D2"/>
    <w:rsid w:val="00132314"/>
    <w:rsid w:val="00132865"/>
    <w:rsid w:val="00132A88"/>
    <w:rsid w:val="00132B3D"/>
    <w:rsid w:val="00132C37"/>
    <w:rsid w:val="00132FAC"/>
    <w:rsid w:val="00133656"/>
    <w:rsid w:val="00133EAC"/>
    <w:rsid w:val="001340AF"/>
    <w:rsid w:val="00134231"/>
    <w:rsid w:val="001344D2"/>
    <w:rsid w:val="00134805"/>
    <w:rsid w:val="00134825"/>
    <w:rsid w:val="00134C60"/>
    <w:rsid w:val="00134EE3"/>
    <w:rsid w:val="00135440"/>
    <w:rsid w:val="001357B0"/>
    <w:rsid w:val="00135CA5"/>
    <w:rsid w:val="00136169"/>
    <w:rsid w:val="00136BC0"/>
    <w:rsid w:val="00137754"/>
    <w:rsid w:val="00137ADF"/>
    <w:rsid w:val="00137E4B"/>
    <w:rsid w:val="001400E8"/>
    <w:rsid w:val="0014058A"/>
    <w:rsid w:val="00140C5B"/>
    <w:rsid w:val="00141CF9"/>
    <w:rsid w:val="00141DFE"/>
    <w:rsid w:val="00142637"/>
    <w:rsid w:val="00142706"/>
    <w:rsid w:val="0014313F"/>
    <w:rsid w:val="00144346"/>
    <w:rsid w:val="0014446F"/>
    <w:rsid w:val="0014494B"/>
    <w:rsid w:val="001451E9"/>
    <w:rsid w:val="00145C78"/>
    <w:rsid w:val="00145D49"/>
    <w:rsid w:val="001460CA"/>
    <w:rsid w:val="001465D5"/>
    <w:rsid w:val="00146683"/>
    <w:rsid w:val="001467F4"/>
    <w:rsid w:val="00146A96"/>
    <w:rsid w:val="00146ADE"/>
    <w:rsid w:val="00146D65"/>
    <w:rsid w:val="00146E1B"/>
    <w:rsid w:val="001474EC"/>
    <w:rsid w:val="00147556"/>
    <w:rsid w:val="00147650"/>
    <w:rsid w:val="001479ED"/>
    <w:rsid w:val="00147E70"/>
    <w:rsid w:val="00147F69"/>
    <w:rsid w:val="00150960"/>
    <w:rsid w:val="00151435"/>
    <w:rsid w:val="00151A10"/>
    <w:rsid w:val="0015220A"/>
    <w:rsid w:val="0015293F"/>
    <w:rsid w:val="001529C8"/>
    <w:rsid w:val="00153024"/>
    <w:rsid w:val="0015371A"/>
    <w:rsid w:val="001539C6"/>
    <w:rsid w:val="00153B6D"/>
    <w:rsid w:val="00153D6C"/>
    <w:rsid w:val="00153ED3"/>
    <w:rsid w:val="00154196"/>
    <w:rsid w:val="00154326"/>
    <w:rsid w:val="001543BD"/>
    <w:rsid w:val="0015503D"/>
    <w:rsid w:val="0015505E"/>
    <w:rsid w:val="001551AD"/>
    <w:rsid w:val="0015540A"/>
    <w:rsid w:val="00155433"/>
    <w:rsid w:val="001559AE"/>
    <w:rsid w:val="00155FEA"/>
    <w:rsid w:val="00156123"/>
    <w:rsid w:val="001561D0"/>
    <w:rsid w:val="0015639B"/>
    <w:rsid w:val="0015664E"/>
    <w:rsid w:val="00156D8D"/>
    <w:rsid w:val="001570B7"/>
    <w:rsid w:val="00157C10"/>
    <w:rsid w:val="001608D2"/>
    <w:rsid w:val="0016105B"/>
    <w:rsid w:val="00161207"/>
    <w:rsid w:val="00161B8F"/>
    <w:rsid w:val="00161BE9"/>
    <w:rsid w:val="00161CAF"/>
    <w:rsid w:val="0016297E"/>
    <w:rsid w:val="0016319F"/>
    <w:rsid w:val="00163830"/>
    <w:rsid w:val="00163B8C"/>
    <w:rsid w:val="00163E58"/>
    <w:rsid w:val="00164D33"/>
    <w:rsid w:val="001654BE"/>
    <w:rsid w:val="00165927"/>
    <w:rsid w:val="00165C5F"/>
    <w:rsid w:val="00165E7B"/>
    <w:rsid w:val="00166235"/>
    <w:rsid w:val="001666F0"/>
    <w:rsid w:val="0016682D"/>
    <w:rsid w:val="0016747D"/>
    <w:rsid w:val="00167BE8"/>
    <w:rsid w:val="00170B25"/>
    <w:rsid w:val="00170E71"/>
    <w:rsid w:val="001716A2"/>
    <w:rsid w:val="001716E1"/>
    <w:rsid w:val="00172134"/>
    <w:rsid w:val="001722E3"/>
    <w:rsid w:val="0017378F"/>
    <w:rsid w:val="00173AD1"/>
    <w:rsid w:val="00173B61"/>
    <w:rsid w:val="001740B8"/>
    <w:rsid w:val="00174562"/>
    <w:rsid w:val="001747F1"/>
    <w:rsid w:val="001758AF"/>
    <w:rsid w:val="001759C2"/>
    <w:rsid w:val="00176209"/>
    <w:rsid w:val="001769D4"/>
    <w:rsid w:val="00176F3C"/>
    <w:rsid w:val="0017742F"/>
    <w:rsid w:val="00177CEB"/>
    <w:rsid w:val="00177E34"/>
    <w:rsid w:val="0018028F"/>
    <w:rsid w:val="00180932"/>
    <w:rsid w:val="0018094A"/>
    <w:rsid w:val="0018099E"/>
    <w:rsid w:val="001816DA"/>
    <w:rsid w:val="001819D3"/>
    <w:rsid w:val="00181FCD"/>
    <w:rsid w:val="001824B6"/>
    <w:rsid w:val="00182556"/>
    <w:rsid w:val="00182710"/>
    <w:rsid w:val="001830BD"/>
    <w:rsid w:val="00183346"/>
    <w:rsid w:val="0018339C"/>
    <w:rsid w:val="00183808"/>
    <w:rsid w:val="00183A52"/>
    <w:rsid w:val="00183B9D"/>
    <w:rsid w:val="001840E3"/>
    <w:rsid w:val="00184966"/>
    <w:rsid w:val="00184D80"/>
    <w:rsid w:val="00186C70"/>
    <w:rsid w:val="00187135"/>
    <w:rsid w:val="00187648"/>
    <w:rsid w:val="00187AE6"/>
    <w:rsid w:val="00190327"/>
    <w:rsid w:val="00190545"/>
    <w:rsid w:val="0019077E"/>
    <w:rsid w:val="00190DE1"/>
    <w:rsid w:val="001920B2"/>
    <w:rsid w:val="0019253B"/>
    <w:rsid w:val="00192BBA"/>
    <w:rsid w:val="00192F22"/>
    <w:rsid w:val="00193399"/>
    <w:rsid w:val="0019341B"/>
    <w:rsid w:val="001934ED"/>
    <w:rsid w:val="00193DED"/>
    <w:rsid w:val="00193F95"/>
    <w:rsid w:val="00194157"/>
    <w:rsid w:val="0019469A"/>
    <w:rsid w:val="001947F9"/>
    <w:rsid w:val="00194A7F"/>
    <w:rsid w:val="00194AF1"/>
    <w:rsid w:val="00194BE6"/>
    <w:rsid w:val="00194F5F"/>
    <w:rsid w:val="0019508D"/>
    <w:rsid w:val="001959BB"/>
    <w:rsid w:val="00195B8A"/>
    <w:rsid w:val="00196675"/>
    <w:rsid w:val="001966CB"/>
    <w:rsid w:val="001967D7"/>
    <w:rsid w:val="0019690B"/>
    <w:rsid w:val="00196EC7"/>
    <w:rsid w:val="00196F8D"/>
    <w:rsid w:val="001970E5"/>
    <w:rsid w:val="001971A3"/>
    <w:rsid w:val="00197877"/>
    <w:rsid w:val="00197B44"/>
    <w:rsid w:val="00197B87"/>
    <w:rsid w:val="001A021D"/>
    <w:rsid w:val="001A0683"/>
    <w:rsid w:val="001A08D7"/>
    <w:rsid w:val="001A0C41"/>
    <w:rsid w:val="001A1877"/>
    <w:rsid w:val="001A190D"/>
    <w:rsid w:val="001A1B5B"/>
    <w:rsid w:val="001A1CB4"/>
    <w:rsid w:val="001A2173"/>
    <w:rsid w:val="001A2337"/>
    <w:rsid w:val="001A27B5"/>
    <w:rsid w:val="001A2B08"/>
    <w:rsid w:val="001A2DF5"/>
    <w:rsid w:val="001A3B70"/>
    <w:rsid w:val="001A3CCD"/>
    <w:rsid w:val="001A3E41"/>
    <w:rsid w:val="001A41CE"/>
    <w:rsid w:val="001A4283"/>
    <w:rsid w:val="001A4826"/>
    <w:rsid w:val="001A48FA"/>
    <w:rsid w:val="001A4A94"/>
    <w:rsid w:val="001A4B1A"/>
    <w:rsid w:val="001A4FFB"/>
    <w:rsid w:val="001A50E9"/>
    <w:rsid w:val="001A5442"/>
    <w:rsid w:val="001A5889"/>
    <w:rsid w:val="001A59EE"/>
    <w:rsid w:val="001A71D4"/>
    <w:rsid w:val="001A7229"/>
    <w:rsid w:val="001A72AC"/>
    <w:rsid w:val="001A77B4"/>
    <w:rsid w:val="001A7CB5"/>
    <w:rsid w:val="001A7E84"/>
    <w:rsid w:val="001B06B2"/>
    <w:rsid w:val="001B09FA"/>
    <w:rsid w:val="001B0B5C"/>
    <w:rsid w:val="001B15DA"/>
    <w:rsid w:val="001B1BAF"/>
    <w:rsid w:val="001B2047"/>
    <w:rsid w:val="001B20A4"/>
    <w:rsid w:val="001B28AB"/>
    <w:rsid w:val="001B2A24"/>
    <w:rsid w:val="001B30F4"/>
    <w:rsid w:val="001B3519"/>
    <w:rsid w:val="001B3C94"/>
    <w:rsid w:val="001B3DAA"/>
    <w:rsid w:val="001B3E51"/>
    <w:rsid w:val="001B3F27"/>
    <w:rsid w:val="001B3FD4"/>
    <w:rsid w:val="001B5552"/>
    <w:rsid w:val="001B5B2A"/>
    <w:rsid w:val="001B5BAA"/>
    <w:rsid w:val="001B5D39"/>
    <w:rsid w:val="001B678D"/>
    <w:rsid w:val="001B69A3"/>
    <w:rsid w:val="001B6BDC"/>
    <w:rsid w:val="001B6C92"/>
    <w:rsid w:val="001B6DE9"/>
    <w:rsid w:val="001B6ED8"/>
    <w:rsid w:val="001B7427"/>
    <w:rsid w:val="001B76D7"/>
    <w:rsid w:val="001B7ABA"/>
    <w:rsid w:val="001B7AF6"/>
    <w:rsid w:val="001B7C22"/>
    <w:rsid w:val="001B7E2A"/>
    <w:rsid w:val="001C090D"/>
    <w:rsid w:val="001C0E9C"/>
    <w:rsid w:val="001C1293"/>
    <w:rsid w:val="001C1473"/>
    <w:rsid w:val="001C1580"/>
    <w:rsid w:val="001C169B"/>
    <w:rsid w:val="001C18F7"/>
    <w:rsid w:val="001C1986"/>
    <w:rsid w:val="001C1B85"/>
    <w:rsid w:val="001C20EC"/>
    <w:rsid w:val="001C2161"/>
    <w:rsid w:val="001C22DE"/>
    <w:rsid w:val="001C2749"/>
    <w:rsid w:val="001C3A04"/>
    <w:rsid w:val="001C3A45"/>
    <w:rsid w:val="001C3E5D"/>
    <w:rsid w:val="001C3E96"/>
    <w:rsid w:val="001C4066"/>
    <w:rsid w:val="001C46A5"/>
    <w:rsid w:val="001C54B1"/>
    <w:rsid w:val="001C5880"/>
    <w:rsid w:val="001C5B48"/>
    <w:rsid w:val="001C61D9"/>
    <w:rsid w:val="001C6626"/>
    <w:rsid w:val="001C69D5"/>
    <w:rsid w:val="001C6DF8"/>
    <w:rsid w:val="001C6EF2"/>
    <w:rsid w:val="001C76FD"/>
    <w:rsid w:val="001D01E1"/>
    <w:rsid w:val="001D0505"/>
    <w:rsid w:val="001D064E"/>
    <w:rsid w:val="001D07B4"/>
    <w:rsid w:val="001D0C2C"/>
    <w:rsid w:val="001D11E3"/>
    <w:rsid w:val="001D1627"/>
    <w:rsid w:val="001D1752"/>
    <w:rsid w:val="001D1BB4"/>
    <w:rsid w:val="001D1DCB"/>
    <w:rsid w:val="001D1EAE"/>
    <w:rsid w:val="001D26F2"/>
    <w:rsid w:val="001D2841"/>
    <w:rsid w:val="001D28E3"/>
    <w:rsid w:val="001D2C03"/>
    <w:rsid w:val="001D2D8E"/>
    <w:rsid w:val="001D30DA"/>
    <w:rsid w:val="001D3333"/>
    <w:rsid w:val="001D3511"/>
    <w:rsid w:val="001D3DFE"/>
    <w:rsid w:val="001D40EB"/>
    <w:rsid w:val="001D4189"/>
    <w:rsid w:val="001D41B8"/>
    <w:rsid w:val="001D4661"/>
    <w:rsid w:val="001D4F58"/>
    <w:rsid w:val="001D57A3"/>
    <w:rsid w:val="001D7893"/>
    <w:rsid w:val="001D7955"/>
    <w:rsid w:val="001D7FFA"/>
    <w:rsid w:val="001E00B8"/>
    <w:rsid w:val="001E014A"/>
    <w:rsid w:val="001E02B7"/>
    <w:rsid w:val="001E06ED"/>
    <w:rsid w:val="001E0DDD"/>
    <w:rsid w:val="001E1342"/>
    <w:rsid w:val="001E15F4"/>
    <w:rsid w:val="001E2119"/>
    <w:rsid w:val="001E2459"/>
    <w:rsid w:val="001E2B06"/>
    <w:rsid w:val="001E3252"/>
    <w:rsid w:val="001E34A2"/>
    <w:rsid w:val="001E35EE"/>
    <w:rsid w:val="001E3CDE"/>
    <w:rsid w:val="001E40E8"/>
    <w:rsid w:val="001E42A1"/>
    <w:rsid w:val="001E44F1"/>
    <w:rsid w:val="001E4E9C"/>
    <w:rsid w:val="001E508C"/>
    <w:rsid w:val="001E5261"/>
    <w:rsid w:val="001E540A"/>
    <w:rsid w:val="001E5438"/>
    <w:rsid w:val="001E64FE"/>
    <w:rsid w:val="001E65A9"/>
    <w:rsid w:val="001E7348"/>
    <w:rsid w:val="001E79C4"/>
    <w:rsid w:val="001F01E1"/>
    <w:rsid w:val="001F07CF"/>
    <w:rsid w:val="001F1035"/>
    <w:rsid w:val="001F1193"/>
    <w:rsid w:val="001F11C1"/>
    <w:rsid w:val="001F15C8"/>
    <w:rsid w:val="001F1602"/>
    <w:rsid w:val="001F1C1B"/>
    <w:rsid w:val="001F232D"/>
    <w:rsid w:val="001F24BB"/>
    <w:rsid w:val="001F2975"/>
    <w:rsid w:val="001F2C6F"/>
    <w:rsid w:val="001F34BE"/>
    <w:rsid w:val="001F3533"/>
    <w:rsid w:val="001F37E2"/>
    <w:rsid w:val="001F3CB0"/>
    <w:rsid w:val="001F3D36"/>
    <w:rsid w:val="001F47AA"/>
    <w:rsid w:val="001F4D8F"/>
    <w:rsid w:val="001F521D"/>
    <w:rsid w:val="001F52E6"/>
    <w:rsid w:val="001F5319"/>
    <w:rsid w:val="001F5929"/>
    <w:rsid w:val="001F5B00"/>
    <w:rsid w:val="001F5B76"/>
    <w:rsid w:val="001F5C63"/>
    <w:rsid w:val="001F63E1"/>
    <w:rsid w:val="001F670B"/>
    <w:rsid w:val="001F67D3"/>
    <w:rsid w:val="001F6A34"/>
    <w:rsid w:val="001F6B45"/>
    <w:rsid w:val="001F7496"/>
    <w:rsid w:val="001F74E7"/>
    <w:rsid w:val="001F7574"/>
    <w:rsid w:val="001F78F7"/>
    <w:rsid w:val="001F7E39"/>
    <w:rsid w:val="0020002B"/>
    <w:rsid w:val="00200170"/>
    <w:rsid w:val="002008E3"/>
    <w:rsid w:val="00200BCA"/>
    <w:rsid w:val="002029B6"/>
    <w:rsid w:val="00202B16"/>
    <w:rsid w:val="00202B3A"/>
    <w:rsid w:val="002032B9"/>
    <w:rsid w:val="00203452"/>
    <w:rsid w:val="002034F8"/>
    <w:rsid w:val="002038BC"/>
    <w:rsid w:val="0020393D"/>
    <w:rsid w:val="00204295"/>
    <w:rsid w:val="00204A86"/>
    <w:rsid w:val="002053F8"/>
    <w:rsid w:val="002065E4"/>
    <w:rsid w:val="002066F0"/>
    <w:rsid w:val="00206956"/>
    <w:rsid w:val="00206C78"/>
    <w:rsid w:val="00207144"/>
    <w:rsid w:val="00207811"/>
    <w:rsid w:val="00210054"/>
    <w:rsid w:val="00210A39"/>
    <w:rsid w:val="002110C0"/>
    <w:rsid w:val="00211E92"/>
    <w:rsid w:val="0021203A"/>
    <w:rsid w:val="002120C8"/>
    <w:rsid w:val="002125C7"/>
    <w:rsid w:val="002127A0"/>
    <w:rsid w:val="00212AAC"/>
    <w:rsid w:val="00212B17"/>
    <w:rsid w:val="00212E5F"/>
    <w:rsid w:val="00213396"/>
    <w:rsid w:val="002138D4"/>
    <w:rsid w:val="00213961"/>
    <w:rsid w:val="00213EE7"/>
    <w:rsid w:val="0021434F"/>
    <w:rsid w:val="00214446"/>
    <w:rsid w:val="00214A1F"/>
    <w:rsid w:val="00215D1A"/>
    <w:rsid w:val="00216122"/>
    <w:rsid w:val="00216409"/>
    <w:rsid w:val="002164BF"/>
    <w:rsid w:val="00216C64"/>
    <w:rsid w:val="00216D2F"/>
    <w:rsid w:val="00216FC8"/>
    <w:rsid w:val="002172D3"/>
    <w:rsid w:val="00217358"/>
    <w:rsid w:val="0021777E"/>
    <w:rsid w:val="002178FF"/>
    <w:rsid w:val="00217ACE"/>
    <w:rsid w:val="00217F20"/>
    <w:rsid w:val="002202D0"/>
    <w:rsid w:val="002203F0"/>
    <w:rsid w:val="0022087F"/>
    <w:rsid w:val="00220C9D"/>
    <w:rsid w:val="00220F3F"/>
    <w:rsid w:val="00221182"/>
    <w:rsid w:val="00222D4E"/>
    <w:rsid w:val="00223044"/>
    <w:rsid w:val="0022323C"/>
    <w:rsid w:val="0022349F"/>
    <w:rsid w:val="00224917"/>
    <w:rsid w:val="00224AC7"/>
    <w:rsid w:val="00225269"/>
    <w:rsid w:val="00225455"/>
    <w:rsid w:val="002256BE"/>
    <w:rsid w:val="0022584A"/>
    <w:rsid w:val="00225C66"/>
    <w:rsid w:val="00225D97"/>
    <w:rsid w:val="00226138"/>
    <w:rsid w:val="002261E5"/>
    <w:rsid w:val="00226212"/>
    <w:rsid w:val="00226826"/>
    <w:rsid w:val="00226A5B"/>
    <w:rsid w:val="00226F23"/>
    <w:rsid w:val="0023013E"/>
    <w:rsid w:val="0023068A"/>
    <w:rsid w:val="00230CC3"/>
    <w:rsid w:val="00231285"/>
    <w:rsid w:val="00231A87"/>
    <w:rsid w:val="002325AF"/>
    <w:rsid w:val="0023263C"/>
    <w:rsid w:val="00232718"/>
    <w:rsid w:val="00232F45"/>
    <w:rsid w:val="002333A2"/>
    <w:rsid w:val="00233625"/>
    <w:rsid w:val="00233F1B"/>
    <w:rsid w:val="0023434A"/>
    <w:rsid w:val="002344CC"/>
    <w:rsid w:val="00235096"/>
    <w:rsid w:val="0023526E"/>
    <w:rsid w:val="002352FC"/>
    <w:rsid w:val="002354ED"/>
    <w:rsid w:val="002360ED"/>
    <w:rsid w:val="00236134"/>
    <w:rsid w:val="00236339"/>
    <w:rsid w:val="00236395"/>
    <w:rsid w:val="00236417"/>
    <w:rsid w:val="0023674E"/>
    <w:rsid w:val="00236B88"/>
    <w:rsid w:val="00236C3C"/>
    <w:rsid w:val="00236C6B"/>
    <w:rsid w:val="00236D19"/>
    <w:rsid w:val="00236F67"/>
    <w:rsid w:val="0023767C"/>
    <w:rsid w:val="0024033F"/>
    <w:rsid w:val="002404CE"/>
    <w:rsid w:val="002407E7"/>
    <w:rsid w:val="002413BD"/>
    <w:rsid w:val="00241B3B"/>
    <w:rsid w:val="00241BF8"/>
    <w:rsid w:val="002423E4"/>
    <w:rsid w:val="00242974"/>
    <w:rsid w:val="00242B37"/>
    <w:rsid w:val="002431FC"/>
    <w:rsid w:val="002436F8"/>
    <w:rsid w:val="002437B4"/>
    <w:rsid w:val="00243A3C"/>
    <w:rsid w:val="00243AD4"/>
    <w:rsid w:val="002455F3"/>
    <w:rsid w:val="00245A7D"/>
    <w:rsid w:val="002460A3"/>
    <w:rsid w:val="00246132"/>
    <w:rsid w:val="0024624E"/>
    <w:rsid w:val="00246611"/>
    <w:rsid w:val="00246B70"/>
    <w:rsid w:val="00246B93"/>
    <w:rsid w:val="002472DD"/>
    <w:rsid w:val="00247706"/>
    <w:rsid w:val="002506A4"/>
    <w:rsid w:val="0025135E"/>
    <w:rsid w:val="002514E0"/>
    <w:rsid w:val="00251CA1"/>
    <w:rsid w:val="00251FD0"/>
    <w:rsid w:val="002520B4"/>
    <w:rsid w:val="0025317D"/>
    <w:rsid w:val="002538C5"/>
    <w:rsid w:val="0025396F"/>
    <w:rsid w:val="0025559B"/>
    <w:rsid w:val="00255E38"/>
    <w:rsid w:val="00256232"/>
    <w:rsid w:val="002565CC"/>
    <w:rsid w:val="00256A9A"/>
    <w:rsid w:val="00256D60"/>
    <w:rsid w:val="00256DAC"/>
    <w:rsid w:val="002571AD"/>
    <w:rsid w:val="00257372"/>
    <w:rsid w:val="00257AF2"/>
    <w:rsid w:val="00257BD0"/>
    <w:rsid w:val="002603A7"/>
    <w:rsid w:val="0026057C"/>
    <w:rsid w:val="00260707"/>
    <w:rsid w:val="002607A9"/>
    <w:rsid w:val="00260A35"/>
    <w:rsid w:val="00260A7E"/>
    <w:rsid w:val="00260AB5"/>
    <w:rsid w:val="0026121B"/>
    <w:rsid w:val="002619EC"/>
    <w:rsid w:val="00261D77"/>
    <w:rsid w:val="00262898"/>
    <w:rsid w:val="00262A2F"/>
    <w:rsid w:val="00263074"/>
    <w:rsid w:val="0026325B"/>
    <w:rsid w:val="002639C5"/>
    <w:rsid w:val="00263DB5"/>
    <w:rsid w:val="00263ED5"/>
    <w:rsid w:val="0026440F"/>
    <w:rsid w:val="0026465B"/>
    <w:rsid w:val="0026471C"/>
    <w:rsid w:val="00264744"/>
    <w:rsid w:val="00265577"/>
    <w:rsid w:val="0026599D"/>
    <w:rsid w:val="002665F6"/>
    <w:rsid w:val="0026678E"/>
    <w:rsid w:val="00266951"/>
    <w:rsid w:val="00266E3E"/>
    <w:rsid w:val="002674DC"/>
    <w:rsid w:val="00267BD4"/>
    <w:rsid w:val="00267D7F"/>
    <w:rsid w:val="002701FC"/>
    <w:rsid w:val="0027043B"/>
    <w:rsid w:val="0027062F"/>
    <w:rsid w:val="00270633"/>
    <w:rsid w:val="0027073B"/>
    <w:rsid w:val="00270BA6"/>
    <w:rsid w:val="00270FD2"/>
    <w:rsid w:val="00271261"/>
    <w:rsid w:val="00271AC0"/>
    <w:rsid w:val="00271EBF"/>
    <w:rsid w:val="00272000"/>
    <w:rsid w:val="00272D7B"/>
    <w:rsid w:val="00273894"/>
    <w:rsid w:val="00274771"/>
    <w:rsid w:val="00274AB0"/>
    <w:rsid w:val="00274B6C"/>
    <w:rsid w:val="00274C88"/>
    <w:rsid w:val="00275014"/>
    <w:rsid w:val="00275848"/>
    <w:rsid w:val="002759C8"/>
    <w:rsid w:val="00275AF0"/>
    <w:rsid w:val="00276377"/>
    <w:rsid w:val="002765F2"/>
    <w:rsid w:val="00276F3C"/>
    <w:rsid w:val="00277A5C"/>
    <w:rsid w:val="00277CE0"/>
    <w:rsid w:val="002800EE"/>
    <w:rsid w:val="002801A4"/>
    <w:rsid w:val="00280272"/>
    <w:rsid w:val="002806C3"/>
    <w:rsid w:val="00280B54"/>
    <w:rsid w:val="0028104F"/>
    <w:rsid w:val="00281232"/>
    <w:rsid w:val="0028154C"/>
    <w:rsid w:val="00281FDC"/>
    <w:rsid w:val="0028226F"/>
    <w:rsid w:val="0028229B"/>
    <w:rsid w:val="002823AC"/>
    <w:rsid w:val="0028359B"/>
    <w:rsid w:val="00283773"/>
    <w:rsid w:val="00283E52"/>
    <w:rsid w:val="002842BD"/>
    <w:rsid w:val="0028477F"/>
    <w:rsid w:val="00284973"/>
    <w:rsid w:val="00284F53"/>
    <w:rsid w:val="0028517E"/>
    <w:rsid w:val="0028571C"/>
    <w:rsid w:val="00285C79"/>
    <w:rsid w:val="00285D9B"/>
    <w:rsid w:val="002860B4"/>
    <w:rsid w:val="00286284"/>
    <w:rsid w:val="00286369"/>
    <w:rsid w:val="002878BA"/>
    <w:rsid w:val="00287CAA"/>
    <w:rsid w:val="00287CDD"/>
    <w:rsid w:val="00287E90"/>
    <w:rsid w:val="00287EE3"/>
    <w:rsid w:val="002901F9"/>
    <w:rsid w:val="00290E75"/>
    <w:rsid w:val="0029166B"/>
    <w:rsid w:val="002917B2"/>
    <w:rsid w:val="00291B84"/>
    <w:rsid w:val="00291B86"/>
    <w:rsid w:val="00291BE5"/>
    <w:rsid w:val="002929AD"/>
    <w:rsid w:val="00292F40"/>
    <w:rsid w:val="0029334B"/>
    <w:rsid w:val="002933E8"/>
    <w:rsid w:val="00293DF0"/>
    <w:rsid w:val="002942AC"/>
    <w:rsid w:val="002942AE"/>
    <w:rsid w:val="00294922"/>
    <w:rsid w:val="00294B62"/>
    <w:rsid w:val="002950F4"/>
    <w:rsid w:val="0029540A"/>
    <w:rsid w:val="00295D9D"/>
    <w:rsid w:val="002A000E"/>
    <w:rsid w:val="002A0179"/>
    <w:rsid w:val="002A01AA"/>
    <w:rsid w:val="002A064D"/>
    <w:rsid w:val="002A0E7D"/>
    <w:rsid w:val="002A1033"/>
    <w:rsid w:val="002A11D0"/>
    <w:rsid w:val="002A16F1"/>
    <w:rsid w:val="002A18CA"/>
    <w:rsid w:val="002A1AD7"/>
    <w:rsid w:val="002A2369"/>
    <w:rsid w:val="002A356B"/>
    <w:rsid w:val="002A37B8"/>
    <w:rsid w:val="002A3FE3"/>
    <w:rsid w:val="002A408E"/>
    <w:rsid w:val="002A41EC"/>
    <w:rsid w:val="002A42C0"/>
    <w:rsid w:val="002A47AB"/>
    <w:rsid w:val="002A49F5"/>
    <w:rsid w:val="002A4A15"/>
    <w:rsid w:val="002A4E74"/>
    <w:rsid w:val="002A4F3C"/>
    <w:rsid w:val="002A5BEF"/>
    <w:rsid w:val="002A5CFD"/>
    <w:rsid w:val="002A6539"/>
    <w:rsid w:val="002A69F6"/>
    <w:rsid w:val="002A6FF9"/>
    <w:rsid w:val="002A74ED"/>
    <w:rsid w:val="002A77F6"/>
    <w:rsid w:val="002A7A7E"/>
    <w:rsid w:val="002B02CC"/>
    <w:rsid w:val="002B0585"/>
    <w:rsid w:val="002B0843"/>
    <w:rsid w:val="002B1913"/>
    <w:rsid w:val="002B1B65"/>
    <w:rsid w:val="002B294B"/>
    <w:rsid w:val="002B2D46"/>
    <w:rsid w:val="002B2EC9"/>
    <w:rsid w:val="002B3575"/>
    <w:rsid w:val="002B3D0E"/>
    <w:rsid w:val="002B3FA3"/>
    <w:rsid w:val="002B42A1"/>
    <w:rsid w:val="002B4856"/>
    <w:rsid w:val="002B49E3"/>
    <w:rsid w:val="002B4B33"/>
    <w:rsid w:val="002B4F9A"/>
    <w:rsid w:val="002B4FA5"/>
    <w:rsid w:val="002B55CE"/>
    <w:rsid w:val="002B57CE"/>
    <w:rsid w:val="002B5E95"/>
    <w:rsid w:val="002B5F99"/>
    <w:rsid w:val="002B6347"/>
    <w:rsid w:val="002B674E"/>
    <w:rsid w:val="002B6A87"/>
    <w:rsid w:val="002B6D32"/>
    <w:rsid w:val="002C03BD"/>
    <w:rsid w:val="002C061D"/>
    <w:rsid w:val="002C09F3"/>
    <w:rsid w:val="002C1504"/>
    <w:rsid w:val="002C16A9"/>
    <w:rsid w:val="002C1746"/>
    <w:rsid w:val="002C218F"/>
    <w:rsid w:val="002C2260"/>
    <w:rsid w:val="002C24E3"/>
    <w:rsid w:val="002C2B6A"/>
    <w:rsid w:val="002C2C2B"/>
    <w:rsid w:val="002C3159"/>
    <w:rsid w:val="002C3389"/>
    <w:rsid w:val="002C40DE"/>
    <w:rsid w:val="002C43F4"/>
    <w:rsid w:val="002C440C"/>
    <w:rsid w:val="002C4905"/>
    <w:rsid w:val="002C4D99"/>
    <w:rsid w:val="002C56B2"/>
    <w:rsid w:val="002C5D74"/>
    <w:rsid w:val="002C61F7"/>
    <w:rsid w:val="002C6FB6"/>
    <w:rsid w:val="002C7C6D"/>
    <w:rsid w:val="002D0186"/>
    <w:rsid w:val="002D037B"/>
    <w:rsid w:val="002D037F"/>
    <w:rsid w:val="002D051C"/>
    <w:rsid w:val="002D0625"/>
    <w:rsid w:val="002D06A3"/>
    <w:rsid w:val="002D0C52"/>
    <w:rsid w:val="002D12A3"/>
    <w:rsid w:val="002D1544"/>
    <w:rsid w:val="002D1941"/>
    <w:rsid w:val="002D1A37"/>
    <w:rsid w:val="002D1B78"/>
    <w:rsid w:val="002D2783"/>
    <w:rsid w:val="002D2A16"/>
    <w:rsid w:val="002D2C86"/>
    <w:rsid w:val="002D2D45"/>
    <w:rsid w:val="002D2ED5"/>
    <w:rsid w:val="002D316D"/>
    <w:rsid w:val="002D3610"/>
    <w:rsid w:val="002D39EC"/>
    <w:rsid w:val="002D3C7B"/>
    <w:rsid w:val="002D3E68"/>
    <w:rsid w:val="002D4EC3"/>
    <w:rsid w:val="002D5740"/>
    <w:rsid w:val="002D57E3"/>
    <w:rsid w:val="002D5893"/>
    <w:rsid w:val="002D5977"/>
    <w:rsid w:val="002D6628"/>
    <w:rsid w:val="002D6874"/>
    <w:rsid w:val="002D6C2B"/>
    <w:rsid w:val="002D6D6C"/>
    <w:rsid w:val="002D6DF3"/>
    <w:rsid w:val="002E01E2"/>
    <w:rsid w:val="002E0B09"/>
    <w:rsid w:val="002E14D7"/>
    <w:rsid w:val="002E157D"/>
    <w:rsid w:val="002E1EE5"/>
    <w:rsid w:val="002E30E1"/>
    <w:rsid w:val="002E32A9"/>
    <w:rsid w:val="002E361D"/>
    <w:rsid w:val="002E3E73"/>
    <w:rsid w:val="002E4698"/>
    <w:rsid w:val="002E5218"/>
    <w:rsid w:val="002E5496"/>
    <w:rsid w:val="002E5A7E"/>
    <w:rsid w:val="002E6065"/>
    <w:rsid w:val="002E63D4"/>
    <w:rsid w:val="002E6A19"/>
    <w:rsid w:val="002E6DF6"/>
    <w:rsid w:val="002E7151"/>
    <w:rsid w:val="002E7165"/>
    <w:rsid w:val="002E752B"/>
    <w:rsid w:val="002E77AE"/>
    <w:rsid w:val="002F04EA"/>
    <w:rsid w:val="002F052D"/>
    <w:rsid w:val="002F0797"/>
    <w:rsid w:val="002F0890"/>
    <w:rsid w:val="002F08BC"/>
    <w:rsid w:val="002F0CA5"/>
    <w:rsid w:val="002F0DC6"/>
    <w:rsid w:val="002F1024"/>
    <w:rsid w:val="002F10E9"/>
    <w:rsid w:val="002F143C"/>
    <w:rsid w:val="002F239B"/>
    <w:rsid w:val="002F24AE"/>
    <w:rsid w:val="002F27B2"/>
    <w:rsid w:val="002F298B"/>
    <w:rsid w:val="002F2B08"/>
    <w:rsid w:val="002F2B3E"/>
    <w:rsid w:val="002F3040"/>
    <w:rsid w:val="002F32FA"/>
    <w:rsid w:val="002F3713"/>
    <w:rsid w:val="002F377F"/>
    <w:rsid w:val="002F38EC"/>
    <w:rsid w:val="002F3F5D"/>
    <w:rsid w:val="002F439B"/>
    <w:rsid w:val="002F477F"/>
    <w:rsid w:val="002F47A9"/>
    <w:rsid w:val="002F50BF"/>
    <w:rsid w:val="002F5949"/>
    <w:rsid w:val="002F5CFA"/>
    <w:rsid w:val="002F6647"/>
    <w:rsid w:val="002F6B42"/>
    <w:rsid w:val="002F72CA"/>
    <w:rsid w:val="002F7963"/>
    <w:rsid w:val="002F7F2D"/>
    <w:rsid w:val="0030031B"/>
    <w:rsid w:val="00300911"/>
    <w:rsid w:val="003010E0"/>
    <w:rsid w:val="0030134B"/>
    <w:rsid w:val="003017C0"/>
    <w:rsid w:val="00301D6F"/>
    <w:rsid w:val="00301E3B"/>
    <w:rsid w:val="00301F34"/>
    <w:rsid w:val="00302159"/>
    <w:rsid w:val="00302214"/>
    <w:rsid w:val="0030251F"/>
    <w:rsid w:val="00302D30"/>
    <w:rsid w:val="00303417"/>
    <w:rsid w:val="0030416A"/>
    <w:rsid w:val="003041A0"/>
    <w:rsid w:val="00304774"/>
    <w:rsid w:val="00304D2A"/>
    <w:rsid w:val="00305061"/>
    <w:rsid w:val="0030506A"/>
    <w:rsid w:val="00305111"/>
    <w:rsid w:val="0030538C"/>
    <w:rsid w:val="003055F4"/>
    <w:rsid w:val="00305CAB"/>
    <w:rsid w:val="00306094"/>
    <w:rsid w:val="003064A3"/>
    <w:rsid w:val="00306B1B"/>
    <w:rsid w:val="00306CE2"/>
    <w:rsid w:val="00307315"/>
    <w:rsid w:val="00307413"/>
    <w:rsid w:val="00307611"/>
    <w:rsid w:val="003076C2"/>
    <w:rsid w:val="00307B90"/>
    <w:rsid w:val="003107B4"/>
    <w:rsid w:val="00310D25"/>
    <w:rsid w:val="00310D60"/>
    <w:rsid w:val="0031145E"/>
    <w:rsid w:val="003120AD"/>
    <w:rsid w:val="003122BF"/>
    <w:rsid w:val="0031286A"/>
    <w:rsid w:val="0031345A"/>
    <w:rsid w:val="003136DC"/>
    <w:rsid w:val="00313DB0"/>
    <w:rsid w:val="00313F7E"/>
    <w:rsid w:val="003144D3"/>
    <w:rsid w:val="0031450B"/>
    <w:rsid w:val="00314742"/>
    <w:rsid w:val="003151B7"/>
    <w:rsid w:val="00315645"/>
    <w:rsid w:val="00315846"/>
    <w:rsid w:val="00315B79"/>
    <w:rsid w:val="00315BA0"/>
    <w:rsid w:val="00315D23"/>
    <w:rsid w:val="00315E4E"/>
    <w:rsid w:val="00315E63"/>
    <w:rsid w:val="00316030"/>
    <w:rsid w:val="00316487"/>
    <w:rsid w:val="003164AA"/>
    <w:rsid w:val="00316D36"/>
    <w:rsid w:val="0031703D"/>
    <w:rsid w:val="00317200"/>
    <w:rsid w:val="00317285"/>
    <w:rsid w:val="003175FD"/>
    <w:rsid w:val="00317693"/>
    <w:rsid w:val="003177DA"/>
    <w:rsid w:val="00321165"/>
    <w:rsid w:val="00321810"/>
    <w:rsid w:val="00321BCE"/>
    <w:rsid w:val="00322125"/>
    <w:rsid w:val="0032254F"/>
    <w:rsid w:val="00323398"/>
    <w:rsid w:val="003237BE"/>
    <w:rsid w:val="003237D8"/>
    <w:rsid w:val="00323F43"/>
    <w:rsid w:val="003245F1"/>
    <w:rsid w:val="003246A2"/>
    <w:rsid w:val="00324EEE"/>
    <w:rsid w:val="003251DB"/>
    <w:rsid w:val="00325CFF"/>
    <w:rsid w:val="00326BF7"/>
    <w:rsid w:val="00326C8F"/>
    <w:rsid w:val="00327562"/>
    <w:rsid w:val="00327AD5"/>
    <w:rsid w:val="00331498"/>
    <w:rsid w:val="00332549"/>
    <w:rsid w:val="00332854"/>
    <w:rsid w:val="00332E75"/>
    <w:rsid w:val="00333990"/>
    <w:rsid w:val="00333FFF"/>
    <w:rsid w:val="00334055"/>
    <w:rsid w:val="00334206"/>
    <w:rsid w:val="003343A9"/>
    <w:rsid w:val="0033452E"/>
    <w:rsid w:val="003345D6"/>
    <w:rsid w:val="003346CD"/>
    <w:rsid w:val="00334D6A"/>
    <w:rsid w:val="003350BE"/>
    <w:rsid w:val="0033554A"/>
    <w:rsid w:val="003365FC"/>
    <w:rsid w:val="00336AB0"/>
    <w:rsid w:val="00336BA7"/>
    <w:rsid w:val="00336CDF"/>
    <w:rsid w:val="00336F0C"/>
    <w:rsid w:val="0034132C"/>
    <w:rsid w:val="00341B0A"/>
    <w:rsid w:val="00341CA3"/>
    <w:rsid w:val="003427D9"/>
    <w:rsid w:val="0034281A"/>
    <w:rsid w:val="0034305C"/>
    <w:rsid w:val="00343750"/>
    <w:rsid w:val="003437FA"/>
    <w:rsid w:val="00343A86"/>
    <w:rsid w:val="00343E20"/>
    <w:rsid w:val="0034406A"/>
    <w:rsid w:val="003444B5"/>
    <w:rsid w:val="003446CC"/>
    <w:rsid w:val="003448BB"/>
    <w:rsid w:val="0034490C"/>
    <w:rsid w:val="00345004"/>
    <w:rsid w:val="0034501A"/>
    <w:rsid w:val="00345271"/>
    <w:rsid w:val="00345350"/>
    <w:rsid w:val="003454BC"/>
    <w:rsid w:val="003457A3"/>
    <w:rsid w:val="00346276"/>
    <w:rsid w:val="00346583"/>
    <w:rsid w:val="003468CB"/>
    <w:rsid w:val="00347605"/>
    <w:rsid w:val="003478F6"/>
    <w:rsid w:val="00347F8D"/>
    <w:rsid w:val="00350498"/>
    <w:rsid w:val="003513C4"/>
    <w:rsid w:val="00351618"/>
    <w:rsid w:val="00351ED6"/>
    <w:rsid w:val="00352382"/>
    <w:rsid w:val="0035319F"/>
    <w:rsid w:val="003540B4"/>
    <w:rsid w:val="003545C6"/>
    <w:rsid w:val="00354AE0"/>
    <w:rsid w:val="00354FB5"/>
    <w:rsid w:val="00354FC1"/>
    <w:rsid w:val="00355A4A"/>
    <w:rsid w:val="00356341"/>
    <w:rsid w:val="003564D0"/>
    <w:rsid w:val="00356A15"/>
    <w:rsid w:val="00356EC2"/>
    <w:rsid w:val="00357169"/>
    <w:rsid w:val="003573D9"/>
    <w:rsid w:val="0035784D"/>
    <w:rsid w:val="00357B59"/>
    <w:rsid w:val="00357FCB"/>
    <w:rsid w:val="0036047C"/>
    <w:rsid w:val="003608B9"/>
    <w:rsid w:val="0036091E"/>
    <w:rsid w:val="00360C0C"/>
    <w:rsid w:val="00360D15"/>
    <w:rsid w:val="00360F16"/>
    <w:rsid w:val="00360FC4"/>
    <w:rsid w:val="003613D2"/>
    <w:rsid w:val="003615EE"/>
    <w:rsid w:val="00361C43"/>
    <w:rsid w:val="00361FAB"/>
    <w:rsid w:val="0036235D"/>
    <w:rsid w:val="00362F9D"/>
    <w:rsid w:val="003632F0"/>
    <w:rsid w:val="00363C89"/>
    <w:rsid w:val="00364087"/>
    <w:rsid w:val="00364183"/>
    <w:rsid w:val="003642B0"/>
    <w:rsid w:val="00364412"/>
    <w:rsid w:val="0036551B"/>
    <w:rsid w:val="003655F9"/>
    <w:rsid w:val="00365EEE"/>
    <w:rsid w:val="00366095"/>
    <w:rsid w:val="00366323"/>
    <w:rsid w:val="00366B36"/>
    <w:rsid w:val="00366B4B"/>
    <w:rsid w:val="003676F1"/>
    <w:rsid w:val="00367C50"/>
    <w:rsid w:val="0037007C"/>
    <w:rsid w:val="003703ED"/>
    <w:rsid w:val="003711AD"/>
    <w:rsid w:val="00371424"/>
    <w:rsid w:val="003722D6"/>
    <w:rsid w:val="00372507"/>
    <w:rsid w:val="003726C3"/>
    <w:rsid w:val="00373392"/>
    <w:rsid w:val="00373A7E"/>
    <w:rsid w:val="00373FD4"/>
    <w:rsid w:val="003740F4"/>
    <w:rsid w:val="00374643"/>
    <w:rsid w:val="00374C55"/>
    <w:rsid w:val="003757CD"/>
    <w:rsid w:val="00375B2A"/>
    <w:rsid w:val="003762E5"/>
    <w:rsid w:val="00376DF9"/>
    <w:rsid w:val="0037708E"/>
    <w:rsid w:val="003778AD"/>
    <w:rsid w:val="003802A5"/>
    <w:rsid w:val="00380837"/>
    <w:rsid w:val="003809B9"/>
    <w:rsid w:val="00380C1B"/>
    <w:rsid w:val="00380C62"/>
    <w:rsid w:val="00381337"/>
    <w:rsid w:val="003817CA"/>
    <w:rsid w:val="003818DC"/>
    <w:rsid w:val="00381CEB"/>
    <w:rsid w:val="003821F7"/>
    <w:rsid w:val="003826BC"/>
    <w:rsid w:val="00382D62"/>
    <w:rsid w:val="00382D92"/>
    <w:rsid w:val="003831F3"/>
    <w:rsid w:val="003833AC"/>
    <w:rsid w:val="00383726"/>
    <w:rsid w:val="00384423"/>
    <w:rsid w:val="00384624"/>
    <w:rsid w:val="00384AB4"/>
    <w:rsid w:val="0038524B"/>
    <w:rsid w:val="00385CE9"/>
    <w:rsid w:val="00386034"/>
    <w:rsid w:val="0038646D"/>
    <w:rsid w:val="003865D5"/>
    <w:rsid w:val="003866FC"/>
    <w:rsid w:val="00386CE3"/>
    <w:rsid w:val="00386DB9"/>
    <w:rsid w:val="0038739C"/>
    <w:rsid w:val="003873A3"/>
    <w:rsid w:val="00390B3D"/>
    <w:rsid w:val="00390D9E"/>
    <w:rsid w:val="00391191"/>
    <w:rsid w:val="00391335"/>
    <w:rsid w:val="003915C0"/>
    <w:rsid w:val="00391C0D"/>
    <w:rsid w:val="0039245D"/>
    <w:rsid w:val="00392555"/>
    <w:rsid w:val="00392825"/>
    <w:rsid w:val="00393171"/>
    <w:rsid w:val="00393974"/>
    <w:rsid w:val="00393BEC"/>
    <w:rsid w:val="00393EB4"/>
    <w:rsid w:val="003945E4"/>
    <w:rsid w:val="00394C2C"/>
    <w:rsid w:val="00394C62"/>
    <w:rsid w:val="00395D85"/>
    <w:rsid w:val="00395D8A"/>
    <w:rsid w:val="00396107"/>
    <w:rsid w:val="00396666"/>
    <w:rsid w:val="00396FFD"/>
    <w:rsid w:val="003976FC"/>
    <w:rsid w:val="00397D56"/>
    <w:rsid w:val="00397DCE"/>
    <w:rsid w:val="003A0636"/>
    <w:rsid w:val="003A080A"/>
    <w:rsid w:val="003A0BBF"/>
    <w:rsid w:val="003A15D3"/>
    <w:rsid w:val="003A1B97"/>
    <w:rsid w:val="003A1C48"/>
    <w:rsid w:val="003A2053"/>
    <w:rsid w:val="003A4A49"/>
    <w:rsid w:val="003A4D76"/>
    <w:rsid w:val="003A5168"/>
    <w:rsid w:val="003A555C"/>
    <w:rsid w:val="003A5780"/>
    <w:rsid w:val="003A59B3"/>
    <w:rsid w:val="003A5C9A"/>
    <w:rsid w:val="003A5CE8"/>
    <w:rsid w:val="003A5D1D"/>
    <w:rsid w:val="003A5D44"/>
    <w:rsid w:val="003A63AE"/>
    <w:rsid w:val="003A677B"/>
    <w:rsid w:val="003A67BA"/>
    <w:rsid w:val="003A68E1"/>
    <w:rsid w:val="003A7506"/>
    <w:rsid w:val="003A7899"/>
    <w:rsid w:val="003A7A89"/>
    <w:rsid w:val="003B0296"/>
    <w:rsid w:val="003B07C1"/>
    <w:rsid w:val="003B0881"/>
    <w:rsid w:val="003B0A52"/>
    <w:rsid w:val="003B13AB"/>
    <w:rsid w:val="003B1E65"/>
    <w:rsid w:val="003B215A"/>
    <w:rsid w:val="003B239B"/>
    <w:rsid w:val="003B2918"/>
    <w:rsid w:val="003B2FE1"/>
    <w:rsid w:val="003B3207"/>
    <w:rsid w:val="003B332F"/>
    <w:rsid w:val="003B3697"/>
    <w:rsid w:val="003B3C40"/>
    <w:rsid w:val="003B3F83"/>
    <w:rsid w:val="003B4A1D"/>
    <w:rsid w:val="003B4BC1"/>
    <w:rsid w:val="003B4D54"/>
    <w:rsid w:val="003B5447"/>
    <w:rsid w:val="003B5A62"/>
    <w:rsid w:val="003B5B36"/>
    <w:rsid w:val="003B5EE8"/>
    <w:rsid w:val="003B6A91"/>
    <w:rsid w:val="003B6B5E"/>
    <w:rsid w:val="003B7128"/>
    <w:rsid w:val="003B736E"/>
    <w:rsid w:val="003B77BE"/>
    <w:rsid w:val="003B77E3"/>
    <w:rsid w:val="003B7A95"/>
    <w:rsid w:val="003B7E01"/>
    <w:rsid w:val="003C050C"/>
    <w:rsid w:val="003C06E2"/>
    <w:rsid w:val="003C10BD"/>
    <w:rsid w:val="003C1267"/>
    <w:rsid w:val="003C1B40"/>
    <w:rsid w:val="003C1ED8"/>
    <w:rsid w:val="003C250A"/>
    <w:rsid w:val="003C3669"/>
    <w:rsid w:val="003C3730"/>
    <w:rsid w:val="003C3733"/>
    <w:rsid w:val="003C38D7"/>
    <w:rsid w:val="003C3E94"/>
    <w:rsid w:val="003C45DC"/>
    <w:rsid w:val="003C53F2"/>
    <w:rsid w:val="003C55AA"/>
    <w:rsid w:val="003C56DD"/>
    <w:rsid w:val="003C59E3"/>
    <w:rsid w:val="003C5A71"/>
    <w:rsid w:val="003C6420"/>
    <w:rsid w:val="003C6D72"/>
    <w:rsid w:val="003C735C"/>
    <w:rsid w:val="003C7429"/>
    <w:rsid w:val="003C7A26"/>
    <w:rsid w:val="003C7A83"/>
    <w:rsid w:val="003C7DB5"/>
    <w:rsid w:val="003D0671"/>
    <w:rsid w:val="003D0AF9"/>
    <w:rsid w:val="003D1053"/>
    <w:rsid w:val="003D1228"/>
    <w:rsid w:val="003D12BE"/>
    <w:rsid w:val="003D1D1B"/>
    <w:rsid w:val="003D2409"/>
    <w:rsid w:val="003D2519"/>
    <w:rsid w:val="003D2696"/>
    <w:rsid w:val="003D3A5B"/>
    <w:rsid w:val="003D40A7"/>
    <w:rsid w:val="003D42AE"/>
    <w:rsid w:val="003D4CD0"/>
    <w:rsid w:val="003D4E00"/>
    <w:rsid w:val="003D4F6D"/>
    <w:rsid w:val="003D60AD"/>
    <w:rsid w:val="003D616A"/>
    <w:rsid w:val="003D6C0C"/>
    <w:rsid w:val="003D6FDD"/>
    <w:rsid w:val="003D70BD"/>
    <w:rsid w:val="003D722D"/>
    <w:rsid w:val="003D7963"/>
    <w:rsid w:val="003D7A96"/>
    <w:rsid w:val="003D7FAD"/>
    <w:rsid w:val="003E0968"/>
    <w:rsid w:val="003E119D"/>
    <w:rsid w:val="003E1420"/>
    <w:rsid w:val="003E1458"/>
    <w:rsid w:val="003E26EA"/>
    <w:rsid w:val="003E2AC0"/>
    <w:rsid w:val="003E2F42"/>
    <w:rsid w:val="003E3394"/>
    <w:rsid w:val="003E3BF5"/>
    <w:rsid w:val="003E4324"/>
    <w:rsid w:val="003E4D33"/>
    <w:rsid w:val="003E4F8F"/>
    <w:rsid w:val="003E52ED"/>
    <w:rsid w:val="003E684B"/>
    <w:rsid w:val="003E6D6D"/>
    <w:rsid w:val="003E7070"/>
    <w:rsid w:val="003E70FB"/>
    <w:rsid w:val="003E7280"/>
    <w:rsid w:val="003E72A8"/>
    <w:rsid w:val="003E75E4"/>
    <w:rsid w:val="003E79BF"/>
    <w:rsid w:val="003F0809"/>
    <w:rsid w:val="003F14D4"/>
    <w:rsid w:val="003F1665"/>
    <w:rsid w:val="003F1A0E"/>
    <w:rsid w:val="003F1BAC"/>
    <w:rsid w:val="003F2B3B"/>
    <w:rsid w:val="003F2BED"/>
    <w:rsid w:val="003F2EC8"/>
    <w:rsid w:val="003F3177"/>
    <w:rsid w:val="003F3DE1"/>
    <w:rsid w:val="003F4352"/>
    <w:rsid w:val="003F4773"/>
    <w:rsid w:val="003F4BE9"/>
    <w:rsid w:val="003F4CFD"/>
    <w:rsid w:val="003F4E97"/>
    <w:rsid w:val="003F5683"/>
    <w:rsid w:val="003F5B4D"/>
    <w:rsid w:val="003F5B76"/>
    <w:rsid w:val="003F77A6"/>
    <w:rsid w:val="00400295"/>
    <w:rsid w:val="00400C7D"/>
    <w:rsid w:val="004011A3"/>
    <w:rsid w:val="004019FE"/>
    <w:rsid w:val="00401B9A"/>
    <w:rsid w:val="00401EA5"/>
    <w:rsid w:val="00402019"/>
    <w:rsid w:val="00402471"/>
    <w:rsid w:val="004028FB"/>
    <w:rsid w:val="00403495"/>
    <w:rsid w:val="00403832"/>
    <w:rsid w:val="00403BA8"/>
    <w:rsid w:val="00403E0C"/>
    <w:rsid w:val="004048C0"/>
    <w:rsid w:val="00404B22"/>
    <w:rsid w:val="00404C0E"/>
    <w:rsid w:val="004054C3"/>
    <w:rsid w:val="00406230"/>
    <w:rsid w:val="004064DA"/>
    <w:rsid w:val="0040744E"/>
    <w:rsid w:val="00407505"/>
    <w:rsid w:val="00407597"/>
    <w:rsid w:val="00407C5C"/>
    <w:rsid w:val="00410250"/>
    <w:rsid w:val="004102B1"/>
    <w:rsid w:val="00410B27"/>
    <w:rsid w:val="0041185E"/>
    <w:rsid w:val="004124D3"/>
    <w:rsid w:val="004132A2"/>
    <w:rsid w:val="0041341D"/>
    <w:rsid w:val="0041388E"/>
    <w:rsid w:val="00414064"/>
    <w:rsid w:val="004141F8"/>
    <w:rsid w:val="0041452F"/>
    <w:rsid w:val="004148DF"/>
    <w:rsid w:val="00414AAA"/>
    <w:rsid w:val="00415F25"/>
    <w:rsid w:val="004162EC"/>
    <w:rsid w:val="00417034"/>
    <w:rsid w:val="004172E9"/>
    <w:rsid w:val="00417A19"/>
    <w:rsid w:val="00417B69"/>
    <w:rsid w:val="004201BC"/>
    <w:rsid w:val="0042089D"/>
    <w:rsid w:val="00420985"/>
    <w:rsid w:val="00420A75"/>
    <w:rsid w:val="004211CC"/>
    <w:rsid w:val="004211FC"/>
    <w:rsid w:val="00421A82"/>
    <w:rsid w:val="00421B40"/>
    <w:rsid w:val="00421D9F"/>
    <w:rsid w:val="00421E90"/>
    <w:rsid w:val="00422038"/>
    <w:rsid w:val="004221FD"/>
    <w:rsid w:val="004225B1"/>
    <w:rsid w:val="0042293B"/>
    <w:rsid w:val="00423066"/>
    <w:rsid w:val="0042375D"/>
    <w:rsid w:val="00423FA0"/>
    <w:rsid w:val="0042446E"/>
    <w:rsid w:val="004258F1"/>
    <w:rsid w:val="00425C7F"/>
    <w:rsid w:val="00426104"/>
    <w:rsid w:val="00426460"/>
    <w:rsid w:val="00426880"/>
    <w:rsid w:val="00426BF9"/>
    <w:rsid w:val="00426DC8"/>
    <w:rsid w:val="004272D2"/>
    <w:rsid w:val="004278A3"/>
    <w:rsid w:val="00427B12"/>
    <w:rsid w:val="00430917"/>
    <w:rsid w:val="00431236"/>
    <w:rsid w:val="00431CF1"/>
    <w:rsid w:val="00431E47"/>
    <w:rsid w:val="0043348B"/>
    <w:rsid w:val="00433642"/>
    <w:rsid w:val="004338B1"/>
    <w:rsid w:val="00433B00"/>
    <w:rsid w:val="004343BF"/>
    <w:rsid w:val="004346DA"/>
    <w:rsid w:val="00434716"/>
    <w:rsid w:val="004349AB"/>
    <w:rsid w:val="00435183"/>
    <w:rsid w:val="0043551B"/>
    <w:rsid w:val="00435886"/>
    <w:rsid w:val="00435ADD"/>
    <w:rsid w:val="00435C26"/>
    <w:rsid w:val="0043633D"/>
    <w:rsid w:val="00436772"/>
    <w:rsid w:val="00436DDF"/>
    <w:rsid w:val="004371B1"/>
    <w:rsid w:val="004371D5"/>
    <w:rsid w:val="004373AE"/>
    <w:rsid w:val="004378FA"/>
    <w:rsid w:val="00437A5A"/>
    <w:rsid w:val="00437AD7"/>
    <w:rsid w:val="00437FED"/>
    <w:rsid w:val="00437FF6"/>
    <w:rsid w:val="004400E3"/>
    <w:rsid w:val="0044087E"/>
    <w:rsid w:val="0044115B"/>
    <w:rsid w:val="00441254"/>
    <w:rsid w:val="00441595"/>
    <w:rsid w:val="00442303"/>
    <w:rsid w:val="00442539"/>
    <w:rsid w:val="0044425F"/>
    <w:rsid w:val="00445191"/>
    <w:rsid w:val="00445968"/>
    <w:rsid w:val="004467A2"/>
    <w:rsid w:val="004469B2"/>
    <w:rsid w:val="004473C2"/>
    <w:rsid w:val="00447751"/>
    <w:rsid w:val="00450121"/>
    <w:rsid w:val="004502A0"/>
    <w:rsid w:val="004502F4"/>
    <w:rsid w:val="00451241"/>
    <w:rsid w:val="00452838"/>
    <w:rsid w:val="004528A7"/>
    <w:rsid w:val="00452EDB"/>
    <w:rsid w:val="004532E4"/>
    <w:rsid w:val="00453D79"/>
    <w:rsid w:val="00453E2F"/>
    <w:rsid w:val="00454013"/>
    <w:rsid w:val="00454550"/>
    <w:rsid w:val="00454994"/>
    <w:rsid w:val="004549EA"/>
    <w:rsid w:val="00454ABC"/>
    <w:rsid w:val="004555D1"/>
    <w:rsid w:val="004556B5"/>
    <w:rsid w:val="004556BD"/>
    <w:rsid w:val="00455853"/>
    <w:rsid w:val="004563C2"/>
    <w:rsid w:val="00456400"/>
    <w:rsid w:val="00456404"/>
    <w:rsid w:val="004564BA"/>
    <w:rsid w:val="004567FF"/>
    <w:rsid w:val="00456BEE"/>
    <w:rsid w:val="00456CBD"/>
    <w:rsid w:val="00456D3D"/>
    <w:rsid w:val="00456E1F"/>
    <w:rsid w:val="00456E79"/>
    <w:rsid w:val="00456EC7"/>
    <w:rsid w:val="004570F1"/>
    <w:rsid w:val="0045732E"/>
    <w:rsid w:val="00457E42"/>
    <w:rsid w:val="00460597"/>
    <w:rsid w:val="00461390"/>
    <w:rsid w:val="00461441"/>
    <w:rsid w:val="004620C4"/>
    <w:rsid w:val="0046218F"/>
    <w:rsid w:val="00462542"/>
    <w:rsid w:val="00462CB9"/>
    <w:rsid w:val="00462FCF"/>
    <w:rsid w:val="00462FEA"/>
    <w:rsid w:val="00463654"/>
    <w:rsid w:val="004636D7"/>
    <w:rsid w:val="00463B69"/>
    <w:rsid w:val="00464292"/>
    <w:rsid w:val="004644FA"/>
    <w:rsid w:val="004647C6"/>
    <w:rsid w:val="0046486C"/>
    <w:rsid w:val="00464A16"/>
    <w:rsid w:val="00464B65"/>
    <w:rsid w:val="00464C54"/>
    <w:rsid w:val="00464CA1"/>
    <w:rsid w:val="004654AF"/>
    <w:rsid w:val="0046587D"/>
    <w:rsid w:val="00465E7A"/>
    <w:rsid w:val="004661BD"/>
    <w:rsid w:val="004661D5"/>
    <w:rsid w:val="004665B4"/>
    <w:rsid w:val="00466BE7"/>
    <w:rsid w:val="00466E94"/>
    <w:rsid w:val="00466EAC"/>
    <w:rsid w:val="00466F5D"/>
    <w:rsid w:val="00467208"/>
    <w:rsid w:val="00467386"/>
    <w:rsid w:val="0046799C"/>
    <w:rsid w:val="00467B13"/>
    <w:rsid w:val="00467C4C"/>
    <w:rsid w:val="00467FC8"/>
    <w:rsid w:val="0047021A"/>
    <w:rsid w:val="004703D2"/>
    <w:rsid w:val="00470405"/>
    <w:rsid w:val="004705FD"/>
    <w:rsid w:val="00471B91"/>
    <w:rsid w:val="00471BD0"/>
    <w:rsid w:val="0047205B"/>
    <w:rsid w:val="0047212C"/>
    <w:rsid w:val="004722A6"/>
    <w:rsid w:val="00472303"/>
    <w:rsid w:val="00472F5D"/>
    <w:rsid w:val="00472FCC"/>
    <w:rsid w:val="004736D4"/>
    <w:rsid w:val="00473BC2"/>
    <w:rsid w:val="00473D2C"/>
    <w:rsid w:val="00473E02"/>
    <w:rsid w:val="004752F9"/>
    <w:rsid w:val="00475CEB"/>
    <w:rsid w:val="00475F4F"/>
    <w:rsid w:val="00475FDD"/>
    <w:rsid w:val="0047713F"/>
    <w:rsid w:val="0047717B"/>
    <w:rsid w:val="00477206"/>
    <w:rsid w:val="004778EE"/>
    <w:rsid w:val="00477981"/>
    <w:rsid w:val="00477D84"/>
    <w:rsid w:val="00480336"/>
    <w:rsid w:val="00480491"/>
    <w:rsid w:val="0048073C"/>
    <w:rsid w:val="00480857"/>
    <w:rsid w:val="00480873"/>
    <w:rsid w:val="00480B0C"/>
    <w:rsid w:val="00481AB0"/>
    <w:rsid w:val="004820DD"/>
    <w:rsid w:val="00482952"/>
    <w:rsid w:val="00482CCA"/>
    <w:rsid w:val="00482CF5"/>
    <w:rsid w:val="00483065"/>
    <w:rsid w:val="00483967"/>
    <w:rsid w:val="004845EB"/>
    <w:rsid w:val="00485566"/>
    <w:rsid w:val="004856E9"/>
    <w:rsid w:val="004859A5"/>
    <w:rsid w:val="00485BBE"/>
    <w:rsid w:val="00485E14"/>
    <w:rsid w:val="00486079"/>
    <w:rsid w:val="004869BB"/>
    <w:rsid w:val="004869C8"/>
    <w:rsid w:val="00486CC3"/>
    <w:rsid w:val="00487EBA"/>
    <w:rsid w:val="004904D2"/>
    <w:rsid w:val="004906E8"/>
    <w:rsid w:val="00490A8A"/>
    <w:rsid w:val="00491157"/>
    <w:rsid w:val="004913C9"/>
    <w:rsid w:val="0049167B"/>
    <w:rsid w:val="00491749"/>
    <w:rsid w:val="00491811"/>
    <w:rsid w:val="00491F42"/>
    <w:rsid w:val="00492B63"/>
    <w:rsid w:val="00493091"/>
    <w:rsid w:val="004932F6"/>
    <w:rsid w:val="004942F1"/>
    <w:rsid w:val="00494D7F"/>
    <w:rsid w:val="004952D8"/>
    <w:rsid w:val="00495771"/>
    <w:rsid w:val="0049624B"/>
    <w:rsid w:val="004974CF"/>
    <w:rsid w:val="00497677"/>
    <w:rsid w:val="004978C4"/>
    <w:rsid w:val="00497E98"/>
    <w:rsid w:val="004A01C6"/>
    <w:rsid w:val="004A0623"/>
    <w:rsid w:val="004A07F1"/>
    <w:rsid w:val="004A0A74"/>
    <w:rsid w:val="004A10B6"/>
    <w:rsid w:val="004A10DC"/>
    <w:rsid w:val="004A1F35"/>
    <w:rsid w:val="004A2574"/>
    <w:rsid w:val="004A2A2C"/>
    <w:rsid w:val="004A2C17"/>
    <w:rsid w:val="004A2CD9"/>
    <w:rsid w:val="004A3037"/>
    <w:rsid w:val="004A3BB4"/>
    <w:rsid w:val="004A3D38"/>
    <w:rsid w:val="004A42FB"/>
    <w:rsid w:val="004A432B"/>
    <w:rsid w:val="004A44CC"/>
    <w:rsid w:val="004A51DE"/>
    <w:rsid w:val="004A56B7"/>
    <w:rsid w:val="004A571A"/>
    <w:rsid w:val="004A6452"/>
    <w:rsid w:val="004A6791"/>
    <w:rsid w:val="004A689A"/>
    <w:rsid w:val="004A69AA"/>
    <w:rsid w:val="004A6C39"/>
    <w:rsid w:val="004A713B"/>
    <w:rsid w:val="004A75F1"/>
    <w:rsid w:val="004B0CF9"/>
    <w:rsid w:val="004B0F65"/>
    <w:rsid w:val="004B1286"/>
    <w:rsid w:val="004B1810"/>
    <w:rsid w:val="004B1F8C"/>
    <w:rsid w:val="004B2074"/>
    <w:rsid w:val="004B21FE"/>
    <w:rsid w:val="004B244B"/>
    <w:rsid w:val="004B2A01"/>
    <w:rsid w:val="004B2A27"/>
    <w:rsid w:val="004B3121"/>
    <w:rsid w:val="004B3144"/>
    <w:rsid w:val="004B363E"/>
    <w:rsid w:val="004B3983"/>
    <w:rsid w:val="004B3CC9"/>
    <w:rsid w:val="004B3E04"/>
    <w:rsid w:val="004B3F59"/>
    <w:rsid w:val="004B41C6"/>
    <w:rsid w:val="004B4252"/>
    <w:rsid w:val="004B43FB"/>
    <w:rsid w:val="004B446C"/>
    <w:rsid w:val="004B4A74"/>
    <w:rsid w:val="004B4D4F"/>
    <w:rsid w:val="004B4DCF"/>
    <w:rsid w:val="004B4E41"/>
    <w:rsid w:val="004B4EF7"/>
    <w:rsid w:val="004B51CF"/>
    <w:rsid w:val="004B605D"/>
    <w:rsid w:val="004B631E"/>
    <w:rsid w:val="004B6789"/>
    <w:rsid w:val="004B6EFE"/>
    <w:rsid w:val="004B7273"/>
    <w:rsid w:val="004B7617"/>
    <w:rsid w:val="004C0151"/>
    <w:rsid w:val="004C08F8"/>
    <w:rsid w:val="004C0A45"/>
    <w:rsid w:val="004C0E26"/>
    <w:rsid w:val="004C1620"/>
    <w:rsid w:val="004C18AA"/>
    <w:rsid w:val="004C19D9"/>
    <w:rsid w:val="004C265D"/>
    <w:rsid w:val="004C274E"/>
    <w:rsid w:val="004C282F"/>
    <w:rsid w:val="004C28B3"/>
    <w:rsid w:val="004C2A41"/>
    <w:rsid w:val="004C2A4E"/>
    <w:rsid w:val="004C2C90"/>
    <w:rsid w:val="004C2F34"/>
    <w:rsid w:val="004C2F99"/>
    <w:rsid w:val="004C36BA"/>
    <w:rsid w:val="004C38DF"/>
    <w:rsid w:val="004C428E"/>
    <w:rsid w:val="004C43A9"/>
    <w:rsid w:val="004C4D46"/>
    <w:rsid w:val="004C4F34"/>
    <w:rsid w:val="004C5405"/>
    <w:rsid w:val="004C5844"/>
    <w:rsid w:val="004C5E07"/>
    <w:rsid w:val="004C5F07"/>
    <w:rsid w:val="004C6536"/>
    <w:rsid w:val="004C6B18"/>
    <w:rsid w:val="004C6E71"/>
    <w:rsid w:val="004C7176"/>
    <w:rsid w:val="004C74AF"/>
    <w:rsid w:val="004C7716"/>
    <w:rsid w:val="004C77FA"/>
    <w:rsid w:val="004C782E"/>
    <w:rsid w:val="004C7B5D"/>
    <w:rsid w:val="004D00C8"/>
    <w:rsid w:val="004D0D3F"/>
    <w:rsid w:val="004D1015"/>
    <w:rsid w:val="004D1928"/>
    <w:rsid w:val="004D2243"/>
    <w:rsid w:val="004D3CED"/>
    <w:rsid w:val="004D40CF"/>
    <w:rsid w:val="004D4926"/>
    <w:rsid w:val="004D49D2"/>
    <w:rsid w:val="004D4B23"/>
    <w:rsid w:val="004D4BFE"/>
    <w:rsid w:val="004D4D7A"/>
    <w:rsid w:val="004D4F6C"/>
    <w:rsid w:val="004D5846"/>
    <w:rsid w:val="004D5FE6"/>
    <w:rsid w:val="004D60A2"/>
    <w:rsid w:val="004D635F"/>
    <w:rsid w:val="004D677D"/>
    <w:rsid w:val="004D7125"/>
    <w:rsid w:val="004D7356"/>
    <w:rsid w:val="004D79BF"/>
    <w:rsid w:val="004D7EA6"/>
    <w:rsid w:val="004E02BF"/>
    <w:rsid w:val="004E0641"/>
    <w:rsid w:val="004E090B"/>
    <w:rsid w:val="004E09CD"/>
    <w:rsid w:val="004E0C2C"/>
    <w:rsid w:val="004E0D72"/>
    <w:rsid w:val="004E11C9"/>
    <w:rsid w:val="004E16EE"/>
    <w:rsid w:val="004E1F19"/>
    <w:rsid w:val="004E2321"/>
    <w:rsid w:val="004E2774"/>
    <w:rsid w:val="004E29C4"/>
    <w:rsid w:val="004E2BEB"/>
    <w:rsid w:val="004E3B84"/>
    <w:rsid w:val="004E3D2A"/>
    <w:rsid w:val="004E3F7C"/>
    <w:rsid w:val="004E3FE9"/>
    <w:rsid w:val="004E451D"/>
    <w:rsid w:val="004E4BFF"/>
    <w:rsid w:val="004E50BF"/>
    <w:rsid w:val="004E550E"/>
    <w:rsid w:val="004E7021"/>
    <w:rsid w:val="004E76EC"/>
    <w:rsid w:val="004E7876"/>
    <w:rsid w:val="004E7965"/>
    <w:rsid w:val="004F08E8"/>
    <w:rsid w:val="004F0974"/>
    <w:rsid w:val="004F2015"/>
    <w:rsid w:val="004F20FC"/>
    <w:rsid w:val="004F27DC"/>
    <w:rsid w:val="004F2869"/>
    <w:rsid w:val="004F2FCC"/>
    <w:rsid w:val="004F30F9"/>
    <w:rsid w:val="004F32F5"/>
    <w:rsid w:val="004F3531"/>
    <w:rsid w:val="004F3CF0"/>
    <w:rsid w:val="004F3ED4"/>
    <w:rsid w:val="004F4525"/>
    <w:rsid w:val="004F5166"/>
    <w:rsid w:val="004F5173"/>
    <w:rsid w:val="004F58ED"/>
    <w:rsid w:val="004F6145"/>
    <w:rsid w:val="004F66CB"/>
    <w:rsid w:val="004F6B39"/>
    <w:rsid w:val="004F6E80"/>
    <w:rsid w:val="004F6FD5"/>
    <w:rsid w:val="004F75A6"/>
    <w:rsid w:val="004F7E94"/>
    <w:rsid w:val="0050084C"/>
    <w:rsid w:val="00500886"/>
    <w:rsid w:val="005008C2"/>
    <w:rsid w:val="00500BF0"/>
    <w:rsid w:val="005013AC"/>
    <w:rsid w:val="00501B04"/>
    <w:rsid w:val="00501C7D"/>
    <w:rsid w:val="0050340D"/>
    <w:rsid w:val="005037B4"/>
    <w:rsid w:val="00503925"/>
    <w:rsid w:val="00503DCA"/>
    <w:rsid w:val="00503E0A"/>
    <w:rsid w:val="005041FC"/>
    <w:rsid w:val="005046EB"/>
    <w:rsid w:val="00504D05"/>
    <w:rsid w:val="0050521F"/>
    <w:rsid w:val="005053E3"/>
    <w:rsid w:val="005058A1"/>
    <w:rsid w:val="0050613A"/>
    <w:rsid w:val="00506226"/>
    <w:rsid w:val="00506798"/>
    <w:rsid w:val="005079A8"/>
    <w:rsid w:val="005103B6"/>
    <w:rsid w:val="00510D24"/>
    <w:rsid w:val="00510D63"/>
    <w:rsid w:val="0051131F"/>
    <w:rsid w:val="00511DEE"/>
    <w:rsid w:val="005120F1"/>
    <w:rsid w:val="005129B4"/>
    <w:rsid w:val="005138F6"/>
    <w:rsid w:val="0051441F"/>
    <w:rsid w:val="00514569"/>
    <w:rsid w:val="0051475C"/>
    <w:rsid w:val="005147D9"/>
    <w:rsid w:val="00514AF4"/>
    <w:rsid w:val="00514FD6"/>
    <w:rsid w:val="00515DC7"/>
    <w:rsid w:val="005170FA"/>
    <w:rsid w:val="00517D8D"/>
    <w:rsid w:val="00517E7A"/>
    <w:rsid w:val="0052019B"/>
    <w:rsid w:val="0052055A"/>
    <w:rsid w:val="005205BF"/>
    <w:rsid w:val="005206E7"/>
    <w:rsid w:val="00520B46"/>
    <w:rsid w:val="00520C95"/>
    <w:rsid w:val="00521072"/>
    <w:rsid w:val="00521ACC"/>
    <w:rsid w:val="005220DC"/>
    <w:rsid w:val="00522555"/>
    <w:rsid w:val="00522633"/>
    <w:rsid w:val="005226E6"/>
    <w:rsid w:val="00522CA8"/>
    <w:rsid w:val="00522DC3"/>
    <w:rsid w:val="00522FE3"/>
    <w:rsid w:val="00523407"/>
    <w:rsid w:val="00523955"/>
    <w:rsid w:val="00524F74"/>
    <w:rsid w:val="005251B2"/>
    <w:rsid w:val="0052531B"/>
    <w:rsid w:val="005253D1"/>
    <w:rsid w:val="0052585A"/>
    <w:rsid w:val="00525AB7"/>
    <w:rsid w:val="00525B44"/>
    <w:rsid w:val="005276A3"/>
    <w:rsid w:val="00527D8A"/>
    <w:rsid w:val="005305FA"/>
    <w:rsid w:val="00530850"/>
    <w:rsid w:val="00530A25"/>
    <w:rsid w:val="00530A78"/>
    <w:rsid w:val="005311C2"/>
    <w:rsid w:val="0053132B"/>
    <w:rsid w:val="00531A26"/>
    <w:rsid w:val="00531E8A"/>
    <w:rsid w:val="00532283"/>
    <w:rsid w:val="0053237D"/>
    <w:rsid w:val="005326BE"/>
    <w:rsid w:val="00532DF8"/>
    <w:rsid w:val="00533236"/>
    <w:rsid w:val="005332BB"/>
    <w:rsid w:val="005334F3"/>
    <w:rsid w:val="00533D30"/>
    <w:rsid w:val="00533E5D"/>
    <w:rsid w:val="00533E88"/>
    <w:rsid w:val="005345C6"/>
    <w:rsid w:val="00534A15"/>
    <w:rsid w:val="00535921"/>
    <w:rsid w:val="005359AE"/>
    <w:rsid w:val="00536286"/>
    <w:rsid w:val="00536E12"/>
    <w:rsid w:val="00537335"/>
    <w:rsid w:val="0053734D"/>
    <w:rsid w:val="00537C10"/>
    <w:rsid w:val="00540AF6"/>
    <w:rsid w:val="00540DB6"/>
    <w:rsid w:val="00540FB9"/>
    <w:rsid w:val="0054170F"/>
    <w:rsid w:val="00541A7C"/>
    <w:rsid w:val="00541AC5"/>
    <w:rsid w:val="00541E56"/>
    <w:rsid w:val="00542067"/>
    <w:rsid w:val="005422AE"/>
    <w:rsid w:val="005428AC"/>
    <w:rsid w:val="00542D6B"/>
    <w:rsid w:val="00542F91"/>
    <w:rsid w:val="00543133"/>
    <w:rsid w:val="005433F9"/>
    <w:rsid w:val="00543B20"/>
    <w:rsid w:val="00543DCA"/>
    <w:rsid w:val="005440C2"/>
    <w:rsid w:val="005442C8"/>
    <w:rsid w:val="0054454C"/>
    <w:rsid w:val="0054491D"/>
    <w:rsid w:val="005455DE"/>
    <w:rsid w:val="00545C79"/>
    <w:rsid w:val="0054650F"/>
    <w:rsid w:val="00546957"/>
    <w:rsid w:val="00546A99"/>
    <w:rsid w:val="0054715B"/>
    <w:rsid w:val="0054718A"/>
    <w:rsid w:val="00547748"/>
    <w:rsid w:val="00547CE9"/>
    <w:rsid w:val="00547DE6"/>
    <w:rsid w:val="00547E9E"/>
    <w:rsid w:val="00550231"/>
    <w:rsid w:val="00550752"/>
    <w:rsid w:val="00550808"/>
    <w:rsid w:val="00550811"/>
    <w:rsid w:val="00550AB4"/>
    <w:rsid w:val="00550BCD"/>
    <w:rsid w:val="00550DF7"/>
    <w:rsid w:val="00551793"/>
    <w:rsid w:val="00551AA3"/>
    <w:rsid w:val="00551B56"/>
    <w:rsid w:val="0055224D"/>
    <w:rsid w:val="0055231A"/>
    <w:rsid w:val="005525FC"/>
    <w:rsid w:val="00552BA6"/>
    <w:rsid w:val="0055308F"/>
    <w:rsid w:val="00553503"/>
    <w:rsid w:val="00553767"/>
    <w:rsid w:val="00553A0C"/>
    <w:rsid w:val="00553DBA"/>
    <w:rsid w:val="00553FF0"/>
    <w:rsid w:val="005542DA"/>
    <w:rsid w:val="00554460"/>
    <w:rsid w:val="00554C3D"/>
    <w:rsid w:val="0055693F"/>
    <w:rsid w:val="00556CB3"/>
    <w:rsid w:val="00557264"/>
    <w:rsid w:val="005572C0"/>
    <w:rsid w:val="00557B13"/>
    <w:rsid w:val="00557FA4"/>
    <w:rsid w:val="00560063"/>
    <w:rsid w:val="00560161"/>
    <w:rsid w:val="00560267"/>
    <w:rsid w:val="005602C9"/>
    <w:rsid w:val="0056087D"/>
    <w:rsid w:val="00560B5A"/>
    <w:rsid w:val="00560B6A"/>
    <w:rsid w:val="00560DE6"/>
    <w:rsid w:val="0056120A"/>
    <w:rsid w:val="00561338"/>
    <w:rsid w:val="00561608"/>
    <w:rsid w:val="0056161A"/>
    <w:rsid w:val="00561636"/>
    <w:rsid w:val="00561B89"/>
    <w:rsid w:val="00561EBB"/>
    <w:rsid w:val="005620C0"/>
    <w:rsid w:val="00562245"/>
    <w:rsid w:val="005625C3"/>
    <w:rsid w:val="0056297C"/>
    <w:rsid w:val="00562C45"/>
    <w:rsid w:val="00562C50"/>
    <w:rsid w:val="00562E7E"/>
    <w:rsid w:val="00563C33"/>
    <w:rsid w:val="005649CC"/>
    <w:rsid w:val="00564F2B"/>
    <w:rsid w:val="00565794"/>
    <w:rsid w:val="005658BF"/>
    <w:rsid w:val="00565A87"/>
    <w:rsid w:val="00565AE2"/>
    <w:rsid w:val="00566237"/>
    <w:rsid w:val="00566254"/>
    <w:rsid w:val="0056655B"/>
    <w:rsid w:val="005665DE"/>
    <w:rsid w:val="00567420"/>
    <w:rsid w:val="00570A47"/>
    <w:rsid w:val="00570C4D"/>
    <w:rsid w:val="005719E5"/>
    <w:rsid w:val="00571A6E"/>
    <w:rsid w:val="00571A95"/>
    <w:rsid w:val="00572227"/>
    <w:rsid w:val="005731B3"/>
    <w:rsid w:val="00573AB0"/>
    <w:rsid w:val="00574500"/>
    <w:rsid w:val="00574FA1"/>
    <w:rsid w:val="005763EB"/>
    <w:rsid w:val="00576466"/>
    <w:rsid w:val="005764F8"/>
    <w:rsid w:val="00576AF5"/>
    <w:rsid w:val="00576B4D"/>
    <w:rsid w:val="005779A1"/>
    <w:rsid w:val="00577BB3"/>
    <w:rsid w:val="00577F9E"/>
    <w:rsid w:val="005806D3"/>
    <w:rsid w:val="00580956"/>
    <w:rsid w:val="00580A10"/>
    <w:rsid w:val="00580D30"/>
    <w:rsid w:val="00582561"/>
    <w:rsid w:val="005825D5"/>
    <w:rsid w:val="00582AEA"/>
    <w:rsid w:val="00582D08"/>
    <w:rsid w:val="00582FE8"/>
    <w:rsid w:val="00583903"/>
    <w:rsid w:val="00583ACB"/>
    <w:rsid w:val="0058446E"/>
    <w:rsid w:val="00584970"/>
    <w:rsid w:val="00584B12"/>
    <w:rsid w:val="00584BC2"/>
    <w:rsid w:val="00585447"/>
    <w:rsid w:val="005858B4"/>
    <w:rsid w:val="00586149"/>
    <w:rsid w:val="00586788"/>
    <w:rsid w:val="005867F5"/>
    <w:rsid w:val="00586EA7"/>
    <w:rsid w:val="00587406"/>
    <w:rsid w:val="005877B2"/>
    <w:rsid w:val="00587E86"/>
    <w:rsid w:val="005900B8"/>
    <w:rsid w:val="005906A5"/>
    <w:rsid w:val="00590C57"/>
    <w:rsid w:val="00590C83"/>
    <w:rsid w:val="00590E1E"/>
    <w:rsid w:val="00591923"/>
    <w:rsid w:val="00591D85"/>
    <w:rsid w:val="00591FD5"/>
    <w:rsid w:val="005926D0"/>
    <w:rsid w:val="00592D5A"/>
    <w:rsid w:val="00592ED3"/>
    <w:rsid w:val="005937CB"/>
    <w:rsid w:val="00593D1B"/>
    <w:rsid w:val="00593F66"/>
    <w:rsid w:val="00594D21"/>
    <w:rsid w:val="00594E50"/>
    <w:rsid w:val="005954F3"/>
    <w:rsid w:val="005955F7"/>
    <w:rsid w:val="00595830"/>
    <w:rsid w:val="00596427"/>
    <w:rsid w:val="00597135"/>
    <w:rsid w:val="005A0008"/>
    <w:rsid w:val="005A100F"/>
    <w:rsid w:val="005A148D"/>
    <w:rsid w:val="005A155E"/>
    <w:rsid w:val="005A1B6C"/>
    <w:rsid w:val="005A1E2D"/>
    <w:rsid w:val="005A224D"/>
    <w:rsid w:val="005A22ED"/>
    <w:rsid w:val="005A2317"/>
    <w:rsid w:val="005A2CD1"/>
    <w:rsid w:val="005A325F"/>
    <w:rsid w:val="005A3A70"/>
    <w:rsid w:val="005A3BB2"/>
    <w:rsid w:val="005A3CAD"/>
    <w:rsid w:val="005A402E"/>
    <w:rsid w:val="005A40F3"/>
    <w:rsid w:val="005A41A6"/>
    <w:rsid w:val="005A4243"/>
    <w:rsid w:val="005A4965"/>
    <w:rsid w:val="005A505B"/>
    <w:rsid w:val="005A562E"/>
    <w:rsid w:val="005A5742"/>
    <w:rsid w:val="005A5A3A"/>
    <w:rsid w:val="005A629E"/>
    <w:rsid w:val="005A63DA"/>
    <w:rsid w:val="005A6538"/>
    <w:rsid w:val="005A7280"/>
    <w:rsid w:val="005A728B"/>
    <w:rsid w:val="005A72A4"/>
    <w:rsid w:val="005A7840"/>
    <w:rsid w:val="005A7A66"/>
    <w:rsid w:val="005A7F70"/>
    <w:rsid w:val="005A7F78"/>
    <w:rsid w:val="005B00B5"/>
    <w:rsid w:val="005B07B1"/>
    <w:rsid w:val="005B11E7"/>
    <w:rsid w:val="005B12A2"/>
    <w:rsid w:val="005B138C"/>
    <w:rsid w:val="005B16D4"/>
    <w:rsid w:val="005B1E12"/>
    <w:rsid w:val="005B2AB0"/>
    <w:rsid w:val="005B2DCA"/>
    <w:rsid w:val="005B3124"/>
    <w:rsid w:val="005B3317"/>
    <w:rsid w:val="005B3992"/>
    <w:rsid w:val="005B39D2"/>
    <w:rsid w:val="005B3E6A"/>
    <w:rsid w:val="005B4289"/>
    <w:rsid w:val="005B42BF"/>
    <w:rsid w:val="005B4DBA"/>
    <w:rsid w:val="005B5369"/>
    <w:rsid w:val="005B53AC"/>
    <w:rsid w:val="005B703F"/>
    <w:rsid w:val="005B76FA"/>
    <w:rsid w:val="005B7BCE"/>
    <w:rsid w:val="005C0409"/>
    <w:rsid w:val="005C0826"/>
    <w:rsid w:val="005C0AB3"/>
    <w:rsid w:val="005C0FF7"/>
    <w:rsid w:val="005C16C2"/>
    <w:rsid w:val="005C2590"/>
    <w:rsid w:val="005C296F"/>
    <w:rsid w:val="005C2D37"/>
    <w:rsid w:val="005C2D80"/>
    <w:rsid w:val="005C3011"/>
    <w:rsid w:val="005C33B4"/>
    <w:rsid w:val="005C35B0"/>
    <w:rsid w:val="005C3C04"/>
    <w:rsid w:val="005C4623"/>
    <w:rsid w:val="005C53DB"/>
    <w:rsid w:val="005C59F0"/>
    <w:rsid w:val="005C6482"/>
    <w:rsid w:val="005C65D2"/>
    <w:rsid w:val="005C6B56"/>
    <w:rsid w:val="005C6B92"/>
    <w:rsid w:val="005C6FEA"/>
    <w:rsid w:val="005C7AF4"/>
    <w:rsid w:val="005C7FE6"/>
    <w:rsid w:val="005C7FE8"/>
    <w:rsid w:val="005D0649"/>
    <w:rsid w:val="005D099E"/>
    <w:rsid w:val="005D0A7F"/>
    <w:rsid w:val="005D0A81"/>
    <w:rsid w:val="005D0DC7"/>
    <w:rsid w:val="005D1183"/>
    <w:rsid w:val="005D15E8"/>
    <w:rsid w:val="005D1AFB"/>
    <w:rsid w:val="005D1BDD"/>
    <w:rsid w:val="005D2150"/>
    <w:rsid w:val="005D24F6"/>
    <w:rsid w:val="005D26C5"/>
    <w:rsid w:val="005D30A0"/>
    <w:rsid w:val="005D30AB"/>
    <w:rsid w:val="005D31E1"/>
    <w:rsid w:val="005D3476"/>
    <w:rsid w:val="005D3DBE"/>
    <w:rsid w:val="005D3E75"/>
    <w:rsid w:val="005D3F2D"/>
    <w:rsid w:val="005D3F4E"/>
    <w:rsid w:val="005D3F87"/>
    <w:rsid w:val="005D41DA"/>
    <w:rsid w:val="005D4D9B"/>
    <w:rsid w:val="005D4E9A"/>
    <w:rsid w:val="005D565F"/>
    <w:rsid w:val="005D589C"/>
    <w:rsid w:val="005D6074"/>
    <w:rsid w:val="005D628E"/>
    <w:rsid w:val="005D6C5C"/>
    <w:rsid w:val="005D70A7"/>
    <w:rsid w:val="005D761A"/>
    <w:rsid w:val="005D7653"/>
    <w:rsid w:val="005D7D43"/>
    <w:rsid w:val="005D7EA5"/>
    <w:rsid w:val="005D7F1D"/>
    <w:rsid w:val="005E12FC"/>
    <w:rsid w:val="005E2E9C"/>
    <w:rsid w:val="005E2F1B"/>
    <w:rsid w:val="005E335B"/>
    <w:rsid w:val="005E38AF"/>
    <w:rsid w:val="005E40BE"/>
    <w:rsid w:val="005E43CC"/>
    <w:rsid w:val="005E4DBD"/>
    <w:rsid w:val="005E6213"/>
    <w:rsid w:val="005E66D6"/>
    <w:rsid w:val="005E6AD9"/>
    <w:rsid w:val="005E6E04"/>
    <w:rsid w:val="005E71A5"/>
    <w:rsid w:val="005E7466"/>
    <w:rsid w:val="005E7754"/>
    <w:rsid w:val="005E7E67"/>
    <w:rsid w:val="005E7E7E"/>
    <w:rsid w:val="005F018D"/>
    <w:rsid w:val="005F12AC"/>
    <w:rsid w:val="005F188F"/>
    <w:rsid w:val="005F1A63"/>
    <w:rsid w:val="005F1EF0"/>
    <w:rsid w:val="005F255A"/>
    <w:rsid w:val="005F27BB"/>
    <w:rsid w:val="005F2D77"/>
    <w:rsid w:val="005F307D"/>
    <w:rsid w:val="005F343F"/>
    <w:rsid w:val="005F36F2"/>
    <w:rsid w:val="005F44AA"/>
    <w:rsid w:val="005F475F"/>
    <w:rsid w:val="005F4C6E"/>
    <w:rsid w:val="005F4DB9"/>
    <w:rsid w:val="005F50F5"/>
    <w:rsid w:val="005F52BD"/>
    <w:rsid w:val="005F587F"/>
    <w:rsid w:val="005F5D49"/>
    <w:rsid w:val="005F5DBA"/>
    <w:rsid w:val="005F5FB9"/>
    <w:rsid w:val="005F6D29"/>
    <w:rsid w:val="005F6FF1"/>
    <w:rsid w:val="005F71C2"/>
    <w:rsid w:val="005F7351"/>
    <w:rsid w:val="005F7634"/>
    <w:rsid w:val="005F781B"/>
    <w:rsid w:val="005F79E9"/>
    <w:rsid w:val="005F7E4C"/>
    <w:rsid w:val="00600A39"/>
    <w:rsid w:val="00600A9D"/>
    <w:rsid w:val="00600EA7"/>
    <w:rsid w:val="00601037"/>
    <w:rsid w:val="0060128C"/>
    <w:rsid w:val="00601415"/>
    <w:rsid w:val="006018E8"/>
    <w:rsid w:val="006021B7"/>
    <w:rsid w:val="0060223E"/>
    <w:rsid w:val="006027E9"/>
    <w:rsid w:val="00602B86"/>
    <w:rsid w:val="006031DA"/>
    <w:rsid w:val="00603AE8"/>
    <w:rsid w:val="0060409C"/>
    <w:rsid w:val="006041F2"/>
    <w:rsid w:val="006042DA"/>
    <w:rsid w:val="00604519"/>
    <w:rsid w:val="0060498F"/>
    <w:rsid w:val="00604C30"/>
    <w:rsid w:val="00604FF4"/>
    <w:rsid w:val="00605096"/>
    <w:rsid w:val="00605211"/>
    <w:rsid w:val="00605DF5"/>
    <w:rsid w:val="00606651"/>
    <w:rsid w:val="006070A1"/>
    <w:rsid w:val="006072D3"/>
    <w:rsid w:val="006072F7"/>
    <w:rsid w:val="006075CA"/>
    <w:rsid w:val="00607EEE"/>
    <w:rsid w:val="00607FDC"/>
    <w:rsid w:val="006102AF"/>
    <w:rsid w:val="006109C8"/>
    <w:rsid w:val="00610C4A"/>
    <w:rsid w:val="006114B9"/>
    <w:rsid w:val="0061195A"/>
    <w:rsid w:val="00611C5A"/>
    <w:rsid w:val="00611DF4"/>
    <w:rsid w:val="00612785"/>
    <w:rsid w:val="00612B69"/>
    <w:rsid w:val="00612CC3"/>
    <w:rsid w:val="00612CFC"/>
    <w:rsid w:val="006136D4"/>
    <w:rsid w:val="00613D92"/>
    <w:rsid w:val="00613FA7"/>
    <w:rsid w:val="00614050"/>
    <w:rsid w:val="0061438C"/>
    <w:rsid w:val="00614811"/>
    <w:rsid w:val="0061491B"/>
    <w:rsid w:val="00614E90"/>
    <w:rsid w:val="00615398"/>
    <w:rsid w:val="00615628"/>
    <w:rsid w:val="006156C4"/>
    <w:rsid w:val="00615CB3"/>
    <w:rsid w:val="00615E73"/>
    <w:rsid w:val="00616069"/>
    <w:rsid w:val="006164B6"/>
    <w:rsid w:val="0061692E"/>
    <w:rsid w:val="00616B38"/>
    <w:rsid w:val="00617346"/>
    <w:rsid w:val="006178B2"/>
    <w:rsid w:val="00617AA3"/>
    <w:rsid w:val="00617CA4"/>
    <w:rsid w:val="006200F2"/>
    <w:rsid w:val="006202BF"/>
    <w:rsid w:val="00620762"/>
    <w:rsid w:val="00620807"/>
    <w:rsid w:val="00620811"/>
    <w:rsid w:val="00620871"/>
    <w:rsid w:val="0062121D"/>
    <w:rsid w:val="00621C92"/>
    <w:rsid w:val="00621E83"/>
    <w:rsid w:val="00622144"/>
    <w:rsid w:val="0062265B"/>
    <w:rsid w:val="006226AE"/>
    <w:rsid w:val="00622833"/>
    <w:rsid w:val="00622979"/>
    <w:rsid w:val="00622A13"/>
    <w:rsid w:val="00622BF0"/>
    <w:rsid w:val="00622D60"/>
    <w:rsid w:val="006230AB"/>
    <w:rsid w:val="00624227"/>
    <w:rsid w:val="00624274"/>
    <w:rsid w:val="00624351"/>
    <w:rsid w:val="00624450"/>
    <w:rsid w:val="00624887"/>
    <w:rsid w:val="006249D3"/>
    <w:rsid w:val="00624C55"/>
    <w:rsid w:val="0062580C"/>
    <w:rsid w:val="006258F3"/>
    <w:rsid w:val="00625BF5"/>
    <w:rsid w:val="006262AD"/>
    <w:rsid w:val="00627602"/>
    <w:rsid w:val="0062776E"/>
    <w:rsid w:val="00627C5E"/>
    <w:rsid w:val="006305D0"/>
    <w:rsid w:val="006307EA"/>
    <w:rsid w:val="0063095B"/>
    <w:rsid w:val="00630B85"/>
    <w:rsid w:val="00630F20"/>
    <w:rsid w:val="00630F79"/>
    <w:rsid w:val="006311B6"/>
    <w:rsid w:val="00631BA6"/>
    <w:rsid w:val="00631BC3"/>
    <w:rsid w:val="00632353"/>
    <w:rsid w:val="006323F9"/>
    <w:rsid w:val="00633E7C"/>
    <w:rsid w:val="00633EE0"/>
    <w:rsid w:val="00634187"/>
    <w:rsid w:val="00634665"/>
    <w:rsid w:val="006348EE"/>
    <w:rsid w:val="00634BFA"/>
    <w:rsid w:val="00634C39"/>
    <w:rsid w:val="0063537E"/>
    <w:rsid w:val="006353E1"/>
    <w:rsid w:val="006365BD"/>
    <w:rsid w:val="00636CFB"/>
    <w:rsid w:val="0063700B"/>
    <w:rsid w:val="00637396"/>
    <w:rsid w:val="0063758D"/>
    <w:rsid w:val="0063777A"/>
    <w:rsid w:val="00637DD5"/>
    <w:rsid w:val="00641201"/>
    <w:rsid w:val="00641486"/>
    <w:rsid w:val="006414AE"/>
    <w:rsid w:val="006417E5"/>
    <w:rsid w:val="0064188B"/>
    <w:rsid w:val="00641A92"/>
    <w:rsid w:val="00641FDA"/>
    <w:rsid w:val="0064212C"/>
    <w:rsid w:val="00642501"/>
    <w:rsid w:val="00642B58"/>
    <w:rsid w:val="00643C1B"/>
    <w:rsid w:val="0064421C"/>
    <w:rsid w:val="006446E2"/>
    <w:rsid w:val="00644AA7"/>
    <w:rsid w:val="00644E43"/>
    <w:rsid w:val="006454C6"/>
    <w:rsid w:val="00645F7F"/>
    <w:rsid w:val="0064606A"/>
    <w:rsid w:val="00647547"/>
    <w:rsid w:val="00647C9A"/>
    <w:rsid w:val="006504D3"/>
    <w:rsid w:val="00650AFA"/>
    <w:rsid w:val="00650F78"/>
    <w:rsid w:val="00651115"/>
    <w:rsid w:val="0065144E"/>
    <w:rsid w:val="0065150A"/>
    <w:rsid w:val="00651BE3"/>
    <w:rsid w:val="00651DDE"/>
    <w:rsid w:val="006533C7"/>
    <w:rsid w:val="006536FB"/>
    <w:rsid w:val="00653C02"/>
    <w:rsid w:val="00653EDC"/>
    <w:rsid w:val="0065440C"/>
    <w:rsid w:val="00654ECE"/>
    <w:rsid w:val="00654F44"/>
    <w:rsid w:val="006553A6"/>
    <w:rsid w:val="00655D10"/>
    <w:rsid w:val="00655DBD"/>
    <w:rsid w:val="00655E0B"/>
    <w:rsid w:val="00655F1F"/>
    <w:rsid w:val="006561A0"/>
    <w:rsid w:val="006569AE"/>
    <w:rsid w:val="00656A03"/>
    <w:rsid w:val="00656C5F"/>
    <w:rsid w:val="00656FC0"/>
    <w:rsid w:val="006577C1"/>
    <w:rsid w:val="00657ADB"/>
    <w:rsid w:val="00657BA0"/>
    <w:rsid w:val="00657DDD"/>
    <w:rsid w:val="00660927"/>
    <w:rsid w:val="00660B89"/>
    <w:rsid w:val="0066114B"/>
    <w:rsid w:val="0066142C"/>
    <w:rsid w:val="0066152E"/>
    <w:rsid w:val="0066159B"/>
    <w:rsid w:val="00661AF9"/>
    <w:rsid w:val="0066256A"/>
    <w:rsid w:val="00662799"/>
    <w:rsid w:val="00662A7C"/>
    <w:rsid w:val="00662E9E"/>
    <w:rsid w:val="00662ED9"/>
    <w:rsid w:val="00663EDE"/>
    <w:rsid w:val="00663F76"/>
    <w:rsid w:val="00664C82"/>
    <w:rsid w:val="00665890"/>
    <w:rsid w:val="00665FDE"/>
    <w:rsid w:val="00667BE5"/>
    <w:rsid w:val="00667CFA"/>
    <w:rsid w:val="0067014E"/>
    <w:rsid w:val="00670C78"/>
    <w:rsid w:val="0067146F"/>
    <w:rsid w:val="00671559"/>
    <w:rsid w:val="006717CF"/>
    <w:rsid w:val="00671A1A"/>
    <w:rsid w:val="00672291"/>
    <w:rsid w:val="00672965"/>
    <w:rsid w:val="00672A32"/>
    <w:rsid w:val="006732EF"/>
    <w:rsid w:val="006735B6"/>
    <w:rsid w:val="0067505D"/>
    <w:rsid w:val="00675451"/>
    <w:rsid w:val="00675490"/>
    <w:rsid w:val="006755CF"/>
    <w:rsid w:val="00675820"/>
    <w:rsid w:val="00675C04"/>
    <w:rsid w:val="00675EDE"/>
    <w:rsid w:val="0067601C"/>
    <w:rsid w:val="006766F6"/>
    <w:rsid w:val="006769D1"/>
    <w:rsid w:val="006770E5"/>
    <w:rsid w:val="00680522"/>
    <w:rsid w:val="00680CEC"/>
    <w:rsid w:val="00680DE7"/>
    <w:rsid w:val="00681473"/>
    <w:rsid w:val="00681517"/>
    <w:rsid w:val="0068227F"/>
    <w:rsid w:val="00682285"/>
    <w:rsid w:val="00682D7C"/>
    <w:rsid w:val="006838C6"/>
    <w:rsid w:val="006839FF"/>
    <w:rsid w:val="00683F02"/>
    <w:rsid w:val="00684108"/>
    <w:rsid w:val="006841FF"/>
    <w:rsid w:val="0068464B"/>
    <w:rsid w:val="0068472A"/>
    <w:rsid w:val="0068485E"/>
    <w:rsid w:val="006849B6"/>
    <w:rsid w:val="00684ED5"/>
    <w:rsid w:val="00685412"/>
    <w:rsid w:val="0068567E"/>
    <w:rsid w:val="006859CD"/>
    <w:rsid w:val="00685A49"/>
    <w:rsid w:val="00685ECA"/>
    <w:rsid w:val="00686CFB"/>
    <w:rsid w:val="00687CA0"/>
    <w:rsid w:val="00687EAC"/>
    <w:rsid w:val="00690456"/>
    <w:rsid w:val="006904DD"/>
    <w:rsid w:val="00690BD2"/>
    <w:rsid w:val="00690D40"/>
    <w:rsid w:val="0069158D"/>
    <w:rsid w:val="00692221"/>
    <w:rsid w:val="00692480"/>
    <w:rsid w:val="006925BC"/>
    <w:rsid w:val="00692B3C"/>
    <w:rsid w:val="00693583"/>
    <w:rsid w:val="00693D0E"/>
    <w:rsid w:val="00693F19"/>
    <w:rsid w:val="006940EF"/>
    <w:rsid w:val="006942B9"/>
    <w:rsid w:val="006946FD"/>
    <w:rsid w:val="00694E51"/>
    <w:rsid w:val="00694EB7"/>
    <w:rsid w:val="006950F6"/>
    <w:rsid w:val="00695195"/>
    <w:rsid w:val="006960CB"/>
    <w:rsid w:val="0069630B"/>
    <w:rsid w:val="0069674C"/>
    <w:rsid w:val="00696C81"/>
    <w:rsid w:val="00696D8F"/>
    <w:rsid w:val="006970C4"/>
    <w:rsid w:val="006971B3"/>
    <w:rsid w:val="00697380"/>
    <w:rsid w:val="006977F0"/>
    <w:rsid w:val="006A0B3D"/>
    <w:rsid w:val="006A0E0B"/>
    <w:rsid w:val="006A0EB4"/>
    <w:rsid w:val="006A1A81"/>
    <w:rsid w:val="006A1B16"/>
    <w:rsid w:val="006A1B5C"/>
    <w:rsid w:val="006A1BB4"/>
    <w:rsid w:val="006A1C63"/>
    <w:rsid w:val="006A2574"/>
    <w:rsid w:val="006A257B"/>
    <w:rsid w:val="006A26D6"/>
    <w:rsid w:val="006A43BC"/>
    <w:rsid w:val="006A4500"/>
    <w:rsid w:val="006A48DA"/>
    <w:rsid w:val="006A4ADE"/>
    <w:rsid w:val="006A4E09"/>
    <w:rsid w:val="006A4F49"/>
    <w:rsid w:val="006A5A38"/>
    <w:rsid w:val="006A5E15"/>
    <w:rsid w:val="006A6109"/>
    <w:rsid w:val="006A62D1"/>
    <w:rsid w:val="006A7546"/>
    <w:rsid w:val="006A7651"/>
    <w:rsid w:val="006A7909"/>
    <w:rsid w:val="006A7E5E"/>
    <w:rsid w:val="006B03C2"/>
    <w:rsid w:val="006B0FC1"/>
    <w:rsid w:val="006B11EC"/>
    <w:rsid w:val="006B1A30"/>
    <w:rsid w:val="006B29A8"/>
    <w:rsid w:val="006B2A10"/>
    <w:rsid w:val="006B2D1D"/>
    <w:rsid w:val="006B2F1E"/>
    <w:rsid w:val="006B44C9"/>
    <w:rsid w:val="006B4A87"/>
    <w:rsid w:val="006B5411"/>
    <w:rsid w:val="006B544F"/>
    <w:rsid w:val="006B5E84"/>
    <w:rsid w:val="006B64EA"/>
    <w:rsid w:val="006B6F0C"/>
    <w:rsid w:val="006B719D"/>
    <w:rsid w:val="006B727C"/>
    <w:rsid w:val="006B7C48"/>
    <w:rsid w:val="006B7F39"/>
    <w:rsid w:val="006C015E"/>
    <w:rsid w:val="006C02EC"/>
    <w:rsid w:val="006C0E4B"/>
    <w:rsid w:val="006C11DF"/>
    <w:rsid w:val="006C1401"/>
    <w:rsid w:val="006C17FF"/>
    <w:rsid w:val="006C1B47"/>
    <w:rsid w:val="006C1B6C"/>
    <w:rsid w:val="006C1EC2"/>
    <w:rsid w:val="006C2572"/>
    <w:rsid w:val="006C282C"/>
    <w:rsid w:val="006C2B55"/>
    <w:rsid w:val="006C38C5"/>
    <w:rsid w:val="006C421F"/>
    <w:rsid w:val="006C4325"/>
    <w:rsid w:val="006C43F5"/>
    <w:rsid w:val="006C46BB"/>
    <w:rsid w:val="006C4931"/>
    <w:rsid w:val="006C499D"/>
    <w:rsid w:val="006C49B8"/>
    <w:rsid w:val="006C4A22"/>
    <w:rsid w:val="006C4EE8"/>
    <w:rsid w:val="006C5103"/>
    <w:rsid w:val="006C5118"/>
    <w:rsid w:val="006C545B"/>
    <w:rsid w:val="006C56A7"/>
    <w:rsid w:val="006C5BAF"/>
    <w:rsid w:val="006C60B9"/>
    <w:rsid w:val="006C7233"/>
    <w:rsid w:val="006C763B"/>
    <w:rsid w:val="006C7C73"/>
    <w:rsid w:val="006C7CAE"/>
    <w:rsid w:val="006C7CBF"/>
    <w:rsid w:val="006C7E12"/>
    <w:rsid w:val="006D039D"/>
    <w:rsid w:val="006D0B92"/>
    <w:rsid w:val="006D0C67"/>
    <w:rsid w:val="006D0C99"/>
    <w:rsid w:val="006D1371"/>
    <w:rsid w:val="006D1A7D"/>
    <w:rsid w:val="006D1CE3"/>
    <w:rsid w:val="006D1D05"/>
    <w:rsid w:val="006D24DD"/>
    <w:rsid w:val="006D31F1"/>
    <w:rsid w:val="006D3373"/>
    <w:rsid w:val="006D3A77"/>
    <w:rsid w:val="006D3C37"/>
    <w:rsid w:val="006D4076"/>
    <w:rsid w:val="006D4722"/>
    <w:rsid w:val="006D4C07"/>
    <w:rsid w:val="006D4CC4"/>
    <w:rsid w:val="006D5568"/>
    <w:rsid w:val="006D55EA"/>
    <w:rsid w:val="006D5733"/>
    <w:rsid w:val="006D5948"/>
    <w:rsid w:val="006D5F92"/>
    <w:rsid w:val="006D6AFB"/>
    <w:rsid w:val="006D6B58"/>
    <w:rsid w:val="006D70C2"/>
    <w:rsid w:val="006D7159"/>
    <w:rsid w:val="006D7DE7"/>
    <w:rsid w:val="006D7E0B"/>
    <w:rsid w:val="006E0099"/>
    <w:rsid w:val="006E01D1"/>
    <w:rsid w:val="006E04C3"/>
    <w:rsid w:val="006E0A8C"/>
    <w:rsid w:val="006E1978"/>
    <w:rsid w:val="006E1A6C"/>
    <w:rsid w:val="006E1B06"/>
    <w:rsid w:val="006E216F"/>
    <w:rsid w:val="006E21B1"/>
    <w:rsid w:val="006E234A"/>
    <w:rsid w:val="006E2C28"/>
    <w:rsid w:val="006E3336"/>
    <w:rsid w:val="006E3443"/>
    <w:rsid w:val="006E473B"/>
    <w:rsid w:val="006E4B34"/>
    <w:rsid w:val="006E5675"/>
    <w:rsid w:val="006E57F6"/>
    <w:rsid w:val="006E5873"/>
    <w:rsid w:val="006E59FC"/>
    <w:rsid w:val="006E5E60"/>
    <w:rsid w:val="006E745D"/>
    <w:rsid w:val="006E75C5"/>
    <w:rsid w:val="006F02DA"/>
    <w:rsid w:val="006F0FE0"/>
    <w:rsid w:val="006F1605"/>
    <w:rsid w:val="006F177F"/>
    <w:rsid w:val="006F24D7"/>
    <w:rsid w:val="006F2778"/>
    <w:rsid w:val="006F279F"/>
    <w:rsid w:val="006F29CF"/>
    <w:rsid w:val="006F2D8A"/>
    <w:rsid w:val="006F2F22"/>
    <w:rsid w:val="006F32A7"/>
    <w:rsid w:val="006F3534"/>
    <w:rsid w:val="006F36FD"/>
    <w:rsid w:val="006F3E3B"/>
    <w:rsid w:val="006F3EF7"/>
    <w:rsid w:val="006F472F"/>
    <w:rsid w:val="006F48FD"/>
    <w:rsid w:val="006F4CA8"/>
    <w:rsid w:val="006F4F1F"/>
    <w:rsid w:val="006F5128"/>
    <w:rsid w:val="006F5538"/>
    <w:rsid w:val="006F5829"/>
    <w:rsid w:val="006F5AA5"/>
    <w:rsid w:val="006F60B8"/>
    <w:rsid w:val="006F6263"/>
    <w:rsid w:val="006F64BD"/>
    <w:rsid w:val="006F6837"/>
    <w:rsid w:val="006F6DD4"/>
    <w:rsid w:val="006F7332"/>
    <w:rsid w:val="006F797E"/>
    <w:rsid w:val="006F7EBF"/>
    <w:rsid w:val="007001A9"/>
    <w:rsid w:val="00701190"/>
    <w:rsid w:val="007016F4"/>
    <w:rsid w:val="0070223C"/>
    <w:rsid w:val="0070238B"/>
    <w:rsid w:val="00702DAB"/>
    <w:rsid w:val="007030AA"/>
    <w:rsid w:val="00704035"/>
    <w:rsid w:val="00704333"/>
    <w:rsid w:val="00704C15"/>
    <w:rsid w:val="00704C1D"/>
    <w:rsid w:val="007052D8"/>
    <w:rsid w:val="0070533E"/>
    <w:rsid w:val="007058B5"/>
    <w:rsid w:val="00706551"/>
    <w:rsid w:val="00707168"/>
    <w:rsid w:val="007072B5"/>
    <w:rsid w:val="007076DA"/>
    <w:rsid w:val="00707759"/>
    <w:rsid w:val="007079C4"/>
    <w:rsid w:val="00707A12"/>
    <w:rsid w:val="00710688"/>
    <w:rsid w:val="00710D5B"/>
    <w:rsid w:val="00711883"/>
    <w:rsid w:val="00711B4B"/>
    <w:rsid w:val="007123EF"/>
    <w:rsid w:val="00712528"/>
    <w:rsid w:val="00712E59"/>
    <w:rsid w:val="00712F89"/>
    <w:rsid w:val="00713A17"/>
    <w:rsid w:val="00713A7B"/>
    <w:rsid w:val="00713FB5"/>
    <w:rsid w:val="007143CF"/>
    <w:rsid w:val="007153FD"/>
    <w:rsid w:val="00715689"/>
    <w:rsid w:val="00715EB0"/>
    <w:rsid w:val="00716514"/>
    <w:rsid w:val="007170C6"/>
    <w:rsid w:val="007171D6"/>
    <w:rsid w:val="007179DA"/>
    <w:rsid w:val="00717DC8"/>
    <w:rsid w:val="00720007"/>
    <w:rsid w:val="007205AC"/>
    <w:rsid w:val="0072136D"/>
    <w:rsid w:val="00721446"/>
    <w:rsid w:val="00721554"/>
    <w:rsid w:val="007223C5"/>
    <w:rsid w:val="0072247E"/>
    <w:rsid w:val="00722543"/>
    <w:rsid w:val="0072265C"/>
    <w:rsid w:val="0072271E"/>
    <w:rsid w:val="00722C2E"/>
    <w:rsid w:val="00723373"/>
    <w:rsid w:val="00723441"/>
    <w:rsid w:val="007235ED"/>
    <w:rsid w:val="00723D53"/>
    <w:rsid w:val="00723D79"/>
    <w:rsid w:val="00723D92"/>
    <w:rsid w:val="00723E35"/>
    <w:rsid w:val="00724204"/>
    <w:rsid w:val="007243DF"/>
    <w:rsid w:val="007245CE"/>
    <w:rsid w:val="00724967"/>
    <w:rsid w:val="00724DDD"/>
    <w:rsid w:val="0072507F"/>
    <w:rsid w:val="00725081"/>
    <w:rsid w:val="007254D4"/>
    <w:rsid w:val="007257D6"/>
    <w:rsid w:val="0072642A"/>
    <w:rsid w:val="0072678F"/>
    <w:rsid w:val="007268A4"/>
    <w:rsid w:val="00727219"/>
    <w:rsid w:val="00727C84"/>
    <w:rsid w:val="00730541"/>
    <w:rsid w:val="00730740"/>
    <w:rsid w:val="0073093E"/>
    <w:rsid w:val="00731954"/>
    <w:rsid w:val="00731B81"/>
    <w:rsid w:val="00732102"/>
    <w:rsid w:val="007322E7"/>
    <w:rsid w:val="0073232C"/>
    <w:rsid w:val="00732491"/>
    <w:rsid w:val="00732666"/>
    <w:rsid w:val="00733139"/>
    <w:rsid w:val="00733C0C"/>
    <w:rsid w:val="00733EC6"/>
    <w:rsid w:val="0073418C"/>
    <w:rsid w:val="00734FE7"/>
    <w:rsid w:val="00735150"/>
    <w:rsid w:val="00735A70"/>
    <w:rsid w:val="00736008"/>
    <w:rsid w:val="00736623"/>
    <w:rsid w:val="0073669D"/>
    <w:rsid w:val="0073673F"/>
    <w:rsid w:val="00736D68"/>
    <w:rsid w:val="00736FED"/>
    <w:rsid w:val="00737C45"/>
    <w:rsid w:val="00737F2A"/>
    <w:rsid w:val="00740A03"/>
    <w:rsid w:val="0074116C"/>
    <w:rsid w:val="007415F9"/>
    <w:rsid w:val="007416B1"/>
    <w:rsid w:val="00742518"/>
    <w:rsid w:val="007427E3"/>
    <w:rsid w:val="00742B0E"/>
    <w:rsid w:val="007433C4"/>
    <w:rsid w:val="00743607"/>
    <w:rsid w:val="007446FF"/>
    <w:rsid w:val="00744A9B"/>
    <w:rsid w:val="007450CF"/>
    <w:rsid w:val="007459FE"/>
    <w:rsid w:val="00745DED"/>
    <w:rsid w:val="007462DD"/>
    <w:rsid w:val="0074643E"/>
    <w:rsid w:val="00746691"/>
    <w:rsid w:val="00746BF7"/>
    <w:rsid w:val="00747E6E"/>
    <w:rsid w:val="00747F7F"/>
    <w:rsid w:val="00750067"/>
    <w:rsid w:val="00750328"/>
    <w:rsid w:val="00750577"/>
    <w:rsid w:val="007506ED"/>
    <w:rsid w:val="0075129E"/>
    <w:rsid w:val="007513E0"/>
    <w:rsid w:val="007515F0"/>
    <w:rsid w:val="00751C4B"/>
    <w:rsid w:val="00751C71"/>
    <w:rsid w:val="00751E70"/>
    <w:rsid w:val="00751EA7"/>
    <w:rsid w:val="00751ED1"/>
    <w:rsid w:val="0075215F"/>
    <w:rsid w:val="007525AE"/>
    <w:rsid w:val="00752763"/>
    <w:rsid w:val="00752921"/>
    <w:rsid w:val="007529DD"/>
    <w:rsid w:val="00752C51"/>
    <w:rsid w:val="0075324C"/>
    <w:rsid w:val="007532EE"/>
    <w:rsid w:val="00753447"/>
    <w:rsid w:val="00753CB3"/>
    <w:rsid w:val="00754057"/>
    <w:rsid w:val="00754B7E"/>
    <w:rsid w:val="0075506A"/>
    <w:rsid w:val="00755719"/>
    <w:rsid w:val="00755C78"/>
    <w:rsid w:val="00755E6B"/>
    <w:rsid w:val="00756717"/>
    <w:rsid w:val="00756CD1"/>
    <w:rsid w:val="00756D92"/>
    <w:rsid w:val="00757708"/>
    <w:rsid w:val="00757F2F"/>
    <w:rsid w:val="0076025E"/>
    <w:rsid w:val="00760307"/>
    <w:rsid w:val="00760373"/>
    <w:rsid w:val="0076068C"/>
    <w:rsid w:val="00760AB1"/>
    <w:rsid w:val="00760ED5"/>
    <w:rsid w:val="007611D2"/>
    <w:rsid w:val="0076129F"/>
    <w:rsid w:val="00761469"/>
    <w:rsid w:val="00761C33"/>
    <w:rsid w:val="00761D3D"/>
    <w:rsid w:val="0076234D"/>
    <w:rsid w:val="00762F59"/>
    <w:rsid w:val="007633BF"/>
    <w:rsid w:val="0076370B"/>
    <w:rsid w:val="00763825"/>
    <w:rsid w:val="00764262"/>
    <w:rsid w:val="00764D27"/>
    <w:rsid w:val="00764D4B"/>
    <w:rsid w:val="00765252"/>
    <w:rsid w:val="00765376"/>
    <w:rsid w:val="00765DEE"/>
    <w:rsid w:val="00765FBD"/>
    <w:rsid w:val="00766596"/>
    <w:rsid w:val="00766712"/>
    <w:rsid w:val="00766E32"/>
    <w:rsid w:val="007678FC"/>
    <w:rsid w:val="007704E8"/>
    <w:rsid w:val="0077070D"/>
    <w:rsid w:val="00770B72"/>
    <w:rsid w:val="00771431"/>
    <w:rsid w:val="007716F3"/>
    <w:rsid w:val="00771B01"/>
    <w:rsid w:val="00771D77"/>
    <w:rsid w:val="00772572"/>
    <w:rsid w:val="00772DCE"/>
    <w:rsid w:val="00772EA6"/>
    <w:rsid w:val="00773484"/>
    <w:rsid w:val="00773714"/>
    <w:rsid w:val="00773DCF"/>
    <w:rsid w:val="00773E46"/>
    <w:rsid w:val="00773EF4"/>
    <w:rsid w:val="00774331"/>
    <w:rsid w:val="00774AE9"/>
    <w:rsid w:val="007751C8"/>
    <w:rsid w:val="007754E5"/>
    <w:rsid w:val="007755D1"/>
    <w:rsid w:val="00776077"/>
    <w:rsid w:val="00776662"/>
    <w:rsid w:val="0077672F"/>
    <w:rsid w:val="007768A2"/>
    <w:rsid w:val="00776C7A"/>
    <w:rsid w:val="00777056"/>
    <w:rsid w:val="0077710D"/>
    <w:rsid w:val="00777799"/>
    <w:rsid w:val="007779B1"/>
    <w:rsid w:val="00777EA7"/>
    <w:rsid w:val="00777F51"/>
    <w:rsid w:val="00780E04"/>
    <w:rsid w:val="0078103E"/>
    <w:rsid w:val="00781386"/>
    <w:rsid w:val="0078176F"/>
    <w:rsid w:val="00781E2D"/>
    <w:rsid w:val="00782204"/>
    <w:rsid w:val="00782284"/>
    <w:rsid w:val="00782466"/>
    <w:rsid w:val="00782627"/>
    <w:rsid w:val="00783353"/>
    <w:rsid w:val="0078371D"/>
    <w:rsid w:val="00784246"/>
    <w:rsid w:val="00784326"/>
    <w:rsid w:val="0078449A"/>
    <w:rsid w:val="00784E1E"/>
    <w:rsid w:val="0078521C"/>
    <w:rsid w:val="00785561"/>
    <w:rsid w:val="00785D35"/>
    <w:rsid w:val="007864DA"/>
    <w:rsid w:val="00786B8C"/>
    <w:rsid w:val="0078709A"/>
    <w:rsid w:val="00787380"/>
    <w:rsid w:val="00790100"/>
    <w:rsid w:val="00790274"/>
    <w:rsid w:val="007911A6"/>
    <w:rsid w:val="00791266"/>
    <w:rsid w:val="00791401"/>
    <w:rsid w:val="00791872"/>
    <w:rsid w:val="00791F71"/>
    <w:rsid w:val="007922E6"/>
    <w:rsid w:val="00792CB9"/>
    <w:rsid w:val="00792DF3"/>
    <w:rsid w:val="00792F13"/>
    <w:rsid w:val="00793427"/>
    <w:rsid w:val="00793514"/>
    <w:rsid w:val="007937A4"/>
    <w:rsid w:val="007938CC"/>
    <w:rsid w:val="00794361"/>
    <w:rsid w:val="00794817"/>
    <w:rsid w:val="007952E9"/>
    <w:rsid w:val="00795776"/>
    <w:rsid w:val="00795AA7"/>
    <w:rsid w:val="00795D63"/>
    <w:rsid w:val="007960E7"/>
    <w:rsid w:val="00796122"/>
    <w:rsid w:val="007962D9"/>
    <w:rsid w:val="007964AD"/>
    <w:rsid w:val="0079660F"/>
    <w:rsid w:val="00797162"/>
    <w:rsid w:val="007973FC"/>
    <w:rsid w:val="00797B78"/>
    <w:rsid w:val="00797C30"/>
    <w:rsid w:val="00797F3E"/>
    <w:rsid w:val="007A0153"/>
    <w:rsid w:val="007A0665"/>
    <w:rsid w:val="007A0A6C"/>
    <w:rsid w:val="007A145D"/>
    <w:rsid w:val="007A17A6"/>
    <w:rsid w:val="007A1C5F"/>
    <w:rsid w:val="007A1E85"/>
    <w:rsid w:val="007A1FAA"/>
    <w:rsid w:val="007A25F0"/>
    <w:rsid w:val="007A26AC"/>
    <w:rsid w:val="007A2C50"/>
    <w:rsid w:val="007A2F1F"/>
    <w:rsid w:val="007A4093"/>
    <w:rsid w:val="007A4252"/>
    <w:rsid w:val="007A460B"/>
    <w:rsid w:val="007A47D5"/>
    <w:rsid w:val="007A5E59"/>
    <w:rsid w:val="007A677F"/>
    <w:rsid w:val="007A6C0A"/>
    <w:rsid w:val="007A70F8"/>
    <w:rsid w:val="007A721E"/>
    <w:rsid w:val="007A7271"/>
    <w:rsid w:val="007A7C49"/>
    <w:rsid w:val="007B0115"/>
    <w:rsid w:val="007B11D2"/>
    <w:rsid w:val="007B1BED"/>
    <w:rsid w:val="007B20C8"/>
    <w:rsid w:val="007B2935"/>
    <w:rsid w:val="007B29FB"/>
    <w:rsid w:val="007B3C99"/>
    <w:rsid w:val="007B3CE8"/>
    <w:rsid w:val="007B3D0D"/>
    <w:rsid w:val="007B3E48"/>
    <w:rsid w:val="007B3F45"/>
    <w:rsid w:val="007B4B84"/>
    <w:rsid w:val="007B601A"/>
    <w:rsid w:val="007B60C0"/>
    <w:rsid w:val="007B6539"/>
    <w:rsid w:val="007B674C"/>
    <w:rsid w:val="007B6A0F"/>
    <w:rsid w:val="007B6AFA"/>
    <w:rsid w:val="007B6B4D"/>
    <w:rsid w:val="007B6C6C"/>
    <w:rsid w:val="007B761D"/>
    <w:rsid w:val="007B7916"/>
    <w:rsid w:val="007B7F0D"/>
    <w:rsid w:val="007C0029"/>
    <w:rsid w:val="007C0525"/>
    <w:rsid w:val="007C07B0"/>
    <w:rsid w:val="007C2649"/>
    <w:rsid w:val="007C265E"/>
    <w:rsid w:val="007C2A13"/>
    <w:rsid w:val="007C3539"/>
    <w:rsid w:val="007C36A1"/>
    <w:rsid w:val="007C3FCA"/>
    <w:rsid w:val="007C479E"/>
    <w:rsid w:val="007C5248"/>
    <w:rsid w:val="007C550C"/>
    <w:rsid w:val="007C566A"/>
    <w:rsid w:val="007C5DBA"/>
    <w:rsid w:val="007C5F01"/>
    <w:rsid w:val="007C5F64"/>
    <w:rsid w:val="007C62E9"/>
    <w:rsid w:val="007C6387"/>
    <w:rsid w:val="007C642D"/>
    <w:rsid w:val="007C6584"/>
    <w:rsid w:val="007C67D1"/>
    <w:rsid w:val="007C6E3A"/>
    <w:rsid w:val="007C76FF"/>
    <w:rsid w:val="007C7E5E"/>
    <w:rsid w:val="007D039A"/>
    <w:rsid w:val="007D0919"/>
    <w:rsid w:val="007D0A35"/>
    <w:rsid w:val="007D1296"/>
    <w:rsid w:val="007D13AA"/>
    <w:rsid w:val="007D18BA"/>
    <w:rsid w:val="007D1C95"/>
    <w:rsid w:val="007D22E2"/>
    <w:rsid w:val="007D2629"/>
    <w:rsid w:val="007D375A"/>
    <w:rsid w:val="007D3C67"/>
    <w:rsid w:val="007D4CE5"/>
    <w:rsid w:val="007D520E"/>
    <w:rsid w:val="007D55EE"/>
    <w:rsid w:val="007D5AE4"/>
    <w:rsid w:val="007D5F41"/>
    <w:rsid w:val="007D5F61"/>
    <w:rsid w:val="007D63CD"/>
    <w:rsid w:val="007D66B2"/>
    <w:rsid w:val="007D6B54"/>
    <w:rsid w:val="007D79F2"/>
    <w:rsid w:val="007D79F3"/>
    <w:rsid w:val="007D7B42"/>
    <w:rsid w:val="007D7C13"/>
    <w:rsid w:val="007D7FD6"/>
    <w:rsid w:val="007E0ABA"/>
    <w:rsid w:val="007E0C8A"/>
    <w:rsid w:val="007E0E2C"/>
    <w:rsid w:val="007E1451"/>
    <w:rsid w:val="007E1A27"/>
    <w:rsid w:val="007E1C3B"/>
    <w:rsid w:val="007E1E63"/>
    <w:rsid w:val="007E2871"/>
    <w:rsid w:val="007E2A07"/>
    <w:rsid w:val="007E2AF2"/>
    <w:rsid w:val="007E33F8"/>
    <w:rsid w:val="007E348C"/>
    <w:rsid w:val="007E3A16"/>
    <w:rsid w:val="007E41D7"/>
    <w:rsid w:val="007E42F7"/>
    <w:rsid w:val="007E4352"/>
    <w:rsid w:val="007E48F3"/>
    <w:rsid w:val="007E4C0C"/>
    <w:rsid w:val="007E4D6A"/>
    <w:rsid w:val="007E5344"/>
    <w:rsid w:val="007E5751"/>
    <w:rsid w:val="007E57E0"/>
    <w:rsid w:val="007E6654"/>
    <w:rsid w:val="007E68D9"/>
    <w:rsid w:val="007E6931"/>
    <w:rsid w:val="007E6A81"/>
    <w:rsid w:val="007E6D65"/>
    <w:rsid w:val="007E6E5A"/>
    <w:rsid w:val="007E70CE"/>
    <w:rsid w:val="007E7314"/>
    <w:rsid w:val="007E7441"/>
    <w:rsid w:val="007E7A16"/>
    <w:rsid w:val="007E7D7A"/>
    <w:rsid w:val="007F0CDA"/>
    <w:rsid w:val="007F0DCE"/>
    <w:rsid w:val="007F0E0F"/>
    <w:rsid w:val="007F10A5"/>
    <w:rsid w:val="007F1242"/>
    <w:rsid w:val="007F13F1"/>
    <w:rsid w:val="007F18A8"/>
    <w:rsid w:val="007F1B62"/>
    <w:rsid w:val="007F1F0B"/>
    <w:rsid w:val="007F1FF8"/>
    <w:rsid w:val="007F21A7"/>
    <w:rsid w:val="007F227A"/>
    <w:rsid w:val="007F24A1"/>
    <w:rsid w:val="007F34FE"/>
    <w:rsid w:val="007F35E0"/>
    <w:rsid w:val="007F379F"/>
    <w:rsid w:val="007F3C49"/>
    <w:rsid w:val="007F3F5F"/>
    <w:rsid w:val="007F48B3"/>
    <w:rsid w:val="007F56BA"/>
    <w:rsid w:val="007F5FAD"/>
    <w:rsid w:val="007F668A"/>
    <w:rsid w:val="007F7A99"/>
    <w:rsid w:val="00800330"/>
    <w:rsid w:val="00801C07"/>
    <w:rsid w:val="00801F6C"/>
    <w:rsid w:val="008021DD"/>
    <w:rsid w:val="008025D7"/>
    <w:rsid w:val="00802D42"/>
    <w:rsid w:val="0080317A"/>
    <w:rsid w:val="00803483"/>
    <w:rsid w:val="008034A0"/>
    <w:rsid w:val="00804048"/>
    <w:rsid w:val="00804310"/>
    <w:rsid w:val="008043E5"/>
    <w:rsid w:val="008045D3"/>
    <w:rsid w:val="00804733"/>
    <w:rsid w:val="00804CC8"/>
    <w:rsid w:val="00804F49"/>
    <w:rsid w:val="00805007"/>
    <w:rsid w:val="008053D7"/>
    <w:rsid w:val="008058A2"/>
    <w:rsid w:val="00805E2C"/>
    <w:rsid w:val="0080617B"/>
    <w:rsid w:val="00806943"/>
    <w:rsid w:val="00806A04"/>
    <w:rsid w:val="00806B1B"/>
    <w:rsid w:val="008073FE"/>
    <w:rsid w:val="00807452"/>
    <w:rsid w:val="008079BF"/>
    <w:rsid w:val="00807EAB"/>
    <w:rsid w:val="00810F51"/>
    <w:rsid w:val="00811B15"/>
    <w:rsid w:val="00811B92"/>
    <w:rsid w:val="00811BEB"/>
    <w:rsid w:val="008121D6"/>
    <w:rsid w:val="0081268A"/>
    <w:rsid w:val="00812A53"/>
    <w:rsid w:val="0081312C"/>
    <w:rsid w:val="00813471"/>
    <w:rsid w:val="008134E4"/>
    <w:rsid w:val="00814083"/>
    <w:rsid w:val="0081442C"/>
    <w:rsid w:val="00814BFC"/>
    <w:rsid w:val="00814E71"/>
    <w:rsid w:val="00814FE7"/>
    <w:rsid w:val="00815672"/>
    <w:rsid w:val="0081596E"/>
    <w:rsid w:val="0081600C"/>
    <w:rsid w:val="0081633F"/>
    <w:rsid w:val="00816BC6"/>
    <w:rsid w:val="008173E9"/>
    <w:rsid w:val="00817825"/>
    <w:rsid w:val="008179EB"/>
    <w:rsid w:val="00817A4A"/>
    <w:rsid w:val="00817ADC"/>
    <w:rsid w:val="00817AE6"/>
    <w:rsid w:val="00820E23"/>
    <w:rsid w:val="008217AE"/>
    <w:rsid w:val="00821A23"/>
    <w:rsid w:val="0082226C"/>
    <w:rsid w:val="0082260F"/>
    <w:rsid w:val="0082278A"/>
    <w:rsid w:val="008238E9"/>
    <w:rsid w:val="00823B71"/>
    <w:rsid w:val="008243FB"/>
    <w:rsid w:val="00825251"/>
    <w:rsid w:val="00825632"/>
    <w:rsid w:val="00825DEC"/>
    <w:rsid w:val="008264C4"/>
    <w:rsid w:val="00826CC2"/>
    <w:rsid w:val="00827274"/>
    <w:rsid w:val="008272FD"/>
    <w:rsid w:val="0082757C"/>
    <w:rsid w:val="0082770F"/>
    <w:rsid w:val="00827916"/>
    <w:rsid w:val="00827937"/>
    <w:rsid w:val="008279A8"/>
    <w:rsid w:val="00827B62"/>
    <w:rsid w:val="00827DBC"/>
    <w:rsid w:val="008300B4"/>
    <w:rsid w:val="00830216"/>
    <w:rsid w:val="0083078C"/>
    <w:rsid w:val="008308A7"/>
    <w:rsid w:val="0083093B"/>
    <w:rsid w:val="00830C6B"/>
    <w:rsid w:val="00831154"/>
    <w:rsid w:val="00832007"/>
    <w:rsid w:val="0083318A"/>
    <w:rsid w:val="008333D7"/>
    <w:rsid w:val="00833802"/>
    <w:rsid w:val="00833FF7"/>
    <w:rsid w:val="008356F0"/>
    <w:rsid w:val="00835C28"/>
    <w:rsid w:val="008366CC"/>
    <w:rsid w:val="00836C33"/>
    <w:rsid w:val="00836C4F"/>
    <w:rsid w:val="00836F5D"/>
    <w:rsid w:val="008377D4"/>
    <w:rsid w:val="0083781A"/>
    <w:rsid w:val="00837B59"/>
    <w:rsid w:val="00837BEA"/>
    <w:rsid w:val="00840639"/>
    <w:rsid w:val="00840695"/>
    <w:rsid w:val="00840FAC"/>
    <w:rsid w:val="008416F2"/>
    <w:rsid w:val="00841868"/>
    <w:rsid w:val="00841890"/>
    <w:rsid w:val="00841F4E"/>
    <w:rsid w:val="008431AC"/>
    <w:rsid w:val="0084323D"/>
    <w:rsid w:val="00843C28"/>
    <w:rsid w:val="0084439C"/>
    <w:rsid w:val="0084489C"/>
    <w:rsid w:val="008450AE"/>
    <w:rsid w:val="008457C7"/>
    <w:rsid w:val="008459A2"/>
    <w:rsid w:val="00845AC4"/>
    <w:rsid w:val="00845CD6"/>
    <w:rsid w:val="00846AA6"/>
    <w:rsid w:val="00846B3E"/>
    <w:rsid w:val="00846D67"/>
    <w:rsid w:val="008470AE"/>
    <w:rsid w:val="0084750D"/>
    <w:rsid w:val="008475E5"/>
    <w:rsid w:val="008476EB"/>
    <w:rsid w:val="0084774B"/>
    <w:rsid w:val="008478FC"/>
    <w:rsid w:val="00847959"/>
    <w:rsid w:val="00847979"/>
    <w:rsid w:val="00847E58"/>
    <w:rsid w:val="008505B3"/>
    <w:rsid w:val="00850950"/>
    <w:rsid w:val="0085102C"/>
    <w:rsid w:val="00851095"/>
    <w:rsid w:val="00851849"/>
    <w:rsid w:val="00851B0B"/>
    <w:rsid w:val="00851CD1"/>
    <w:rsid w:val="00852148"/>
    <w:rsid w:val="00852149"/>
    <w:rsid w:val="0085226F"/>
    <w:rsid w:val="0085261B"/>
    <w:rsid w:val="00852645"/>
    <w:rsid w:val="00852E17"/>
    <w:rsid w:val="00853790"/>
    <w:rsid w:val="008538AF"/>
    <w:rsid w:val="00853ACD"/>
    <w:rsid w:val="0085438C"/>
    <w:rsid w:val="00854D31"/>
    <w:rsid w:val="00854D34"/>
    <w:rsid w:val="00854EC8"/>
    <w:rsid w:val="0085521C"/>
    <w:rsid w:val="0085544C"/>
    <w:rsid w:val="00855742"/>
    <w:rsid w:val="00855A2C"/>
    <w:rsid w:val="00855B3A"/>
    <w:rsid w:val="008561BA"/>
    <w:rsid w:val="0085635A"/>
    <w:rsid w:val="00856858"/>
    <w:rsid w:val="00857597"/>
    <w:rsid w:val="008575F7"/>
    <w:rsid w:val="00857A8F"/>
    <w:rsid w:val="00857E0D"/>
    <w:rsid w:val="00857FB4"/>
    <w:rsid w:val="00860029"/>
    <w:rsid w:val="0086036A"/>
    <w:rsid w:val="0086063D"/>
    <w:rsid w:val="00860F0C"/>
    <w:rsid w:val="0086148C"/>
    <w:rsid w:val="00861585"/>
    <w:rsid w:val="008628B4"/>
    <w:rsid w:val="00862B5F"/>
    <w:rsid w:val="00862CF9"/>
    <w:rsid w:val="00862D1A"/>
    <w:rsid w:val="00863544"/>
    <w:rsid w:val="008638CA"/>
    <w:rsid w:val="00863F41"/>
    <w:rsid w:val="00863F7B"/>
    <w:rsid w:val="008643B7"/>
    <w:rsid w:val="008652CB"/>
    <w:rsid w:val="00865657"/>
    <w:rsid w:val="008662E0"/>
    <w:rsid w:val="00866D9A"/>
    <w:rsid w:val="00867432"/>
    <w:rsid w:val="00867FFD"/>
    <w:rsid w:val="008704A7"/>
    <w:rsid w:val="00870796"/>
    <w:rsid w:val="00871373"/>
    <w:rsid w:val="008713B7"/>
    <w:rsid w:val="00871F9C"/>
    <w:rsid w:val="008722D4"/>
    <w:rsid w:val="00872BFC"/>
    <w:rsid w:val="00872DBD"/>
    <w:rsid w:val="00872E76"/>
    <w:rsid w:val="008730D4"/>
    <w:rsid w:val="00873142"/>
    <w:rsid w:val="00873CE9"/>
    <w:rsid w:val="00873F72"/>
    <w:rsid w:val="00874551"/>
    <w:rsid w:val="008745EB"/>
    <w:rsid w:val="00874B1C"/>
    <w:rsid w:val="0087518D"/>
    <w:rsid w:val="008752E8"/>
    <w:rsid w:val="00875B7F"/>
    <w:rsid w:val="00876078"/>
    <w:rsid w:val="0087640B"/>
    <w:rsid w:val="00876E01"/>
    <w:rsid w:val="00877197"/>
    <w:rsid w:val="00877418"/>
    <w:rsid w:val="00877A03"/>
    <w:rsid w:val="00877A0B"/>
    <w:rsid w:val="008801BC"/>
    <w:rsid w:val="00880437"/>
    <w:rsid w:val="008808CA"/>
    <w:rsid w:val="00880901"/>
    <w:rsid w:val="008809E8"/>
    <w:rsid w:val="00880AC0"/>
    <w:rsid w:val="00880B12"/>
    <w:rsid w:val="00880D5F"/>
    <w:rsid w:val="00880F4E"/>
    <w:rsid w:val="00881182"/>
    <w:rsid w:val="00881443"/>
    <w:rsid w:val="00881F78"/>
    <w:rsid w:val="00881FC8"/>
    <w:rsid w:val="0088209C"/>
    <w:rsid w:val="00882BFA"/>
    <w:rsid w:val="008832A3"/>
    <w:rsid w:val="008839B6"/>
    <w:rsid w:val="00884866"/>
    <w:rsid w:val="00884A1A"/>
    <w:rsid w:val="00884E2F"/>
    <w:rsid w:val="00885019"/>
    <w:rsid w:val="008850ED"/>
    <w:rsid w:val="00885344"/>
    <w:rsid w:val="00885724"/>
    <w:rsid w:val="00885C67"/>
    <w:rsid w:val="0088609E"/>
    <w:rsid w:val="008866CB"/>
    <w:rsid w:val="00886AE9"/>
    <w:rsid w:val="00890652"/>
    <w:rsid w:val="00891040"/>
    <w:rsid w:val="00891527"/>
    <w:rsid w:val="00891974"/>
    <w:rsid w:val="00891F5C"/>
    <w:rsid w:val="00892185"/>
    <w:rsid w:val="00892A29"/>
    <w:rsid w:val="00892A4F"/>
    <w:rsid w:val="00893B55"/>
    <w:rsid w:val="00893DBD"/>
    <w:rsid w:val="00893FD6"/>
    <w:rsid w:val="00893FDC"/>
    <w:rsid w:val="00894250"/>
    <w:rsid w:val="00894B61"/>
    <w:rsid w:val="00894F40"/>
    <w:rsid w:val="00895527"/>
    <w:rsid w:val="00895BDD"/>
    <w:rsid w:val="00895C60"/>
    <w:rsid w:val="00896394"/>
    <w:rsid w:val="0089642D"/>
    <w:rsid w:val="00896F83"/>
    <w:rsid w:val="00897133"/>
    <w:rsid w:val="00897592"/>
    <w:rsid w:val="00897804"/>
    <w:rsid w:val="00897C05"/>
    <w:rsid w:val="00897F95"/>
    <w:rsid w:val="008A0332"/>
    <w:rsid w:val="008A06FC"/>
    <w:rsid w:val="008A0B30"/>
    <w:rsid w:val="008A1544"/>
    <w:rsid w:val="008A1737"/>
    <w:rsid w:val="008A2862"/>
    <w:rsid w:val="008A3042"/>
    <w:rsid w:val="008A332D"/>
    <w:rsid w:val="008A3A0B"/>
    <w:rsid w:val="008A3CF1"/>
    <w:rsid w:val="008A3DEC"/>
    <w:rsid w:val="008A3E86"/>
    <w:rsid w:val="008A446F"/>
    <w:rsid w:val="008A52F2"/>
    <w:rsid w:val="008A557B"/>
    <w:rsid w:val="008A57A4"/>
    <w:rsid w:val="008A593C"/>
    <w:rsid w:val="008A5A85"/>
    <w:rsid w:val="008A5EFC"/>
    <w:rsid w:val="008A6266"/>
    <w:rsid w:val="008A62E7"/>
    <w:rsid w:val="008A64B1"/>
    <w:rsid w:val="008A688F"/>
    <w:rsid w:val="008A6B78"/>
    <w:rsid w:val="008A6DF3"/>
    <w:rsid w:val="008A7166"/>
    <w:rsid w:val="008A76C4"/>
    <w:rsid w:val="008A7955"/>
    <w:rsid w:val="008A7FDD"/>
    <w:rsid w:val="008B04E2"/>
    <w:rsid w:val="008B0915"/>
    <w:rsid w:val="008B0E6B"/>
    <w:rsid w:val="008B0F12"/>
    <w:rsid w:val="008B0F29"/>
    <w:rsid w:val="008B1587"/>
    <w:rsid w:val="008B27D1"/>
    <w:rsid w:val="008B2A37"/>
    <w:rsid w:val="008B33E9"/>
    <w:rsid w:val="008B43F7"/>
    <w:rsid w:val="008B45F5"/>
    <w:rsid w:val="008B51E6"/>
    <w:rsid w:val="008B58DB"/>
    <w:rsid w:val="008B5E3B"/>
    <w:rsid w:val="008B5FCC"/>
    <w:rsid w:val="008B6553"/>
    <w:rsid w:val="008B6B0F"/>
    <w:rsid w:val="008B6E46"/>
    <w:rsid w:val="008B7B09"/>
    <w:rsid w:val="008B7E36"/>
    <w:rsid w:val="008C00FC"/>
    <w:rsid w:val="008C0725"/>
    <w:rsid w:val="008C1495"/>
    <w:rsid w:val="008C3AA6"/>
    <w:rsid w:val="008C3E1F"/>
    <w:rsid w:val="008C4AB9"/>
    <w:rsid w:val="008C502E"/>
    <w:rsid w:val="008C50CF"/>
    <w:rsid w:val="008C5126"/>
    <w:rsid w:val="008C515E"/>
    <w:rsid w:val="008C53D1"/>
    <w:rsid w:val="008C5491"/>
    <w:rsid w:val="008C64D8"/>
    <w:rsid w:val="008C68D4"/>
    <w:rsid w:val="008C7350"/>
    <w:rsid w:val="008C7AAC"/>
    <w:rsid w:val="008C7AEA"/>
    <w:rsid w:val="008C7E65"/>
    <w:rsid w:val="008D03D0"/>
    <w:rsid w:val="008D062D"/>
    <w:rsid w:val="008D0F35"/>
    <w:rsid w:val="008D1AED"/>
    <w:rsid w:val="008D2051"/>
    <w:rsid w:val="008D223F"/>
    <w:rsid w:val="008D225E"/>
    <w:rsid w:val="008D25C6"/>
    <w:rsid w:val="008D2775"/>
    <w:rsid w:val="008D2808"/>
    <w:rsid w:val="008D2A3E"/>
    <w:rsid w:val="008D2BEA"/>
    <w:rsid w:val="008D2C01"/>
    <w:rsid w:val="008D32B5"/>
    <w:rsid w:val="008D3D78"/>
    <w:rsid w:val="008D3EFD"/>
    <w:rsid w:val="008D450B"/>
    <w:rsid w:val="008D4555"/>
    <w:rsid w:val="008D473B"/>
    <w:rsid w:val="008D4E99"/>
    <w:rsid w:val="008D556F"/>
    <w:rsid w:val="008D5882"/>
    <w:rsid w:val="008D5D05"/>
    <w:rsid w:val="008D641A"/>
    <w:rsid w:val="008D7B05"/>
    <w:rsid w:val="008E1073"/>
    <w:rsid w:val="008E1B34"/>
    <w:rsid w:val="008E1BB5"/>
    <w:rsid w:val="008E1E49"/>
    <w:rsid w:val="008E22D6"/>
    <w:rsid w:val="008E259F"/>
    <w:rsid w:val="008E2B71"/>
    <w:rsid w:val="008E2E4A"/>
    <w:rsid w:val="008E3C96"/>
    <w:rsid w:val="008E3D18"/>
    <w:rsid w:val="008E42BD"/>
    <w:rsid w:val="008E5BC3"/>
    <w:rsid w:val="008E5F50"/>
    <w:rsid w:val="008E60CD"/>
    <w:rsid w:val="008E622A"/>
    <w:rsid w:val="008E6780"/>
    <w:rsid w:val="008E6C65"/>
    <w:rsid w:val="008E6F35"/>
    <w:rsid w:val="008E76A9"/>
    <w:rsid w:val="008F0E7C"/>
    <w:rsid w:val="008F1281"/>
    <w:rsid w:val="008F15EB"/>
    <w:rsid w:val="008F1867"/>
    <w:rsid w:val="008F1A8C"/>
    <w:rsid w:val="008F1BA4"/>
    <w:rsid w:val="008F223B"/>
    <w:rsid w:val="008F245E"/>
    <w:rsid w:val="008F2613"/>
    <w:rsid w:val="008F2942"/>
    <w:rsid w:val="008F34A5"/>
    <w:rsid w:val="008F4217"/>
    <w:rsid w:val="008F4AEA"/>
    <w:rsid w:val="008F4C4E"/>
    <w:rsid w:val="008F4F80"/>
    <w:rsid w:val="008F4FA0"/>
    <w:rsid w:val="008F633A"/>
    <w:rsid w:val="008F6403"/>
    <w:rsid w:val="008F67A8"/>
    <w:rsid w:val="008F69DF"/>
    <w:rsid w:val="008F749B"/>
    <w:rsid w:val="008F7702"/>
    <w:rsid w:val="008F7B33"/>
    <w:rsid w:val="008F7B42"/>
    <w:rsid w:val="00900096"/>
    <w:rsid w:val="00900728"/>
    <w:rsid w:val="00900799"/>
    <w:rsid w:val="00900B09"/>
    <w:rsid w:val="00900B71"/>
    <w:rsid w:val="00901517"/>
    <w:rsid w:val="00901C41"/>
    <w:rsid w:val="00902512"/>
    <w:rsid w:val="0090276C"/>
    <w:rsid w:val="00902E77"/>
    <w:rsid w:val="009030D4"/>
    <w:rsid w:val="0090316C"/>
    <w:rsid w:val="009040A8"/>
    <w:rsid w:val="0090458E"/>
    <w:rsid w:val="009053BB"/>
    <w:rsid w:val="00905786"/>
    <w:rsid w:val="009058EA"/>
    <w:rsid w:val="00906247"/>
    <w:rsid w:val="009063E0"/>
    <w:rsid w:val="0090669A"/>
    <w:rsid w:val="00906F72"/>
    <w:rsid w:val="00907BBF"/>
    <w:rsid w:val="00910D9A"/>
    <w:rsid w:val="00910F75"/>
    <w:rsid w:val="00911211"/>
    <w:rsid w:val="00911684"/>
    <w:rsid w:val="009117BC"/>
    <w:rsid w:val="0091180D"/>
    <w:rsid w:val="00911857"/>
    <w:rsid w:val="0091185D"/>
    <w:rsid w:val="00911F42"/>
    <w:rsid w:val="0091200B"/>
    <w:rsid w:val="00912032"/>
    <w:rsid w:val="00912483"/>
    <w:rsid w:val="0091251F"/>
    <w:rsid w:val="00912BE2"/>
    <w:rsid w:val="00912DE9"/>
    <w:rsid w:val="00913E5C"/>
    <w:rsid w:val="009141AB"/>
    <w:rsid w:val="009142B8"/>
    <w:rsid w:val="00915000"/>
    <w:rsid w:val="0091503D"/>
    <w:rsid w:val="0091512B"/>
    <w:rsid w:val="009154D0"/>
    <w:rsid w:val="00915631"/>
    <w:rsid w:val="0091576D"/>
    <w:rsid w:val="00915E6C"/>
    <w:rsid w:val="00916037"/>
    <w:rsid w:val="009160BF"/>
    <w:rsid w:val="009168A2"/>
    <w:rsid w:val="009168B4"/>
    <w:rsid w:val="00916BED"/>
    <w:rsid w:val="00917890"/>
    <w:rsid w:val="009200D3"/>
    <w:rsid w:val="009202CF"/>
    <w:rsid w:val="009205E5"/>
    <w:rsid w:val="00920A02"/>
    <w:rsid w:val="00920E8D"/>
    <w:rsid w:val="00920EEC"/>
    <w:rsid w:val="00921159"/>
    <w:rsid w:val="00921564"/>
    <w:rsid w:val="00921810"/>
    <w:rsid w:val="00921DE2"/>
    <w:rsid w:val="00921F5B"/>
    <w:rsid w:val="0092222C"/>
    <w:rsid w:val="0092222E"/>
    <w:rsid w:val="00922BAC"/>
    <w:rsid w:val="009246BA"/>
    <w:rsid w:val="009246FC"/>
    <w:rsid w:val="009252B7"/>
    <w:rsid w:val="009261C7"/>
    <w:rsid w:val="00926927"/>
    <w:rsid w:val="00926C2D"/>
    <w:rsid w:val="009273AB"/>
    <w:rsid w:val="0092763F"/>
    <w:rsid w:val="00930368"/>
    <w:rsid w:val="00930A90"/>
    <w:rsid w:val="0093122B"/>
    <w:rsid w:val="0093138E"/>
    <w:rsid w:val="009314D0"/>
    <w:rsid w:val="0093172D"/>
    <w:rsid w:val="0093197D"/>
    <w:rsid w:val="00931B99"/>
    <w:rsid w:val="00931D48"/>
    <w:rsid w:val="00932AE2"/>
    <w:rsid w:val="009335E3"/>
    <w:rsid w:val="0093362D"/>
    <w:rsid w:val="00933790"/>
    <w:rsid w:val="00933D96"/>
    <w:rsid w:val="009343D7"/>
    <w:rsid w:val="009344ED"/>
    <w:rsid w:val="009345CE"/>
    <w:rsid w:val="00934868"/>
    <w:rsid w:val="00934F7F"/>
    <w:rsid w:val="00934FCD"/>
    <w:rsid w:val="00936675"/>
    <w:rsid w:val="0093693F"/>
    <w:rsid w:val="00936A5F"/>
    <w:rsid w:val="00936B54"/>
    <w:rsid w:val="00936F88"/>
    <w:rsid w:val="009370E8"/>
    <w:rsid w:val="0093732F"/>
    <w:rsid w:val="009378BC"/>
    <w:rsid w:val="00940099"/>
    <w:rsid w:val="009409AF"/>
    <w:rsid w:val="00940DE7"/>
    <w:rsid w:val="0094182A"/>
    <w:rsid w:val="00941A7A"/>
    <w:rsid w:val="00942637"/>
    <w:rsid w:val="00942784"/>
    <w:rsid w:val="009427F7"/>
    <w:rsid w:val="00942ED6"/>
    <w:rsid w:val="00942F80"/>
    <w:rsid w:val="0094300E"/>
    <w:rsid w:val="0094357F"/>
    <w:rsid w:val="0094393A"/>
    <w:rsid w:val="00943EBC"/>
    <w:rsid w:val="009440E4"/>
    <w:rsid w:val="0094437F"/>
    <w:rsid w:val="0094445E"/>
    <w:rsid w:val="00944FC4"/>
    <w:rsid w:val="009459AE"/>
    <w:rsid w:val="00945D62"/>
    <w:rsid w:val="00945FEB"/>
    <w:rsid w:val="00946494"/>
    <w:rsid w:val="009468A7"/>
    <w:rsid w:val="00946A17"/>
    <w:rsid w:val="00946F74"/>
    <w:rsid w:val="0094704B"/>
    <w:rsid w:val="00947951"/>
    <w:rsid w:val="0095033E"/>
    <w:rsid w:val="00951136"/>
    <w:rsid w:val="009515FA"/>
    <w:rsid w:val="00951C2E"/>
    <w:rsid w:val="00951EF6"/>
    <w:rsid w:val="0095413B"/>
    <w:rsid w:val="00954CCF"/>
    <w:rsid w:val="009558B1"/>
    <w:rsid w:val="00955C2D"/>
    <w:rsid w:val="0095629D"/>
    <w:rsid w:val="00956B84"/>
    <w:rsid w:val="00956C8F"/>
    <w:rsid w:val="00956D47"/>
    <w:rsid w:val="00957154"/>
    <w:rsid w:val="00957697"/>
    <w:rsid w:val="0096025F"/>
    <w:rsid w:val="00960B2A"/>
    <w:rsid w:val="00960B53"/>
    <w:rsid w:val="00960BE4"/>
    <w:rsid w:val="00961B03"/>
    <w:rsid w:val="00961BCE"/>
    <w:rsid w:val="009621DF"/>
    <w:rsid w:val="00962520"/>
    <w:rsid w:val="0096284E"/>
    <w:rsid w:val="00962973"/>
    <w:rsid w:val="009630C4"/>
    <w:rsid w:val="0096394C"/>
    <w:rsid w:val="009652C5"/>
    <w:rsid w:val="009655A2"/>
    <w:rsid w:val="00965A1D"/>
    <w:rsid w:val="0096638E"/>
    <w:rsid w:val="00966533"/>
    <w:rsid w:val="00966679"/>
    <w:rsid w:val="00966740"/>
    <w:rsid w:val="00966B49"/>
    <w:rsid w:val="00967910"/>
    <w:rsid w:val="00967F4A"/>
    <w:rsid w:val="009701F5"/>
    <w:rsid w:val="00970496"/>
    <w:rsid w:val="00970660"/>
    <w:rsid w:val="00970829"/>
    <w:rsid w:val="00970E93"/>
    <w:rsid w:val="00971490"/>
    <w:rsid w:val="00971583"/>
    <w:rsid w:val="009717AA"/>
    <w:rsid w:val="0097302B"/>
    <w:rsid w:val="0097328D"/>
    <w:rsid w:val="00973422"/>
    <w:rsid w:val="0097369F"/>
    <w:rsid w:val="009737F5"/>
    <w:rsid w:val="00973EDC"/>
    <w:rsid w:val="009740CA"/>
    <w:rsid w:val="00974366"/>
    <w:rsid w:val="00974D25"/>
    <w:rsid w:val="009752C5"/>
    <w:rsid w:val="00975FD7"/>
    <w:rsid w:val="0097643B"/>
    <w:rsid w:val="00976477"/>
    <w:rsid w:val="009767ED"/>
    <w:rsid w:val="009769EA"/>
    <w:rsid w:val="0097734E"/>
    <w:rsid w:val="00977367"/>
    <w:rsid w:val="00977D3B"/>
    <w:rsid w:val="009803C6"/>
    <w:rsid w:val="00981476"/>
    <w:rsid w:val="00981881"/>
    <w:rsid w:val="00981C96"/>
    <w:rsid w:val="00981E10"/>
    <w:rsid w:val="00982079"/>
    <w:rsid w:val="00982098"/>
    <w:rsid w:val="009821CC"/>
    <w:rsid w:val="00982785"/>
    <w:rsid w:val="00982A82"/>
    <w:rsid w:val="00982B66"/>
    <w:rsid w:val="00982C11"/>
    <w:rsid w:val="00984027"/>
    <w:rsid w:val="00984EA1"/>
    <w:rsid w:val="00984F05"/>
    <w:rsid w:val="00985006"/>
    <w:rsid w:val="00985751"/>
    <w:rsid w:val="00985759"/>
    <w:rsid w:val="009857CA"/>
    <w:rsid w:val="00987078"/>
    <w:rsid w:val="00987285"/>
    <w:rsid w:val="00987783"/>
    <w:rsid w:val="00987CFB"/>
    <w:rsid w:val="009909A3"/>
    <w:rsid w:val="00990C77"/>
    <w:rsid w:val="00990D67"/>
    <w:rsid w:val="009912EF"/>
    <w:rsid w:val="009918E1"/>
    <w:rsid w:val="00991DEF"/>
    <w:rsid w:val="00991FB4"/>
    <w:rsid w:val="0099238A"/>
    <w:rsid w:val="00992AD5"/>
    <w:rsid w:val="009930E0"/>
    <w:rsid w:val="0099439D"/>
    <w:rsid w:val="009944E6"/>
    <w:rsid w:val="0099496E"/>
    <w:rsid w:val="00994AB6"/>
    <w:rsid w:val="00994AD7"/>
    <w:rsid w:val="009955B2"/>
    <w:rsid w:val="009956C4"/>
    <w:rsid w:val="009961AA"/>
    <w:rsid w:val="0099645E"/>
    <w:rsid w:val="00996B9E"/>
    <w:rsid w:val="00997563"/>
    <w:rsid w:val="009975B9"/>
    <w:rsid w:val="009976E8"/>
    <w:rsid w:val="00997A4F"/>
    <w:rsid w:val="00997D86"/>
    <w:rsid w:val="009A0408"/>
    <w:rsid w:val="009A1276"/>
    <w:rsid w:val="009A1311"/>
    <w:rsid w:val="009A14F1"/>
    <w:rsid w:val="009A21B1"/>
    <w:rsid w:val="009A2EDE"/>
    <w:rsid w:val="009A2F37"/>
    <w:rsid w:val="009A3277"/>
    <w:rsid w:val="009A33C0"/>
    <w:rsid w:val="009A4090"/>
    <w:rsid w:val="009A4994"/>
    <w:rsid w:val="009A4A3C"/>
    <w:rsid w:val="009A4BD1"/>
    <w:rsid w:val="009A4D85"/>
    <w:rsid w:val="009A5114"/>
    <w:rsid w:val="009A531C"/>
    <w:rsid w:val="009A6362"/>
    <w:rsid w:val="009A642A"/>
    <w:rsid w:val="009A6765"/>
    <w:rsid w:val="009A7121"/>
    <w:rsid w:val="009A7CA4"/>
    <w:rsid w:val="009B0151"/>
    <w:rsid w:val="009B05D5"/>
    <w:rsid w:val="009B06AB"/>
    <w:rsid w:val="009B2754"/>
    <w:rsid w:val="009B283B"/>
    <w:rsid w:val="009B2E61"/>
    <w:rsid w:val="009B3062"/>
    <w:rsid w:val="009B3503"/>
    <w:rsid w:val="009B3704"/>
    <w:rsid w:val="009B48B5"/>
    <w:rsid w:val="009B4DF4"/>
    <w:rsid w:val="009B52B0"/>
    <w:rsid w:val="009B54CE"/>
    <w:rsid w:val="009B5B88"/>
    <w:rsid w:val="009B6417"/>
    <w:rsid w:val="009B662F"/>
    <w:rsid w:val="009B66C6"/>
    <w:rsid w:val="009B66EE"/>
    <w:rsid w:val="009B6997"/>
    <w:rsid w:val="009B6A0D"/>
    <w:rsid w:val="009B6C14"/>
    <w:rsid w:val="009B7361"/>
    <w:rsid w:val="009B756F"/>
    <w:rsid w:val="009B75B5"/>
    <w:rsid w:val="009B7A29"/>
    <w:rsid w:val="009B7D99"/>
    <w:rsid w:val="009C0261"/>
    <w:rsid w:val="009C06B2"/>
    <w:rsid w:val="009C0B19"/>
    <w:rsid w:val="009C0B65"/>
    <w:rsid w:val="009C1B76"/>
    <w:rsid w:val="009C20A4"/>
    <w:rsid w:val="009C2646"/>
    <w:rsid w:val="009C274F"/>
    <w:rsid w:val="009C2B21"/>
    <w:rsid w:val="009C3564"/>
    <w:rsid w:val="009C376F"/>
    <w:rsid w:val="009C3BD8"/>
    <w:rsid w:val="009C464B"/>
    <w:rsid w:val="009C4D3B"/>
    <w:rsid w:val="009C4EC9"/>
    <w:rsid w:val="009C5373"/>
    <w:rsid w:val="009C588F"/>
    <w:rsid w:val="009C5A38"/>
    <w:rsid w:val="009C5ACA"/>
    <w:rsid w:val="009C5E23"/>
    <w:rsid w:val="009C618F"/>
    <w:rsid w:val="009C711F"/>
    <w:rsid w:val="009C72AD"/>
    <w:rsid w:val="009C737A"/>
    <w:rsid w:val="009D067C"/>
    <w:rsid w:val="009D0EBA"/>
    <w:rsid w:val="009D1A0E"/>
    <w:rsid w:val="009D1A85"/>
    <w:rsid w:val="009D3A7C"/>
    <w:rsid w:val="009D4536"/>
    <w:rsid w:val="009D48CD"/>
    <w:rsid w:val="009D5669"/>
    <w:rsid w:val="009D578C"/>
    <w:rsid w:val="009D6652"/>
    <w:rsid w:val="009D6B87"/>
    <w:rsid w:val="009D7409"/>
    <w:rsid w:val="009D7513"/>
    <w:rsid w:val="009D79AA"/>
    <w:rsid w:val="009E0037"/>
    <w:rsid w:val="009E027B"/>
    <w:rsid w:val="009E06DD"/>
    <w:rsid w:val="009E08BB"/>
    <w:rsid w:val="009E0EA8"/>
    <w:rsid w:val="009E12C3"/>
    <w:rsid w:val="009E134F"/>
    <w:rsid w:val="009E16C6"/>
    <w:rsid w:val="009E1CEA"/>
    <w:rsid w:val="009E1E34"/>
    <w:rsid w:val="009E1EC5"/>
    <w:rsid w:val="009E3187"/>
    <w:rsid w:val="009E438D"/>
    <w:rsid w:val="009E43ED"/>
    <w:rsid w:val="009E45BF"/>
    <w:rsid w:val="009E4BF8"/>
    <w:rsid w:val="009E4FC1"/>
    <w:rsid w:val="009E50C3"/>
    <w:rsid w:val="009E51DF"/>
    <w:rsid w:val="009E54FB"/>
    <w:rsid w:val="009E55FF"/>
    <w:rsid w:val="009E56F3"/>
    <w:rsid w:val="009E57B2"/>
    <w:rsid w:val="009E5D66"/>
    <w:rsid w:val="009E5F0C"/>
    <w:rsid w:val="009E6475"/>
    <w:rsid w:val="009E651A"/>
    <w:rsid w:val="009E6580"/>
    <w:rsid w:val="009E6714"/>
    <w:rsid w:val="009E6C68"/>
    <w:rsid w:val="009E6D83"/>
    <w:rsid w:val="009F02BE"/>
    <w:rsid w:val="009F08B7"/>
    <w:rsid w:val="009F1408"/>
    <w:rsid w:val="009F18BB"/>
    <w:rsid w:val="009F1A83"/>
    <w:rsid w:val="009F23CE"/>
    <w:rsid w:val="009F29B9"/>
    <w:rsid w:val="009F37C6"/>
    <w:rsid w:val="009F3B4C"/>
    <w:rsid w:val="009F42E1"/>
    <w:rsid w:val="009F44BC"/>
    <w:rsid w:val="009F47AA"/>
    <w:rsid w:val="009F49EC"/>
    <w:rsid w:val="009F5586"/>
    <w:rsid w:val="009F5E94"/>
    <w:rsid w:val="009F60FB"/>
    <w:rsid w:val="009F626E"/>
    <w:rsid w:val="009F6352"/>
    <w:rsid w:val="009F63DE"/>
    <w:rsid w:val="009F65A6"/>
    <w:rsid w:val="009F670D"/>
    <w:rsid w:val="009F6B40"/>
    <w:rsid w:val="009F7107"/>
    <w:rsid w:val="009F71C1"/>
    <w:rsid w:val="009F75D0"/>
    <w:rsid w:val="009F7B5C"/>
    <w:rsid w:val="009F7B61"/>
    <w:rsid w:val="009F7C63"/>
    <w:rsid w:val="00A00144"/>
    <w:rsid w:val="00A0014D"/>
    <w:rsid w:val="00A009EC"/>
    <w:rsid w:val="00A00A6D"/>
    <w:rsid w:val="00A00AE6"/>
    <w:rsid w:val="00A00C74"/>
    <w:rsid w:val="00A0145A"/>
    <w:rsid w:val="00A01682"/>
    <w:rsid w:val="00A01A26"/>
    <w:rsid w:val="00A01D99"/>
    <w:rsid w:val="00A02379"/>
    <w:rsid w:val="00A02F71"/>
    <w:rsid w:val="00A0392E"/>
    <w:rsid w:val="00A03982"/>
    <w:rsid w:val="00A04ACC"/>
    <w:rsid w:val="00A04CA4"/>
    <w:rsid w:val="00A051D0"/>
    <w:rsid w:val="00A05309"/>
    <w:rsid w:val="00A05617"/>
    <w:rsid w:val="00A062B8"/>
    <w:rsid w:val="00A06B98"/>
    <w:rsid w:val="00A07398"/>
    <w:rsid w:val="00A07A65"/>
    <w:rsid w:val="00A07CFD"/>
    <w:rsid w:val="00A106DB"/>
    <w:rsid w:val="00A106FA"/>
    <w:rsid w:val="00A10841"/>
    <w:rsid w:val="00A11819"/>
    <w:rsid w:val="00A11EF2"/>
    <w:rsid w:val="00A122AE"/>
    <w:rsid w:val="00A124D6"/>
    <w:rsid w:val="00A1260F"/>
    <w:rsid w:val="00A12714"/>
    <w:rsid w:val="00A12E12"/>
    <w:rsid w:val="00A130C5"/>
    <w:rsid w:val="00A13476"/>
    <w:rsid w:val="00A13F8E"/>
    <w:rsid w:val="00A142E1"/>
    <w:rsid w:val="00A1434B"/>
    <w:rsid w:val="00A14722"/>
    <w:rsid w:val="00A149DD"/>
    <w:rsid w:val="00A14A00"/>
    <w:rsid w:val="00A14AFA"/>
    <w:rsid w:val="00A15D9D"/>
    <w:rsid w:val="00A160B1"/>
    <w:rsid w:val="00A16814"/>
    <w:rsid w:val="00A169AD"/>
    <w:rsid w:val="00A16BB1"/>
    <w:rsid w:val="00A171B9"/>
    <w:rsid w:val="00A17655"/>
    <w:rsid w:val="00A179EA"/>
    <w:rsid w:val="00A17BE3"/>
    <w:rsid w:val="00A17E47"/>
    <w:rsid w:val="00A2001C"/>
    <w:rsid w:val="00A20A13"/>
    <w:rsid w:val="00A20E02"/>
    <w:rsid w:val="00A21112"/>
    <w:rsid w:val="00A21144"/>
    <w:rsid w:val="00A2121A"/>
    <w:rsid w:val="00A21271"/>
    <w:rsid w:val="00A2139F"/>
    <w:rsid w:val="00A21F7A"/>
    <w:rsid w:val="00A22940"/>
    <w:rsid w:val="00A2296A"/>
    <w:rsid w:val="00A22A92"/>
    <w:rsid w:val="00A22E8A"/>
    <w:rsid w:val="00A23236"/>
    <w:rsid w:val="00A23B04"/>
    <w:rsid w:val="00A23B22"/>
    <w:rsid w:val="00A2422D"/>
    <w:rsid w:val="00A24509"/>
    <w:rsid w:val="00A248A1"/>
    <w:rsid w:val="00A24E51"/>
    <w:rsid w:val="00A25307"/>
    <w:rsid w:val="00A25C29"/>
    <w:rsid w:val="00A25D7E"/>
    <w:rsid w:val="00A25F3A"/>
    <w:rsid w:val="00A2608C"/>
    <w:rsid w:val="00A2624D"/>
    <w:rsid w:val="00A267A3"/>
    <w:rsid w:val="00A270FB"/>
    <w:rsid w:val="00A2716E"/>
    <w:rsid w:val="00A274A6"/>
    <w:rsid w:val="00A27523"/>
    <w:rsid w:val="00A276E2"/>
    <w:rsid w:val="00A3036E"/>
    <w:rsid w:val="00A3089B"/>
    <w:rsid w:val="00A308A1"/>
    <w:rsid w:val="00A31047"/>
    <w:rsid w:val="00A31155"/>
    <w:rsid w:val="00A31387"/>
    <w:rsid w:val="00A315D0"/>
    <w:rsid w:val="00A32367"/>
    <w:rsid w:val="00A3245C"/>
    <w:rsid w:val="00A32CA5"/>
    <w:rsid w:val="00A32F47"/>
    <w:rsid w:val="00A33654"/>
    <w:rsid w:val="00A33CA3"/>
    <w:rsid w:val="00A34D74"/>
    <w:rsid w:val="00A35089"/>
    <w:rsid w:val="00A35501"/>
    <w:rsid w:val="00A35E3A"/>
    <w:rsid w:val="00A35E3C"/>
    <w:rsid w:val="00A3611D"/>
    <w:rsid w:val="00A3653B"/>
    <w:rsid w:val="00A36579"/>
    <w:rsid w:val="00A366C2"/>
    <w:rsid w:val="00A366CD"/>
    <w:rsid w:val="00A36812"/>
    <w:rsid w:val="00A36907"/>
    <w:rsid w:val="00A375F0"/>
    <w:rsid w:val="00A40470"/>
    <w:rsid w:val="00A40581"/>
    <w:rsid w:val="00A414BC"/>
    <w:rsid w:val="00A418BA"/>
    <w:rsid w:val="00A41B1E"/>
    <w:rsid w:val="00A42057"/>
    <w:rsid w:val="00A42103"/>
    <w:rsid w:val="00A422C6"/>
    <w:rsid w:val="00A422D8"/>
    <w:rsid w:val="00A425D0"/>
    <w:rsid w:val="00A42B98"/>
    <w:rsid w:val="00A42C34"/>
    <w:rsid w:val="00A43377"/>
    <w:rsid w:val="00A43A4D"/>
    <w:rsid w:val="00A44151"/>
    <w:rsid w:val="00A4482D"/>
    <w:rsid w:val="00A456DD"/>
    <w:rsid w:val="00A45C2B"/>
    <w:rsid w:val="00A45CCC"/>
    <w:rsid w:val="00A45D92"/>
    <w:rsid w:val="00A45FAF"/>
    <w:rsid w:val="00A45FE0"/>
    <w:rsid w:val="00A46380"/>
    <w:rsid w:val="00A464A2"/>
    <w:rsid w:val="00A464D9"/>
    <w:rsid w:val="00A46914"/>
    <w:rsid w:val="00A46EE2"/>
    <w:rsid w:val="00A50C78"/>
    <w:rsid w:val="00A511C3"/>
    <w:rsid w:val="00A51395"/>
    <w:rsid w:val="00A519DC"/>
    <w:rsid w:val="00A529A7"/>
    <w:rsid w:val="00A52AF1"/>
    <w:rsid w:val="00A52EC7"/>
    <w:rsid w:val="00A5346E"/>
    <w:rsid w:val="00A539D9"/>
    <w:rsid w:val="00A53EAE"/>
    <w:rsid w:val="00A53FD9"/>
    <w:rsid w:val="00A5450D"/>
    <w:rsid w:val="00A54D42"/>
    <w:rsid w:val="00A54D67"/>
    <w:rsid w:val="00A55533"/>
    <w:rsid w:val="00A557F4"/>
    <w:rsid w:val="00A558B6"/>
    <w:rsid w:val="00A559BD"/>
    <w:rsid w:val="00A55CA2"/>
    <w:rsid w:val="00A56115"/>
    <w:rsid w:val="00A5647B"/>
    <w:rsid w:val="00A56EE4"/>
    <w:rsid w:val="00A5708C"/>
    <w:rsid w:val="00A572DF"/>
    <w:rsid w:val="00A5772E"/>
    <w:rsid w:val="00A6083C"/>
    <w:rsid w:val="00A61111"/>
    <w:rsid w:val="00A6131E"/>
    <w:rsid w:val="00A6213C"/>
    <w:rsid w:val="00A621A9"/>
    <w:rsid w:val="00A626FA"/>
    <w:rsid w:val="00A6350F"/>
    <w:rsid w:val="00A63980"/>
    <w:rsid w:val="00A63C7A"/>
    <w:rsid w:val="00A63CD0"/>
    <w:rsid w:val="00A63E28"/>
    <w:rsid w:val="00A6428E"/>
    <w:rsid w:val="00A64557"/>
    <w:rsid w:val="00A64991"/>
    <w:rsid w:val="00A65A3D"/>
    <w:rsid w:val="00A65CB6"/>
    <w:rsid w:val="00A66286"/>
    <w:rsid w:val="00A663F2"/>
    <w:rsid w:val="00A66AFC"/>
    <w:rsid w:val="00A66D9B"/>
    <w:rsid w:val="00A66FB7"/>
    <w:rsid w:val="00A676DB"/>
    <w:rsid w:val="00A67DB4"/>
    <w:rsid w:val="00A7011A"/>
    <w:rsid w:val="00A70215"/>
    <w:rsid w:val="00A706CB"/>
    <w:rsid w:val="00A70A64"/>
    <w:rsid w:val="00A70F6E"/>
    <w:rsid w:val="00A70F77"/>
    <w:rsid w:val="00A71472"/>
    <w:rsid w:val="00A71951"/>
    <w:rsid w:val="00A71AAB"/>
    <w:rsid w:val="00A721C0"/>
    <w:rsid w:val="00A7272A"/>
    <w:rsid w:val="00A72972"/>
    <w:rsid w:val="00A72C59"/>
    <w:rsid w:val="00A72DAA"/>
    <w:rsid w:val="00A73DC8"/>
    <w:rsid w:val="00A741D1"/>
    <w:rsid w:val="00A751F0"/>
    <w:rsid w:val="00A756A1"/>
    <w:rsid w:val="00A75780"/>
    <w:rsid w:val="00A76217"/>
    <w:rsid w:val="00A76AC1"/>
    <w:rsid w:val="00A76EDC"/>
    <w:rsid w:val="00A774DF"/>
    <w:rsid w:val="00A7755D"/>
    <w:rsid w:val="00A7766B"/>
    <w:rsid w:val="00A7770B"/>
    <w:rsid w:val="00A802FF"/>
    <w:rsid w:val="00A8122B"/>
    <w:rsid w:val="00A82193"/>
    <w:rsid w:val="00A823EF"/>
    <w:rsid w:val="00A826E4"/>
    <w:rsid w:val="00A82D10"/>
    <w:rsid w:val="00A82D86"/>
    <w:rsid w:val="00A82F83"/>
    <w:rsid w:val="00A830AF"/>
    <w:rsid w:val="00A83462"/>
    <w:rsid w:val="00A83B34"/>
    <w:rsid w:val="00A841BD"/>
    <w:rsid w:val="00A841E7"/>
    <w:rsid w:val="00A8424D"/>
    <w:rsid w:val="00A843CE"/>
    <w:rsid w:val="00A84A58"/>
    <w:rsid w:val="00A84F94"/>
    <w:rsid w:val="00A85885"/>
    <w:rsid w:val="00A85CC1"/>
    <w:rsid w:val="00A86588"/>
    <w:rsid w:val="00A869C7"/>
    <w:rsid w:val="00A86F1B"/>
    <w:rsid w:val="00A8713A"/>
    <w:rsid w:val="00A8722A"/>
    <w:rsid w:val="00A87782"/>
    <w:rsid w:val="00A87829"/>
    <w:rsid w:val="00A878D4"/>
    <w:rsid w:val="00A87E97"/>
    <w:rsid w:val="00A904BF"/>
    <w:rsid w:val="00A90D77"/>
    <w:rsid w:val="00A911AF"/>
    <w:rsid w:val="00A91A6E"/>
    <w:rsid w:val="00A91CC2"/>
    <w:rsid w:val="00A92267"/>
    <w:rsid w:val="00A92589"/>
    <w:rsid w:val="00A925EE"/>
    <w:rsid w:val="00A932BD"/>
    <w:rsid w:val="00A9433C"/>
    <w:rsid w:val="00A94469"/>
    <w:rsid w:val="00A94579"/>
    <w:rsid w:val="00A9541A"/>
    <w:rsid w:val="00A9556D"/>
    <w:rsid w:val="00A95BA3"/>
    <w:rsid w:val="00A962B0"/>
    <w:rsid w:val="00A97290"/>
    <w:rsid w:val="00A972B9"/>
    <w:rsid w:val="00A97335"/>
    <w:rsid w:val="00A97543"/>
    <w:rsid w:val="00A97559"/>
    <w:rsid w:val="00AA0252"/>
    <w:rsid w:val="00AA0CEC"/>
    <w:rsid w:val="00AA11C7"/>
    <w:rsid w:val="00AA1229"/>
    <w:rsid w:val="00AA158B"/>
    <w:rsid w:val="00AA187A"/>
    <w:rsid w:val="00AA18F1"/>
    <w:rsid w:val="00AA1B05"/>
    <w:rsid w:val="00AA30A5"/>
    <w:rsid w:val="00AA38E4"/>
    <w:rsid w:val="00AA3B6F"/>
    <w:rsid w:val="00AA3CB4"/>
    <w:rsid w:val="00AA3CBB"/>
    <w:rsid w:val="00AA41C6"/>
    <w:rsid w:val="00AA48A6"/>
    <w:rsid w:val="00AA4B35"/>
    <w:rsid w:val="00AA4BDF"/>
    <w:rsid w:val="00AA4D8D"/>
    <w:rsid w:val="00AA5051"/>
    <w:rsid w:val="00AA57D0"/>
    <w:rsid w:val="00AA5DC7"/>
    <w:rsid w:val="00AA6610"/>
    <w:rsid w:val="00AA6925"/>
    <w:rsid w:val="00AA69DC"/>
    <w:rsid w:val="00AA69F8"/>
    <w:rsid w:val="00AA6F21"/>
    <w:rsid w:val="00AA794A"/>
    <w:rsid w:val="00AB0142"/>
    <w:rsid w:val="00AB02A0"/>
    <w:rsid w:val="00AB0362"/>
    <w:rsid w:val="00AB081C"/>
    <w:rsid w:val="00AB0DFB"/>
    <w:rsid w:val="00AB10D3"/>
    <w:rsid w:val="00AB1400"/>
    <w:rsid w:val="00AB16B1"/>
    <w:rsid w:val="00AB1818"/>
    <w:rsid w:val="00AB21B7"/>
    <w:rsid w:val="00AB2A5F"/>
    <w:rsid w:val="00AB34EE"/>
    <w:rsid w:val="00AB3B13"/>
    <w:rsid w:val="00AB3F29"/>
    <w:rsid w:val="00AB4162"/>
    <w:rsid w:val="00AB42E7"/>
    <w:rsid w:val="00AB46E8"/>
    <w:rsid w:val="00AB49EA"/>
    <w:rsid w:val="00AB4BAA"/>
    <w:rsid w:val="00AB4C03"/>
    <w:rsid w:val="00AB5219"/>
    <w:rsid w:val="00AB5F69"/>
    <w:rsid w:val="00AB6058"/>
    <w:rsid w:val="00AB7046"/>
    <w:rsid w:val="00AB73B1"/>
    <w:rsid w:val="00AC154E"/>
    <w:rsid w:val="00AC1747"/>
    <w:rsid w:val="00AC1779"/>
    <w:rsid w:val="00AC24D8"/>
    <w:rsid w:val="00AC312D"/>
    <w:rsid w:val="00AC3265"/>
    <w:rsid w:val="00AC3336"/>
    <w:rsid w:val="00AC3444"/>
    <w:rsid w:val="00AC349D"/>
    <w:rsid w:val="00AC34B8"/>
    <w:rsid w:val="00AC35AC"/>
    <w:rsid w:val="00AC36B6"/>
    <w:rsid w:val="00AC3734"/>
    <w:rsid w:val="00AC3AC0"/>
    <w:rsid w:val="00AC3BEF"/>
    <w:rsid w:val="00AC3FBD"/>
    <w:rsid w:val="00AC41C7"/>
    <w:rsid w:val="00AC49D1"/>
    <w:rsid w:val="00AC5059"/>
    <w:rsid w:val="00AC572E"/>
    <w:rsid w:val="00AC595D"/>
    <w:rsid w:val="00AC59D0"/>
    <w:rsid w:val="00AC5FF6"/>
    <w:rsid w:val="00AC6DE4"/>
    <w:rsid w:val="00AC7428"/>
    <w:rsid w:val="00AC75D0"/>
    <w:rsid w:val="00AC789C"/>
    <w:rsid w:val="00AC7E96"/>
    <w:rsid w:val="00AD0121"/>
    <w:rsid w:val="00AD0172"/>
    <w:rsid w:val="00AD02EA"/>
    <w:rsid w:val="00AD0722"/>
    <w:rsid w:val="00AD0A7E"/>
    <w:rsid w:val="00AD0FAC"/>
    <w:rsid w:val="00AD1ABA"/>
    <w:rsid w:val="00AD21DD"/>
    <w:rsid w:val="00AD26FE"/>
    <w:rsid w:val="00AD28F1"/>
    <w:rsid w:val="00AD294C"/>
    <w:rsid w:val="00AD2ABF"/>
    <w:rsid w:val="00AD32C2"/>
    <w:rsid w:val="00AD364B"/>
    <w:rsid w:val="00AD397A"/>
    <w:rsid w:val="00AD3C0F"/>
    <w:rsid w:val="00AD4320"/>
    <w:rsid w:val="00AD453A"/>
    <w:rsid w:val="00AD4800"/>
    <w:rsid w:val="00AD4CDE"/>
    <w:rsid w:val="00AD4F0A"/>
    <w:rsid w:val="00AD7062"/>
    <w:rsid w:val="00AD7338"/>
    <w:rsid w:val="00AD73FA"/>
    <w:rsid w:val="00AD77A1"/>
    <w:rsid w:val="00AD7EE5"/>
    <w:rsid w:val="00AE042D"/>
    <w:rsid w:val="00AE07BD"/>
    <w:rsid w:val="00AE09EE"/>
    <w:rsid w:val="00AE0BFE"/>
    <w:rsid w:val="00AE0CEE"/>
    <w:rsid w:val="00AE0F32"/>
    <w:rsid w:val="00AE1403"/>
    <w:rsid w:val="00AE1543"/>
    <w:rsid w:val="00AE1735"/>
    <w:rsid w:val="00AE1B7B"/>
    <w:rsid w:val="00AE1DBB"/>
    <w:rsid w:val="00AE2168"/>
    <w:rsid w:val="00AE23D1"/>
    <w:rsid w:val="00AE2715"/>
    <w:rsid w:val="00AE2A17"/>
    <w:rsid w:val="00AE339F"/>
    <w:rsid w:val="00AE35F1"/>
    <w:rsid w:val="00AE369A"/>
    <w:rsid w:val="00AE37E4"/>
    <w:rsid w:val="00AE3F63"/>
    <w:rsid w:val="00AE4045"/>
    <w:rsid w:val="00AE46CF"/>
    <w:rsid w:val="00AE470F"/>
    <w:rsid w:val="00AE4A05"/>
    <w:rsid w:val="00AE5080"/>
    <w:rsid w:val="00AE5396"/>
    <w:rsid w:val="00AE571E"/>
    <w:rsid w:val="00AE5C0F"/>
    <w:rsid w:val="00AE66D0"/>
    <w:rsid w:val="00AE6984"/>
    <w:rsid w:val="00AE6D6A"/>
    <w:rsid w:val="00AE6DD7"/>
    <w:rsid w:val="00AE6DF0"/>
    <w:rsid w:val="00AE7746"/>
    <w:rsid w:val="00AE77F3"/>
    <w:rsid w:val="00AE7860"/>
    <w:rsid w:val="00AE7F83"/>
    <w:rsid w:val="00AF0048"/>
    <w:rsid w:val="00AF0252"/>
    <w:rsid w:val="00AF13CA"/>
    <w:rsid w:val="00AF1837"/>
    <w:rsid w:val="00AF2209"/>
    <w:rsid w:val="00AF2646"/>
    <w:rsid w:val="00AF27DB"/>
    <w:rsid w:val="00AF289A"/>
    <w:rsid w:val="00AF2DBF"/>
    <w:rsid w:val="00AF308E"/>
    <w:rsid w:val="00AF3B86"/>
    <w:rsid w:val="00AF3C30"/>
    <w:rsid w:val="00AF3C47"/>
    <w:rsid w:val="00AF3DB9"/>
    <w:rsid w:val="00AF3FE5"/>
    <w:rsid w:val="00AF402A"/>
    <w:rsid w:val="00AF40EF"/>
    <w:rsid w:val="00AF4A3D"/>
    <w:rsid w:val="00AF4C93"/>
    <w:rsid w:val="00AF53C9"/>
    <w:rsid w:val="00AF5878"/>
    <w:rsid w:val="00AF674E"/>
    <w:rsid w:val="00AF7618"/>
    <w:rsid w:val="00AF7642"/>
    <w:rsid w:val="00B00014"/>
    <w:rsid w:val="00B00B74"/>
    <w:rsid w:val="00B015F0"/>
    <w:rsid w:val="00B017FE"/>
    <w:rsid w:val="00B01D06"/>
    <w:rsid w:val="00B0258F"/>
    <w:rsid w:val="00B02A9D"/>
    <w:rsid w:val="00B02B02"/>
    <w:rsid w:val="00B0309F"/>
    <w:rsid w:val="00B03248"/>
    <w:rsid w:val="00B035DE"/>
    <w:rsid w:val="00B037E2"/>
    <w:rsid w:val="00B042B3"/>
    <w:rsid w:val="00B04549"/>
    <w:rsid w:val="00B04D59"/>
    <w:rsid w:val="00B0532C"/>
    <w:rsid w:val="00B05346"/>
    <w:rsid w:val="00B05723"/>
    <w:rsid w:val="00B05D5E"/>
    <w:rsid w:val="00B063E9"/>
    <w:rsid w:val="00B06742"/>
    <w:rsid w:val="00B07328"/>
    <w:rsid w:val="00B10150"/>
    <w:rsid w:val="00B1160E"/>
    <w:rsid w:val="00B117F4"/>
    <w:rsid w:val="00B11821"/>
    <w:rsid w:val="00B12E4D"/>
    <w:rsid w:val="00B1301D"/>
    <w:rsid w:val="00B1313E"/>
    <w:rsid w:val="00B133BE"/>
    <w:rsid w:val="00B13A98"/>
    <w:rsid w:val="00B13C7A"/>
    <w:rsid w:val="00B13E9A"/>
    <w:rsid w:val="00B148CE"/>
    <w:rsid w:val="00B148F2"/>
    <w:rsid w:val="00B14A46"/>
    <w:rsid w:val="00B14EAD"/>
    <w:rsid w:val="00B14FD6"/>
    <w:rsid w:val="00B157C3"/>
    <w:rsid w:val="00B15903"/>
    <w:rsid w:val="00B15DF3"/>
    <w:rsid w:val="00B163B5"/>
    <w:rsid w:val="00B167F4"/>
    <w:rsid w:val="00B1686C"/>
    <w:rsid w:val="00B16B2E"/>
    <w:rsid w:val="00B17211"/>
    <w:rsid w:val="00B1741C"/>
    <w:rsid w:val="00B178ED"/>
    <w:rsid w:val="00B17DDD"/>
    <w:rsid w:val="00B17E18"/>
    <w:rsid w:val="00B20E6A"/>
    <w:rsid w:val="00B21606"/>
    <w:rsid w:val="00B216AE"/>
    <w:rsid w:val="00B21741"/>
    <w:rsid w:val="00B217D2"/>
    <w:rsid w:val="00B21D4C"/>
    <w:rsid w:val="00B2289E"/>
    <w:rsid w:val="00B22E32"/>
    <w:rsid w:val="00B231F5"/>
    <w:rsid w:val="00B23A6A"/>
    <w:rsid w:val="00B24228"/>
    <w:rsid w:val="00B24524"/>
    <w:rsid w:val="00B247E4"/>
    <w:rsid w:val="00B248F3"/>
    <w:rsid w:val="00B24DEA"/>
    <w:rsid w:val="00B24FDF"/>
    <w:rsid w:val="00B255E8"/>
    <w:rsid w:val="00B257D6"/>
    <w:rsid w:val="00B25962"/>
    <w:rsid w:val="00B25B07"/>
    <w:rsid w:val="00B25BA0"/>
    <w:rsid w:val="00B25DAF"/>
    <w:rsid w:val="00B2669F"/>
    <w:rsid w:val="00B26967"/>
    <w:rsid w:val="00B2778E"/>
    <w:rsid w:val="00B2784E"/>
    <w:rsid w:val="00B27DE4"/>
    <w:rsid w:val="00B30BFA"/>
    <w:rsid w:val="00B30D90"/>
    <w:rsid w:val="00B30E41"/>
    <w:rsid w:val="00B30F54"/>
    <w:rsid w:val="00B31AA2"/>
    <w:rsid w:val="00B31E24"/>
    <w:rsid w:val="00B3295D"/>
    <w:rsid w:val="00B3295F"/>
    <w:rsid w:val="00B32A82"/>
    <w:rsid w:val="00B32E64"/>
    <w:rsid w:val="00B33093"/>
    <w:rsid w:val="00B3388C"/>
    <w:rsid w:val="00B33CF2"/>
    <w:rsid w:val="00B33EA0"/>
    <w:rsid w:val="00B33F82"/>
    <w:rsid w:val="00B33FA6"/>
    <w:rsid w:val="00B3404C"/>
    <w:rsid w:val="00B34C75"/>
    <w:rsid w:val="00B34ED2"/>
    <w:rsid w:val="00B34FC9"/>
    <w:rsid w:val="00B350F7"/>
    <w:rsid w:val="00B357B1"/>
    <w:rsid w:val="00B3585B"/>
    <w:rsid w:val="00B359A5"/>
    <w:rsid w:val="00B35AEE"/>
    <w:rsid w:val="00B35E62"/>
    <w:rsid w:val="00B35FE3"/>
    <w:rsid w:val="00B36089"/>
    <w:rsid w:val="00B36B64"/>
    <w:rsid w:val="00B36CF1"/>
    <w:rsid w:val="00B36DC1"/>
    <w:rsid w:val="00B403CA"/>
    <w:rsid w:val="00B40454"/>
    <w:rsid w:val="00B40AFB"/>
    <w:rsid w:val="00B40BE8"/>
    <w:rsid w:val="00B40D8D"/>
    <w:rsid w:val="00B41080"/>
    <w:rsid w:val="00B41B5F"/>
    <w:rsid w:val="00B41BE0"/>
    <w:rsid w:val="00B42084"/>
    <w:rsid w:val="00B42726"/>
    <w:rsid w:val="00B42B2B"/>
    <w:rsid w:val="00B42F9C"/>
    <w:rsid w:val="00B42FC5"/>
    <w:rsid w:val="00B439BF"/>
    <w:rsid w:val="00B43F9B"/>
    <w:rsid w:val="00B44041"/>
    <w:rsid w:val="00B44510"/>
    <w:rsid w:val="00B44D8A"/>
    <w:rsid w:val="00B45592"/>
    <w:rsid w:val="00B4563E"/>
    <w:rsid w:val="00B45D4B"/>
    <w:rsid w:val="00B45DC4"/>
    <w:rsid w:val="00B45E46"/>
    <w:rsid w:val="00B45F49"/>
    <w:rsid w:val="00B469E0"/>
    <w:rsid w:val="00B46AD3"/>
    <w:rsid w:val="00B47430"/>
    <w:rsid w:val="00B475DC"/>
    <w:rsid w:val="00B47657"/>
    <w:rsid w:val="00B502BB"/>
    <w:rsid w:val="00B50416"/>
    <w:rsid w:val="00B50479"/>
    <w:rsid w:val="00B504C7"/>
    <w:rsid w:val="00B50DF0"/>
    <w:rsid w:val="00B50ED6"/>
    <w:rsid w:val="00B5134E"/>
    <w:rsid w:val="00B51721"/>
    <w:rsid w:val="00B5191C"/>
    <w:rsid w:val="00B522BD"/>
    <w:rsid w:val="00B524D1"/>
    <w:rsid w:val="00B52507"/>
    <w:rsid w:val="00B52DEE"/>
    <w:rsid w:val="00B52E83"/>
    <w:rsid w:val="00B536F7"/>
    <w:rsid w:val="00B53A8E"/>
    <w:rsid w:val="00B54017"/>
    <w:rsid w:val="00B54176"/>
    <w:rsid w:val="00B542A2"/>
    <w:rsid w:val="00B54A65"/>
    <w:rsid w:val="00B54F3B"/>
    <w:rsid w:val="00B54F70"/>
    <w:rsid w:val="00B551BE"/>
    <w:rsid w:val="00B55408"/>
    <w:rsid w:val="00B55892"/>
    <w:rsid w:val="00B559A5"/>
    <w:rsid w:val="00B55A64"/>
    <w:rsid w:val="00B56789"/>
    <w:rsid w:val="00B56CE3"/>
    <w:rsid w:val="00B5710F"/>
    <w:rsid w:val="00B57CE5"/>
    <w:rsid w:val="00B603EB"/>
    <w:rsid w:val="00B605FF"/>
    <w:rsid w:val="00B615A5"/>
    <w:rsid w:val="00B61898"/>
    <w:rsid w:val="00B61967"/>
    <w:rsid w:val="00B62360"/>
    <w:rsid w:val="00B62785"/>
    <w:rsid w:val="00B62A86"/>
    <w:rsid w:val="00B62C95"/>
    <w:rsid w:val="00B62EA6"/>
    <w:rsid w:val="00B632F5"/>
    <w:rsid w:val="00B63A68"/>
    <w:rsid w:val="00B63B76"/>
    <w:rsid w:val="00B64A4C"/>
    <w:rsid w:val="00B65A46"/>
    <w:rsid w:val="00B65AC7"/>
    <w:rsid w:val="00B65B8D"/>
    <w:rsid w:val="00B65F5B"/>
    <w:rsid w:val="00B661E6"/>
    <w:rsid w:val="00B66933"/>
    <w:rsid w:val="00B66993"/>
    <w:rsid w:val="00B669CD"/>
    <w:rsid w:val="00B66AA1"/>
    <w:rsid w:val="00B66F0D"/>
    <w:rsid w:val="00B66FC1"/>
    <w:rsid w:val="00B671F3"/>
    <w:rsid w:val="00B67A5A"/>
    <w:rsid w:val="00B67A6A"/>
    <w:rsid w:val="00B67BD5"/>
    <w:rsid w:val="00B7004D"/>
    <w:rsid w:val="00B70F05"/>
    <w:rsid w:val="00B72224"/>
    <w:rsid w:val="00B72411"/>
    <w:rsid w:val="00B728C0"/>
    <w:rsid w:val="00B734C9"/>
    <w:rsid w:val="00B73C99"/>
    <w:rsid w:val="00B7431C"/>
    <w:rsid w:val="00B7466B"/>
    <w:rsid w:val="00B74E76"/>
    <w:rsid w:val="00B76DE0"/>
    <w:rsid w:val="00B7772E"/>
    <w:rsid w:val="00B779DA"/>
    <w:rsid w:val="00B779EC"/>
    <w:rsid w:val="00B77D9D"/>
    <w:rsid w:val="00B801DE"/>
    <w:rsid w:val="00B80364"/>
    <w:rsid w:val="00B81097"/>
    <w:rsid w:val="00B8127D"/>
    <w:rsid w:val="00B81C44"/>
    <w:rsid w:val="00B81CAA"/>
    <w:rsid w:val="00B822D8"/>
    <w:rsid w:val="00B82A51"/>
    <w:rsid w:val="00B8351D"/>
    <w:rsid w:val="00B839D4"/>
    <w:rsid w:val="00B83B6E"/>
    <w:rsid w:val="00B843FF"/>
    <w:rsid w:val="00B84438"/>
    <w:rsid w:val="00B84E1F"/>
    <w:rsid w:val="00B85824"/>
    <w:rsid w:val="00B85F0C"/>
    <w:rsid w:val="00B868C0"/>
    <w:rsid w:val="00B870B5"/>
    <w:rsid w:val="00B9078A"/>
    <w:rsid w:val="00B90A53"/>
    <w:rsid w:val="00B914CA"/>
    <w:rsid w:val="00B91716"/>
    <w:rsid w:val="00B9172F"/>
    <w:rsid w:val="00B91B16"/>
    <w:rsid w:val="00B91C07"/>
    <w:rsid w:val="00B91E55"/>
    <w:rsid w:val="00B91F67"/>
    <w:rsid w:val="00B92195"/>
    <w:rsid w:val="00B92856"/>
    <w:rsid w:val="00B92B1F"/>
    <w:rsid w:val="00B92C7F"/>
    <w:rsid w:val="00B9302F"/>
    <w:rsid w:val="00B93078"/>
    <w:rsid w:val="00B943AE"/>
    <w:rsid w:val="00B94492"/>
    <w:rsid w:val="00B947A5"/>
    <w:rsid w:val="00B94920"/>
    <w:rsid w:val="00B94D22"/>
    <w:rsid w:val="00B94E57"/>
    <w:rsid w:val="00B9550D"/>
    <w:rsid w:val="00B955EB"/>
    <w:rsid w:val="00B95742"/>
    <w:rsid w:val="00B95C42"/>
    <w:rsid w:val="00B95F9F"/>
    <w:rsid w:val="00B96855"/>
    <w:rsid w:val="00B96CB5"/>
    <w:rsid w:val="00B96E57"/>
    <w:rsid w:val="00B970F0"/>
    <w:rsid w:val="00B975CA"/>
    <w:rsid w:val="00B97818"/>
    <w:rsid w:val="00B97CC8"/>
    <w:rsid w:val="00BA0349"/>
    <w:rsid w:val="00BA0B59"/>
    <w:rsid w:val="00BA0CF1"/>
    <w:rsid w:val="00BA0F45"/>
    <w:rsid w:val="00BA1217"/>
    <w:rsid w:val="00BA122A"/>
    <w:rsid w:val="00BA123A"/>
    <w:rsid w:val="00BA19CB"/>
    <w:rsid w:val="00BA1C9E"/>
    <w:rsid w:val="00BA1CCA"/>
    <w:rsid w:val="00BA1D0C"/>
    <w:rsid w:val="00BA1E6A"/>
    <w:rsid w:val="00BA1F76"/>
    <w:rsid w:val="00BA1FFB"/>
    <w:rsid w:val="00BA238F"/>
    <w:rsid w:val="00BA2909"/>
    <w:rsid w:val="00BA2C62"/>
    <w:rsid w:val="00BA3019"/>
    <w:rsid w:val="00BA376D"/>
    <w:rsid w:val="00BA3BDE"/>
    <w:rsid w:val="00BA3E2B"/>
    <w:rsid w:val="00BA3F2C"/>
    <w:rsid w:val="00BA4363"/>
    <w:rsid w:val="00BA4559"/>
    <w:rsid w:val="00BA50AF"/>
    <w:rsid w:val="00BA518F"/>
    <w:rsid w:val="00BA5236"/>
    <w:rsid w:val="00BA53ED"/>
    <w:rsid w:val="00BA57F4"/>
    <w:rsid w:val="00BA65F4"/>
    <w:rsid w:val="00BA6F84"/>
    <w:rsid w:val="00BA7794"/>
    <w:rsid w:val="00BA7EC7"/>
    <w:rsid w:val="00BA7F24"/>
    <w:rsid w:val="00BB08FB"/>
    <w:rsid w:val="00BB10EB"/>
    <w:rsid w:val="00BB1FC5"/>
    <w:rsid w:val="00BB21AF"/>
    <w:rsid w:val="00BB21B6"/>
    <w:rsid w:val="00BB24C7"/>
    <w:rsid w:val="00BB275C"/>
    <w:rsid w:val="00BB2D98"/>
    <w:rsid w:val="00BB30F5"/>
    <w:rsid w:val="00BB3565"/>
    <w:rsid w:val="00BB3AAB"/>
    <w:rsid w:val="00BB3CEA"/>
    <w:rsid w:val="00BB40C1"/>
    <w:rsid w:val="00BB40EC"/>
    <w:rsid w:val="00BB55C3"/>
    <w:rsid w:val="00BB56DD"/>
    <w:rsid w:val="00BB5AFC"/>
    <w:rsid w:val="00BB6FB4"/>
    <w:rsid w:val="00BB7072"/>
    <w:rsid w:val="00BB717B"/>
    <w:rsid w:val="00BB773D"/>
    <w:rsid w:val="00BC07E4"/>
    <w:rsid w:val="00BC0AE9"/>
    <w:rsid w:val="00BC10FE"/>
    <w:rsid w:val="00BC1665"/>
    <w:rsid w:val="00BC1757"/>
    <w:rsid w:val="00BC22A1"/>
    <w:rsid w:val="00BC27DD"/>
    <w:rsid w:val="00BC3415"/>
    <w:rsid w:val="00BC3A8F"/>
    <w:rsid w:val="00BC3AE2"/>
    <w:rsid w:val="00BC3AFC"/>
    <w:rsid w:val="00BC4072"/>
    <w:rsid w:val="00BC52BB"/>
    <w:rsid w:val="00BC6349"/>
    <w:rsid w:val="00BC6A31"/>
    <w:rsid w:val="00BC6CE7"/>
    <w:rsid w:val="00BC752E"/>
    <w:rsid w:val="00BC75EC"/>
    <w:rsid w:val="00BD0615"/>
    <w:rsid w:val="00BD07CA"/>
    <w:rsid w:val="00BD0B98"/>
    <w:rsid w:val="00BD1495"/>
    <w:rsid w:val="00BD161F"/>
    <w:rsid w:val="00BD17D4"/>
    <w:rsid w:val="00BD1800"/>
    <w:rsid w:val="00BD1E63"/>
    <w:rsid w:val="00BD1F4B"/>
    <w:rsid w:val="00BD4094"/>
    <w:rsid w:val="00BD40EA"/>
    <w:rsid w:val="00BD562E"/>
    <w:rsid w:val="00BD635A"/>
    <w:rsid w:val="00BD6F67"/>
    <w:rsid w:val="00BD74FF"/>
    <w:rsid w:val="00BD790B"/>
    <w:rsid w:val="00BE0020"/>
    <w:rsid w:val="00BE0848"/>
    <w:rsid w:val="00BE0CA5"/>
    <w:rsid w:val="00BE1087"/>
    <w:rsid w:val="00BE14F6"/>
    <w:rsid w:val="00BE17F6"/>
    <w:rsid w:val="00BE1A21"/>
    <w:rsid w:val="00BE1B3D"/>
    <w:rsid w:val="00BE1C20"/>
    <w:rsid w:val="00BE1E8B"/>
    <w:rsid w:val="00BE2F2E"/>
    <w:rsid w:val="00BE303B"/>
    <w:rsid w:val="00BE333D"/>
    <w:rsid w:val="00BE35FD"/>
    <w:rsid w:val="00BE368A"/>
    <w:rsid w:val="00BE3EC8"/>
    <w:rsid w:val="00BE41E2"/>
    <w:rsid w:val="00BE42D2"/>
    <w:rsid w:val="00BE5206"/>
    <w:rsid w:val="00BE5932"/>
    <w:rsid w:val="00BE59DE"/>
    <w:rsid w:val="00BE5DEF"/>
    <w:rsid w:val="00BE5E7D"/>
    <w:rsid w:val="00BE6433"/>
    <w:rsid w:val="00BE6602"/>
    <w:rsid w:val="00BE6851"/>
    <w:rsid w:val="00BE6FC7"/>
    <w:rsid w:val="00BE700F"/>
    <w:rsid w:val="00BE706E"/>
    <w:rsid w:val="00BE7B13"/>
    <w:rsid w:val="00BF004F"/>
    <w:rsid w:val="00BF00E1"/>
    <w:rsid w:val="00BF0811"/>
    <w:rsid w:val="00BF0989"/>
    <w:rsid w:val="00BF13C8"/>
    <w:rsid w:val="00BF154F"/>
    <w:rsid w:val="00BF1601"/>
    <w:rsid w:val="00BF1893"/>
    <w:rsid w:val="00BF18EC"/>
    <w:rsid w:val="00BF1B31"/>
    <w:rsid w:val="00BF1E9D"/>
    <w:rsid w:val="00BF27E1"/>
    <w:rsid w:val="00BF2E0E"/>
    <w:rsid w:val="00BF32AF"/>
    <w:rsid w:val="00BF366C"/>
    <w:rsid w:val="00BF37F3"/>
    <w:rsid w:val="00BF4BC7"/>
    <w:rsid w:val="00BF4DEB"/>
    <w:rsid w:val="00BF512F"/>
    <w:rsid w:val="00BF5505"/>
    <w:rsid w:val="00BF6197"/>
    <w:rsid w:val="00BF6367"/>
    <w:rsid w:val="00BF645F"/>
    <w:rsid w:val="00BF6704"/>
    <w:rsid w:val="00BF6A53"/>
    <w:rsid w:val="00BF6B82"/>
    <w:rsid w:val="00BF6EB1"/>
    <w:rsid w:val="00BF74F0"/>
    <w:rsid w:val="00C00009"/>
    <w:rsid w:val="00C000F4"/>
    <w:rsid w:val="00C00B87"/>
    <w:rsid w:val="00C00F5C"/>
    <w:rsid w:val="00C0136F"/>
    <w:rsid w:val="00C029EF"/>
    <w:rsid w:val="00C02A28"/>
    <w:rsid w:val="00C03F42"/>
    <w:rsid w:val="00C03F44"/>
    <w:rsid w:val="00C03FC5"/>
    <w:rsid w:val="00C04210"/>
    <w:rsid w:val="00C0431F"/>
    <w:rsid w:val="00C04DBB"/>
    <w:rsid w:val="00C0500A"/>
    <w:rsid w:val="00C05741"/>
    <w:rsid w:val="00C05F21"/>
    <w:rsid w:val="00C06366"/>
    <w:rsid w:val="00C06A56"/>
    <w:rsid w:val="00C0727C"/>
    <w:rsid w:val="00C075BD"/>
    <w:rsid w:val="00C07E6B"/>
    <w:rsid w:val="00C10052"/>
    <w:rsid w:val="00C10081"/>
    <w:rsid w:val="00C107C4"/>
    <w:rsid w:val="00C107E4"/>
    <w:rsid w:val="00C10B34"/>
    <w:rsid w:val="00C10E9F"/>
    <w:rsid w:val="00C1164E"/>
    <w:rsid w:val="00C118EA"/>
    <w:rsid w:val="00C1191A"/>
    <w:rsid w:val="00C12459"/>
    <w:rsid w:val="00C12476"/>
    <w:rsid w:val="00C124BF"/>
    <w:rsid w:val="00C12598"/>
    <w:rsid w:val="00C1283F"/>
    <w:rsid w:val="00C12EBE"/>
    <w:rsid w:val="00C13478"/>
    <w:rsid w:val="00C13A66"/>
    <w:rsid w:val="00C13ADC"/>
    <w:rsid w:val="00C1407E"/>
    <w:rsid w:val="00C143C5"/>
    <w:rsid w:val="00C14555"/>
    <w:rsid w:val="00C1480E"/>
    <w:rsid w:val="00C14B2C"/>
    <w:rsid w:val="00C15604"/>
    <w:rsid w:val="00C15754"/>
    <w:rsid w:val="00C1579F"/>
    <w:rsid w:val="00C162F4"/>
    <w:rsid w:val="00C1693D"/>
    <w:rsid w:val="00C1704F"/>
    <w:rsid w:val="00C17690"/>
    <w:rsid w:val="00C1772E"/>
    <w:rsid w:val="00C17AA5"/>
    <w:rsid w:val="00C20161"/>
    <w:rsid w:val="00C201BD"/>
    <w:rsid w:val="00C203D7"/>
    <w:rsid w:val="00C208B4"/>
    <w:rsid w:val="00C20E85"/>
    <w:rsid w:val="00C2173D"/>
    <w:rsid w:val="00C21B28"/>
    <w:rsid w:val="00C22888"/>
    <w:rsid w:val="00C22A6C"/>
    <w:rsid w:val="00C23139"/>
    <w:rsid w:val="00C235BA"/>
    <w:rsid w:val="00C23D71"/>
    <w:rsid w:val="00C24F8E"/>
    <w:rsid w:val="00C25180"/>
    <w:rsid w:val="00C25276"/>
    <w:rsid w:val="00C254E9"/>
    <w:rsid w:val="00C25FCD"/>
    <w:rsid w:val="00C260FC"/>
    <w:rsid w:val="00C26A47"/>
    <w:rsid w:val="00C26E54"/>
    <w:rsid w:val="00C26F85"/>
    <w:rsid w:val="00C30288"/>
    <w:rsid w:val="00C30EFE"/>
    <w:rsid w:val="00C3143E"/>
    <w:rsid w:val="00C317F6"/>
    <w:rsid w:val="00C31EED"/>
    <w:rsid w:val="00C3203B"/>
    <w:rsid w:val="00C32111"/>
    <w:rsid w:val="00C327DB"/>
    <w:rsid w:val="00C32917"/>
    <w:rsid w:val="00C3296F"/>
    <w:rsid w:val="00C32B9E"/>
    <w:rsid w:val="00C32BC8"/>
    <w:rsid w:val="00C32D49"/>
    <w:rsid w:val="00C33571"/>
    <w:rsid w:val="00C33686"/>
    <w:rsid w:val="00C339A4"/>
    <w:rsid w:val="00C33D50"/>
    <w:rsid w:val="00C3474D"/>
    <w:rsid w:val="00C348E8"/>
    <w:rsid w:val="00C34D2A"/>
    <w:rsid w:val="00C35216"/>
    <w:rsid w:val="00C35715"/>
    <w:rsid w:val="00C35827"/>
    <w:rsid w:val="00C3587D"/>
    <w:rsid w:val="00C35C51"/>
    <w:rsid w:val="00C360F7"/>
    <w:rsid w:val="00C363C5"/>
    <w:rsid w:val="00C36D03"/>
    <w:rsid w:val="00C406F0"/>
    <w:rsid w:val="00C40925"/>
    <w:rsid w:val="00C41166"/>
    <w:rsid w:val="00C4150B"/>
    <w:rsid w:val="00C41557"/>
    <w:rsid w:val="00C420F3"/>
    <w:rsid w:val="00C42200"/>
    <w:rsid w:val="00C429ED"/>
    <w:rsid w:val="00C42E90"/>
    <w:rsid w:val="00C4325F"/>
    <w:rsid w:val="00C440B3"/>
    <w:rsid w:val="00C440F6"/>
    <w:rsid w:val="00C44298"/>
    <w:rsid w:val="00C452DC"/>
    <w:rsid w:val="00C458A4"/>
    <w:rsid w:val="00C46350"/>
    <w:rsid w:val="00C464F2"/>
    <w:rsid w:val="00C465FD"/>
    <w:rsid w:val="00C475F2"/>
    <w:rsid w:val="00C47B78"/>
    <w:rsid w:val="00C47F69"/>
    <w:rsid w:val="00C508A3"/>
    <w:rsid w:val="00C5121A"/>
    <w:rsid w:val="00C51535"/>
    <w:rsid w:val="00C5168F"/>
    <w:rsid w:val="00C51876"/>
    <w:rsid w:val="00C51A95"/>
    <w:rsid w:val="00C51BE1"/>
    <w:rsid w:val="00C5204A"/>
    <w:rsid w:val="00C52EFD"/>
    <w:rsid w:val="00C5304C"/>
    <w:rsid w:val="00C53215"/>
    <w:rsid w:val="00C532E5"/>
    <w:rsid w:val="00C539D5"/>
    <w:rsid w:val="00C53FD2"/>
    <w:rsid w:val="00C5474B"/>
    <w:rsid w:val="00C55904"/>
    <w:rsid w:val="00C55E22"/>
    <w:rsid w:val="00C55E97"/>
    <w:rsid w:val="00C55EDD"/>
    <w:rsid w:val="00C56628"/>
    <w:rsid w:val="00C56757"/>
    <w:rsid w:val="00C56B0B"/>
    <w:rsid w:val="00C5738C"/>
    <w:rsid w:val="00C579F0"/>
    <w:rsid w:val="00C57BD9"/>
    <w:rsid w:val="00C6031C"/>
    <w:rsid w:val="00C605CA"/>
    <w:rsid w:val="00C606D2"/>
    <w:rsid w:val="00C606FA"/>
    <w:rsid w:val="00C607E7"/>
    <w:rsid w:val="00C60D8D"/>
    <w:rsid w:val="00C616C3"/>
    <w:rsid w:val="00C6172D"/>
    <w:rsid w:val="00C61CC1"/>
    <w:rsid w:val="00C61CF5"/>
    <w:rsid w:val="00C61E1B"/>
    <w:rsid w:val="00C625A6"/>
    <w:rsid w:val="00C62AD0"/>
    <w:rsid w:val="00C62AED"/>
    <w:rsid w:val="00C62C80"/>
    <w:rsid w:val="00C62D79"/>
    <w:rsid w:val="00C634EF"/>
    <w:rsid w:val="00C636B1"/>
    <w:rsid w:val="00C63752"/>
    <w:rsid w:val="00C63BD7"/>
    <w:rsid w:val="00C63E02"/>
    <w:rsid w:val="00C647DA"/>
    <w:rsid w:val="00C65148"/>
    <w:rsid w:val="00C653BC"/>
    <w:rsid w:val="00C6552C"/>
    <w:rsid w:val="00C6576C"/>
    <w:rsid w:val="00C6613A"/>
    <w:rsid w:val="00C66B39"/>
    <w:rsid w:val="00C67355"/>
    <w:rsid w:val="00C678CE"/>
    <w:rsid w:val="00C67A90"/>
    <w:rsid w:val="00C67A91"/>
    <w:rsid w:val="00C702FE"/>
    <w:rsid w:val="00C70339"/>
    <w:rsid w:val="00C70F7D"/>
    <w:rsid w:val="00C71156"/>
    <w:rsid w:val="00C71768"/>
    <w:rsid w:val="00C71E46"/>
    <w:rsid w:val="00C72171"/>
    <w:rsid w:val="00C72C7C"/>
    <w:rsid w:val="00C72E61"/>
    <w:rsid w:val="00C73224"/>
    <w:rsid w:val="00C735C4"/>
    <w:rsid w:val="00C73A83"/>
    <w:rsid w:val="00C73F83"/>
    <w:rsid w:val="00C74633"/>
    <w:rsid w:val="00C74812"/>
    <w:rsid w:val="00C74823"/>
    <w:rsid w:val="00C74C24"/>
    <w:rsid w:val="00C753D9"/>
    <w:rsid w:val="00C75525"/>
    <w:rsid w:val="00C759D7"/>
    <w:rsid w:val="00C75A23"/>
    <w:rsid w:val="00C75FC3"/>
    <w:rsid w:val="00C765F6"/>
    <w:rsid w:val="00C771B3"/>
    <w:rsid w:val="00C7742E"/>
    <w:rsid w:val="00C77923"/>
    <w:rsid w:val="00C77A72"/>
    <w:rsid w:val="00C77AE8"/>
    <w:rsid w:val="00C81066"/>
    <w:rsid w:val="00C81551"/>
    <w:rsid w:val="00C821BE"/>
    <w:rsid w:val="00C82279"/>
    <w:rsid w:val="00C82283"/>
    <w:rsid w:val="00C833AF"/>
    <w:rsid w:val="00C842ED"/>
    <w:rsid w:val="00C84421"/>
    <w:rsid w:val="00C84C1B"/>
    <w:rsid w:val="00C84E50"/>
    <w:rsid w:val="00C85789"/>
    <w:rsid w:val="00C860F1"/>
    <w:rsid w:val="00C861C1"/>
    <w:rsid w:val="00C8633F"/>
    <w:rsid w:val="00C8635B"/>
    <w:rsid w:val="00C864AB"/>
    <w:rsid w:val="00C86D26"/>
    <w:rsid w:val="00C86F3B"/>
    <w:rsid w:val="00C87529"/>
    <w:rsid w:val="00C87879"/>
    <w:rsid w:val="00C903AE"/>
    <w:rsid w:val="00C90528"/>
    <w:rsid w:val="00C90779"/>
    <w:rsid w:val="00C9095F"/>
    <w:rsid w:val="00C90960"/>
    <w:rsid w:val="00C90E82"/>
    <w:rsid w:val="00C90EC2"/>
    <w:rsid w:val="00C9113B"/>
    <w:rsid w:val="00C91C2E"/>
    <w:rsid w:val="00C92003"/>
    <w:rsid w:val="00C9223A"/>
    <w:rsid w:val="00C928F5"/>
    <w:rsid w:val="00C929E1"/>
    <w:rsid w:val="00C92D27"/>
    <w:rsid w:val="00C93052"/>
    <w:rsid w:val="00C9365D"/>
    <w:rsid w:val="00C937E9"/>
    <w:rsid w:val="00C93C25"/>
    <w:rsid w:val="00C94324"/>
    <w:rsid w:val="00C944F8"/>
    <w:rsid w:val="00C94A91"/>
    <w:rsid w:val="00C94AB9"/>
    <w:rsid w:val="00C954EA"/>
    <w:rsid w:val="00C95C38"/>
    <w:rsid w:val="00C95CBF"/>
    <w:rsid w:val="00C95DD9"/>
    <w:rsid w:val="00C96233"/>
    <w:rsid w:val="00C96390"/>
    <w:rsid w:val="00C9643E"/>
    <w:rsid w:val="00C964FB"/>
    <w:rsid w:val="00C97079"/>
    <w:rsid w:val="00CA027A"/>
    <w:rsid w:val="00CA06B6"/>
    <w:rsid w:val="00CA07F7"/>
    <w:rsid w:val="00CA0BA5"/>
    <w:rsid w:val="00CA27FA"/>
    <w:rsid w:val="00CA27FB"/>
    <w:rsid w:val="00CA3301"/>
    <w:rsid w:val="00CA34E5"/>
    <w:rsid w:val="00CA34EF"/>
    <w:rsid w:val="00CA3B9E"/>
    <w:rsid w:val="00CA3E7F"/>
    <w:rsid w:val="00CA4279"/>
    <w:rsid w:val="00CA5383"/>
    <w:rsid w:val="00CA5422"/>
    <w:rsid w:val="00CA5905"/>
    <w:rsid w:val="00CA5D97"/>
    <w:rsid w:val="00CA5E2E"/>
    <w:rsid w:val="00CA6196"/>
    <w:rsid w:val="00CA659B"/>
    <w:rsid w:val="00CA6789"/>
    <w:rsid w:val="00CA69F4"/>
    <w:rsid w:val="00CA746C"/>
    <w:rsid w:val="00CA7A65"/>
    <w:rsid w:val="00CA7F6F"/>
    <w:rsid w:val="00CA7F83"/>
    <w:rsid w:val="00CB006B"/>
    <w:rsid w:val="00CB0763"/>
    <w:rsid w:val="00CB0990"/>
    <w:rsid w:val="00CB09B0"/>
    <w:rsid w:val="00CB0D2C"/>
    <w:rsid w:val="00CB16F6"/>
    <w:rsid w:val="00CB1A09"/>
    <w:rsid w:val="00CB1AE5"/>
    <w:rsid w:val="00CB1DA6"/>
    <w:rsid w:val="00CB21D2"/>
    <w:rsid w:val="00CB25DF"/>
    <w:rsid w:val="00CB2F24"/>
    <w:rsid w:val="00CB3474"/>
    <w:rsid w:val="00CB347B"/>
    <w:rsid w:val="00CB37BC"/>
    <w:rsid w:val="00CB3CDA"/>
    <w:rsid w:val="00CB3D54"/>
    <w:rsid w:val="00CB3EB7"/>
    <w:rsid w:val="00CB3F03"/>
    <w:rsid w:val="00CB4301"/>
    <w:rsid w:val="00CB4319"/>
    <w:rsid w:val="00CB4CEF"/>
    <w:rsid w:val="00CB50FB"/>
    <w:rsid w:val="00CB5480"/>
    <w:rsid w:val="00CB59B8"/>
    <w:rsid w:val="00CB6A22"/>
    <w:rsid w:val="00CB6D51"/>
    <w:rsid w:val="00CB6E71"/>
    <w:rsid w:val="00CB6F9E"/>
    <w:rsid w:val="00CB70E2"/>
    <w:rsid w:val="00CB7511"/>
    <w:rsid w:val="00CB76AF"/>
    <w:rsid w:val="00CB7C4F"/>
    <w:rsid w:val="00CB7F3D"/>
    <w:rsid w:val="00CC014C"/>
    <w:rsid w:val="00CC02E9"/>
    <w:rsid w:val="00CC09A7"/>
    <w:rsid w:val="00CC0E38"/>
    <w:rsid w:val="00CC0E58"/>
    <w:rsid w:val="00CC1AAC"/>
    <w:rsid w:val="00CC21F0"/>
    <w:rsid w:val="00CC274F"/>
    <w:rsid w:val="00CC28BC"/>
    <w:rsid w:val="00CC3124"/>
    <w:rsid w:val="00CC320E"/>
    <w:rsid w:val="00CC3245"/>
    <w:rsid w:val="00CC324B"/>
    <w:rsid w:val="00CC3691"/>
    <w:rsid w:val="00CC36E7"/>
    <w:rsid w:val="00CC3F6E"/>
    <w:rsid w:val="00CC4525"/>
    <w:rsid w:val="00CC4933"/>
    <w:rsid w:val="00CC5F41"/>
    <w:rsid w:val="00CC6A25"/>
    <w:rsid w:val="00CC6CD2"/>
    <w:rsid w:val="00CC76C2"/>
    <w:rsid w:val="00CC7B0F"/>
    <w:rsid w:val="00CC7D02"/>
    <w:rsid w:val="00CD01DB"/>
    <w:rsid w:val="00CD094C"/>
    <w:rsid w:val="00CD0B40"/>
    <w:rsid w:val="00CD0B60"/>
    <w:rsid w:val="00CD1004"/>
    <w:rsid w:val="00CD12E5"/>
    <w:rsid w:val="00CD134C"/>
    <w:rsid w:val="00CD19ED"/>
    <w:rsid w:val="00CD1B01"/>
    <w:rsid w:val="00CD1CEA"/>
    <w:rsid w:val="00CD1DE3"/>
    <w:rsid w:val="00CD1EFB"/>
    <w:rsid w:val="00CD1F8F"/>
    <w:rsid w:val="00CD2403"/>
    <w:rsid w:val="00CD2E05"/>
    <w:rsid w:val="00CD313B"/>
    <w:rsid w:val="00CD33C9"/>
    <w:rsid w:val="00CD3A32"/>
    <w:rsid w:val="00CD3A9F"/>
    <w:rsid w:val="00CD3BE7"/>
    <w:rsid w:val="00CD3F15"/>
    <w:rsid w:val="00CD445B"/>
    <w:rsid w:val="00CD4B54"/>
    <w:rsid w:val="00CD4C92"/>
    <w:rsid w:val="00CD5143"/>
    <w:rsid w:val="00CD52B5"/>
    <w:rsid w:val="00CD5DD3"/>
    <w:rsid w:val="00CD6209"/>
    <w:rsid w:val="00CD65E7"/>
    <w:rsid w:val="00CD682C"/>
    <w:rsid w:val="00CD6833"/>
    <w:rsid w:val="00CD6D00"/>
    <w:rsid w:val="00CD711D"/>
    <w:rsid w:val="00CD718B"/>
    <w:rsid w:val="00CD71E3"/>
    <w:rsid w:val="00CE030F"/>
    <w:rsid w:val="00CE0473"/>
    <w:rsid w:val="00CE0591"/>
    <w:rsid w:val="00CE05A9"/>
    <w:rsid w:val="00CE064D"/>
    <w:rsid w:val="00CE0943"/>
    <w:rsid w:val="00CE0EC7"/>
    <w:rsid w:val="00CE128F"/>
    <w:rsid w:val="00CE2FB2"/>
    <w:rsid w:val="00CE3F2A"/>
    <w:rsid w:val="00CE4A9E"/>
    <w:rsid w:val="00CE4D7C"/>
    <w:rsid w:val="00CE5010"/>
    <w:rsid w:val="00CE50D0"/>
    <w:rsid w:val="00CE5F0A"/>
    <w:rsid w:val="00CE614D"/>
    <w:rsid w:val="00CE61A3"/>
    <w:rsid w:val="00CE61D1"/>
    <w:rsid w:val="00CE66A4"/>
    <w:rsid w:val="00CE6BD5"/>
    <w:rsid w:val="00CE6BDE"/>
    <w:rsid w:val="00CE6D0D"/>
    <w:rsid w:val="00CE7416"/>
    <w:rsid w:val="00CE7471"/>
    <w:rsid w:val="00CE762B"/>
    <w:rsid w:val="00CE76B4"/>
    <w:rsid w:val="00CE79F3"/>
    <w:rsid w:val="00CE7AAA"/>
    <w:rsid w:val="00CF0CAE"/>
    <w:rsid w:val="00CF2320"/>
    <w:rsid w:val="00CF25D6"/>
    <w:rsid w:val="00CF38C2"/>
    <w:rsid w:val="00CF404B"/>
    <w:rsid w:val="00CF5074"/>
    <w:rsid w:val="00CF5CEB"/>
    <w:rsid w:val="00CF65DF"/>
    <w:rsid w:val="00CF6822"/>
    <w:rsid w:val="00CF6A32"/>
    <w:rsid w:val="00CF6EA0"/>
    <w:rsid w:val="00CF7266"/>
    <w:rsid w:val="00CF799A"/>
    <w:rsid w:val="00CF7B19"/>
    <w:rsid w:val="00CF7EB4"/>
    <w:rsid w:val="00D00533"/>
    <w:rsid w:val="00D00D80"/>
    <w:rsid w:val="00D0103C"/>
    <w:rsid w:val="00D013A5"/>
    <w:rsid w:val="00D01659"/>
    <w:rsid w:val="00D0167A"/>
    <w:rsid w:val="00D019BD"/>
    <w:rsid w:val="00D01C0A"/>
    <w:rsid w:val="00D01E95"/>
    <w:rsid w:val="00D02288"/>
    <w:rsid w:val="00D025A0"/>
    <w:rsid w:val="00D028C3"/>
    <w:rsid w:val="00D0294C"/>
    <w:rsid w:val="00D02FFE"/>
    <w:rsid w:val="00D0371E"/>
    <w:rsid w:val="00D038FF"/>
    <w:rsid w:val="00D03BA3"/>
    <w:rsid w:val="00D03CB6"/>
    <w:rsid w:val="00D03D9B"/>
    <w:rsid w:val="00D03F95"/>
    <w:rsid w:val="00D04975"/>
    <w:rsid w:val="00D050C3"/>
    <w:rsid w:val="00D05172"/>
    <w:rsid w:val="00D05359"/>
    <w:rsid w:val="00D062E5"/>
    <w:rsid w:val="00D064C3"/>
    <w:rsid w:val="00D06E01"/>
    <w:rsid w:val="00D0706F"/>
    <w:rsid w:val="00D10504"/>
    <w:rsid w:val="00D10E5C"/>
    <w:rsid w:val="00D115AD"/>
    <w:rsid w:val="00D11A00"/>
    <w:rsid w:val="00D11AC7"/>
    <w:rsid w:val="00D11BB9"/>
    <w:rsid w:val="00D1267A"/>
    <w:rsid w:val="00D12755"/>
    <w:rsid w:val="00D12B44"/>
    <w:rsid w:val="00D12DB4"/>
    <w:rsid w:val="00D1395A"/>
    <w:rsid w:val="00D13E1E"/>
    <w:rsid w:val="00D13E6F"/>
    <w:rsid w:val="00D13F92"/>
    <w:rsid w:val="00D144E7"/>
    <w:rsid w:val="00D1482F"/>
    <w:rsid w:val="00D14C82"/>
    <w:rsid w:val="00D151B0"/>
    <w:rsid w:val="00D1562D"/>
    <w:rsid w:val="00D15896"/>
    <w:rsid w:val="00D15CCB"/>
    <w:rsid w:val="00D16109"/>
    <w:rsid w:val="00D1636C"/>
    <w:rsid w:val="00D16572"/>
    <w:rsid w:val="00D169FC"/>
    <w:rsid w:val="00D16A68"/>
    <w:rsid w:val="00D16B5F"/>
    <w:rsid w:val="00D16C3A"/>
    <w:rsid w:val="00D17AFF"/>
    <w:rsid w:val="00D20318"/>
    <w:rsid w:val="00D20887"/>
    <w:rsid w:val="00D20D79"/>
    <w:rsid w:val="00D20DBD"/>
    <w:rsid w:val="00D20E1F"/>
    <w:rsid w:val="00D21085"/>
    <w:rsid w:val="00D21614"/>
    <w:rsid w:val="00D21E13"/>
    <w:rsid w:val="00D2334C"/>
    <w:rsid w:val="00D23414"/>
    <w:rsid w:val="00D23561"/>
    <w:rsid w:val="00D23B74"/>
    <w:rsid w:val="00D23C77"/>
    <w:rsid w:val="00D24409"/>
    <w:rsid w:val="00D250CB"/>
    <w:rsid w:val="00D25683"/>
    <w:rsid w:val="00D25D20"/>
    <w:rsid w:val="00D25EFE"/>
    <w:rsid w:val="00D261CC"/>
    <w:rsid w:val="00D263EB"/>
    <w:rsid w:val="00D2683B"/>
    <w:rsid w:val="00D27470"/>
    <w:rsid w:val="00D27CA8"/>
    <w:rsid w:val="00D30524"/>
    <w:rsid w:val="00D30D50"/>
    <w:rsid w:val="00D31012"/>
    <w:rsid w:val="00D31CF5"/>
    <w:rsid w:val="00D31EC4"/>
    <w:rsid w:val="00D31F4F"/>
    <w:rsid w:val="00D321A4"/>
    <w:rsid w:val="00D326BB"/>
    <w:rsid w:val="00D32CB7"/>
    <w:rsid w:val="00D33906"/>
    <w:rsid w:val="00D33944"/>
    <w:rsid w:val="00D33A50"/>
    <w:rsid w:val="00D33DB1"/>
    <w:rsid w:val="00D348E3"/>
    <w:rsid w:val="00D34925"/>
    <w:rsid w:val="00D34D7F"/>
    <w:rsid w:val="00D34F27"/>
    <w:rsid w:val="00D34FA3"/>
    <w:rsid w:val="00D35062"/>
    <w:rsid w:val="00D355C6"/>
    <w:rsid w:val="00D35E8D"/>
    <w:rsid w:val="00D36297"/>
    <w:rsid w:val="00D36504"/>
    <w:rsid w:val="00D36845"/>
    <w:rsid w:val="00D36CFC"/>
    <w:rsid w:val="00D378E4"/>
    <w:rsid w:val="00D40837"/>
    <w:rsid w:val="00D4152D"/>
    <w:rsid w:val="00D418C5"/>
    <w:rsid w:val="00D42C49"/>
    <w:rsid w:val="00D431D7"/>
    <w:rsid w:val="00D431E0"/>
    <w:rsid w:val="00D436E2"/>
    <w:rsid w:val="00D43CE4"/>
    <w:rsid w:val="00D44478"/>
    <w:rsid w:val="00D44930"/>
    <w:rsid w:val="00D44C45"/>
    <w:rsid w:val="00D44DAC"/>
    <w:rsid w:val="00D44DCA"/>
    <w:rsid w:val="00D4549F"/>
    <w:rsid w:val="00D45BF5"/>
    <w:rsid w:val="00D45FEA"/>
    <w:rsid w:val="00D467E9"/>
    <w:rsid w:val="00D47217"/>
    <w:rsid w:val="00D474B3"/>
    <w:rsid w:val="00D47E59"/>
    <w:rsid w:val="00D47F18"/>
    <w:rsid w:val="00D50379"/>
    <w:rsid w:val="00D508CF"/>
    <w:rsid w:val="00D50CAD"/>
    <w:rsid w:val="00D51367"/>
    <w:rsid w:val="00D514BE"/>
    <w:rsid w:val="00D5237D"/>
    <w:rsid w:val="00D525EF"/>
    <w:rsid w:val="00D530AE"/>
    <w:rsid w:val="00D534A8"/>
    <w:rsid w:val="00D5368B"/>
    <w:rsid w:val="00D536C2"/>
    <w:rsid w:val="00D5489A"/>
    <w:rsid w:val="00D54A38"/>
    <w:rsid w:val="00D54A6B"/>
    <w:rsid w:val="00D54DCE"/>
    <w:rsid w:val="00D55110"/>
    <w:rsid w:val="00D555CE"/>
    <w:rsid w:val="00D559DA"/>
    <w:rsid w:val="00D55A94"/>
    <w:rsid w:val="00D55ABF"/>
    <w:rsid w:val="00D5604F"/>
    <w:rsid w:val="00D5610B"/>
    <w:rsid w:val="00D562A2"/>
    <w:rsid w:val="00D56547"/>
    <w:rsid w:val="00D570E6"/>
    <w:rsid w:val="00D5722C"/>
    <w:rsid w:val="00D57276"/>
    <w:rsid w:val="00D57898"/>
    <w:rsid w:val="00D579CD"/>
    <w:rsid w:val="00D605B2"/>
    <w:rsid w:val="00D60898"/>
    <w:rsid w:val="00D60A16"/>
    <w:rsid w:val="00D60FDD"/>
    <w:rsid w:val="00D61A70"/>
    <w:rsid w:val="00D61B39"/>
    <w:rsid w:val="00D61BC4"/>
    <w:rsid w:val="00D61E76"/>
    <w:rsid w:val="00D62037"/>
    <w:rsid w:val="00D62089"/>
    <w:rsid w:val="00D6247C"/>
    <w:rsid w:val="00D62ACB"/>
    <w:rsid w:val="00D62EB6"/>
    <w:rsid w:val="00D645E1"/>
    <w:rsid w:val="00D646F8"/>
    <w:rsid w:val="00D64B8D"/>
    <w:rsid w:val="00D663B8"/>
    <w:rsid w:val="00D673E5"/>
    <w:rsid w:val="00D67506"/>
    <w:rsid w:val="00D67CFB"/>
    <w:rsid w:val="00D67F23"/>
    <w:rsid w:val="00D709B9"/>
    <w:rsid w:val="00D70A96"/>
    <w:rsid w:val="00D70B33"/>
    <w:rsid w:val="00D70BE2"/>
    <w:rsid w:val="00D712D0"/>
    <w:rsid w:val="00D716EB"/>
    <w:rsid w:val="00D71DEF"/>
    <w:rsid w:val="00D7230F"/>
    <w:rsid w:val="00D726F2"/>
    <w:rsid w:val="00D72CFE"/>
    <w:rsid w:val="00D72D66"/>
    <w:rsid w:val="00D738AD"/>
    <w:rsid w:val="00D73C93"/>
    <w:rsid w:val="00D742B8"/>
    <w:rsid w:val="00D749D7"/>
    <w:rsid w:val="00D75035"/>
    <w:rsid w:val="00D750B2"/>
    <w:rsid w:val="00D754E0"/>
    <w:rsid w:val="00D7572D"/>
    <w:rsid w:val="00D76130"/>
    <w:rsid w:val="00D76263"/>
    <w:rsid w:val="00D77B0D"/>
    <w:rsid w:val="00D77D4F"/>
    <w:rsid w:val="00D801AD"/>
    <w:rsid w:val="00D805F0"/>
    <w:rsid w:val="00D80A1A"/>
    <w:rsid w:val="00D80EA4"/>
    <w:rsid w:val="00D81063"/>
    <w:rsid w:val="00D814F3"/>
    <w:rsid w:val="00D81E7B"/>
    <w:rsid w:val="00D81EC3"/>
    <w:rsid w:val="00D82385"/>
    <w:rsid w:val="00D8248D"/>
    <w:rsid w:val="00D82780"/>
    <w:rsid w:val="00D82B6A"/>
    <w:rsid w:val="00D82D51"/>
    <w:rsid w:val="00D839A0"/>
    <w:rsid w:val="00D83FC5"/>
    <w:rsid w:val="00D849CC"/>
    <w:rsid w:val="00D84A1C"/>
    <w:rsid w:val="00D84D00"/>
    <w:rsid w:val="00D853A5"/>
    <w:rsid w:val="00D85572"/>
    <w:rsid w:val="00D8585F"/>
    <w:rsid w:val="00D8604B"/>
    <w:rsid w:val="00D86491"/>
    <w:rsid w:val="00D869B2"/>
    <w:rsid w:val="00D870A8"/>
    <w:rsid w:val="00D87234"/>
    <w:rsid w:val="00D87D9A"/>
    <w:rsid w:val="00D87E49"/>
    <w:rsid w:val="00D90118"/>
    <w:rsid w:val="00D90BB1"/>
    <w:rsid w:val="00D912AE"/>
    <w:rsid w:val="00D914F3"/>
    <w:rsid w:val="00D915F0"/>
    <w:rsid w:val="00D91823"/>
    <w:rsid w:val="00D92205"/>
    <w:rsid w:val="00D92210"/>
    <w:rsid w:val="00D927CF"/>
    <w:rsid w:val="00D92FB1"/>
    <w:rsid w:val="00D936BE"/>
    <w:rsid w:val="00D94ED0"/>
    <w:rsid w:val="00D95247"/>
    <w:rsid w:val="00D955C7"/>
    <w:rsid w:val="00D95977"/>
    <w:rsid w:val="00D95B2A"/>
    <w:rsid w:val="00D95CF2"/>
    <w:rsid w:val="00D95DDF"/>
    <w:rsid w:val="00D96541"/>
    <w:rsid w:val="00D969A4"/>
    <w:rsid w:val="00D96EBD"/>
    <w:rsid w:val="00D97E48"/>
    <w:rsid w:val="00DA00BF"/>
    <w:rsid w:val="00DA0652"/>
    <w:rsid w:val="00DA0E22"/>
    <w:rsid w:val="00DA1701"/>
    <w:rsid w:val="00DA1A44"/>
    <w:rsid w:val="00DA1A82"/>
    <w:rsid w:val="00DA1B75"/>
    <w:rsid w:val="00DA22C1"/>
    <w:rsid w:val="00DA2340"/>
    <w:rsid w:val="00DA270E"/>
    <w:rsid w:val="00DA297E"/>
    <w:rsid w:val="00DA39F5"/>
    <w:rsid w:val="00DA3AEE"/>
    <w:rsid w:val="00DA3D2D"/>
    <w:rsid w:val="00DA412E"/>
    <w:rsid w:val="00DA44FF"/>
    <w:rsid w:val="00DA47F0"/>
    <w:rsid w:val="00DA5A1A"/>
    <w:rsid w:val="00DA5A37"/>
    <w:rsid w:val="00DA5FDB"/>
    <w:rsid w:val="00DA6151"/>
    <w:rsid w:val="00DA6224"/>
    <w:rsid w:val="00DA6710"/>
    <w:rsid w:val="00DA6B0A"/>
    <w:rsid w:val="00DA6D5D"/>
    <w:rsid w:val="00DA6F8B"/>
    <w:rsid w:val="00DA70B0"/>
    <w:rsid w:val="00DA7CB8"/>
    <w:rsid w:val="00DA7D94"/>
    <w:rsid w:val="00DB0376"/>
    <w:rsid w:val="00DB04F5"/>
    <w:rsid w:val="00DB0514"/>
    <w:rsid w:val="00DB0612"/>
    <w:rsid w:val="00DB06BA"/>
    <w:rsid w:val="00DB0951"/>
    <w:rsid w:val="00DB0A49"/>
    <w:rsid w:val="00DB0D44"/>
    <w:rsid w:val="00DB0F68"/>
    <w:rsid w:val="00DB1F1B"/>
    <w:rsid w:val="00DB22D4"/>
    <w:rsid w:val="00DB253E"/>
    <w:rsid w:val="00DB2B10"/>
    <w:rsid w:val="00DB2FFF"/>
    <w:rsid w:val="00DB3378"/>
    <w:rsid w:val="00DB3FF8"/>
    <w:rsid w:val="00DB402B"/>
    <w:rsid w:val="00DB6B2C"/>
    <w:rsid w:val="00DB6FF0"/>
    <w:rsid w:val="00DB70E2"/>
    <w:rsid w:val="00DB7254"/>
    <w:rsid w:val="00DB7B4E"/>
    <w:rsid w:val="00DB7E5A"/>
    <w:rsid w:val="00DC000D"/>
    <w:rsid w:val="00DC0299"/>
    <w:rsid w:val="00DC04C2"/>
    <w:rsid w:val="00DC0763"/>
    <w:rsid w:val="00DC07E4"/>
    <w:rsid w:val="00DC09FE"/>
    <w:rsid w:val="00DC0A71"/>
    <w:rsid w:val="00DC0BC6"/>
    <w:rsid w:val="00DC1148"/>
    <w:rsid w:val="00DC1353"/>
    <w:rsid w:val="00DC1BFE"/>
    <w:rsid w:val="00DC20A5"/>
    <w:rsid w:val="00DC25B8"/>
    <w:rsid w:val="00DC272E"/>
    <w:rsid w:val="00DC27F1"/>
    <w:rsid w:val="00DC281C"/>
    <w:rsid w:val="00DC284C"/>
    <w:rsid w:val="00DC29A8"/>
    <w:rsid w:val="00DC2EA8"/>
    <w:rsid w:val="00DC2F1B"/>
    <w:rsid w:val="00DC2F6B"/>
    <w:rsid w:val="00DC3103"/>
    <w:rsid w:val="00DC33C8"/>
    <w:rsid w:val="00DC3A62"/>
    <w:rsid w:val="00DC4021"/>
    <w:rsid w:val="00DC4198"/>
    <w:rsid w:val="00DC437A"/>
    <w:rsid w:val="00DC4403"/>
    <w:rsid w:val="00DC4E8A"/>
    <w:rsid w:val="00DC4E97"/>
    <w:rsid w:val="00DC512C"/>
    <w:rsid w:val="00DC51E8"/>
    <w:rsid w:val="00DC5695"/>
    <w:rsid w:val="00DC597B"/>
    <w:rsid w:val="00DC5AEE"/>
    <w:rsid w:val="00DC5FD6"/>
    <w:rsid w:val="00DC60B5"/>
    <w:rsid w:val="00DC6523"/>
    <w:rsid w:val="00DC6548"/>
    <w:rsid w:val="00DC6CDF"/>
    <w:rsid w:val="00DC6F56"/>
    <w:rsid w:val="00DC78CB"/>
    <w:rsid w:val="00DC7BA4"/>
    <w:rsid w:val="00DC7CEA"/>
    <w:rsid w:val="00DD03EE"/>
    <w:rsid w:val="00DD04DD"/>
    <w:rsid w:val="00DD0914"/>
    <w:rsid w:val="00DD0AC0"/>
    <w:rsid w:val="00DD0F69"/>
    <w:rsid w:val="00DD107F"/>
    <w:rsid w:val="00DD1179"/>
    <w:rsid w:val="00DD158B"/>
    <w:rsid w:val="00DD1A3C"/>
    <w:rsid w:val="00DD23AE"/>
    <w:rsid w:val="00DD25E6"/>
    <w:rsid w:val="00DD2F4C"/>
    <w:rsid w:val="00DD34E2"/>
    <w:rsid w:val="00DD3923"/>
    <w:rsid w:val="00DD423C"/>
    <w:rsid w:val="00DD49E4"/>
    <w:rsid w:val="00DD4B65"/>
    <w:rsid w:val="00DD4C81"/>
    <w:rsid w:val="00DD4D6C"/>
    <w:rsid w:val="00DD59A1"/>
    <w:rsid w:val="00DD6457"/>
    <w:rsid w:val="00DD6761"/>
    <w:rsid w:val="00DD6B48"/>
    <w:rsid w:val="00DD6D62"/>
    <w:rsid w:val="00DD6FFF"/>
    <w:rsid w:val="00DD76CC"/>
    <w:rsid w:val="00DD7990"/>
    <w:rsid w:val="00DD79A6"/>
    <w:rsid w:val="00DE0960"/>
    <w:rsid w:val="00DE0FEC"/>
    <w:rsid w:val="00DE16B2"/>
    <w:rsid w:val="00DE1C88"/>
    <w:rsid w:val="00DE1FB4"/>
    <w:rsid w:val="00DE25E0"/>
    <w:rsid w:val="00DE31D7"/>
    <w:rsid w:val="00DE3242"/>
    <w:rsid w:val="00DE357C"/>
    <w:rsid w:val="00DE379F"/>
    <w:rsid w:val="00DE3F8D"/>
    <w:rsid w:val="00DE4134"/>
    <w:rsid w:val="00DE444B"/>
    <w:rsid w:val="00DE45EC"/>
    <w:rsid w:val="00DE49BE"/>
    <w:rsid w:val="00DE4BAA"/>
    <w:rsid w:val="00DE511A"/>
    <w:rsid w:val="00DE5195"/>
    <w:rsid w:val="00DE5C18"/>
    <w:rsid w:val="00DE6142"/>
    <w:rsid w:val="00DE63F8"/>
    <w:rsid w:val="00DE6B56"/>
    <w:rsid w:val="00DE7516"/>
    <w:rsid w:val="00DE76D5"/>
    <w:rsid w:val="00DE7DD9"/>
    <w:rsid w:val="00DF0690"/>
    <w:rsid w:val="00DF072C"/>
    <w:rsid w:val="00DF09F1"/>
    <w:rsid w:val="00DF0AC6"/>
    <w:rsid w:val="00DF1392"/>
    <w:rsid w:val="00DF210B"/>
    <w:rsid w:val="00DF210F"/>
    <w:rsid w:val="00DF238B"/>
    <w:rsid w:val="00DF23EE"/>
    <w:rsid w:val="00DF2943"/>
    <w:rsid w:val="00DF2F9A"/>
    <w:rsid w:val="00DF312F"/>
    <w:rsid w:val="00DF3841"/>
    <w:rsid w:val="00DF38B4"/>
    <w:rsid w:val="00DF3E29"/>
    <w:rsid w:val="00DF416F"/>
    <w:rsid w:val="00DF5802"/>
    <w:rsid w:val="00DF601C"/>
    <w:rsid w:val="00DF6182"/>
    <w:rsid w:val="00DF66BD"/>
    <w:rsid w:val="00DF68ED"/>
    <w:rsid w:val="00DF7504"/>
    <w:rsid w:val="00DF7EA8"/>
    <w:rsid w:val="00E00942"/>
    <w:rsid w:val="00E00C06"/>
    <w:rsid w:val="00E01807"/>
    <w:rsid w:val="00E019F9"/>
    <w:rsid w:val="00E01F73"/>
    <w:rsid w:val="00E020E8"/>
    <w:rsid w:val="00E0239A"/>
    <w:rsid w:val="00E02867"/>
    <w:rsid w:val="00E028A5"/>
    <w:rsid w:val="00E028AB"/>
    <w:rsid w:val="00E02918"/>
    <w:rsid w:val="00E02D74"/>
    <w:rsid w:val="00E038EF"/>
    <w:rsid w:val="00E039BE"/>
    <w:rsid w:val="00E04325"/>
    <w:rsid w:val="00E046F9"/>
    <w:rsid w:val="00E0537C"/>
    <w:rsid w:val="00E0551F"/>
    <w:rsid w:val="00E0657C"/>
    <w:rsid w:val="00E07269"/>
    <w:rsid w:val="00E0743B"/>
    <w:rsid w:val="00E076D7"/>
    <w:rsid w:val="00E10703"/>
    <w:rsid w:val="00E10965"/>
    <w:rsid w:val="00E113BC"/>
    <w:rsid w:val="00E119B3"/>
    <w:rsid w:val="00E11B3A"/>
    <w:rsid w:val="00E12BCA"/>
    <w:rsid w:val="00E12E64"/>
    <w:rsid w:val="00E12F74"/>
    <w:rsid w:val="00E1353B"/>
    <w:rsid w:val="00E140F4"/>
    <w:rsid w:val="00E141E8"/>
    <w:rsid w:val="00E148BD"/>
    <w:rsid w:val="00E15713"/>
    <w:rsid w:val="00E157C1"/>
    <w:rsid w:val="00E15AF3"/>
    <w:rsid w:val="00E15E08"/>
    <w:rsid w:val="00E15E27"/>
    <w:rsid w:val="00E163AE"/>
    <w:rsid w:val="00E16D0A"/>
    <w:rsid w:val="00E16E64"/>
    <w:rsid w:val="00E17256"/>
    <w:rsid w:val="00E17463"/>
    <w:rsid w:val="00E1783B"/>
    <w:rsid w:val="00E17F61"/>
    <w:rsid w:val="00E17FED"/>
    <w:rsid w:val="00E20556"/>
    <w:rsid w:val="00E214DF"/>
    <w:rsid w:val="00E21C8D"/>
    <w:rsid w:val="00E21CB2"/>
    <w:rsid w:val="00E21F6F"/>
    <w:rsid w:val="00E222CC"/>
    <w:rsid w:val="00E23636"/>
    <w:rsid w:val="00E23683"/>
    <w:rsid w:val="00E236C3"/>
    <w:rsid w:val="00E236F6"/>
    <w:rsid w:val="00E23828"/>
    <w:rsid w:val="00E23AEC"/>
    <w:rsid w:val="00E23EA8"/>
    <w:rsid w:val="00E243A4"/>
    <w:rsid w:val="00E245F2"/>
    <w:rsid w:val="00E24839"/>
    <w:rsid w:val="00E25DC0"/>
    <w:rsid w:val="00E26105"/>
    <w:rsid w:val="00E265A5"/>
    <w:rsid w:val="00E26862"/>
    <w:rsid w:val="00E26C9F"/>
    <w:rsid w:val="00E27941"/>
    <w:rsid w:val="00E27F58"/>
    <w:rsid w:val="00E300AB"/>
    <w:rsid w:val="00E30559"/>
    <w:rsid w:val="00E307C0"/>
    <w:rsid w:val="00E30BEA"/>
    <w:rsid w:val="00E311B9"/>
    <w:rsid w:val="00E316B1"/>
    <w:rsid w:val="00E31D8D"/>
    <w:rsid w:val="00E32050"/>
    <w:rsid w:val="00E3231D"/>
    <w:rsid w:val="00E3395F"/>
    <w:rsid w:val="00E3399D"/>
    <w:rsid w:val="00E34686"/>
    <w:rsid w:val="00E34FC4"/>
    <w:rsid w:val="00E35710"/>
    <w:rsid w:val="00E358C1"/>
    <w:rsid w:val="00E35E60"/>
    <w:rsid w:val="00E35FFD"/>
    <w:rsid w:val="00E366BE"/>
    <w:rsid w:val="00E37289"/>
    <w:rsid w:val="00E37C55"/>
    <w:rsid w:val="00E40157"/>
    <w:rsid w:val="00E4031A"/>
    <w:rsid w:val="00E40432"/>
    <w:rsid w:val="00E40F67"/>
    <w:rsid w:val="00E41117"/>
    <w:rsid w:val="00E41256"/>
    <w:rsid w:val="00E415AA"/>
    <w:rsid w:val="00E42743"/>
    <w:rsid w:val="00E4298A"/>
    <w:rsid w:val="00E429D7"/>
    <w:rsid w:val="00E429E2"/>
    <w:rsid w:val="00E42FE9"/>
    <w:rsid w:val="00E42FEF"/>
    <w:rsid w:val="00E43C00"/>
    <w:rsid w:val="00E43FA6"/>
    <w:rsid w:val="00E449AE"/>
    <w:rsid w:val="00E464B2"/>
    <w:rsid w:val="00E4685F"/>
    <w:rsid w:val="00E47521"/>
    <w:rsid w:val="00E47A48"/>
    <w:rsid w:val="00E47B5C"/>
    <w:rsid w:val="00E47E7D"/>
    <w:rsid w:val="00E5002F"/>
    <w:rsid w:val="00E50C6B"/>
    <w:rsid w:val="00E50E93"/>
    <w:rsid w:val="00E51079"/>
    <w:rsid w:val="00E51193"/>
    <w:rsid w:val="00E518CA"/>
    <w:rsid w:val="00E5194B"/>
    <w:rsid w:val="00E51D00"/>
    <w:rsid w:val="00E5264C"/>
    <w:rsid w:val="00E5371E"/>
    <w:rsid w:val="00E53F86"/>
    <w:rsid w:val="00E540B1"/>
    <w:rsid w:val="00E54114"/>
    <w:rsid w:val="00E547D1"/>
    <w:rsid w:val="00E54B47"/>
    <w:rsid w:val="00E54BB5"/>
    <w:rsid w:val="00E54E7F"/>
    <w:rsid w:val="00E55B1B"/>
    <w:rsid w:val="00E55D27"/>
    <w:rsid w:val="00E567D5"/>
    <w:rsid w:val="00E56CD2"/>
    <w:rsid w:val="00E56EEB"/>
    <w:rsid w:val="00E579DB"/>
    <w:rsid w:val="00E60962"/>
    <w:rsid w:val="00E60991"/>
    <w:rsid w:val="00E60A7E"/>
    <w:rsid w:val="00E60B0A"/>
    <w:rsid w:val="00E61406"/>
    <w:rsid w:val="00E6180E"/>
    <w:rsid w:val="00E61AA6"/>
    <w:rsid w:val="00E61CC3"/>
    <w:rsid w:val="00E626EC"/>
    <w:rsid w:val="00E633EB"/>
    <w:rsid w:val="00E6343A"/>
    <w:rsid w:val="00E63633"/>
    <w:rsid w:val="00E64220"/>
    <w:rsid w:val="00E646D1"/>
    <w:rsid w:val="00E64866"/>
    <w:rsid w:val="00E653E1"/>
    <w:rsid w:val="00E65ABB"/>
    <w:rsid w:val="00E65FEE"/>
    <w:rsid w:val="00E663CA"/>
    <w:rsid w:val="00E66799"/>
    <w:rsid w:val="00E67775"/>
    <w:rsid w:val="00E67A04"/>
    <w:rsid w:val="00E67B9C"/>
    <w:rsid w:val="00E67DC7"/>
    <w:rsid w:val="00E67FEE"/>
    <w:rsid w:val="00E702F7"/>
    <w:rsid w:val="00E704CB"/>
    <w:rsid w:val="00E7075E"/>
    <w:rsid w:val="00E70A22"/>
    <w:rsid w:val="00E70F74"/>
    <w:rsid w:val="00E710EC"/>
    <w:rsid w:val="00E71370"/>
    <w:rsid w:val="00E71E9E"/>
    <w:rsid w:val="00E72565"/>
    <w:rsid w:val="00E72A33"/>
    <w:rsid w:val="00E7325A"/>
    <w:rsid w:val="00E73C43"/>
    <w:rsid w:val="00E754F4"/>
    <w:rsid w:val="00E7696F"/>
    <w:rsid w:val="00E76B06"/>
    <w:rsid w:val="00E76D07"/>
    <w:rsid w:val="00E77252"/>
    <w:rsid w:val="00E77999"/>
    <w:rsid w:val="00E77E65"/>
    <w:rsid w:val="00E801D2"/>
    <w:rsid w:val="00E80678"/>
    <w:rsid w:val="00E809B3"/>
    <w:rsid w:val="00E818D1"/>
    <w:rsid w:val="00E81D34"/>
    <w:rsid w:val="00E81F7F"/>
    <w:rsid w:val="00E82357"/>
    <w:rsid w:val="00E83341"/>
    <w:rsid w:val="00E839D3"/>
    <w:rsid w:val="00E83C80"/>
    <w:rsid w:val="00E83E0F"/>
    <w:rsid w:val="00E83EE3"/>
    <w:rsid w:val="00E8437F"/>
    <w:rsid w:val="00E84BC4"/>
    <w:rsid w:val="00E8581E"/>
    <w:rsid w:val="00E85F84"/>
    <w:rsid w:val="00E861D1"/>
    <w:rsid w:val="00E86397"/>
    <w:rsid w:val="00E867D0"/>
    <w:rsid w:val="00E86D59"/>
    <w:rsid w:val="00E873CC"/>
    <w:rsid w:val="00E87EF5"/>
    <w:rsid w:val="00E910EB"/>
    <w:rsid w:val="00E91626"/>
    <w:rsid w:val="00E9239E"/>
    <w:rsid w:val="00E92AA0"/>
    <w:rsid w:val="00E92D03"/>
    <w:rsid w:val="00E931CD"/>
    <w:rsid w:val="00E932FB"/>
    <w:rsid w:val="00E93996"/>
    <w:rsid w:val="00E939C8"/>
    <w:rsid w:val="00E93AF7"/>
    <w:rsid w:val="00E944D5"/>
    <w:rsid w:val="00E946A6"/>
    <w:rsid w:val="00E955B8"/>
    <w:rsid w:val="00E959FE"/>
    <w:rsid w:val="00E95AF8"/>
    <w:rsid w:val="00E9656F"/>
    <w:rsid w:val="00E96599"/>
    <w:rsid w:val="00E966EB"/>
    <w:rsid w:val="00E9681F"/>
    <w:rsid w:val="00E96B08"/>
    <w:rsid w:val="00E979DE"/>
    <w:rsid w:val="00E97E56"/>
    <w:rsid w:val="00EA03FD"/>
    <w:rsid w:val="00EA058D"/>
    <w:rsid w:val="00EA093F"/>
    <w:rsid w:val="00EA0A6D"/>
    <w:rsid w:val="00EA0F4E"/>
    <w:rsid w:val="00EA0FE6"/>
    <w:rsid w:val="00EA1068"/>
    <w:rsid w:val="00EA13C6"/>
    <w:rsid w:val="00EA188F"/>
    <w:rsid w:val="00EA258C"/>
    <w:rsid w:val="00EA2746"/>
    <w:rsid w:val="00EA2A4E"/>
    <w:rsid w:val="00EA334E"/>
    <w:rsid w:val="00EA3357"/>
    <w:rsid w:val="00EA3C9F"/>
    <w:rsid w:val="00EA403E"/>
    <w:rsid w:val="00EA4E84"/>
    <w:rsid w:val="00EA5828"/>
    <w:rsid w:val="00EA5ECC"/>
    <w:rsid w:val="00EA648F"/>
    <w:rsid w:val="00EA710E"/>
    <w:rsid w:val="00EA737E"/>
    <w:rsid w:val="00EA7D31"/>
    <w:rsid w:val="00EA7F71"/>
    <w:rsid w:val="00EB0238"/>
    <w:rsid w:val="00EB023E"/>
    <w:rsid w:val="00EB0313"/>
    <w:rsid w:val="00EB04E3"/>
    <w:rsid w:val="00EB0687"/>
    <w:rsid w:val="00EB0E0A"/>
    <w:rsid w:val="00EB1255"/>
    <w:rsid w:val="00EB1300"/>
    <w:rsid w:val="00EB1373"/>
    <w:rsid w:val="00EB1821"/>
    <w:rsid w:val="00EB1F4C"/>
    <w:rsid w:val="00EB23D9"/>
    <w:rsid w:val="00EB2485"/>
    <w:rsid w:val="00EB2F2C"/>
    <w:rsid w:val="00EB2F6D"/>
    <w:rsid w:val="00EB30C9"/>
    <w:rsid w:val="00EB359E"/>
    <w:rsid w:val="00EB383C"/>
    <w:rsid w:val="00EB3C7E"/>
    <w:rsid w:val="00EB3D39"/>
    <w:rsid w:val="00EB3EB3"/>
    <w:rsid w:val="00EB41E5"/>
    <w:rsid w:val="00EB4427"/>
    <w:rsid w:val="00EB47BE"/>
    <w:rsid w:val="00EB48AB"/>
    <w:rsid w:val="00EB495E"/>
    <w:rsid w:val="00EB4FDA"/>
    <w:rsid w:val="00EB5625"/>
    <w:rsid w:val="00EB5AA3"/>
    <w:rsid w:val="00EB5C50"/>
    <w:rsid w:val="00EB5E03"/>
    <w:rsid w:val="00EB5F71"/>
    <w:rsid w:val="00EB60B2"/>
    <w:rsid w:val="00EB631E"/>
    <w:rsid w:val="00EB6943"/>
    <w:rsid w:val="00EB701B"/>
    <w:rsid w:val="00EB7CDC"/>
    <w:rsid w:val="00EB7EC2"/>
    <w:rsid w:val="00EC06EA"/>
    <w:rsid w:val="00EC0985"/>
    <w:rsid w:val="00EC0A3F"/>
    <w:rsid w:val="00EC13A3"/>
    <w:rsid w:val="00EC2351"/>
    <w:rsid w:val="00EC28C1"/>
    <w:rsid w:val="00EC2A0C"/>
    <w:rsid w:val="00EC3186"/>
    <w:rsid w:val="00EC31D9"/>
    <w:rsid w:val="00EC3573"/>
    <w:rsid w:val="00EC367A"/>
    <w:rsid w:val="00EC37EE"/>
    <w:rsid w:val="00EC3C04"/>
    <w:rsid w:val="00EC4780"/>
    <w:rsid w:val="00EC49DB"/>
    <w:rsid w:val="00EC4CBC"/>
    <w:rsid w:val="00EC4F70"/>
    <w:rsid w:val="00EC4F82"/>
    <w:rsid w:val="00EC5115"/>
    <w:rsid w:val="00EC5AB2"/>
    <w:rsid w:val="00EC5CBB"/>
    <w:rsid w:val="00EC65A2"/>
    <w:rsid w:val="00EC6C24"/>
    <w:rsid w:val="00EC6D9A"/>
    <w:rsid w:val="00EC720D"/>
    <w:rsid w:val="00EC7983"/>
    <w:rsid w:val="00EC7BE2"/>
    <w:rsid w:val="00ED0075"/>
    <w:rsid w:val="00ED020C"/>
    <w:rsid w:val="00ED111C"/>
    <w:rsid w:val="00ED1130"/>
    <w:rsid w:val="00ED1642"/>
    <w:rsid w:val="00ED1898"/>
    <w:rsid w:val="00ED1BAA"/>
    <w:rsid w:val="00ED1D28"/>
    <w:rsid w:val="00ED249E"/>
    <w:rsid w:val="00ED2B59"/>
    <w:rsid w:val="00ED31D3"/>
    <w:rsid w:val="00ED33F7"/>
    <w:rsid w:val="00ED3CB3"/>
    <w:rsid w:val="00ED3F3C"/>
    <w:rsid w:val="00ED4236"/>
    <w:rsid w:val="00ED42C9"/>
    <w:rsid w:val="00ED488A"/>
    <w:rsid w:val="00ED4D58"/>
    <w:rsid w:val="00ED4E3B"/>
    <w:rsid w:val="00ED54C1"/>
    <w:rsid w:val="00ED56E2"/>
    <w:rsid w:val="00ED5F17"/>
    <w:rsid w:val="00ED5F38"/>
    <w:rsid w:val="00ED6D43"/>
    <w:rsid w:val="00ED6D4F"/>
    <w:rsid w:val="00ED7CEA"/>
    <w:rsid w:val="00EE036E"/>
    <w:rsid w:val="00EE04F6"/>
    <w:rsid w:val="00EE0E54"/>
    <w:rsid w:val="00EE17C6"/>
    <w:rsid w:val="00EE1909"/>
    <w:rsid w:val="00EE24B1"/>
    <w:rsid w:val="00EE270D"/>
    <w:rsid w:val="00EE2A71"/>
    <w:rsid w:val="00EE2EE3"/>
    <w:rsid w:val="00EE35DC"/>
    <w:rsid w:val="00EE4835"/>
    <w:rsid w:val="00EE486B"/>
    <w:rsid w:val="00EE489C"/>
    <w:rsid w:val="00EE51E4"/>
    <w:rsid w:val="00EE530F"/>
    <w:rsid w:val="00EE5348"/>
    <w:rsid w:val="00EE5384"/>
    <w:rsid w:val="00EE53C0"/>
    <w:rsid w:val="00EE5424"/>
    <w:rsid w:val="00EE56BE"/>
    <w:rsid w:val="00EE5AA8"/>
    <w:rsid w:val="00EE5CF1"/>
    <w:rsid w:val="00EE6059"/>
    <w:rsid w:val="00EE6B5B"/>
    <w:rsid w:val="00EE6C9B"/>
    <w:rsid w:val="00EE7100"/>
    <w:rsid w:val="00EF06DA"/>
    <w:rsid w:val="00EF0B0B"/>
    <w:rsid w:val="00EF1210"/>
    <w:rsid w:val="00EF13CE"/>
    <w:rsid w:val="00EF145F"/>
    <w:rsid w:val="00EF1683"/>
    <w:rsid w:val="00EF1830"/>
    <w:rsid w:val="00EF1D59"/>
    <w:rsid w:val="00EF1E69"/>
    <w:rsid w:val="00EF1ECB"/>
    <w:rsid w:val="00EF2064"/>
    <w:rsid w:val="00EF228A"/>
    <w:rsid w:val="00EF2BA6"/>
    <w:rsid w:val="00EF3851"/>
    <w:rsid w:val="00EF4163"/>
    <w:rsid w:val="00EF41B4"/>
    <w:rsid w:val="00EF4333"/>
    <w:rsid w:val="00EF4849"/>
    <w:rsid w:val="00EF48A0"/>
    <w:rsid w:val="00EF4B6D"/>
    <w:rsid w:val="00EF506C"/>
    <w:rsid w:val="00EF5C65"/>
    <w:rsid w:val="00EF5DB6"/>
    <w:rsid w:val="00EF62E5"/>
    <w:rsid w:val="00EF68E4"/>
    <w:rsid w:val="00EF6D07"/>
    <w:rsid w:val="00EF7256"/>
    <w:rsid w:val="00EF7545"/>
    <w:rsid w:val="00EF75DD"/>
    <w:rsid w:val="00F0079B"/>
    <w:rsid w:val="00F007F6"/>
    <w:rsid w:val="00F007F7"/>
    <w:rsid w:val="00F008CA"/>
    <w:rsid w:val="00F00E16"/>
    <w:rsid w:val="00F00F90"/>
    <w:rsid w:val="00F014EA"/>
    <w:rsid w:val="00F0203D"/>
    <w:rsid w:val="00F021C9"/>
    <w:rsid w:val="00F02412"/>
    <w:rsid w:val="00F02FCF"/>
    <w:rsid w:val="00F0388D"/>
    <w:rsid w:val="00F04429"/>
    <w:rsid w:val="00F04FAB"/>
    <w:rsid w:val="00F06599"/>
    <w:rsid w:val="00F0670B"/>
    <w:rsid w:val="00F067F2"/>
    <w:rsid w:val="00F06AC0"/>
    <w:rsid w:val="00F06B94"/>
    <w:rsid w:val="00F070BE"/>
    <w:rsid w:val="00F07632"/>
    <w:rsid w:val="00F076DC"/>
    <w:rsid w:val="00F10023"/>
    <w:rsid w:val="00F10276"/>
    <w:rsid w:val="00F10B9B"/>
    <w:rsid w:val="00F10F2A"/>
    <w:rsid w:val="00F11B5B"/>
    <w:rsid w:val="00F11BA7"/>
    <w:rsid w:val="00F11C12"/>
    <w:rsid w:val="00F11F38"/>
    <w:rsid w:val="00F121B7"/>
    <w:rsid w:val="00F1238D"/>
    <w:rsid w:val="00F1266B"/>
    <w:rsid w:val="00F132C6"/>
    <w:rsid w:val="00F13520"/>
    <w:rsid w:val="00F13842"/>
    <w:rsid w:val="00F13E5B"/>
    <w:rsid w:val="00F13F65"/>
    <w:rsid w:val="00F14121"/>
    <w:rsid w:val="00F14216"/>
    <w:rsid w:val="00F145A2"/>
    <w:rsid w:val="00F145C0"/>
    <w:rsid w:val="00F1463F"/>
    <w:rsid w:val="00F14FEB"/>
    <w:rsid w:val="00F157A9"/>
    <w:rsid w:val="00F15BDB"/>
    <w:rsid w:val="00F15ED7"/>
    <w:rsid w:val="00F15FD9"/>
    <w:rsid w:val="00F1603F"/>
    <w:rsid w:val="00F16343"/>
    <w:rsid w:val="00F1663E"/>
    <w:rsid w:val="00F16986"/>
    <w:rsid w:val="00F16C7D"/>
    <w:rsid w:val="00F1715A"/>
    <w:rsid w:val="00F1750D"/>
    <w:rsid w:val="00F17535"/>
    <w:rsid w:val="00F17609"/>
    <w:rsid w:val="00F2071B"/>
    <w:rsid w:val="00F20FAE"/>
    <w:rsid w:val="00F212DB"/>
    <w:rsid w:val="00F21310"/>
    <w:rsid w:val="00F21D16"/>
    <w:rsid w:val="00F21F2E"/>
    <w:rsid w:val="00F22119"/>
    <w:rsid w:val="00F222C0"/>
    <w:rsid w:val="00F228C6"/>
    <w:rsid w:val="00F22B56"/>
    <w:rsid w:val="00F239CA"/>
    <w:rsid w:val="00F23C59"/>
    <w:rsid w:val="00F23E6D"/>
    <w:rsid w:val="00F24ABA"/>
    <w:rsid w:val="00F24B47"/>
    <w:rsid w:val="00F24B4F"/>
    <w:rsid w:val="00F24D65"/>
    <w:rsid w:val="00F25C1A"/>
    <w:rsid w:val="00F25EFF"/>
    <w:rsid w:val="00F26118"/>
    <w:rsid w:val="00F261D5"/>
    <w:rsid w:val="00F26775"/>
    <w:rsid w:val="00F268C3"/>
    <w:rsid w:val="00F27020"/>
    <w:rsid w:val="00F27677"/>
    <w:rsid w:val="00F27B57"/>
    <w:rsid w:val="00F27F34"/>
    <w:rsid w:val="00F30405"/>
    <w:rsid w:val="00F30875"/>
    <w:rsid w:val="00F31019"/>
    <w:rsid w:val="00F313C3"/>
    <w:rsid w:val="00F315E0"/>
    <w:rsid w:val="00F31BE1"/>
    <w:rsid w:val="00F32581"/>
    <w:rsid w:val="00F339DF"/>
    <w:rsid w:val="00F340CB"/>
    <w:rsid w:val="00F35373"/>
    <w:rsid w:val="00F35639"/>
    <w:rsid w:val="00F358B7"/>
    <w:rsid w:val="00F35CB5"/>
    <w:rsid w:val="00F363B1"/>
    <w:rsid w:val="00F36581"/>
    <w:rsid w:val="00F368D0"/>
    <w:rsid w:val="00F36B46"/>
    <w:rsid w:val="00F37629"/>
    <w:rsid w:val="00F37799"/>
    <w:rsid w:val="00F37CB9"/>
    <w:rsid w:val="00F40A0F"/>
    <w:rsid w:val="00F40A73"/>
    <w:rsid w:val="00F40BF6"/>
    <w:rsid w:val="00F40C9E"/>
    <w:rsid w:val="00F411B8"/>
    <w:rsid w:val="00F4167B"/>
    <w:rsid w:val="00F41964"/>
    <w:rsid w:val="00F41CE1"/>
    <w:rsid w:val="00F4263D"/>
    <w:rsid w:val="00F42DD3"/>
    <w:rsid w:val="00F42F7A"/>
    <w:rsid w:val="00F4368D"/>
    <w:rsid w:val="00F4390C"/>
    <w:rsid w:val="00F43DDD"/>
    <w:rsid w:val="00F440ED"/>
    <w:rsid w:val="00F44131"/>
    <w:rsid w:val="00F4433F"/>
    <w:rsid w:val="00F4480E"/>
    <w:rsid w:val="00F44844"/>
    <w:rsid w:val="00F44DEC"/>
    <w:rsid w:val="00F45087"/>
    <w:rsid w:val="00F4529A"/>
    <w:rsid w:val="00F453A3"/>
    <w:rsid w:val="00F45D1B"/>
    <w:rsid w:val="00F45F50"/>
    <w:rsid w:val="00F461C7"/>
    <w:rsid w:val="00F465D4"/>
    <w:rsid w:val="00F46ABD"/>
    <w:rsid w:val="00F47444"/>
    <w:rsid w:val="00F47E7E"/>
    <w:rsid w:val="00F47F69"/>
    <w:rsid w:val="00F503A4"/>
    <w:rsid w:val="00F50B07"/>
    <w:rsid w:val="00F50FEC"/>
    <w:rsid w:val="00F51131"/>
    <w:rsid w:val="00F51247"/>
    <w:rsid w:val="00F5221B"/>
    <w:rsid w:val="00F5253B"/>
    <w:rsid w:val="00F52923"/>
    <w:rsid w:val="00F53BA6"/>
    <w:rsid w:val="00F53C96"/>
    <w:rsid w:val="00F53D75"/>
    <w:rsid w:val="00F53DFA"/>
    <w:rsid w:val="00F54256"/>
    <w:rsid w:val="00F54425"/>
    <w:rsid w:val="00F54586"/>
    <w:rsid w:val="00F54963"/>
    <w:rsid w:val="00F55501"/>
    <w:rsid w:val="00F5567D"/>
    <w:rsid w:val="00F55BC1"/>
    <w:rsid w:val="00F55F80"/>
    <w:rsid w:val="00F56C26"/>
    <w:rsid w:val="00F57F46"/>
    <w:rsid w:val="00F61169"/>
    <w:rsid w:val="00F612F8"/>
    <w:rsid w:val="00F6193B"/>
    <w:rsid w:val="00F61E2A"/>
    <w:rsid w:val="00F6240C"/>
    <w:rsid w:val="00F62A4E"/>
    <w:rsid w:val="00F63FEE"/>
    <w:rsid w:val="00F640D0"/>
    <w:rsid w:val="00F6422B"/>
    <w:rsid w:val="00F64750"/>
    <w:rsid w:val="00F64C46"/>
    <w:rsid w:val="00F64F54"/>
    <w:rsid w:val="00F65095"/>
    <w:rsid w:val="00F65244"/>
    <w:rsid w:val="00F656A6"/>
    <w:rsid w:val="00F65C77"/>
    <w:rsid w:val="00F66332"/>
    <w:rsid w:val="00F664E1"/>
    <w:rsid w:val="00F66C2C"/>
    <w:rsid w:val="00F670C5"/>
    <w:rsid w:val="00F67107"/>
    <w:rsid w:val="00F67255"/>
    <w:rsid w:val="00F679AB"/>
    <w:rsid w:val="00F7042E"/>
    <w:rsid w:val="00F704F6"/>
    <w:rsid w:val="00F70527"/>
    <w:rsid w:val="00F712BD"/>
    <w:rsid w:val="00F72049"/>
    <w:rsid w:val="00F72103"/>
    <w:rsid w:val="00F7212D"/>
    <w:rsid w:val="00F7240C"/>
    <w:rsid w:val="00F726D3"/>
    <w:rsid w:val="00F727D3"/>
    <w:rsid w:val="00F7300E"/>
    <w:rsid w:val="00F7349C"/>
    <w:rsid w:val="00F73C5A"/>
    <w:rsid w:val="00F74208"/>
    <w:rsid w:val="00F743F0"/>
    <w:rsid w:val="00F74958"/>
    <w:rsid w:val="00F74A50"/>
    <w:rsid w:val="00F74A72"/>
    <w:rsid w:val="00F74BA1"/>
    <w:rsid w:val="00F74CF2"/>
    <w:rsid w:val="00F756E4"/>
    <w:rsid w:val="00F760B7"/>
    <w:rsid w:val="00F76128"/>
    <w:rsid w:val="00F769D2"/>
    <w:rsid w:val="00F772CC"/>
    <w:rsid w:val="00F776B4"/>
    <w:rsid w:val="00F77A9B"/>
    <w:rsid w:val="00F8028B"/>
    <w:rsid w:val="00F80D7C"/>
    <w:rsid w:val="00F81499"/>
    <w:rsid w:val="00F814B1"/>
    <w:rsid w:val="00F81596"/>
    <w:rsid w:val="00F81E08"/>
    <w:rsid w:val="00F8220C"/>
    <w:rsid w:val="00F8294E"/>
    <w:rsid w:val="00F8296E"/>
    <w:rsid w:val="00F82DB6"/>
    <w:rsid w:val="00F83202"/>
    <w:rsid w:val="00F83ED3"/>
    <w:rsid w:val="00F842C1"/>
    <w:rsid w:val="00F8541C"/>
    <w:rsid w:val="00F85796"/>
    <w:rsid w:val="00F86549"/>
    <w:rsid w:val="00F865E2"/>
    <w:rsid w:val="00F865E8"/>
    <w:rsid w:val="00F8703E"/>
    <w:rsid w:val="00F87C45"/>
    <w:rsid w:val="00F90111"/>
    <w:rsid w:val="00F9156A"/>
    <w:rsid w:val="00F9210F"/>
    <w:rsid w:val="00F92188"/>
    <w:rsid w:val="00F924A3"/>
    <w:rsid w:val="00F924EE"/>
    <w:rsid w:val="00F92B5C"/>
    <w:rsid w:val="00F92F43"/>
    <w:rsid w:val="00F93045"/>
    <w:rsid w:val="00F93544"/>
    <w:rsid w:val="00F935F8"/>
    <w:rsid w:val="00F93AA6"/>
    <w:rsid w:val="00F93AEC"/>
    <w:rsid w:val="00F93E1F"/>
    <w:rsid w:val="00F940D4"/>
    <w:rsid w:val="00F94373"/>
    <w:rsid w:val="00F943F1"/>
    <w:rsid w:val="00F96289"/>
    <w:rsid w:val="00F96394"/>
    <w:rsid w:val="00F96CBD"/>
    <w:rsid w:val="00F96FE5"/>
    <w:rsid w:val="00F976D0"/>
    <w:rsid w:val="00F97E72"/>
    <w:rsid w:val="00FA07C6"/>
    <w:rsid w:val="00FA0D31"/>
    <w:rsid w:val="00FA110F"/>
    <w:rsid w:val="00FA130C"/>
    <w:rsid w:val="00FA1350"/>
    <w:rsid w:val="00FA19E4"/>
    <w:rsid w:val="00FA1C0D"/>
    <w:rsid w:val="00FA1D72"/>
    <w:rsid w:val="00FA263A"/>
    <w:rsid w:val="00FA3880"/>
    <w:rsid w:val="00FA3B9D"/>
    <w:rsid w:val="00FA4604"/>
    <w:rsid w:val="00FA478A"/>
    <w:rsid w:val="00FA4903"/>
    <w:rsid w:val="00FA4F3A"/>
    <w:rsid w:val="00FA5187"/>
    <w:rsid w:val="00FA5385"/>
    <w:rsid w:val="00FA538C"/>
    <w:rsid w:val="00FA5575"/>
    <w:rsid w:val="00FA570E"/>
    <w:rsid w:val="00FA5AF0"/>
    <w:rsid w:val="00FA5CD1"/>
    <w:rsid w:val="00FA6DBB"/>
    <w:rsid w:val="00FA6E3B"/>
    <w:rsid w:val="00FA7249"/>
    <w:rsid w:val="00FA7461"/>
    <w:rsid w:val="00FA7963"/>
    <w:rsid w:val="00FB006A"/>
    <w:rsid w:val="00FB00D0"/>
    <w:rsid w:val="00FB088F"/>
    <w:rsid w:val="00FB0B6C"/>
    <w:rsid w:val="00FB0FCC"/>
    <w:rsid w:val="00FB17ED"/>
    <w:rsid w:val="00FB1829"/>
    <w:rsid w:val="00FB1A78"/>
    <w:rsid w:val="00FB1AE6"/>
    <w:rsid w:val="00FB1E0D"/>
    <w:rsid w:val="00FB1F66"/>
    <w:rsid w:val="00FB2366"/>
    <w:rsid w:val="00FB2B37"/>
    <w:rsid w:val="00FB341F"/>
    <w:rsid w:val="00FB4759"/>
    <w:rsid w:val="00FB4876"/>
    <w:rsid w:val="00FB4C97"/>
    <w:rsid w:val="00FB4E2A"/>
    <w:rsid w:val="00FB6108"/>
    <w:rsid w:val="00FB6724"/>
    <w:rsid w:val="00FB68CD"/>
    <w:rsid w:val="00FB7433"/>
    <w:rsid w:val="00FB76DE"/>
    <w:rsid w:val="00FC0276"/>
    <w:rsid w:val="00FC08C2"/>
    <w:rsid w:val="00FC1634"/>
    <w:rsid w:val="00FC1B4D"/>
    <w:rsid w:val="00FC1B62"/>
    <w:rsid w:val="00FC24DC"/>
    <w:rsid w:val="00FC2A90"/>
    <w:rsid w:val="00FC2ACE"/>
    <w:rsid w:val="00FC3107"/>
    <w:rsid w:val="00FC357D"/>
    <w:rsid w:val="00FC372A"/>
    <w:rsid w:val="00FC402B"/>
    <w:rsid w:val="00FC40C0"/>
    <w:rsid w:val="00FC4A37"/>
    <w:rsid w:val="00FC5D6B"/>
    <w:rsid w:val="00FC69E8"/>
    <w:rsid w:val="00FC6D3B"/>
    <w:rsid w:val="00FC7008"/>
    <w:rsid w:val="00FC7049"/>
    <w:rsid w:val="00FC7C24"/>
    <w:rsid w:val="00FC7F07"/>
    <w:rsid w:val="00FD07AE"/>
    <w:rsid w:val="00FD0815"/>
    <w:rsid w:val="00FD092F"/>
    <w:rsid w:val="00FD1111"/>
    <w:rsid w:val="00FD1F50"/>
    <w:rsid w:val="00FD2563"/>
    <w:rsid w:val="00FD2C3B"/>
    <w:rsid w:val="00FD3309"/>
    <w:rsid w:val="00FD3F89"/>
    <w:rsid w:val="00FD40CC"/>
    <w:rsid w:val="00FD46A8"/>
    <w:rsid w:val="00FD498A"/>
    <w:rsid w:val="00FD4A44"/>
    <w:rsid w:val="00FD4DCA"/>
    <w:rsid w:val="00FD4E6A"/>
    <w:rsid w:val="00FD5B97"/>
    <w:rsid w:val="00FD630E"/>
    <w:rsid w:val="00FD6DC8"/>
    <w:rsid w:val="00FD6DEB"/>
    <w:rsid w:val="00FD70ED"/>
    <w:rsid w:val="00FD78DF"/>
    <w:rsid w:val="00FD79DB"/>
    <w:rsid w:val="00FE068C"/>
    <w:rsid w:val="00FE084C"/>
    <w:rsid w:val="00FE092B"/>
    <w:rsid w:val="00FE0CAD"/>
    <w:rsid w:val="00FE0DEE"/>
    <w:rsid w:val="00FE1048"/>
    <w:rsid w:val="00FE122E"/>
    <w:rsid w:val="00FE12EB"/>
    <w:rsid w:val="00FE1875"/>
    <w:rsid w:val="00FE2089"/>
    <w:rsid w:val="00FE213A"/>
    <w:rsid w:val="00FE222C"/>
    <w:rsid w:val="00FE23BA"/>
    <w:rsid w:val="00FE23D4"/>
    <w:rsid w:val="00FE2661"/>
    <w:rsid w:val="00FE2746"/>
    <w:rsid w:val="00FE279D"/>
    <w:rsid w:val="00FE3033"/>
    <w:rsid w:val="00FE3050"/>
    <w:rsid w:val="00FE371A"/>
    <w:rsid w:val="00FE3A6F"/>
    <w:rsid w:val="00FE3C59"/>
    <w:rsid w:val="00FE3D02"/>
    <w:rsid w:val="00FE3FB3"/>
    <w:rsid w:val="00FE4201"/>
    <w:rsid w:val="00FE45F4"/>
    <w:rsid w:val="00FE466A"/>
    <w:rsid w:val="00FE4E77"/>
    <w:rsid w:val="00FE5265"/>
    <w:rsid w:val="00FE57B4"/>
    <w:rsid w:val="00FE59DF"/>
    <w:rsid w:val="00FE5A0E"/>
    <w:rsid w:val="00FE5F06"/>
    <w:rsid w:val="00FE65C5"/>
    <w:rsid w:val="00FE6616"/>
    <w:rsid w:val="00FE7529"/>
    <w:rsid w:val="00FE7935"/>
    <w:rsid w:val="00FE7D83"/>
    <w:rsid w:val="00FF0791"/>
    <w:rsid w:val="00FF08DF"/>
    <w:rsid w:val="00FF0B20"/>
    <w:rsid w:val="00FF0C6E"/>
    <w:rsid w:val="00FF1A08"/>
    <w:rsid w:val="00FF1B6F"/>
    <w:rsid w:val="00FF1EFE"/>
    <w:rsid w:val="00FF201F"/>
    <w:rsid w:val="00FF2EAA"/>
    <w:rsid w:val="00FF312A"/>
    <w:rsid w:val="00FF3722"/>
    <w:rsid w:val="00FF3B00"/>
    <w:rsid w:val="00FF3B8C"/>
    <w:rsid w:val="00FF3DF4"/>
    <w:rsid w:val="00FF3DFA"/>
    <w:rsid w:val="00FF4550"/>
    <w:rsid w:val="00FF4E36"/>
    <w:rsid w:val="00FF5522"/>
    <w:rsid w:val="00FF55EB"/>
    <w:rsid w:val="00FF5C96"/>
    <w:rsid w:val="00FF632F"/>
    <w:rsid w:val="00FF6FA0"/>
    <w:rsid w:val="00FF70FF"/>
    <w:rsid w:val="00FF7205"/>
    <w:rsid w:val="00FF7FE0"/>
    <w:rsid w:val="011D0A86"/>
    <w:rsid w:val="01214365"/>
    <w:rsid w:val="0123584C"/>
    <w:rsid w:val="01791910"/>
    <w:rsid w:val="0187402D"/>
    <w:rsid w:val="01A11310"/>
    <w:rsid w:val="01AF1A9C"/>
    <w:rsid w:val="01C37798"/>
    <w:rsid w:val="01C50F7C"/>
    <w:rsid w:val="01D6466C"/>
    <w:rsid w:val="01FD3964"/>
    <w:rsid w:val="02021029"/>
    <w:rsid w:val="021F6ED0"/>
    <w:rsid w:val="0227359C"/>
    <w:rsid w:val="023C3F2F"/>
    <w:rsid w:val="026A0669"/>
    <w:rsid w:val="02D432A2"/>
    <w:rsid w:val="02DA783B"/>
    <w:rsid w:val="030C79BF"/>
    <w:rsid w:val="031B5F33"/>
    <w:rsid w:val="032521BD"/>
    <w:rsid w:val="03305FFE"/>
    <w:rsid w:val="03311390"/>
    <w:rsid w:val="034123BB"/>
    <w:rsid w:val="03467369"/>
    <w:rsid w:val="03831373"/>
    <w:rsid w:val="03935A6A"/>
    <w:rsid w:val="039B0B09"/>
    <w:rsid w:val="03B748DD"/>
    <w:rsid w:val="03E07218"/>
    <w:rsid w:val="03F31506"/>
    <w:rsid w:val="03F83A17"/>
    <w:rsid w:val="04221A0D"/>
    <w:rsid w:val="04376843"/>
    <w:rsid w:val="04637F4D"/>
    <w:rsid w:val="046C3066"/>
    <w:rsid w:val="047B51B5"/>
    <w:rsid w:val="048030E8"/>
    <w:rsid w:val="048C54B6"/>
    <w:rsid w:val="04B74A42"/>
    <w:rsid w:val="04D712A6"/>
    <w:rsid w:val="04F16E8F"/>
    <w:rsid w:val="05227E31"/>
    <w:rsid w:val="053729A2"/>
    <w:rsid w:val="05453754"/>
    <w:rsid w:val="054A15F9"/>
    <w:rsid w:val="05605E35"/>
    <w:rsid w:val="057A02B5"/>
    <w:rsid w:val="0586370B"/>
    <w:rsid w:val="058C0616"/>
    <w:rsid w:val="05A351AD"/>
    <w:rsid w:val="05C97A35"/>
    <w:rsid w:val="06240FB0"/>
    <w:rsid w:val="06274119"/>
    <w:rsid w:val="064B43B6"/>
    <w:rsid w:val="06571077"/>
    <w:rsid w:val="06597EE2"/>
    <w:rsid w:val="067B00DB"/>
    <w:rsid w:val="068943A3"/>
    <w:rsid w:val="069845E6"/>
    <w:rsid w:val="06B53343"/>
    <w:rsid w:val="06BF7DC5"/>
    <w:rsid w:val="06E8731C"/>
    <w:rsid w:val="06E93A59"/>
    <w:rsid w:val="06F57B28"/>
    <w:rsid w:val="06FF4665"/>
    <w:rsid w:val="070600AB"/>
    <w:rsid w:val="070F5664"/>
    <w:rsid w:val="071010C3"/>
    <w:rsid w:val="071D23BF"/>
    <w:rsid w:val="074A1D85"/>
    <w:rsid w:val="075443A4"/>
    <w:rsid w:val="076444C8"/>
    <w:rsid w:val="076D7821"/>
    <w:rsid w:val="077C2B80"/>
    <w:rsid w:val="07951889"/>
    <w:rsid w:val="07A2403A"/>
    <w:rsid w:val="07B95428"/>
    <w:rsid w:val="07BA75CC"/>
    <w:rsid w:val="07C66F31"/>
    <w:rsid w:val="07C81BD2"/>
    <w:rsid w:val="07DE62F4"/>
    <w:rsid w:val="07E4488E"/>
    <w:rsid w:val="07EF46DA"/>
    <w:rsid w:val="07FE2B6F"/>
    <w:rsid w:val="081455E7"/>
    <w:rsid w:val="083C590F"/>
    <w:rsid w:val="0850658F"/>
    <w:rsid w:val="08747A4E"/>
    <w:rsid w:val="087F7D52"/>
    <w:rsid w:val="088E5CA1"/>
    <w:rsid w:val="08A74FB5"/>
    <w:rsid w:val="08C54B6C"/>
    <w:rsid w:val="08CD42C3"/>
    <w:rsid w:val="08F54AD4"/>
    <w:rsid w:val="08FB79D5"/>
    <w:rsid w:val="093218B8"/>
    <w:rsid w:val="09323D1A"/>
    <w:rsid w:val="0943163C"/>
    <w:rsid w:val="094429A9"/>
    <w:rsid w:val="09450EF5"/>
    <w:rsid w:val="094F030E"/>
    <w:rsid w:val="096B668A"/>
    <w:rsid w:val="098F2582"/>
    <w:rsid w:val="09982F06"/>
    <w:rsid w:val="09BC692F"/>
    <w:rsid w:val="09D92F4C"/>
    <w:rsid w:val="09DE3D77"/>
    <w:rsid w:val="09FA2A30"/>
    <w:rsid w:val="09FC086D"/>
    <w:rsid w:val="0A043418"/>
    <w:rsid w:val="0A066AE7"/>
    <w:rsid w:val="0A1E2CD7"/>
    <w:rsid w:val="0A1E38DB"/>
    <w:rsid w:val="0A345099"/>
    <w:rsid w:val="0A3E54A5"/>
    <w:rsid w:val="0A410AF1"/>
    <w:rsid w:val="0A822708"/>
    <w:rsid w:val="0AB062DE"/>
    <w:rsid w:val="0AB16AEB"/>
    <w:rsid w:val="0ADB4E00"/>
    <w:rsid w:val="0AF14BE1"/>
    <w:rsid w:val="0AF266E6"/>
    <w:rsid w:val="0B035CFD"/>
    <w:rsid w:val="0B330193"/>
    <w:rsid w:val="0B367B81"/>
    <w:rsid w:val="0B4D2041"/>
    <w:rsid w:val="0B4F350C"/>
    <w:rsid w:val="0B561904"/>
    <w:rsid w:val="0B810178"/>
    <w:rsid w:val="0B8C613C"/>
    <w:rsid w:val="0B9B2470"/>
    <w:rsid w:val="0BA42DF8"/>
    <w:rsid w:val="0BAD28E2"/>
    <w:rsid w:val="0BC05029"/>
    <w:rsid w:val="0BE95E9A"/>
    <w:rsid w:val="0BFE1449"/>
    <w:rsid w:val="0C022D96"/>
    <w:rsid w:val="0C0B4096"/>
    <w:rsid w:val="0C330ECE"/>
    <w:rsid w:val="0C5839FC"/>
    <w:rsid w:val="0C647279"/>
    <w:rsid w:val="0C6640B0"/>
    <w:rsid w:val="0C7F7B85"/>
    <w:rsid w:val="0CA830A9"/>
    <w:rsid w:val="0CB67574"/>
    <w:rsid w:val="0CBF7400"/>
    <w:rsid w:val="0CC042C5"/>
    <w:rsid w:val="0CD17946"/>
    <w:rsid w:val="0CEB3C55"/>
    <w:rsid w:val="0D134413"/>
    <w:rsid w:val="0D192D09"/>
    <w:rsid w:val="0D34395D"/>
    <w:rsid w:val="0D39562C"/>
    <w:rsid w:val="0D3D31E7"/>
    <w:rsid w:val="0D3F57BC"/>
    <w:rsid w:val="0D4A5AE4"/>
    <w:rsid w:val="0D4A69C4"/>
    <w:rsid w:val="0D6B774E"/>
    <w:rsid w:val="0D6D759B"/>
    <w:rsid w:val="0D731909"/>
    <w:rsid w:val="0D894552"/>
    <w:rsid w:val="0D8E0749"/>
    <w:rsid w:val="0D974A81"/>
    <w:rsid w:val="0D9A6E96"/>
    <w:rsid w:val="0DAC1464"/>
    <w:rsid w:val="0DAF34F7"/>
    <w:rsid w:val="0DD435CE"/>
    <w:rsid w:val="0DD64FD6"/>
    <w:rsid w:val="0DFF72BF"/>
    <w:rsid w:val="0E0C3FEA"/>
    <w:rsid w:val="0E1A2764"/>
    <w:rsid w:val="0E2D3511"/>
    <w:rsid w:val="0E3015A8"/>
    <w:rsid w:val="0E457DA4"/>
    <w:rsid w:val="0E8536A2"/>
    <w:rsid w:val="0EB102CC"/>
    <w:rsid w:val="0EB64271"/>
    <w:rsid w:val="0EBD639E"/>
    <w:rsid w:val="0EC06F8B"/>
    <w:rsid w:val="0EC124C7"/>
    <w:rsid w:val="0ED07684"/>
    <w:rsid w:val="0ED71A24"/>
    <w:rsid w:val="0EDC1488"/>
    <w:rsid w:val="0F1308BE"/>
    <w:rsid w:val="0F1936C6"/>
    <w:rsid w:val="0F2F5BC8"/>
    <w:rsid w:val="0F4D46E4"/>
    <w:rsid w:val="0F586E8B"/>
    <w:rsid w:val="0F76267B"/>
    <w:rsid w:val="0F764DAA"/>
    <w:rsid w:val="0F7A0352"/>
    <w:rsid w:val="0FB21661"/>
    <w:rsid w:val="0FBA737B"/>
    <w:rsid w:val="0FBE3FDF"/>
    <w:rsid w:val="0FC13724"/>
    <w:rsid w:val="0FC13BA4"/>
    <w:rsid w:val="0FF5674C"/>
    <w:rsid w:val="100665E7"/>
    <w:rsid w:val="10234F21"/>
    <w:rsid w:val="10321608"/>
    <w:rsid w:val="10374E70"/>
    <w:rsid w:val="10490802"/>
    <w:rsid w:val="106D343E"/>
    <w:rsid w:val="109F7501"/>
    <w:rsid w:val="10BC4D9C"/>
    <w:rsid w:val="10D26947"/>
    <w:rsid w:val="10E63D07"/>
    <w:rsid w:val="10EA0B48"/>
    <w:rsid w:val="10EE7A36"/>
    <w:rsid w:val="112569BD"/>
    <w:rsid w:val="112C793F"/>
    <w:rsid w:val="112F3FEE"/>
    <w:rsid w:val="11535CDA"/>
    <w:rsid w:val="1165096A"/>
    <w:rsid w:val="117355CD"/>
    <w:rsid w:val="117B6FDE"/>
    <w:rsid w:val="11813F2D"/>
    <w:rsid w:val="119A5D6D"/>
    <w:rsid w:val="119D218D"/>
    <w:rsid w:val="11C27D8D"/>
    <w:rsid w:val="122E4051"/>
    <w:rsid w:val="12596AAD"/>
    <w:rsid w:val="125F2EFB"/>
    <w:rsid w:val="12684E18"/>
    <w:rsid w:val="127A1044"/>
    <w:rsid w:val="12901B64"/>
    <w:rsid w:val="12940358"/>
    <w:rsid w:val="129853FE"/>
    <w:rsid w:val="12A62601"/>
    <w:rsid w:val="12AF5E79"/>
    <w:rsid w:val="12BC7A08"/>
    <w:rsid w:val="12EB77BA"/>
    <w:rsid w:val="13021765"/>
    <w:rsid w:val="130848A2"/>
    <w:rsid w:val="1315735E"/>
    <w:rsid w:val="13175458"/>
    <w:rsid w:val="13315BA7"/>
    <w:rsid w:val="13427309"/>
    <w:rsid w:val="13451652"/>
    <w:rsid w:val="134674CA"/>
    <w:rsid w:val="13481E1B"/>
    <w:rsid w:val="134D58B5"/>
    <w:rsid w:val="134F29F1"/>
    <w:rsid w:val="13610F31"/>
    <w:rsid w:val="13814851"/>
    <w:rsid w:val="13983A06"/>
    <w:rsid w:val="139C5DDF"/>
    <w:rsid w:val="13C8403A"/>
    <w:rsid w:val="14276FAA"/>
    <w:rsid w:val="1428676E"/>
    <w:rsid w:val="14942891"/>
    <w:rsid w:val="14A32AD4"/>
    <w:rsid w:val="14B81621"/>
    <w:rsid w:val="14B9438E"/>
    <w:rsid w:val="14CD67D8"/>
    <w:rsid w:val="14DE0E97"/>
    <w:rsid w:val="15007F26"/>
    <w:rsid w:val="15010A1F"/>
    <w:rsid w:val="152A72CD"/>
    <w:rsid w:val="152E1A46"/>
    <w:rsid w:val="15310F27"/>
    <w:rsid w:val="15311B63"/>
    <w:rsid w:val="156D4E90"/>
    <w:rsid w:val="15820DF5"/>
    <w:rsid w:val="15836FE5"/>
    <w:rsid w:val="158C17BA"/>
    <w:rsid w:val="159D5775"/>
    <w:rsid w:val="159E0979"/>
    <w:rsid w:val="159E329B"/>
    <w:rsid w:val="15AF49FD"/>
    <w:rsid w:val="15B75686"/>
    <w:rsid w:val="15D40898"/>
    <w:rsid w:val="15D942D4"/>
    <w:rsid w:val="16210154"/>
    <w:rsid w:val="162B58E5"/>
    <w:rsid w:val="164370B9"/>
    <w:rsid w:val="16437564"/>
    <w:rsid w:val="165241DD"/>
    <w:rsid w:val="165247B2"/>
    <w:rsid w:val="1669533A"/>
    <w:rsid w:val="16721235"/>
    <w:rsid w:val="168258D3"/>
    <w:rsid w:val="168406E3"/>
    <w:rsid w:val="16A0147D"/>
    <w:rsid w:val="16CF110B"/>
    <w:rsid w:val="16D619CF"/>
    <w:rsid w:val="16DF591A"/>
    <w:rsid w:val="16EB52A0"/>
    <w:rsid w:val="171151D4"/>
    <w:rsid w:val="171E4694"/>
    <w:rsid w:val="172B37CA"/>
    <w:rsid w:val="173E6AE4"/>
    <w:rsid w:val="175763E9"/>
    <w:rsid w:val="17667DE9"/>
    <w:rsid w:val="177236B1"/>
    <w:rsid w:val="177421CC"/>
    <w:rsid w:val="178D1819"/>
    <w:rsid w:val="179A3525"/>
    <w:rsid w:val="17B60D70"/>
    <w:rsid w:val="17D729AD"/>
    <w:rsid w:val="17D975F9"/>
    <w:rsid w:val="17EA2613"/>
    <w:rsid w:val="17F04282"/>
    <w:rsid w:val="180C06FF"/>
    <w:rsid w:val="184B75B0"/>
    <w:rsid w:val="185F4F64"/>
    <w:rsid w:val="18624A54"/>
    <w:rsid w:val="18695063"/>
    <w:rsid w:val="186A5E5F"/>
    <w:rsid w:val="18716DD3"/>
    <w:rsid w:val="18810277"/>
    <w:rsid w:val="18940DBD"/>
    <w:rsid w:val="18AA4C3A"/>
    <w:rsid w:val="18C45972"/>
    <w:rsid w:val="18D11D43"/>
    <w:rsid w:val="18DD7277"/>
    <w:rsid w:val="18E62F75"/>
    <w:rsid w:val="18F25579"/>
    <w:rsid w:val="19052F7D"/>
    <w:rsid w:val="190F460C"/>
    <w:rsid w:val="191B572E"/>
    <w:rsid w:val="192C5653"/>
    <w:rsid w:val="194202DC"/>
    <w:rsid w:val="19426902"/>
    <w:rsid w:val="194955AD"/>
    <w:rsid w:val="194A350E"/>
    <w:rsid w:val="197C38F4"/>
    <w:rsid w:val="197F4E01"/>
    <w:rsid w:val="19831A11"/>
    <w:rsid w:val="19941D18"/>
    <w:rsid w:val="199F0C93"/>
    <w:rsid w:val="19ED5937"/>
    <w:rsid w:val="1A1F2B77"/>
    <w:rsid w:val="1A3420A1"/>
    <w:rsid w:val="1A4F01C3"/>
    <w:rsid w:val="1A514D80"/>
    <w:rsid w:val="1A605254"/>
    <w:rsid w:val="1A710F9A"/>
    <w:rsid w:val="1A793136"/>
    <w:rsid w:val="1A7B3BAB"/>
    <w:rsid w:val="1AAE7A56"/>
    <w:rsid w:val="1ADA4D76"/>
    <w:rsid w:val="1AF22F12"/>
    <w:rsid w:val="1AF83EF2"/>
    <w:rsid w:val="1AFC3CEE"/>
    <w:rsid w:val="1B04361C"/>
    <w:rsid w:val="1B0515CB"/>
    <w:rsid w:val="1B065B6B"/>
    <w:rsid w:val="1B34540E"/>
    <w:rsid w:val="1B59735D"/>
    <w:rsid w:val="1B5F6589"/>
    <w:rsid w:val="1B6B624B"/>
    <w:rsid w:val="1B867E2B"/>
    <w:rsid w:val="1B8F790E"/>
    <w:rsid w:val="1B9325AF"/>
    <w:rsid w:val="1BAB65F3"/>
    <w:rsid w:val="1BF54F23"/>
    <w:rsid w:val="1BFF71F2"/>
    <w:rsid w:val="1C203A59"/>
    <w:rsid w:val="1C2638BB"/>
    <w:rsid w:val="1C690AB7"/>
    <w:rsid w:val="1C857158"/>
    <w:rsid w:val="1C880752"/>
    <w:rsid w:val="1C9F0025"/>
    <w:rsid w:val="1CB03FE0"/>
    <w:rsid w:val="1CBB1806"/>
    <w:rsid w:val="1CD70A8D"/>
    <w:rsid w:val="1CE0094F"/>
    <w:rsid w:val="1CEA0B3E"/>
    <w:rsid w:val="1CFF05A2"/>
    <w:rsid w:val="1D142D0A"/>
    <w:rsid w:val="1D3D0699"/>
    <w:rsid w:val="1D41732E"/>
    <w:rsid w:val="1D4C1E48"/>
    <w:rsid w:val="1D555DBB"/>
    <w:rsid w:val="1D6D08C8"/>
    <w:rsid w:val="1D732583"/>
    <w:rsid w:val="1D943AC4"/>
    <w:rsid w:val="1DC713F1"/>
    <w:rsid w:val="1DE062F7"/>
    <w:rsid w:val="1E0B5246"/>
    <w:rsid w:val="1E2955AB"/>
    <w:rsid w:val="1E3A254E"/>
    <w:rsid w:val="1E467139"/>
    <w:rsid w:val="1E59183C"/>
    <w:rsid w:val="1E5A2DCB"/>
    <w:rsid w:val="1E6A4217"/>
    <w:rsid w:val="1EBC3475"/>
    <w:rsid w:val="1ED80E47"/>
    <w:rsid w:val="1EEA2418"/>
    <w:rsid w:val="1EF06916"/>
    <w:rsid w:val="1F291141"/>
    <w:rsid w:val="1F906557"/>
    <w:rsid w:val="1FA01FA3"/>
    <w:rsid w:val="1FA738B6"/>
    <w:rsid w:val="1FB57FD9"/>
    <w:rsid w:val="1FBA5871"/>
    <w:rsid w:val="1FD60202"/>
    <w:rsid w:val="1FD91AA0"/>
    <w:rsid w:val="1FFA436F"/>
    <w:rsid w:val="2023605D"/>
    <w:rsid w:val="202E0054"/>
    <w:rsid w:val="2039775F"/>
    <w:rsid w:val="205E12AA"/>
    <w:rsid w:val="206C2914"/>
    <w:rsid w:val="207259FF"/>
    <w:rsid w:val="208F03B0"/>
    <w:rsid w:val="20B322F1"/>
    <w:rsid w:val="20E912AD"/>
    <w:rsid w:val="20E97AC1"/>
    <w:rsid w:val="20EE4BC2"/>
    <w:rsid w:val="210743EB"/>
    <w:rsid w:val="211A2001"/>
    <w:rsid w:val="21204F6E"/>
    <w:rsid w:val="212F1E92"/>
    <w:rsid w:val="213B1D40"/>
    <w:rsid w:val="213C07FD"/>
    <w:rsid w:val="21436995"/>
    <w:rsid w:val="21511C6B"/>
    <w:rsid w:val="21570680"/>
    <w:rsid w:val="216D50BB"/>
    <w:rsid w:val="217904AE"/>
    <w:rsid w:val="21B005DE"/>
    <w:rsid w:val="21C85928"/>
    <w:rsid w:val="21CF38C1"/>
    <w:rsid w:val="21FF50C2"/>
    <w:rsid w:val="221110A3"/>
    <w:rsid w:val="22112225"/>
    <w:rsid w:val="22377D87"/>
    <w:rsid w:val="223B59F6"/>
    <w:rsid w:val="223F1EBC"/>
    <w:rsid w:val="2241472B"/>
    <w:rsid w:val="224A2034"/>
    <w:rsid w:val="22573022"/>
    <w:rsid w:val="225752E2"/>
    <w:rsid w:val="22611985"/>
    <w:rsid w:val="22776AA9"/>
    <w:rsid w:val="227930C6"/>
    <w:rsid w:val="229E2B2D"/>
    <w:rsid w:val="22B12D55"/>
    <w:rsid w:val="22BD2FEC"/>
    <w:rsid w:val="22D754B7"/>
    <w:rsid w:val="22F556ED"/>
    <w:rsid w:val="23052768"/>
    <w:rsid w:val="230B7D43"/>
    <w:rsid w:val="23235A35"/>
    <w:rsid w:val="2342582F"/>
    <w:rsid w:val="234A0DE6"/>
    <w:rsid w:val="236A2FB3"/>
    <w:rsid w:val="239857CE"/>
    <w:rsid w:val="23A40CAB"/>
    <w:rsid w:val="23D41DF4"/>
    <w:rsid w:val="2426102C"/>
    <w:rsid w:val="24300E1A"/>
    <w:rsid w:val="2432461A"/>
    <w:rsid w:val="24493596"/>
    <w:rsid w:val="24A01530"/>
    <w:rsid w:val="24FD3B3B"/>
    <w:rsid w:val="2508146F"/>
    <w:rsid w:val="25094DF1"/>
    <w:rsid w:val="250B47D5"/>
    <w:rsid w:val="250D1709"/>
    <w:rsid w:val="251B16DB"/>
    <w:rsid w:val="253416C3"/>
    <w:rsid w:val="256516E0"/>
    <w:rsid w:val="25775800"/>
    <w:rsid w:val="257A29E1"/>
    <w:rsid w:val="25826736"/>
    <w:rsid w:val="259A17FF"/>
    <w:rsid w:val="259F56DC"/>
    <w:rsid w:val="25B52667"/>
    <w:rsid w:val="25BE4930"/>
    <w:rsid w:val="25C82307"/>
    <w:rsid w:val="25DC58CF"/>
    <w:rsid w:val="25DC6A54"/>
    <w:rsid w:val="25EC2C9C"/>
    <w:rsid w:val="25ED3C47"/>
    <w:rsid w:val="260D79C5"/>
    <w:rsid w:val="265579DE"/>
    <w:rsid w:val="26571970"/>
    <w:rsid w:val="26753E72"/>
    <w:rsid w:val="267912AC"/>
    <w:rsid w:val="26925354"/>
    <w:rsid w:val="26A64EB5"/>
    <w:rsid w:val="26B7240F"/>
    <w:rsid w:val="26BE36E4"/>
    <w:rsid w:val="26EF04C4"/>
    <w:rsid w:val="2710174D"/>
    <w:rsid w:val="271E248E"/>
    <w:rsid w:val="271E423C"/>
    <w:rsid w:val="27243473"/>
    <w:rsid w:val="273768CB"/>
    <w:rsid w:val="274C6B6A"/>
    <w:rsid w:val="27545409"/>
    <w:rsid w:val="275F7D60"/>
    <w:rsid w:val="2781595E"/>
    <w:rsid w:val="27855A03"/>
    <w:rsid w:val="2787548C"/>
    <w:rsid w:val="27B6351B"/>
    <w:rsid w:val="27BA2AFC"/>
    <w:rsid w:val="27BF1E49"/>
    <w:rsid w:val="27D843EB"/>
    <w:rsid w:val="27FA6A57"/>
    <w:rsid w:val="281573ED"/>
    <w:rsid w:val="2832197B"/>
    <w:rsid w:val="283220EC"/>
    <w:rsid w:val="28371A20"/>
    <w:rsid w:val="28416434"/>
    <w:rsid w:val="2858675A"/>
    <w:rsid w:val="28752806"/>
    <w:rsid w:val="28754330"/>
    <w:rsid w:val="287965F1"/>
    <w:rsid w:val="2895052E"/>
    <w:rsid w:val="28C16AFD"/>
    <w:rsid w:val="28D36E69"/>
    <w:rsid w:val="28D91000"/>
    <w:rsid w:val="28DD75F1"/>
    <w:rsid w:val="28E079FB"/>
    <w:rsid w:val="293715E5"/>
    <w:rsid w:val="294729C4"/>
    <w:rsid w:val="29475665"/>
    <w:rsid w:val="29527F41"/>
    <w:rsid w:val="29656152"/>
    <w:rsid w:val="296708AB"/>
    <w:rsid w:val="2971739F"/>
    <w:rsid w:val="29757990"/>
    <w:rsid w:val="29A34B64"/>
    <w:rsid w:val="29B82726"/>
    <w:rsid w:val="29CA20EB"/>
    <w:rsid w:val="29EF6F2B"/>
    <w:rsid w:val="29F12595"/>
    <w:rsid w:val="29F23E8A"/>
    <w:rsid w:val="29F556BC"/>
    <w:rsid w:val="2A1E641E"/>
    <w:rsid w:val="2A327821"/>
    <w:rsid w:val="2A346998"/>
    <w:rsid w:val="2A850B83"/>
    <w:rsid w:val="2A860A4D"/>
    <w:rsid w:val="2A9B2ABC"/>
    <w:rsid w:val="2AA809EC"/>
    <w:rsid w:val="2ADA34F8"/>
    <w:rsid w:val="2ADC043E"/>
    <w:rsid w:val="2B1D4438"/>
    <w:rsid w:val="2B2636BF"/>
    <w:rsid w:val="2B5A3C59"/>
    <w:rsid w:val="2B6234F9"/>
    <w:rsid w:val="2B666BBA"/>
    <w:rsid w:val="2B69017C"/>
    <w:rsid w:val="2B741AE2"/>
    <w:rsid w:val="2BDF65F0"/>
    <w:rsid w:val="2BF066EE"/>
    <w:rsid w:val="2C2E3173"/>
    <w:rsid w:val="2C385DA0"/>
    <w:rsid w:val="2C792640"/>
    <w:rsid w:val="2C7967B4"/>
    <w:rsid w:val="2CA174A1"/>
    <w:rsid w:val="2CDC497D"/>
    <w:rsid w:val="2CE675AA"/>
    <w:rsid w:val="2D202FFC"/>
    <w:rsid w:val="2D240D94"/>
    <w:rsid w:val="2D2F7E73"/>
    <w:rsid w:val="2D3E1E3B"/>
    <w:rsid w:val="2D52784C"/>
    <w:rsid w:val="2D574004"/>
    <w:rsid w:val="2D587244"/>
    <w:rsid w:val="2D7E030B"/>
    <w:rsid w:val="2D874707"/>
    <w:rsid w:val="2D9B5F5C"/>
    <w:rsid w:val="2DA67467"/>
    <w:rsid w:val="2DA965AC"/>
    <w:rsid w:val="2DD41AF8"/>
    <w:rsid w:val="2DFB0E33"/>
    <w:rsid w:val="2E146C61"/>
    <w:rsid w:val="2E2024F4"/>
    <w:rsid w:val="2E50117F"/>
    <w:rsid w:val="2E521F8C"/>
    <w:rsid w:val="2E7108CE"/>
    <w:rsid w:val="2E89343E"/>
    <w:rsid w:val="2EC07B78"/>
    <w:rsid w:val="2ED51684"/>
    <w:rsid w:val="2ED8324F"/>
    <w:rsid w:val="2EDC01DB"/>
    <w:rsid w:val="2EDC786C"/>
    <w:rsid w:val="2F330D9C"/>
    <w:rsid w:val="2F651D57"/>
    <w:rsid w:val="2F8635D9"/>
    <w:rsid w:val="2F8B61E7"/>
    <w:rsid w:val="2F9B467C"/>
    <w:rsid w:val="2FA21DD2"/>
    <w:rsid w:val="2FAE47F3"/>
    <w:rsid w:val="2FB7230F"/>
    <w:rsid w:val="2FE211F5"/>
    <w:rsid w:val="301F71B6"/>
    <w:rsid w:val="30462597"/>
    <w:rsid w:val="305A4537"/>
    <w:rsid w:val="30773223"/>
    <w:rsid w:val="30843FBD"/>
    <w:rsid w:val="30A77352"/>
    <w:rsid w:val="30D31E1D"/>
    <w:rsid w:val="30D749CE"/>
    <w:rsid w:val="30E57CE4"/>
    <w:rsid w:val="30E718B8"/>
    <w:rsid w:val="30E87D95"/>
    <w:rsid w:val="30FB4493"/>
    <w:rsid w:val="30FB5378"/>
    <w:rsid w:val="30FD4EC2"/>
    <w:rsid w:val="31031A98"/>
    <w:rsid w:val="310456F9"/>
    <w:rsid w:val="31065E0B"/>
    <w:rsid w:val="31146C33"/>
    <w:rsid w:val="31216A4B"/>
    <w:rsid w:val="312608BD"/>
    <w:rsid w:val="313219C7"/>
    <w:rsid w:val="313703D4"/>
    <w:rsid w:val="315415C0"/>
    <w:rsid w:val="315F7FF4"/>
    <w:rsid w:val="317A3B38"/>
    <w:rsid w:val="317D2DCE"/>
    <w:rsid w:val="317E224F"/>
    <w:rsid w:val="318C34D6"/>
    <w:rsid w:val="319465D3"/>
    <w:rsid w:val="31A84CA4"/>
    <w:rsid w:val="31CD2AE7"/>
    <w:rsid w:val="31D97580"/>
    <w:rsid w:val="31E50F27"/>
    <w:rsid w:val="3214172E"/>
    <w:rsid w:val="321E7D45"/>
    <w:rsid w:val="32204376"/>
    <w:rsid w:val="32524842"/>
    <w:rsid w:val="32956620"/>
    <w:rsid w:val="32B614DA"/>
    <w:rsid w:val="32FA790B"/>
    <w:rsid w:val="32FD6730"/>
    <w:rsid w:val="332442D6"/>
    <w:rsid w:val="332C406F"/>
    <w:rsid w:val="33344883"/>
    <w:rsid w:val="336A54B0"/>
    <w:rsid w:val="337B160B"/>
    <w:rsid w:val="33987D41"/>
    <w:rsid w:val="33A15FD9"/>
    <w:rsid w:val="33A202EE"/>
    <w:rsid w:val="340C492A"/>
    <w:rsid w:val="34113733"/>
    <w:rsid w:val="3421711A"/>
    <w:rsid w:val="3428494C"/>
    <w:rsid w:val="343A5AC9"/>
    <w:rsid w:val="34422EDE"/>
    <w:rsid w:val="345427A3"/>
    <w:rsid w:val="34853DA1"/>
    <w:rsid w:val="349E7719"/>
    <w:rsid w:val="34AF45C0"/>
    <w:rsid w:val="34B33FAF"/>
    <w:rsid w:val="34D27F17"/>
    <w:rsid w:val="34F84CA4"/>
    <w:rsid w:val="350C1B78"/>
    <w:rsid w:val="35111E45"/>
    <w:rsid w:val="35201D4B"/>
    <w:rsid w:val="35357321"/>
    <w:rsid w:val="355E6877"/>
    <w:rsid w:val="356E1876"/>
    <w:rsid w:val="35AB1391"/>
    <w:rsid w:val="35F566E2"/>
    <w:rsid w:val="36084F79"/>
    <w:rsid w:val="361221A9"/>
    <w:rsid w:val="3619454C"/>
    <w:rsid w:val="362C3918"/>
    <w:rsid w:val="364B1250"/>
    <w:rsid w:val="364B2C6B"/>
    <w:rsid w:val="36583FC6"/>
    <w:rsid w:val="36624145"/>
    <w:rsid w:val="367E6CA2"/>
    <w:rsid w:val="368112E6"/>
    <w:rsid w:val="3682621C"/>
    <w:rsid w:val="36892355"/>
    <w:rsid w:val="36913CE5"/>
    <w:rsid w:val="36952F47"/>
    <w:rsid w:val="36B50719"/>
    <w:rsid w:val="36C941C4"/>
    <w:rsid w:val="36D72F9F"/>
    <w:rsid w:val="36E7464B"/>
    <w:rsid w:val="37055B53"/>
    <w:rsid w:val="370D6A0B"/>
    <w:rsid w:val="3716753C"/>
    <w:rsid w:val="37623835"/>
    <w:rsid w:val="376A110E"/>
    <w:rsid w:val="376E08C8"/>
    <w:rsid w:val="37702785"/>
    <w:rsid w:val="37905DDE"/>
    <w:rsid w:val="37975EEE"/>
    <w:rsid w:val="37B3452D"/>
    <w:rsid w:val="37D37EA2"/>
    <w:rsid w:val="37DB647A"/>
    <w:rsid w:val="37DC3558"/>
    <w:rsid w:val="37EB016A"/>
    <w:rsid w:val="38066D52"/>
    <w:rsid w:val="380D3FB3"/>
    <w:rsid w:val="38454CBB"/>
    <w:rsid w:val="38521F98"/>
    <w:rsid w:val="38527190"/>
    <w:rsid w:val="38575800"/>
    <w:rsid w:val="386C12AB"/>
    <w:rsid w:val="387463B2"/>
    <w:rsid w:val="387E2D8D"/>
    <w:rsid w:val="38820906"/>
    <w:rsid w:val="38A04AB1"/>
    <w:rsid w:val="38B75191"/>
    <w:rsid w:val="38C522B1"/>
    <w:rsid w:val="38CF0F38"/>
    <w:rsid w:val="38DB01DF"/>
    <w:rsid w:val="38DB1144"/>
    <w:rsid w:val="38FA2AE8"/>
    <w:rsid w:val="391C382C"/>
    <w:rsid w:val="391F1AD6"/>
    <w:rsid w:val="39205BF2"/>
    <w:rsid w:val="39231DE4"/>
    <w:rsid w:val="392950DA"/>
    <w:rsid w:val="39316051"/>
    <w:rsid w:val="39413981"/>
    <w:rsid w:val="39433D7D"/>
    <w:rsid w:val="395B4E7C"/>
    <w:rsid w:val="395F68DB"/>
    <w:rsid w:val="3964595B"/>
    <w:rsid w:val="3965545D"/>
    <w:rsid w:val="397228F1"/>
    <w:rsid w:val="397F4F63"/>
    <w:rsid w:val="398A3227"/>
    <w:rsid w:val="3991089E"/>
    <w:rsid w:val="39AD27A5"/>
    <w:rsid w:val="39AE31AA"/>
    <w:rsid w:val="39B822CE"/>
    <w:rsid w:val="39C21A0A"/>
    <w:rsid w:val="39C56CF2"/>
    <w:rsid w:val="39EF043F"/>
    <w:rsid w:val="3A2F07E2"/>
    <w:rsid w:val="3A3660E1"/>
    <w:rsid w:val="3A506899"/>
    <w:rsid w:val="3A581C40"/>
    <w:rsid w:val="3A7D7538"/>
    <w:rsid w:val="3A816B64"/>
    <w:rsid w:val="3A8D52FF"/>
    <w:rsid w:val="3A9435BF"/>
    <w:rsid w:val="3AA91952"/>
    <w:rsid w:val="3ABC2526"/>
    <w:rsid w:val="3AE41E37"/>
    <w:rsid w:val="3AEA67E2"/>
    <w:rsid w:val="3AF772EE"/>
    <w:rsid w:val="3AF966A0"/>
    <w:rsid w:val="3B157562"/>
    <w:rsid w:val="3B1E43B3"/>
    <w:rsid w:val="3B3E35BF"/>
    <w:rsid w:val="3B413B9B"/>
    <w:rsid w:val="3B6402E9"/>
    <w:rsid w:val="3B82290E"/>
    <w:rsid w:val="3B954675"/>
    <w:rsid w:val="3BA1126C"/>
    <w:rsid w:val="3BF336F9"/>
    <w:rsid w:val="3BF37A01"/>
    <w:rsid w:val="3C126A55"/>
    <w:rsid w:val="3C261771"/>
    <w:rsid w:val="3C4B0F1D"/>
    <w:rsid w:val="3C793F97"/>
    <w:rsid w:val="3C836BC3"/>
    <w:rsid w:val="3C8C784A"/>
    <w:rsid w:val="3D1A3AF9"/>
    <w:rsid w:val="3D232155"/>
    <w:rsid w:val="3D2C65C4"/>
    <w:rsid w:val="3D317E96"/>
    <w:rsid w:val="3D3659E4"/>
    <w:rsid w:val="3D4C3459"/>
    <w:rsid w:val="3D5A7726"/>
    <w:rsid w:val="3D5B1C38"/>
    <w:rsid w:val="3D5D604E"/>
    <w:rsid w:val="3D98739B"/>
    <w:rsid w:val="3DB77095"/>
    <w:rsid w:val="3DC4314B"/>
    <w:rsid w:val="3DC56FEF"/>
    <w:rsid w:val="3DCB32B8"/>
    <w:rsid w:val="3DD575F5"/>
    <w:rsid w:val="3DEF0812"/>
    <w:rsid w:val="3E270C30"/>
    <w:rsid w:val="3E3150C4"/>
    <w:rsid w:val="3E35213F"/>
    <w:rsid w:val="3E375AC1"/>
    <w:rsid w:val="3E6D57E8"/>
    <w:rsid w:val="3E7201E0"/>
    <w:rsid w:val="3E851D17"/>
    <w:rsid w:val="3E9C50F3"/>
    <w:rsid w:val="3EB62267"/>
    <w:rsid w:val="3EC62D97"/>
    <w:rsid w:val="3EDC6612"/>
    <w:rsid w:val="3EE849A4"/>
    <w:rsid w:val="3EEE0400"/>
    <w:rsid w:val="3F16473F"/>
    <w:rsid w:val="3F174BBC"/>
    <w:rsid w:val="3F1B7587"/>
    <w:rsid w:val="3FA550A3"/>
    <w:rsid w:val="3FBA2007"/>
    <w:rsid w:val="3FD1586E"/>
    <w:rsid w:val="40112738"/>
    <w:rsid w:val="401E02E8"/>
    <w:rsid w:val="40240ADB"/>
    <w:rsid w:val="402F0251"/>
    <w:rsid w:val="40436567"/>
    <w:rsid w:val="404569E7"/>
    <w:rsid w:val="40463591"/>
    <w:rsid w:val="40594887"/>
    <w:rsid w:val="408C4A92"/>
    <w:rsid w:val="40AE695B"/>
    <w:rsid w:val="40AF61D9"/>
    <w:rsid w:val="40ED1680"/>
    <w:rsid w:val="41016B68"/>
    <w:rsid w:val="41052399"/>
    <w:rsid w:val="4108722C"/>
    <w:rsid w:val="41162E6C"/>
    <w:rsid w:val="411F7F8E"/>
    <w:rsid w:val="41222C0F"/>
    <w:rsid w:val="413606A8"/>
    <w:rsid w:val="415E7BFF"/>
    <w:rsid w:val="41AF045B"/>
    <w:rsid w:val="41B75EC0"/>
    <w:rsid w:val="41BD0482"/>
    <w:rsid w:val="41D216D8"/>
    <w:rsid w:val="420C1409"/>
    <w:rsid w:val="42332B8B"/>
    <w:rsid w:val="42440B97"/>
    <w:rsid w:val="42755200"/>
    <w:rsid w:val="4280659A"/>
    <w:rsid w:val="4295517F"/>
    <w:rsid w:val="42A17DA3"/>
    <w:rsid w:val="42BF454B"/>
    <w:rsid w:val="42DB23BC"/>
    <w:rsid w:val="42DF267A"/>
    <w:rsid w:val="43000A22"/>
    <w:rsid w:val="4315253F"/>
    <w:rsid w:val="43367E14"/>
    <w:rsid w:val="433913A3"/>
    <w:rsid w:val="43592C8A"/>
    <w:rsid w:val="43855B75"/>
    <w:rsid w:val="43A12B25"/>
    <w:rsid w:val="43C52F58"/>
    <w:rsid w:val="43C86F4E"/>
    <w:rsid w:val="43F44D65"/>
    <w:rsid w:val="440231F1"/>
    <w:rsid w:val="442C18EF"/>
    <w:rsid w:val="4431246F"/>
    <w:rsid w:val="444F06AF"/>
    <w:rsid w:val="445F7F16"/>
    <w:rsid w:val="446A761A"/>
    <w:rsid w:val="4470274E"/>
    <w:rsid w:val="4475798E"/>
    <w:rsid w:val="44816B44"/>
    <w:rsid w:val="4485051C"/>
    <w:rsid w:val="448878B9"/>
    <w:rsid w:val="4491564E"/>
    <w:rsid w:val="44AD24DB"/>
    <w:rsid w:val="44AE67A8"/>
    <w:rsid w:val="45050ABD"/>
    <w:rsid w:val="45237196"/>
    <w:rsid w:val="453809C1"/>
    <w:rsid w:val="45573949"/>
    <w:rsid w:val="45693D2E"/>
    <w:rsid w:val="45897440"/>
    <w:rsid w:val="45997458"/>
    <w:rsid w:val="45C0799E"/>
    <w:rsid w:val="45D65E54"/>
    <w:rsid w:val="45FD706E"/>
    <w:rsid w:val="460C0E7F"/>
    <w:rsid w:val="461A71B3"/>
    <w:rsid w:val="4651027F"/>
    <w:rsid w:val="46991366"/>
    <w:rsid w:val="46A71F6C"/>
    <w:rsid w:val="46CC1F59"/>
    <w:rsid w:val="46EC722E"/>
    <w:rsid w:val="46EF38B3"/>
    <w:rsid w:val="46FA3710"/>
    <w:rsid w:val="46FB43C1"/>
    <w:rsid w:val="470E5446"/>
    <w:rsid w:val="47196ACD"/>
    <w:rsid w:val="47631957"/>
    <w:rsid w:val="47655843"/>
    <w:rsid w:val="476C4092"/>
    <w:rsid w:val="47923C35"/>
    <w:rsid w:val="47A838A3"/>
    <w:rsid w:val="47C31B76"/>
    <w:rsid w:val="47D47673"/>
    <w:rsid w:val="47D868BC"/>
    <w:rsid w:val="47DC027C"/>
    <w:rsid w:val="47EA5D49"/>
    <w:rsid w:val="480D56FC"/>
    <w:rsid w:val="481421FE"/>
    <w:rsid w:val="48350DC1"/>
    <w:rsid w:val="48474AA0"/>
    <w:rsid w:val="484A2C8B"/>
    <w:rsid w:val="487E0D7E"/>
    <w:rsid w:val="487F599F"/>
    <w:rsid w:val="488432D6"/>
    <w:rsid w:val="48965A85"/>
    <w:rsid w:val="48C04CFB"/>
    <w:rsid w:val="48D82928"/>
    <w:rsid w:val="48DE70DB"/>
    <w:rsid w:val="48E1539E"/>
    <w:rsid w:val="49144154"/>
    <w:rsid w:val="491E266C"/>
    <w:rsid w:val="49263D3E"/>
    <w:rsid w:val="492D2391"/>
    <w:rsid w:val="4981114E"/>
    <w:rsid w:val="498678A5"/>
    <w:rsid w:val="498D72D3"/>
    <w:rsid w:val="49903741"/>
    <w:rsid w:val="49964EBD"/>
    <w:rsid w:val="49A32653"/>
    <w:rsid w:val="49D550FD"/>
    <w:rsid w:val="49DA1730"/>
    <w:rsid w:val="49F26FD9"/>
    <w:rsid w:val="49F34767"/>
    <w:rsid w:val="4A022010"/>
    <w:rsid w:val="4A0D21C2"/>
    <w:rsid w:val="4A0F3823"/>
    <w:rsid w:val="4A1054A1"/>
    <w:rsid w:val="4A153830"/>
    <w:rsid w:val="4A190B67"/>
    <w:rsid w:val="4A2E604D"/>
    <w:rsid w:val="4A4847FA"/>
    <w:rsid w:val="4A5D1FEF"/>
    <w:rsid w:val="4A657109"/>
    <w:rsid w:val="4A7F0183"/>
    <w:rsid w:val="4A8221E7"/>
    <w:rsid w:val="4A8B0B12"/>
    <w:rsid w:val="4A8E6E5F"/>
    <w:rsid w:val="4A9B332A"/>
    <w:rsid w:val="4AA51929"/>
    <w:rsid w:val="4AAD435D"/>
    <w:rsid w:val="4AAE75A3"/>
    <w:rsid w:val="4AAF0A7D"/>
    <w:rsid w:val="4ABA1BC3"/>
    <w:rsid w:val="4ABB1C1E"/>
    <w:rsid w:val="4AD45646"/>
    <w:rsid w:val="4ADA0DA6"/>
    <w:rsid w:val="4AE64923"/>
    <w:rsid w:val="4B1C6783"/>
    <w:rsid w:val="4B266FED"/>
    <w:rsid w:val="4B320132"/>
    <w:rsid w:val="4B384825"/>
    <w:rsid w:val="4B4E7DF9"/>
    <w:rsid w:val="4B7324F9"/>
    <w:rsid w:val="4B9E0A3B"/>
    <w:rsid w:val="4BDF2047"/>
    <w:rsid w:val="4BED4059"/>
    <w:rsid w:val="4BF40341"/>
    <w:rsid w:val="4C054E48"/>
    <w:rsid w:val="4C102570"/>
    <w:rsid w:val="4C151C04"/>
    <w:rsid w:val="4C2338B2"/>
    <w:rsid w:val="4C3268E4"/>
    <w:rsid w:val="4C5A3ED4"/>
    <w:rsid w:val="4C6640F8"/>
    <w:rsid w:val="4CB41768"/>
    <w:rsid w:val="4CD3679A"/>
    <w:rsid w:val="4CE71F81"/>
    <w:rsid w:val="4CF04E3A"/>
    <w:rsid w:val="4D1A70D0"/>
    <w:rsid w:val="4D361929"/>
    <w:rsid w:val="4D3A3BC0"/>
    <w:rsid w:val="4D4D7280"/>
    <w:rsid w:val="4D5C27F9"/>
    <w:rsid w:val="4D7A5AB3"/>
    <w:rsid w:val="4D86137C"/>
    <w:rsid w:val="4D9F54AF"/>
    <w:rsid w:val="4DAE68B0"/>
    <w:rsid w:val="4DC06635"/>
    <w:rsid w:val="4DC93FA3"/>
    <w:rsid w:val="4DCE1994"/>
    <w:rsid w:val="4DD454D1"/>
    <w:rsid w:val="4DD60B09"/>
    <w:rsid w:val="4DD70B1E"/>
    <w:rsid w:val="4DDE1EAC"/>
    <w:rsid w:val="4DE35714"/>
    <w:rsid w:val="4E1753BE"/>
    <w:rsid w:val="4E1A6C5C"/>
    <w:rsid w:val="4E3B72FE"/>
    <w:rsid w:val="4E6A16E7"/>
    <w:rsid w:val="4E71191F"/>
    <w:rsid w:val="4E7E5BDD"/>
    <w:rsid w:val="4E9B2C6E"/>
    <w:rsid w:val="4E9D3807"/>
    <w:rsid w:val="4EA07161"/>
    <w:rsid w:val="4EBB3AF4"/>
    <w:rsid w:val="4ECB20FF"/>
    <w:rsid w:val="4EE518F2"/>
    <w:rsid w:val="4EED4970"/>
    <w:rsid w:val="4EF120B3"/>
    <w:rsid w:val="4EF20E6C"/>
    <w:rsid w:val="4F1E63CD"/>
    <w:rsid w:val="4F214299"/>
    <w:rsid w:val="4F3007F7"/>
    <w:rsid w:val="4F4626F3"/>
    <w:rsid w:val="4F560BB4"/>
    <w:rsid w:val="4F5E7E33"/>
    <w:rsid w:val="4F6603AB"/>
    <w:rsid w:val="4F847CE9"/>
    <w:rsid w:val="4F9C6C66"/>
    <w:rsid w:val="4FAB400F"/>
    <w:rsid w:val="4FB44881"/>
    <w:rsid w:val="4FD42959"/>
    <w:rsid w:val="4FE71856"/>
    <w:rsid w:val="4FE85264"/>
    <w:rsid w:val="4FEA5788"/>
    <w:rsid w:val="4FF516D5"/>
    <w:rsid w:val="500A7B73"/>
    <w:rsid w:val="501E1398"/>
    <w:rsid w:val="501F2099"/>
    <w:rsid w:val="502F5187"/>
    <w:rsid w:val="504C78B8"/>
    <w:rsid w:val="50593A6B"/>
    <w:rsid w:val="50783573"/>
    <w:rsid w:val="507D09FC"/>
    <w:rsid w:val="50940112"/>
    <w:rsid w:val="50AD3DB7"/>
    <w:rsid w:val="50C524F7"/>
    <w:rsid w:val="50DB0924"/>
    <w:rsid w:val="50EA68CF"/>
    <w:rsid w:val="50ED1237"/>
    <w:rsid w:val="51077FED"/>
    <w:rsid w:val="51280932"/>
    <w:rsid w:val="517010BB"/>
    <w:rsid w:val="517A05D1"/>
    <w:rsid w:val="51B02091"/>
    <w:rsid w:val="51C3718C"/>
    <w:rsid w:val="51F85506"/>
    <w:rsid w:val="5200022C"/>
    <w:rsid w:val="521560B8"/>
    <w:rsid w:val="521C46C2"/>
    <w:rsid w:val="52206824"/>
    <w:rsid w:val="52224331"/>
    <w:rsid w:val="522E2410"/>
    <w:rsid w:val="525C3CE7"/>
    <w:rsid w:val="526E0CD3"/>
    <w:rsid w:val="52747CBB"/>
    <w:rsid w:val="527A5F1B"/>
    <w:rsid w:val="52830462"/>
    <w:rsid w:val="52945EB6"/>
    <w:rsid w:val="52970A52"/>
    <w:rsid w:val="52AB5C1E"/>
    <w:rsid w:val="52C57EEA"/>
    <w:rsid w:val="52CB6777"/>
    <w:rsid w:val="52CE0DD3"/>
    <w:rsid w:val="52D83680"/>
    <w:rsid w:val="52E066C6"/>
    <w:rsid w:val="53016A22"/>
    <w:rsid w:val="5308541C"/>
    <w:rsid w:val="531E0F9C"/>
    <w:rsid w:val="535B7AFB"/>
    <w:rsid w:val="53807A36"/>
    <w:rsid w:val="538F3C48"/>
    <w:rsid w:val="539A65B3"/>
    <w:rsid w:val="53AE0572"/>
    <w:rsid w:val="53B62947"/>
    <w:rsid w:val="53CB2ED2"/>
    <w:rsid w:val="5411544B"/>
    <w:rsid w:val="5412470A"/>
    <w:rsid w:val="54263B36"/>
    <w:rsid w:val="543F7D97"/>
    <w:rsid w:val="54423376"/>
    <w:rsid w:val="5445475E"/>
    <w:rsid w:val="546A05FE"/>
    <w:rsid w:val="54754BEC"/>
    <w:rsid w:val="547E6196"/>
    <w:rsid w:val="548A5658"/>
    <w:rsid w:val="54A70954"/>
    <w:rsid w:val="54AF4AA2"/>
    <w:rsid w:val="54D10A01"/>
    <w:rsid w:val="54E16E72"/>
    <w:rsid w:val="54EC6BC8"/>
    <w:rsid w:val="54F63F7F"/>
    <w:rsid w:val="550755AC"/>
    <w:rsid w:val="55087419"/>
    <w:rsid w:val="55164328"/>
    <w:rsid w:val="551663CF"/>
    <w:rsid w:val="55202C48"/>
    <w:rsid w:val="552F7094"/>
    <w:rsid w:val="55423A9A"/>
    <w:rsid w:val="555F5120"/>
    <w:rsid w:val="556935BA"/>
    <w:rsid w:val="55A22BA0"/>
    <w:rsid w:val="55CA3D0E"/>
    <w:rsid w:val="56165022"/>
    <w:rsid w:val="563B3C13"/>
    <w:rsid w:val="56517FD1"/>
    <w:rsid w:val="565B37BE"/>
    <w:rsid w:val="568C72A1"/>
    <w:rsid w:val="56B51C18"/>
    <w:rsid w:val="56BB705A"/>
    <w:rsid w:val="56DF4B61"/>
    <w:rsid w:val="56E51BE2"/>
    <w:rsid w:val="56EA529E"/>
    <w:rsid w:val="56EF2E12"/>
    <w:rsid w:val="56FD4B5F"/>
    <w:rsid w:val="57447EB8"/>
    <w:rsid w:val="57454581"/>
    <w:rsid w:val="575D6863"/>
    <w:rsid w:val="577E64AD"/>
    <w:rsid w:val="577F2CDD"/>
    <w:rsid w:val="578F07B4"/>
    <w:rsid w:val="578F46E5"/>
    <w:rsid w:val="57956048"/>
    <w:rsid w:val="57B037D9"/>
    <w:rsid w:val="57B56460"/>
    <w:rsid w:val="57B60848"/>
    <w:rsid w:val="57BC6C97"/>
    <w:rsid w:val="57BE36B7"/>
    <w:rsid w:val="57C054CB"/>
    <w:rsid w:val="57C8039F"/>
    <w:rsid w:val="57DF519E"/>
    <w:rsid w:val="582F1556"/>
    <w:rsid w:val="583829FC"/>
    <w:rsid w:val="584C723F"/>
    <w:rsid w:val="58515910"/>
    <w:rsid w:val="5854505F"/>
    <w:rsid w:val="58584120"/>
    <w:rsid w:val="58641763"/>
    <w:rsid w:val="586647F7"/>
    <w:rsid w:val="58664F09"/>
    <w:rsid w:val="58735E74"/>
    <w:rsid w:val="588911F4"/>
    <w:rsid w:val="58892E17"/>
    <w:rsid w:val="588C4F7F"/>
    <w:rsid w:val="58A35306"/>
    <w:rsid w:val="58BF589F"/>
    <w:rsid w:val="58DB180B"/>
    <w:rsid w:val="58E92BF8"/>
    <w:rsid w:val="58EC0E1B"/>
    <w:rsid w:val="58FC310E"/>
    <w:rsid w:val="58FC3B2E"/>
    <w:rsid w:val="58FC79DE"/>
    <w:rsid w:val="59044881"/>
    <w:rsid w:val="591551A9"/>
    <w:rsid w:val="591E1CF4"/>
    <w:rsid w:val="592159A6"/>
    <w:rsid w:val="5922354D"/>
    <w:rsid w:val="593C00D6"/>
    <w:rsid w:val="59665C2E"/>
    <w:rsid w:val="5976568E"/>
    <w:rsid w:val="598F6750"/>
    <w:rsid w:val="59AB24CA"/>
    <w:rsid w:val="59AD3660"/>
    <w:rsid w:val="59C653D9"/>
    <w:rsid w:val="59CA7788"/>
    <w:rsid w:val="59D21F6E"/>
    <w:rsid w:val="59DC0CC3"/>
    <w:rsid w:val="5A075CDA"/>
    <w:rsid w:val="5A1548B3"/>
    <w:rsid w:val="5A181E02"/>
    <w:rsid w:val="5A360C29"/>
    <w:rsid w:val="5A5752A8"/>
    <w:rsid w:val="5A5B33BB"/>
    <w:rsid w:val="5A635676"/>
    <w:rsid w:val="5A740B14"/>
    <w:rsid w:val="5A7B3695"/>
    <w:rsid w:val="5A8854A9"/>
    <w:rsid w:val="5AE62611"/>
    <w:rsid w:val="5AF95C18"/>
    <w:rsid w:val="5AFA5E4B"/>
    <w:rsid w:val="5B137B84"/>
    <w:rsid w:val="5B150723"/>
    <w:rsid w:val="5B2B24A8"/>
    <w:rsid w:val="5B777753"/>
    <w:rsid w:val="5B991B08"/>
    <w:rsid w:val="5BA94F78"/>
    <w:rsid w:val="5BBB0310"/>
    <w:rsid w:val="5BE522FA"/>
    <w:rsid w:val="5BEC3853"/>
    <w:rsid w:val="5BFF0CBA"/>
    <w:rsid w:val="5C043EF3"/>
    <w:rsid w:val="5C062149"/>
    <w:rsid w:val="5C3C7568"/>
    <w:rsid w:val="5C433822"/>
    <w:rsid w:val="5C464523"/>
    <w:rsid w:val="5C50666A"/>
    <w:rsid w:val="5C531CB7"/>
    <w:rsid w:val="5C61531C"/>
    <w:rsid w:val="5C6305A3"/>
    <w:rsid w:val="5CA036E1"/>
    <w:rsid w:val="5CA906F2"/>
    <w:rsid w:val="5CAF3653"/>
    <w:rsid w:val="5CC2673B"/>
    <w:rsid w:val="5CD96260"/>
    <w:rsid w:val="5CF14A3B"/>
    <w:rsid w:val="5D026815"/>
    <w:rsid w:val="5D037E3A"/>
    <w:rsid w:val="5D1A6C78"/>
    <w:rsid w:val="5D3214B0"/>
    <w:rsid w:val="5D4B6245"/>
    <w:rsid w:val="5D4D33BD"/>
    <w:rsid w:val="5D683540"/>
    <w:rsid w:val="5D7F70DB"/>
    <w:rsid w:val="5D972AB6"/>
    <w:rsid w:val="5DA02743"/>
    <w:rsid w:val="5DC104BC"/>
    <w:rsid w:val="5DCD0F95"/>
    <w:rsid w:val="5DD638E2"/>
    <w:rsid w:val="5DDA1C24"/>
    <w:rsid w:val="5E083F1F"/>
    <w:rsid w:val="5E115985"/>
    <w:rsid w:val="5E246750"/>
    <w:rsid w:val="5E5913B9"/>
    <w:rsid w:val="5E5C79A5"/>
    <w:rsid w:val="5E5E4943"/>
    <w:rsid w:val="5E710B1A"/>
    <w:rsid w:val="5E796E16"/>
    <w:rsid w:val="5E865E21"/>
    <w:rsid w:val="5E9418B3"/>
    <w:rsid w:val="5EA67D41"/>
    <w:rsid w:val="5EA909E6"/>
    <w:rsid w:val="5EB50A07"/>
    <w:rsid w:val="5EC21376"/>
    <w:rsid w:val="5ED653BF"/>
    <w:rsid w:val="5EDF3AE5"/>
    <w:rsid w:val="5EE1759A"/>
    <w:rsid w:val="5EF7245F"/>
    <w:rsid w:val="5EFB04C3"/>
    <w:rsid w:val="5EFD0826"/>
    <w:rsid w:val="5F0F151B"/>
    <w:rsid w:val="5F13572D"/>
    <w:rsid w:val="5F1F5B51"/>
    <w:rsid w:val="5F203F68"/>
    <w:rsid w:val="5F3D7E31"/>
    <w:rsid w:val="5F47044E"/>
    <w:rsid w:val="5F4C2237"/>
    <w:rsid w:val="5F4C543D"/>
    <w:rsid w:val="5F645F89"/>
    <w:rsid w:val="5F654690"/>
    <w:rsid w:val="5F6E0DD5"/>
    <w:rsid w:val="5F754DBD"/>
    <w:rsid w:val="5F8A055D"/>
    <w:rsid w:val="5F97176C"/>
    <w:rsid w:val="5FAF541F"/>
    <w:rsid w:val="5FC4147E"/>
    <w:rsid w:val="5FF4555F"/>
    <w:rsid w:val="600339F4"/>
    <w:rsid w:val="601479AF"/>
    <w:rsid w:val="6015606F"/>
    <w:rsid w:val="601F0B00"/>
    <w:rsid w:val="603F0C8E"/>
    <w:rsid w:val="605B74DF"/>
    <w:rsid w:val="605D1356"/>
    <w:rsid w:val="606B4F6D"/>
    <w:rsid w:val="608770F4"/>
    <w:rsid w:val="60922F20"/>
    <w:rsid w:val="60996106"/>
    <w:rsid w:val="60AE7181"/>
    <w:rsid w:val="60B62814"/>
    <w:rsid w:val="60C34F31"/>
    <w:rsid w:val="60C81F99"/>
    <w:rsid w:val="60C95DD2"/>
    <w:rsid w:val="60F849D4"/>
    <w:rsid w:val="6112090E"/>
    <w:rsid w:val="611700C2"/>
    <w:rsid w:val="611B079E"/>
    <w:rsid w:val="613C4296"/>
    <w:rsid w:val="61AA2941"/>
    <w:rsid w:val="61C64F13"/>
    <w:rsid w:val="61C72DD0"/>
    <w:rsid w:val="61D257D4"/>
    <w:rsid w:val="61F25ACE"/>
    <w:rsid w:val="61FE790C"/>
    <w:rsid w:val="620F5454"/>
    <w:rsid w:val="62502AB3"/>
    <w:rsid w:val="62822C00"/>
    <w:rsid w:val="629C158C"/>
    <w:rsid w:val="62B9113F"/>
    <w:rsid w:val="62CF3560"/>
    <w:rsid w:val="62DF7F3F"/>
    <w:rsid w:val="62E27A38"/>
    <w:rsid w:val="63004B17"/>
    <w:rsid w:val="63041EC3"/>
    <w:rsid w:val="630A5099"/>
    <w:rsid w:val="63283A59"/>
    <w:rsid w:val="63304B00"/>
    <w:rsid w:val="633741A7"/>
    <w:rsid w:val="634467FD"/>
    <w:rsid w:val="635A3516"/>
    <w:rsid w:val="636429FB"/>
    <w:rsid w:val="63A67E4C"/>
    <w:rsid w:val="63B8377D"/>
    <w:rsid w:val="63C13B90"/>
    <w:rsid w:val="63E1404C"/>
    <w:rsid w:val="63EC2662"/>
    <w:rsid w:val="641D434E"/>
    <w:rsid w:val="6421739C"/>
    <w:rsid w:val="642541CA"/>
    <w:rsid w:val="64301A55"/>
    <w:rsid w:val="64333BB5"/>
    <w:rsid w:val="64414A7D"/>
    <w:rsid w:val="644F1C8C"/>
    <w:rsid w:val="645312C9"/>
    <w:rsid w:val="645B4190"/>
    <w:rsid w:val="647873B0"/>
    <w:rsid w:val="649262C2"/>
    <w:rsid w:val="649C5009"/>
    <w:rsid w:val="64BB4816"/>
    <w:rsid w:val="650C5F69"/>
    <w:rsid w:val="652266CA"/>
    <w:rsid w:val="6556522A"/>
    <w:rsid w:val="656E7B61"/>
    <w:rsid w:val="657C227E"/>
    <w:rsid w:val="658A426F"/>
    <w:rsid w:val="65B17A4E"/>
    <w:rsid w:val="65BA64D5"/>
    <w:rsid w:val="65BE0617"/>
    <w:rsid w:val="66135703"/>
    <w:rsid w:val="66215F5D"/>
    <w:rsid w:val="663F18EE"/>
    <w:rsid w:val="66401F7E"/>
    <w:rsid w:val="664572DC"/>
    <w:rsid w:val="66594E7C"/>
    <w:rsid w:val="66671102"/>
    <w:rsid w:val="66A45371"/>
    <w:rsid w:val="66CE465B"/>
    <w:rsid w:val="66FF1D1F"/>
    <w:rsid w:val="67065B78"/>
    <w:rsid w:val="67087B42"/>
    <w:rsid w:val="673A7D2E"/>
    <w:rsid w:val="67746F85"/>
    <w:rsid w:val="677B47B7"/>
    <w:rsid w:val="6784541A"/>
    <w:rsid w:val="678A67A9"/>
    <w:rsid w:val="679A69EC"/>
    <w:rsid w:val="67B86A83"/>
    <w:rsid w:val="67C521FA"/>
    <w:rsid w:val="67E660D5"/>
    <w:rsid w:val="68280DC6"/>
    <w:rsid w:val="684B0112"/>
    <w:rsid w:val="684F3176"/>
    <w:rsid w:val="68541CA5"/>
    <w:rsid w:val="68571AE7"/>
    <w:rsid w:val="68605065"/>
    <w:rsid w:val="68691EA8"/>
    <w:rsid w:val="68692862"/>
    <w:rsid w:val="687471BF"/>
    <w:rsid w:val="68817755"/>
    <w:rsid w:val="68B5181E"/>
    <w:rsid w:val="68D20407"/>
    <w:rsid w:val="68DE6DAC"/>
    <w:rsid w:val="690F14C9"/>
    <w:rsid w:val="693D1D24"/>
    <w:rsid w:val="693E17DA"/>
    <w:rsid w:val="693F5C3A"/>
    <w:rsid w:val="694458D4"/>
    <w:rsid w:val="695D26A8"/>
    <w:rsid w:val="695D2FE6"/>
    <w:rsid w:val="695D4E2E"/>
    <w:rsid w:val="697778D2"/>
    <w:rsid w:val="69A67729"/>
    <w:rsid w:val="69B724D8"/>
    <w:rsid w:val="69E0543F"/>
    <w:rsid w:val="69F800B0"/>
    <w:rsid w:val="6A09046B"/>
    <w:rsid w:val="6A0C7394"/>
    <w:rsid w:val="6A136090"/>
    <w:rsid w:val="6A1B7B8C"/>
    <w:rsid w:val="6A333F49"/>
    <w:rsid w:val="6A3B28B7"/>
    <w:rsid w:val="6A464C09"/>
    <w:rsid w:val="6A485E46"/>
    <w:rsid w:val="6A4D243B"/>
    <w:rsid w:val="6A4D33B9"/>
    <w:rsid w:val="6A696B49"/>
    <w:rsid w:val="6A7F6C6E"/>
    <w:rsid w:val="6A896D77"/>
    <w:rsid w:val="6A8E0EAB"/>
    <w:rsid w:val="6A9E67F3"/>
    <w:rsid w:val="6AC91EBE"/>
    <w:rsid w:val="6ADB35E0"/>
    <w:rsid w:val="6AFC003E"/>
    <w:rsid w:val="6B09157D"/>
    <w:rsid w:val="6B0F5943"/>
    <w:rsid w:val="6B364C7D"/>
    <w:rsid w:val="6B59096C"/>
    <w:rsid w:val="6B5B46E4"/>
    <w:rsid w:val="6B795DC3"/>
    <w:rsid w:val="6B7F67E4"/>
    <w:rsid w:val="6BB43DF4"/>
    <w:rsid w:val="6BBD0EFB"/>
    <w:rsid w:val="6BDD159D"/>
    <w:rsid w:val="6BEF1DAD"/>
    <w:rsid w:val="6C005149"/>
    <w:rsid w:val="6C105E57"/>
    <w:rsid w:val="6C19336A"/>
    <w:rsid w:val="6C1B6E53"/>
    <w:rsid w:val="6C2F432E"/>
    <w:rsid w:val="6C365542"/>
    <w:rsid w:val="6C36603C"/>
    <w:rsid w:val="6C465394"/>
    <w:rsid w:val="6C626D37"/>
    <w:rsid w:val="6C6C4AED"/>
    <w:rsid w:val="6C766A5A"/>
    <w:rsid w:val="6C7C7502"/>
    <w:rsid w:val="6C8E6D3B"/>
    <w:rsid w:val="6C953C26"/>
    <w:rsid w:val="6C972257"/>
    <w:rsid w:val="6C9B0852"/>
    <w:rsid w:val="6CA14324"/>
    <w:rsid w:val="6CA80604"/>
    <w:rsid w:val="6CA80759"/>
    <w:rsid w:val="6D19237D"/>
    <w:rsid w:val="6D1D702F"/>
    <w:rsid w:val="6D313A84"/>
    <w:rsid w:val="6D3B2FF6"/>
    <w:rsid w:val="6D450549"/>
    <w:rsid w:val="6D5E495F"/>
    <w:rsid w:val="6D8C5655"/>
    <w:rsid w:val="6D8E1B76"/>
    <w:rsid w:val="6DD469CF"/>
    <w:rsid w:val="6DE24C37"/>
    <w:rsid w:val="6DF57803"/>
    <w:rsid w:val="6E113780"/>
    <w:rsid w:val="6E201C15"/>
    <w:rsid w:val="6E274256"/>
    <w:rsid w:val="6E9E7296"/>
    <w:rsid w:val="6EA064C5"/>
    <w:rsid w:val="6EAE6B68"/>
    <w:rsid w:val="6EBC16AC"/>
    <w:rsid w:val="6ED106D2"/>
    <w:rsid w:val="6F050962"/>
    <w:rsid w:val="6F09639B"/>
    <w:rsid w:val="6F196431"/>
    <w:rsid w:val="6F1F6E65"/>
    <w:rsid w:val="6F570DBD"/>
    <w:rsid w:val="6F9D04EB"/>
    <w:rsid w:val="6F9E1043"/>
    <w:rsid w:val="6F9E7295"/>
    <w:rsid w:val="6FA85602"/>
    <w:rsid w:val="6FAF14A2"/>
    <w:rsid w:val="6FD44A65"/>
    <w:rsid w:val="6FDD4DE6"/>
    <w:rsid w:val="6FE4739E"/>
    <w:rsid w:val="700C165D"/>
    <w:rsid w:val="703E5FDE"/>
    <w:rsid w:val="703E6CF5"/>
    <w:rsid w:val="70487AF9"/>
    <w:rsid w:val="704E2A69"/>
    <w:rsid w:val="70716758"/>
    <w:rsid w:val="70853885"/>
    <w:rsid w:val="70877D29"/>
    <w:rsid w:val="70C35EB3"/>
    <w:rsid w:val="70DB7F7E"/>
    <w:rsid w:val="70DE203F"/>
    <w:rsid w:val="70E21BF9"/>
    <w:rsid w:val="70E9294B"/>
    <w:rsid w:val="70FE5F25"/>
    <w:rsid w:val="710429FA"/>
    <w:rsid w:val="710D32A0"/>
    <w:rsid w:val="71353C29"/>
    <w:rsid w:val="7148570A"/>
    <w:rsid w:val="71541A39"/>
    <w:rsid w:val="7157594D"/>
    <w:rsid w:val="715776FB"/>
    <w:rsid w:val="715E4EF3"/>
    <w:rsid w:val="716167CC"/>
    <w:rsid w:val="716D5171"/>
    <w:rsid w:val="71995F66"/>
    <w:rsid w:val="71A212BE"/>
    <w:rsid w:val="71C42ADE"/>
    <w:rsid w:val="71CA25C3"/>
    <w:rsid w:val="71CD20B4"/>
    <w:rsid w:val="71D57328"/>
    <w:rsid w:val="71E50374"/>
    <w:rsid w:val="71F118FE"/>
    <w:rsid w:val="722E1923"/>
    <w:rsid w:val="723434E6"/>
    <w:rsid w:val="72480F9D"/>
    <w:rsid w:val="72731A96"/>
    <w:rsid w:val="72862B6F"/>
    <w:rsid w:val="72884188"/>
    <w:rsid w:val="72AC42C5"/>
    <w:rsid w:val="72C61C9A"/>
    <w:rsid w:val="72EE22E1"/>
    <w:rsid w:val="73152EDD"/>
    <w:rsid w:val="733F017D"/>
    <w:rsid w:val="735D2FC3"/>
    <w:rsid w:val="73784A7A"/>
    <w:rsid w:val="73813156"/>
    <w:rsid w:val="73A5137E"/>
    <w:rsid w:val="73A52066"/>
    <w:rsid w:val="73DA21D9"/>
    <w:rsid w:val="73DF3F7C"/>
    <w:rsid w:val="73E32E5E"/>
    <w:rsid w:val="74184804"/>
    <w:rsid w:val="742E6B67"/>
    <w:rsid w:val="744D3038"/>
    <w:rsid w:val="744E11F2"/>
    <w:rsid w:val="745C192B"/>
    <w:rsid w:val="74777EE8"/>
    <w:rsid w:val="749F65FA"/>
    <w:rsid w:val="74A05D67"/>
    <w:rsid w:val="74A94712"/>
    <w:rsid w:val="74AD5DBC"/>
    <w:rsid w:val="74BC0B3B"/>
    <w:rsid w:val="74C15C2B"/>
    <w:rsid w:val="74F41F6E"/>
    <w:rsid w:val="74F57957"/>
    <w:rsid w:val="752718BC"/>
    <w:rsid w:val="7530013C"/>
    <w:rsid w:val="754E350B"/>
    <w:rsid w:val="757A3B9B"/>
    <w:rsid w:val="75920D9E"/>
    <w:rsid w:val="75992FD9"/>
    <w:rsid w:val="75A84C9D"/>
    <w:rsid w:val="75AC2CC8"/>
    <w:rsid w:val="75CB674E"/>
    <w:rsid w:val="75D155BD"/>
    <w:rsid w:val="75E1612D"/>
    <w:rsid w:val="760D2A7F"/>
    <w:rsid w:val="76174B94"/>
    <w:rsid w:val="76212A0B"/>
    <w:rsid w:val="76341D7D"/>
    <w:rsid w:val="763A7432"/>
    <w:rsid w:val="76426276"/>
    <w:rsid w:val="765E152C"/>
    <w:rsid w:val="76611993"/>
    <w:rsid w:val="767304AD"/>
    <w:rsid w:val="76791CCF"/>
    <w:rsid w:val="76866C66"/>
    <w:rsid w:val="768A0294"/>
    <w:rsid w:val="76B70727"/>
    <w:rsid w:val="76BD26F7"/>
    <w:rsid w:val="76D101FA"/>
    <w:rsid w:val="76D56E66"/>
    <w:rsid w:val="76E51B3D"/>
    <w:rsid w:val="771C4F16"/>
    <w:rsid w:val="772E6280"/>
    <w:rsid w:val="774E3D05"/>
    <w:rsid w:val="77650BE1"/>
    <w:rsid w:val="776802BA"/>
    <w:rsid w:val="779571D0"/>
    <w:rsid w:val="77A03423"/>
    <w:rsid w:val="77B53160"/>
    <w:rsid w:val="77C37209"/>
    <w:rsid w:val="77DA3C60"/>
    <w:rsid w:val="77F23A58"/>
    <w:rsid w:val="77F959B0"/>
    <w:rsid w:val="77FD31EB"/>
    <w:rsid w:val="781E6993"/>
    <w:rsid w:val="782521DE"/>
    <w:rsid w:val="78296732"/>
    <w:rsid w:val="782B6736"/>
    <w:rsid w:val="78400D2A"/>
    <w:rsid w:val="784B74B9"/>
    <w:rsid w:val="78543A79"/>
    <w:rsid w:val="788563B9"/>
    <w:rsid w:val="788923CC"/>
    <w:rsid w:val="789E1DBB"/>
    <w:rsid w:val="78B07A2A"/>
    <w:rsid w:val="78C37D6C"/>
    <w:rsid w:val="78CC27BF"/>
    <w:rsid w:val="78EA52F9"/>
    <w:rsid w:val="79053EE1"/>
    <w:rsid w:val="790C34C1"/>
    <w:rsid w:val="790C7ABB"/>
    <w:rsid w:val="790E49B4"/>
    <w:rsid w:val="79114CC7"/>
    <w:rsid w:val="791725BB"/>
    <w:rsid w:val="791B29B4"/>
    <w:rsid w:val="792739C2"/>
    <w:rsid w:val="7930196F"/>
    <w:rsid w:val="7969049B"/>
    <w:rsid w:val="796F7C4B"/>
    <w:rsid w:val="797639EB"/>
    <w:rsid w:val="797B4877"/>
    <w:rsid w:val="797C5064"/>
    <w:rsid w:val="799F60E4"/>
    <w:rsid w:val="79A01735"/>
    <w:rsid w:val="79A507FC"/>
    <w:rsid w:val="79B16059"/>
    <w:rsid w:val="79C11F1C"/>
    <w:rsid w:val="79D1107F"/>
    <w:rsid w:val="79D1504B"/>
    <w:rsid w:val="79D96644"/>
    <w:rsid w:val="79E34675"/>
    <w:rsid w:val="7A020420"/>
    <w:rsid w:val="7A5B1B0A"/>
    <w:rsid w:val="7A80638A"/>
    <w:rsid w:val="7A9D0993"/>
    <w:rsid w:val="7AA962C3"/>
    <w:rsid w:val="7AAF23D1"/>
    <w:rsid w:val="7AC94C96"/>
    <w:rsid w:val="7ACF4134"/>
    <w:rsid w:val="7AD1676C"/>
    <w:rsid w:val="7AD7609E"/>
    <w:rsid w:val="7AE70243"/>
    <w:rsid w:val="7B015DE4"/>
    <w:rsid w:val="7B02145B"/>
    <w:rsid w:val="7B153EB7"/>
    <w:rsid w:val="7B3B7AA1"/>
    <w:rsid w:val="7B42766E"/>
    <w:rsid w:val="7B463B65"/>
    <w:rsid w:val="7B5A78F1"/>
    <w:rsid w:val="7B602F50"/>
    <w:rsid w:val="7B70418D"/>
    <w:rsid w:val="7B73485E"/>
    <w:rsid w:val="7B761B3A"/>
    <w:rsid w:val="7B9A6520"/>
    <w:rsid w:val="7BA3799C"/>
    <w:rsid w:val="7BB83709"/>
    <w:rsid w:val="7BC52691"/>
    <w:rsid w:val="7BCF1967"/>
    <w:rsid w:val="7BCF6E26"/>
    <w:rsid w:val="7BEA273E"/>
    <w:rsid w:val="7C205083"/>
    <w:rsid w:val="7C4154FC"/>
    <w:rsid w:val="7C49047D"/>
    <w:rsid w:val="7C594C70"/>
    <w:rsid w:val="7C72264E"/>
    <w:rsid w:val="7C8166D6"/>
    <w:rsid w:val="7C8F5EED"/>
    <w:rsid w:val="7C905B5F"/>
    <w:rsid w:val="7CA204C2"/>
    <w:rsid w:val="7CAD745E"/>
    <w:rsid w:val="7CC32428"/>
    <w:rsid w:val="7CC61BD9"/>
    <w:rsid w:val="7CD3540E"/>
    <w:rsid w:val="7CD561B0"/>
    <w:rsid w:val="7CEC1640"/>
    <w:rsid w:val="7CEC328F"/>
    <w:rsid w:val="7CF70280"/>
    <w:rsid w:val="7D203272"/>
    <w:rsid w:val="7D24584E"/>
    <w:rsid w:val="7D284642"/>
    <w:rsid w:val="7D696557"/>
    <w:rsid w:val="7D871368"/>
    <w:rsid w:val="7D992BC9"/>
    <w:rsid w:val="7DB96E13"/>
    <w:rsid w:val="7DC273F6"/>
    <w:rsid w:val="7DD15C5F"/>
    <w:rsid w:val="7DED1EE6"/>
    <w:rsid w:val="7DF8620B"/>
    <w:rsid w:val="7DFB58B2"/>
    <w:rsid w:val="7DFD28CF"/>
    <w:rsid w:val="7E2C5F0E"/>
    <w:rsid w:val="7E3C65F7"/>
    <w:rsid w:val="7E4B1B16"/>
    <w:rsid w:val="7E4C0D1D"/>
    <w:rsid w:val="7E6D4A02"/>
    <w:rsid w:val="7E7A0ECD"/>
    <w:rsid w:val="7EB16548"/>
    <w:rsid w:val="7EB16AF4"/>
    <w:rsid w:val="7ECA6CA8"/>
    <w:rsid w:val="7EF24F07"/>
    <w:rsid w:val="7F256EBE"/>
    <w:rsid w:val="7F2A2F61"/>
    <w:rsid w:val="7F4B3971"/>
    <w:rsid w:val="7F5636E8"/>
    <w:rsid w:val="7F630CC2"/>
    <w:rsid w:val="7F822458"/>
    <w:rsid w:val="7FD812B9"/>
    <w:rsid w:val="7FD860E8"/>
    <w:rsid w:val="7FE951B8"/>
    <w:rsid w:val="7FEC5DFB"/>
    <w:rsid w:val="7FF32CE5"/>
    <w:rsid w:val="7FF71B85"/>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0"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0" w:semiHidden="0" w:name="HTML Sample"/>
    <w:lsdException w:uiPriority="99" w:name="HTML Typewriter"/>
    <w:lsdException w:qFormat="1"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等线 Light" w:hAnsi="Times New Roman" w:eastAsia="宋体" w:cs="Times New Roman"/>
      <w:sz w:val="24"/>
      <w:szCs w:val="24"/>
      <w:lang w:val="en-US" w:eastAsia="zh-CN" w:bidi="ar-SA"/>
    </w:rPr>
  </w:style>
  <w:style w:type="paragraph" w:styleId="2">
    <w:name w:val="heading 1"/>
    <w:basedOn w:val="1"/>
    <w:next w:val="1"/>
    <w:link w:val="74"/>
    <w:qFormat/>
    <w:uiPriority w:val="0"/>
    <w:pPr>
      <w:outlineLvl w:val="0"/>
    </w:pPr>
    <w:rPr>
      <w:rFonts w:hAnsi="幼圆" w:eastAsia="等线 Light"/>
    </w:rPr>
  </w:style>
  <w:style w:type="paragraph" w:styleId="3">
    <w:name w:val="heading 2"/>
    <w:basedOn w:val="1"/>
    <w:next w:val="1"/>
    <w:link w:val="75"/>
    <w:qFormat/>
    <w:uiPriority w:val="0"/>
    <w:pPr>
      <w:outlineLvl w:val="1"/>
    </w:pPr>
    <w:rPr>
      <w:rFonts w:hAnsi="幼圆" w:eastAsia="等线 Light"/>
    </w:rPr>
  </w:style>
  <w:style w:type="paragraph" w:styleId="4">
    <w:name w:val="heading 3"/>
    <w:basedOn w:val="1"/>
    <w:next w:val="1"/>
    <w:link w:val="76"/>
    <w:qFormat/>
    <w:uiPriority w:val="0"/>
    <w:pPr>
      <w:outlineLvl w:val="2"/>
    </w:pPr>
    <w:rPr>
      <w:rFonts w:hAnsi="幼圆" w:eastAsia="等线 Light"/>
    </w:rPr>
  </w:style>
  <w:style w:type="paragraph" w:styleId="5">
    <w:name w:val="heading 4"/>
    <w:basedOn w:val="1"/>
    <w:next w:val="1"/>
    <w:link w:val="77"/>
    <w:qFormat/>
    <w:uiPriority w:val="0"/>
    <w:pPr>
      <w:keepNext/>
      <w:keepLines/>
      <w:spacing w:before="280" w:after="290" w:line="376" w:lineRule="auto"/>
      <w:outlineLvl w:val="3"/>
    </w:pPr>
    <w:rPr>
      <w:rFonts w:ascii="楷体_GB2312" w:hAnsi="楷体_GB2312" w:eastAsia="PMingLiU"/>
      <w:b/>
      <w:bCs/>
      <w:sz w:val="28"/>
      <w:szCs w:val="28"/>
    </w:rPr>
  </w:style>
  <w:style w:type="paragraph" w:styleId="6">
    <w:name w:val="heading 5"/>
    <w:basedOn w:val="1"/>
    <w:next w:val="1"/>
    <w:link w:val="78"/>
    <w:qFormat/>
    <w:uiPriority w:val="9"/>
    <w:pPr>
      <w:keepNext/>
      <w:keepLines/>
      <w:spacing w:before="280" w:after="290" w:line="376" w:lineRule="auto"/>
      <w:outlineLvl w:val="4"/>
    </w:pPr>
    <w:rPr>
      <w:b/>
      <w:bCs/>
      <w:sz w:val="28"/>
      <w:szCs w:val="28"/>
    </w:rPr>
  </w:style>
  <w:style w:type="paragraph" w:styleId="7">
    <w:name w:val="heading 6"/>
    <w:basedOn w:val="1"/>
    <w:next w:val="8"/>
    <w:link w:val="79"/>
    <w:qFormat/>
    <w:uiPriority w:val="9"/>
    <w:pPr>
      <w:keepLines/>
      <w:tabs>
        <w:tab w:val="left" w:pos="1152"/>
      </w:tabs>
      <w:autoSpaceDE/>
      <w:autoSpaceDN/>
      <w:snapToGrid w:val="0"/>
      <w:spacing w:beforeLines="50" w:line="360" w:lineRule="auto"/>
      <w:ind w:left="1152" w:hanging="1152"/>
      <w:textAlignment w:val="baseline"/>
      <w:outlineLvl w:val="5"/>
    </w:pPr>
    <w:rPr>
      <w:rFonts w:ascii="Times New Roman" w:eastAsia="PMingLiU"/>
      <w:b/>
      <w:bCs/>
      <w:sz w:val="28"/>
    </w:rPr>
  </w:style>
  <w:style w:type="paragraph" w:styleId="9">
    <w:name w:val="heading 7"/>
    <w:basedOn w:val="1"/>
    <w:next w:val="8"/>
    <w:link w:val="81"/>
    <w:qFormat/>
    <w:uiPriority w:val="0"/>
    <w:pPr>
      <w:keepNext/>
      <w:keepLines/>
      <w:tabs>
        <w:tab w:val="left" w:pos="1296"/>
      </w:tabs>
      <w:autoSpaceDE/>
      <w:autoSpaceDN/>
      <w:snapToGrid w:val="0"/>
      <w:spacing w:before="240" w:after="120"/>
      <w:ind w:left="1296" w:hanging="1296"/>
      <w:jc w:val="both"/>
      <w:textAlignment w:val="baseline"/>
      <w:outlineLvl w:val="6"/>
    </w:pPr>
    <w:rPr>
      <w:rFonts w:ascii="Times New Roman" w:eastAsia="PMingLiU"/>
      <w:b/>
      <w:bCs/>
      <w:sz w:val="28"/>
    </w:rPr>
  </w:style>
  <w:style w:type="paragraph" w:styleId="10">
    <w:name w:val="heading 8"/>
    <w:basedOn w:val="1"/>
    <w:next w:val="8"/>
    <w:link w:val="82"/>
    <w:qFormat/>
    <w:uiPriority w:val="0"/>
    <w:pPr>
      <w:keepNext/>
      <w:keepLines/>
      <w:tabs>
        <w:tab w:val="left" w:pos="1440"/>
      </w:tabs>
      <w:autoSpaceDE/>
      <w:autoSpaceDN/>
      <w:adjustRightInd/>
      <w:snapToGrid w:val="0"/>
      <w:spacing w:before="240" w:after="120"/>
      <w:ind w:left="1440" w:hanging="1440"/>
      <w:jc w:val="both"/>
      <w:outlineLvl w:val="7"/>
    </w:pPr>
    <w:rPr>
      <w:rFonts w:ascii="Times New Roman" w:eastAsia="PMingLiU"/>
      <w:b/>
      <w:sz w:val="28"/>
    </w:rPr>
  </w:style>
  <w:style w:type="paragraph" w:styleId="11">
    <w:name w:val="heading 9"/>
    <w:basedOn w:val="1"/>
    <w:next w:val="8"/>
    <w:link w:val="83"/>
    <w:qFormat/>
    <w:uiPriority w:val="0"/>
    <w:pPr>
      <w:keepNext/>
      <w:keepLines/>
      <w:tabs>
        <w:tab w:val="left" w:pos="1584"/>
      </w:tabs>
      <w:autoSpaceDE/>
      <w:autoSpaceDN/>
      <w:adjustRightInd/>
      <w:snapToGrid w:val="0"/>
      <w:spacing w:before="240" w:after="120"/>
      <w:ind w:left="1584" w:hanging="1584"/>
      <w:jc w:val="both"/>
      <w:outlineLvl w:val="8"/>
    </w:pPr>
    <w:rPr>
      <w:rFonts w:ascii="Times New Roman" w:eastAsia="PMingLiU"/>
      <w:b/>
      <w:sz w:val="28"/>
    </w:rPr>
  </w:style>
  <w:style w:type="character" w:default="1" w:styleId="57">
    <w:name w:val="Default Paragraph Font"/>
    <w:unhideWhenUsed/>
    <w:qFormat/>
    <w:uiPriority w:val="1"/>
  </w:style>
  <w:style w:type="table" w:default="1" w:styleId="55">
    <w:name w:val="Normal Table"/>
    <w:unhideWhenUsed/>
    <w:qFormat/>
    <w:uiPriority w:val="99"/>
    <w:pPr>
      <w:keepNext w:val="0"/>
      <w:keepLines w:val="0"/>
      <w:widowControl/>
      <w:suppressLineNumbers w:val="0"/>
      <w:spacing w:before="0" w:beforeAutospacing="0" w:after="0" w:afterAutospacing="0"/>
      <w:ind w:left="0" w:right="0"/>
    </w:pPr>
    <w:rPr>
      <w:rFonts w:hint="default" w:ascii="幼圆" w:hAnsi="幼圆" w:cs="幼圆"/>
      <w:sz w:val="20"/>
      <w:szCs w:val="20"/>
    </w:rPr>
    <w:tblPr>
      <w:tblCellMar>
        <w:top w:w="0" w:type="dxa"/>
        <w:left w:w="108" w:type="dxa"/>
        <w:bottom w:w="0" w:type="dxa"/>
        <w:right w:w="108" w:type="dxa"/>
      </w:tblCellMar>
    </w:tblPr>
  </w:style>
  <w:style w:type="paragraph" w:customStyle="1" w:styleId="8">
    <w:name w:val="模板正文"/>
    <w:basedOn w:val="1"/>
    <w:link w:val="80"/>
    <w:qFormat/>
    <w:uiPriority w:val="0"/>
    <w:pPr>
      <w:wordWrap w:val="0"/>
      <w:spacing w:beforeLines="50" w:line="360" w:lineRule="auto"/>
      <w:ind w:firstLine="200" w:firstLineChars="200"/>
    </w:pPr>
    <w:rPr>
      <w:rFonts w:eastAsia="font-weight : 400"/>
      <w:szCs w:val="21"/>
    </w:rPr>
  </w:style>
  <w:style w:type="paragraph" w:styleId="12">
    <w:name w:val="toc 7"/>
    <w:basedOn w:val="1"/>
    <w:next w:val="1"/>
    <w:unhideWhenUsed/>
    <w:qFormat/>
    <w:uiPriority w:val="39"/>
    <w:pPr>
      <w:ind w:left="1440"/>
    </w:pPr>
    <w:rPr>
      <w:rFonts w:ascii="Arial Unicode MS" w:hAnsi="Arial Unicode MS" w:cs="Arial Unicode MS"/>
      <w:sz w:val="18"/>
      <w:szCs w:val="18"/>
    </w:rPr>
  </w:style>
  <w:style w:type="paragraph" w:styleId="13">
    <w:name w:val="List Bullet 4"/>
    <w:basedOn w:val="1"/>
    <w:qFormat/>
    <w:uiPriority w:val="0"/>
    <w:pPr>
      <w:tabs>
        <w:tab w:val="left" w:pos="720"/>
      </w:tabs>
      <w:autoSpaceDE/>
      <w:autoSpaceDN/>
      <w:adjustRightInd/>
      <w:ind w:left="425" w:hanging="425"/>
      <w:jc w:val="both"/>
    </w:pPr>
    <w:rPr>
      <w:rFonts w:ascii="Arial Unicode MS" w:hAnsi="Arial Unicode MS"/>
      <w:kern w:val="2"/>
      <w:sz w:val="21"/>
      <w:szCs w:val="21"/>
    </w:rPr>
  </w:style>
  <w:style w:type="paragraph" w:styleId="14">
    <w:name w:val="Normal Indent"/>
    <w:basedOn w:val="1"/>
    <w:link w:val="84"/>
    <w:qFormat/>
    <w:uiPriority w:val="0"/>
    <w:pPr>
      <w:widowControl/>
      <w:autoSpaceDE/>
      <w:autoSpaceDN/>
      <w:adjustRightInd/>
      <w:ind w:firstLine="420" w:firstLineChars="200"/>
    </w:pPr>
    <w:rPr>
      <w:rFonts w:ascii="幼圆"/>
      <w:sz w:val="20"/>
      <w:szCs w:val="20"/>
    </w:rPr>
  </w:style>
  <w:style w:type="paragraph" w:styleId="15">
    <w:name w:val="caption"/>
    <w:basedOn w:val="1"/>
    <w:next w:val="1"/>
    <w:link w:val="85"/>
    <w:qFormat/>
    <w:uiPriority w:val="0"/>
    <w:pPr>
      <w:spacing w:before="152" w:after="160"/>
    </w:pPr>
    <w:rPr>
      <w:rFonts w:ascii="楷体_GB2312" w:hAnsi="楷体_GB2312" w:eastAsia="PMingLiU"/>
      <w:sz w:val="20"/>
      <w:szCs w:val="20"/>
    </w:rPr>
  </w:style>
  <w:style w:type="paragraph" w:styleId="16">
    <w:name w:val="List Bullet"/>
    <w:basedOn w:val="1"/>
    <w:qFormat/>
    <w:uiPriority w:val="0"/>
    <w:pPr>
      <w:numPr>
        <w:ilvl w:val="0"/>
        <w:numId w:val="1"/>
      </w:numPr>
      <w:tabs>
        <w:tab w:val="left" w:pos="360"/>
      </w:tabs>
      <w:autoSpaceDE/>
      <w:autoSpaceDN/>
      <w:adjustRightInd/>
      <w:jc w:val="both"/>
    </w:pPr>
    <w:rPr>
      <w:rFonts w:ascii="Arial Unicode MS" w:hAnsi="Arial Unicode MS"/>
      <w:kern w:val="2"/>
      <w:sz w:val="21"/>
      <w:szCs w:val="21"/>
    </w:rPr>
  </w:style>
  <w:style w:type="paragraph" w:styleId="17">
    <w:name w:val="Document Map"/>
    <w:basedOn w:val="1"/>
    <w:link w:val="86"/>
    <w:qFormat/>
    <w:uiPriority w:val="0"/>
    <w:pPr>
      <w:shd w:val="clear" w:color="auto" w:fill="000080"/>
    </w:pPr>
    <w:rPr>
      <w:rFonts w:hAnsi="幼圆" w:eastAsia="等线 Light"/>
    </w:rPr>
  </w:style>
  <w:style w:type="paragraph" w:styleId="18">
    <w:name w:val="toa heading"/>
    <w:basedOn w:val="1"/>
    <w:next w:val="1"/>
    <w:qFormat/>
    <w:uiPriority w:val="0"/>
    <w:pPr>
      <w:snapToGrid w:val="0"/>
      <w:spacing w:before="120" w:line="360" w:lineRule="auto"/>
      <w:jc w:val="both"/>
    </w:pPr>
    <w:rPr>
      <w:rFonts w:ascii="楷体_GB2312" w:hAnsi="楷体_GB2312"/>
      <w:snapToGrid w:val="0"/>
      <w:color w:val="000000"/>
      <w:sz w:val="21"/>
      <w:szCs w:val="20"/>
    </w:rPr>
  </w:style>
  <w:style w:type="paragraph" w:styleId="19">
    <w:name w:val="annotation text"/>
    <w:basedOn w:val="1"/>
    <w:link w:val="87"/>
    <w:unhideWhenUsed/>
    <w:qFormat/>
    <w:uiPriority w:val="0"/>
    <w:rPr>
      <w:rFonts w:hAnsi="幼圆" w:eastAsia="等线 Light"/>
    </w:rPr>
  </w:style>
  <w:style w:type="paragraph" w:styleId="20">
    <w:name w:val="Body Text 3"/>
    <w:basedOn w:val="1"/>
    <w:link w:val="88"/>
    <w:qFormat/>
    <w:uiPriority w:val="0"/>
    <w:pPr>
      <w:ind w:right="-26"/>
      <w:jc w:val="center"/>
    </w:pPr>
    <w:rPr>
      <w:rFonts w:hAnsi="幼圆" w:eastAsia="等线 Light"/>
      <w:b/>
      <w:bCs/>
      <w:color w:val="3366FF"/>
      <w:sz w:val="52"/>
      <w:szCs w:val="52"/>
      <w:lang w:val="zh-CN"/>
    </w:rPr>
  </w:style>
  <w:style w:type="paragraph" w:styleId="21">
    <w:name w:val="List Bullet 3"/>
    <w:basedOn w:val="1"/>
    <w:qFormat/>
    <w:uiPriority w:val="0"/>
    <w:pPr>
      <w:tabs>
        <w:tab w:val="left" w:pos="426"/>
      </w:tabs>
      <w:autoSpaceDE/>
      <w:autoSpaceDN/>
      <w:adjustRightInd/>
      <w:ind w:left="426" w:hanging="425"/>
      <w:jc w:val="both"/>
    </w:pPr>
    <w:rPr>
      <w:rFonts w:ascii="Arial Unicode MS" w:hAnsi="Arial Unicode MS"/>
      <w:kern w:val="2"/>
      <w:sz w:val="21"/>
      <w:szCs w:val="21"/>
    </w:rPr>
  </w:style>
  <w:style w:type="paragraph" w:styleId="22">
    <w:name w:val="Body Text"/>
    <w:basedOn w:val="1"/>
    <w:next w:val="23"/>
    <w:link w:val="89"/>
    <w:qFormat/>
    <w:uiPriority w:val="1"/>
    <w:pPr>
      <w:ind w:right="-26"/>
      <w:jc w:val="center"/>
    </w:pPr>
    <w:rPr>
      <w:rFonts w:eastAsia="等线 Light"/>
      <w:b/>
      <w:bCs/>
      <w:sz w:val="84"/>
      <w:szCs w:val="84"/>
      <w:lang w:val="zh-CN"/>
    </w:rPr>
  </w:style>
  <w:style w:type="paragraph" w:styleId="23">
    <w:name w:val="Body Text First Indent"/>
    <w:basedOn w:val="22"/>
    <w:link w:val="106"/>
    <w:unhideWhenUsed/>
    <w:qFormat/>
    <w:uiPriority w:val="99"/>
    <w:pPr>
      <w:ind w:firstLine="420" w:firstLineChars="100"/>
    </w:pPr>
    <w:rPr>
      <w:rFonts w:eastAsia="宋体"/>
    </w:rPr>
  </w:style>
  <w:style w:type="paragraph" w:styleId="24">
    <w:name w:val="Body Text Indent"/>
    <w:basedOn w:val="1"/>
    <w:next w:val="22"/>
    <w:link w:val="90"/>
    <w:qFormat/>
    <w:uiPriority w:val="0"/>
    <w:pPr>
      <w:autoSpaceDE/>
      <w:autoSpaceDN/>
      <w:adjustRightInd/>
      <w:ind w:left="567" w:leftChars="270"/>
      <w:jc w:val="both"/>
    </w:pPr>
    <w:rPr>
      <w:rFonts w:ascii="幼圆" w:hAnsi="幼圆" w:eastAsia="等线 Light"/>
      <w:sz w:val="20"/>
      <w:szCs w:val="20"/>
    </w:rPr>
  </w:style>
  <w:style w:type="paragraph" w:styleId="25">
    <w:name w:val="List 2"/>
    <w:basedOn w:val="26"/>
    <w:qFormat/>
    <w:uiPriority w:val="0"/>
    <w:pPr>
      <w:autoSpaceDE/>
      <w:autoSpaceDN/>
      <w:adjustRightInd/>
      <w:snapToGrid w:val="0"/>
      <w:spacing w:before="120" w:after="220" w:line="220" w:lineRule="atLeast"/>
      <w:ind w:left="1800" w:hanging="360" w:firstLineChars="0"/>
      <w:jc w:val="both"/>
    </w:pPr>
    <w:rPr>
      <w:rFonts w:ascii="monospace" w:hAnsi="Arial Unicode MS" w:eastAsia="monospace"/>
      <w:sz w:val="22"/>
      <w:szCs w:val="20"/>
    </w:rPr>
  </w:style>
  <w:style w:type="paragraph" w:styleId="26">
    <w:name w:val="List"/>
    <w:basedOn w:val="1"/>
    <w:unhideWhenUsed/>
    <w:qFormat/>
    <w:uiPriority w:val="0"/>
    <w:pPr>
      <w:ind w:left="200" w:hanging="200" w:hangingChars="200"/>
      <w:contextualSpacing/>
    </w:pPr>
  </w:style>
  <w:style w:type="paragraph" w:styleId="27">
    <w:name w:val="Block Text"/>
    <w:basedOn w:val="1"/>
    <w:qFormat/>
    <w:uiPriority w:val="0"/>
    <w:pPr>
      <w:autoSpaceDE/>
      <w:autoSpaceDN/>
      <w:adjustRightInd/>
      <w:spacing w:after="120"/>
      <w:ind w:left="1440" w:leftChars="700" w:right="1440" w:rightChars="700"/>
      <w:jc w:val="both"/>
    </w:pPr>
    <w:rPr>
      <w:rFonts w:ascii="Arial Unicode MS" w:hAnsi="Arial Unicode MS"/>
      <w:kern w:val="2"/>
      <w:sz w:val="21"/>
    </w:rPr>
  </w:style>
  <w:style w:type="paragraph" w:styleId="28">
    <w:name w:val="List Bullet 2"/>
    <w:basedOn w:val="1"/>
    <w:qFormat/>
    <w:uiPriority w:val="0"/>
    <w:pPr>
      <w:numPr>
        <w:ilvl w:val="0"/>
        <w:numId w:val="2"/>
      </w:numPr>
      <w:tabs>
        <w:tab w:val="left" w:pos="780"/>
      </w:tabs>
      <w:autoSpaceDE/>
      <w:autoSpaceDN/>
      <w:adjustRightInd/>
      <w:ind w:left="780" w:leftChars="200"/>
      <w:jc w:val="both"/>
    </w:pPr>
    <w:rPr>
      <w:rFonts w:ascii="Arial Unicode MS" w:hAnsi="Arial Unicode MS"/>
      <w:kern w:val="2"/>
      <w:sz w:val="21"/>
      <w:szCs w:val="21"/>
    </w:rPr>
  </w:style>
  <w:style w:type="paragraph" w:styleId="29">
    <w:name w:val="index 4"/>
    <w:basedOn w:val="1"/>
    <w:next w:val="1"/>
    <w:qFormat/>
    <w:uiPriority w:val="0"/>
    <w:pPr>
      <w:autoSpaceDE/>
      <w:autoSpaceDN/>
      <w:adjustRightInd/>
      <w:ind w:left="600" w:leftChars="600"/>
      <w:jc w:val="both"/>
    </w:pPr>
    <w:rPr>
      <w:rFonts w:ascii="Arial Unicode MS" w:hAnsi="Arial Unicode MS"/>
      <w:kern w:val="2"/>
      <w:sz w:val="21"/>
      <w:szCs w:val="20"/>
    </w:rPr>
  </w:style>
  <w:style w:type="paragraph" w:styleId="30">
    <w:name w:val="toc 5"/>
    <w:basedOn w:val="1"/>
    <w:next w:val="1"/>
    <w:unhideWhenUsed/>
    <w:qFormat/>
    <w:uiPriority w:val="39"/>
    <w:pPr>
      <w:ind w:left="960"/>
    </w:pPr>
    <w:rPr>
      <w:rFonts w:ascii="Arial Unicode MS" w:hAnsi="Arial Unicode MS" w:cs="Arial Unicode MS"/>
      <w:sz w:val="18"/>
      <w:szCs w:val="18"/>
    </w:rPr>
  </w:style>
  <w:style w:type="paragraph" w:styleId="31">
    <w:name w:val="toc 3"/>
    <w:basedOn w:val="1"/>
    <w:next w:val="1"/>
    <w:qFormat/>
    <w:uiPriority w:val="39"/>
    <w:pPr>
      <w:ind w:left="480"/>
    </w:pPr>
    <w:rPr>
      <w:rFonts w:ascii="Arial Unicode MS" w:hAnsi="Arial Unicode MS" w:cs="Arial Unicode MS"/>
      <w:i/>
      <w:iCs/>
      <w:sz w:val="20"/>
      <w:szCs w:val="20"/>
    </w:rPr>
  </w:style>
  <w:style w:type="paragraph" w:styleId="32">
    <w:name w:val="Plain Text"/>
    <w:basedOn w:val="1"/>
    <w:link w:val="91"/>
    <w:qFormat/>
    <w:uiPriority w:val="0"/>
    <w:pPr>
      <w:autoSpaceDE/>
      <w:autoSpaceDN/>
      <w:adjustRightInd/>
      <w:jc w:val="both"/>
    </w:pPr>
    <w:rPr>
      <w:rFonts w:hAnsi="Helv" w:eastAsia="等线 Light"/>
      <w:sz w:val="20"/>
      <w:szCs w:val="20"/>
    </w:rPr>
  </w:style>
  <w:style w:type="paragraph" w:styleId="33">
    <w:name w:val="List Bullet 5"/>
    <w:basedOn w:val="1"/>
    <w:qFormat/>
    <w:uiPriority w:val="0"/>
    <w:pPr>
      <w:tabs>
        <w:tab w:val="left" w:pos="840"/>
      </w:tabs>
      <w:autoSpaceDE/>
      <w:autoSpaceDN/>
      <w:adjustRightInd/>
      <w:ind w:left="840" w:hanging="420"/>
      <w:jc w:val="both"/>
    </w:pPr>
    <w:rPr>
      <w:rFonts w:ascii="Arial Unicode MS" w:hAnsi="Arial Unicode MS"/>
      <w:kern w:val="2"/>
      <w:sz w:val="21"/>
      <w:szCs w:val="21"/>
    </w:rPr>
  </w:style>
  <w:style w:type="paragraph" w:styleId="34">
    <w:name w:val="toc 8"/>
    <w:basedOn w:val="1"/>
    <w:next w:val="1"/>
    <w:unhideWhenUsed/>
    <w:qFormat/>
    <w:uiPriority w:val="39"/>
    <w:pPr>
      <w:ind w:left="1680"/>
    </w:pPr>
    <w:rPr>
      <w:rFonts w:ascii="Arial Unicode MS" w:hAnsi="Arial Unicode MS" w:cs="Arial Unicode MS"/>
      <w:sz w:val="18"/>
      <w:szCs w:val="18"/>
    </w:rPr>
  </w:style>
  <w:style w:type="paragraph" w:styleId="35">
    <w:name w:val="Date"/>
    <w:basedOn w:val="1"/>
    <w:next w:val="1"/>
    <w:link w:val="92"/>
    <w:qFormat/>
    <w:uiPriority w:val="0"/>
    <w:pPr>
      <w:ind w:left="100" w:leftChars="2500"/>
    </w:pPr>
    <w:rPr>
      <w:rFonts w:hAnsi="幼圆" w:eastAsia="等线 Light"/>
      <w:b/>
      <w:bCs/>
      <w:sz w:val="20"/>
      <w:szCs w:val="21"/>
      <w:lang w:val="zh-CN"/>
    </w:rPr>
  </w:style>
  <w:style w:type="paragraph" w:styleId="36">
    <w:name w:val="Body Text Indent 2"/>
    <w:basedOn w:val="1"/>
    <w:link w:val="93"/>
    <w:qFormat/>
    <w:uiPriority w:val="0"/>
    <w:pPr>
      <w:tabs>
        <w:tab w:val="left" w:pos="8640"/>
      </w:tabs>
      <w:autoSpaceDE/>
      <w:autoSpaceDN/>
      <w:adjustRightInd/>
      <w:ind w:left="1260"/>
      <w:jc w:val="both"/>
    </w:pPr>
    <w:rPr>
      <w:rFonts w:hAnsi="幼圆" w:eastAsia="等线 Light"/>
      <w:sz w:val="20"/>
      <w:szCs w:val="20"/>
    </w:rPr>
  </w:style>
  <w:style w:type="paragraph" w:styleId="37">
    <w:name w:val="endnote text"/>
    <w:basedOn w:val="1"/>
    <w:link w:val="94"/>
    <w:qFormat/>
    <w:uiPriority w:val="0"/>
    <w:pPr>
      <w:autoSpaceDE/>
      <w:autoSpaceDN/>
      <w:adjustRightInd/>
      <w:snapToGrid w:val="0"/>
    </w:pPr>
    <w:rPr>
      <w:rFonts w:ascii="Times New Roman"/>
      <w:kern w:val="2"/>
      <w:sz w:val="21"/>
    </w:rPr>
  </w:style>
  <w:style w:type="paragraph" w:styleId="38">
    <w:name w:val="Balloon Text"/>
    <w:basedOn w:val="1"/>
    <w:link w:val="95"/>
    <w:qFormat/>
    <w:uiPriority w:val="0"/>
    <w:pPr>
      <w:autoSpaceDE/>
      <w:autoSpaceDN/>
      <w:adjustRightInd/>
      <w:jc w:val="both"/>
    </w:pPr>
    <w:rPr>
      <w:rFonts w:ascii="幼圆" w:hAnsi="幼圆" w:eastAsia="等线 Light"/>
      <w:sz w:val="18"/>
      <w:szCs w:val="18"/>
    </w:rPr>
  </w:style>
  <w:style w:type="paragraph" w:styleId="39">
    <w:name w:val="footer"/>
    <w:basedOn w:val="1"/>
    <w:link w:val="96"/>
    <w:qFormat/>
    <w:uiPriority w:val="99"/>
    <w:pPr>
      <w:tabs>
        <w:tab w:val="center" w:pos="4153"/>
        <w:tab w:val="right" w:pos="8306"/>
      </w:tabs>
      <w:snapToGrid w:val="0"/>
    </w:pPr>
    <w:rPr>
      <w:rFonts w:eastAsia="等线 Light"/>
      <w:sz w:val="18"/>
      <w:szCs w:val="18"/>
    </w:rPr>
  </w:style>
  <w:style w:type="paragraph" w:styleId="40">
    <w:name w:val="header"/>
    <w:basedOn w:val="1"/>
    <w:link w:val="97"/>
    <w:qFormat/>
    <w:uiPriority w:val="0"/>
    <w:pPr>
      <w:pBdr>
        <w:bottom w:val="single" w:color="auto" w:sz="6" w:space="1"/>
      </w:pBdr>
      <w:tabs>
        <w:tab w:val="center" w:pos="4153"/>
        <w:tab w:val="right" w:pos="8306"/>
      </w:tabs>
      <w:snapToGrid w:val="0"/>
      <w:jc w:val="center"/>
    </w:pPr>
    <w:rPr>
      <w:rFonts w:eastAsia="等线 Light"/>
      <w:sz w:val="18"/>
      <w:szCs w:val="18"/>
    </w:rPr>
  </w:style>
  <w:style w:type="paragraph" w:styleId="41">
    <w:name w:val="Signature"/>
    <w:basedOn w:val="22"/>
    <w:link w:val="98"/>
    <w:qFormat/>
    <w:uiPriority w:val="0"/>
    <w:pPr>
      <w:keepNext/>
      <w:keepLines/>
      <w:widowControl/>
      <w:autoSpaceDE/>
      <w:autoSpaceDN/>
      <w:adjustRightInd/>
      <w:spacing w:before="660" w:line="240" w:lineRule="atLeast"/>
      <w:ind w:right="0"/>
      <w:jc w:val="both"/>
    </w:pPr>
    <w:rPr>
      <w:rFonts w:ascii="仿宋_GB2312" w:hAnsi="仿宋_GB2312" w:eastAsia="宋体"/>
      <w:b w:val="0"/>
      <w:bCs w:val="0"/>
      <w:spacing w:val="-5"/>
      <w:kern w:val="2"/>
      <w:sz w:val="24"/>
      <w:szCs w:val="24"/>
    </w:rPr>
  </w:style>
  <w:style w:type="paragraph" w:styleId="42">
    <w:name w:val="toc 1"/>
    <w:basedOn w:val="1"/>
    <w:next w:val="1"/>
    <w:qFormat/>
    <w:uiPriority w:val="39"/>
    <w:pPr>
      <w:spacing w:before="120" w:after="120"/>
    </w:pPr>
    <w:rPr>
      <w:rFonts w:ascii="Arial Unicode MS" w:hAnsi="Arial Unicode MS" w:cs="Arial Unicode MS"/>
      <w:b/>
      <w:bCs/>
      <w:caps/>
      <w:sz w:val="20"/>
      <w:szCs w:val="20"/>
    </w:rPr>
  </w:style>
  <w:style w:type="paragraph" w:styleId="43">
    <w:name w:val="toc 4"/>
    <w:basedOn w:val="1"/>
    <w:next w:val="1"/>
    <w:unhideWhenUsed/>
    <w:qFormat/>
    <w:uiPriority w:val="39"/>
    <w:pPr>
      <w:ind w:left="720"/>
    </w:pPr>
    <w:rPr>
      <w:rFonts w:ascii="Arial Unicode MS" w:hAnsi="Arial Unicode MS" w:cs="Arial Unicode MS"/>
      <w:sz w:val="18"/>
      <w:szCs w:val="18"/>
    </w:rPr>
  </w:style>
  <w:style w:type="paragraph" w:styleId="44">
    <w:name w:val="footnote text"/>
    <w:basedOn w:val="1"/>
    <w:link w:val="99"/>
    <w:qFormat/>
    <w:uiPriority w:val="0"/>
    <w:pPr>
      <w:autoSpaceDE/>
      <w:autoSpaceDN/>
      <w:adjustRightInd/>
      <w:snapToGrid w:val="0"/>
    </w:pPr>
    <w:rPr>
      <w:rFonts w:ascii="Times New Roman"/>
      <w:kern w:val="2"/>
      <w:sz w:val="18"/>
      <w:szCs w:val="18"/>
    </w:rPr>
  </w:style>
  <w:style w:type="paragraph" w:styleId="45">
    <w:name w:val="toc 6"/>
    <w:basedOn w:val="1"/>
    <w:next w:val="1"/>
    <w:unhideWhenUsed/>
    <w:qFormat/>
    <w:uiPriority w:val="39"/>
    <w:pPr>
      <w:ind w:left="1200"/>
    </w:pPr>
    <w:rPr>
      <w:rFonts w:ascii="Arial Unicode MS" w:hAnsi="Arial Unicode MS" w:cs="Arial Unicode MS"/>
      <w:sz w:val="18"/>
      <w:szCs w:val="18"/>
    </w:rPr>
  </w:style>
  <w:style w:type="paragraph" w:styleId="46">
    <w:name w:val="Body Text Indent 3"/>
    <w:basedOn w:val="1"/>
    <w:link w:val="100"/>
    <w:qFormat/>
    <w:uiPriority w:val="0"/>
    <w:pPr>
      <w:spacing w:line="360" w:lineRule="auto"/>
      <w:ind w:firstLine="480" w:firstLineChars="200"/>
    </w:pPr>
    <w:rPr>
      <w:rFonts w:hAnsi="幼圆" w:eastAsia="等线 Light"/>
    </w:rPr>
  </w:style>
  <w:style w:type="paragraph" w:styleId="47">
    <w:name w:val="toc 2"/>
    <w:basedOn w:val="1"/>
    <w:next w:val="1"/>
    <w:unhideWhenUsed/>
    <w:qFormat/>
    <w:uiPriority w:val="39"/>
    <w:pPr>
      <w:ind w:left="240"/>
    </w:pPr>
    <w:rPr>
      <w:rFonts w:ascii="Arial Unicode MS" w:hAnsi="Arial Unicode MS" w:cs="Arial Unicode MS"/>
      <w:smallCaps/>
      <w:sz w:val="20"/>
      <w:szCs w:val="20"/>
    </w:rPr>
  </w:style>
  <w:style w:type="paragraph" w:styleId="48">
    <w:name w:val="toc 9"/>
    <w:basedOn w:val="1"/>
    <w:next w:val="1"/>
    <w:unhideWhenUsed/>
    <w:qFormat/>
    <w:uiPriority w:val="39"/>
    <w:pPr>
      <w:ind w:left="1920"/>
    </w:pPr>
    <w:rPr>
      <w:rFonts w:ascii="Arial Unicode MS" w:hAnsi="Arial Unicode MS" w:cs="Arial Unicode MS"/>
      <w:sz w:val="18"/>
      <w:szCs w:val="18"/>
    </w:rPr>
  </w:style>
  <w:style w:type="paragraph" w:styleId="49">
    <w:name w:val="Body Text 2"/>
    <w:basedOn w:val="1"/>
    <w:link w:val="101"/>
    <w:qFormat/>
    <w:uiPriority w:val="0"/>
    <w:pPr>
      <w:tabs>
        <w:tab w:val="left" w:pos="0"/>
      </w:tabs>
      <w:autoSpaceDE/>
      <w:autoSpaceDN/>
      <w:adjustRightInd/>
      <w:spacing w:line="400" w:lineRule="atLeast"/>
      <w:jc w:val="both"/>
    </w:pPr>
    <w:rPr>
      <w:rFonts w:ascii="楷体_GB2312" w:hAnsi="楷体_GB2312" w:eastAsia="等线 Light"/>
      <w:color w:val="000000"/>
      <w:sz w:val="20"/>
    </w:rPr>
  </w:style>
  <w:style w:type="paragraph" w:styleId="50">
    <w:name w:val="HTML Preformatted"/>
    <w:basedOn w:val="1"/>
    <w:link w:val="10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pPr>
    <w:rPr>
      <w:rFonts w:ascii="楷体_GB2312" w:hAnsi="楷体_GB2312" w:eastAsia="等线 Light"/>
      <w:sz w:val="20"/>
      <w:szCs w:val="21"/>
    </w:rPr>
  </w:style>
  <w:style w:type="paragraph" w:styleId="51">
    <w:name w:val="Normal (Web)"/>
    <w:basedOn w:val="1"/>
    <w:link w:val="103"/>
    <w:qFormat/>
    <w:uiPriority w:val="99"/>
    <w:pPr>
      <w:widowControl/>
      <w:autoSpaceDE/>
      <w:autoSpaceDN/>
      <w:adjustRightInd/>
      <w:spacing w:before="100" w:beforeAutospacing="1" w:after="100" w:afterAutospacing="1"/>
    </w:pPr>
    <w:rPr>
      <w:rFonts w:hAnsi="等线 Light"/>
      <w:sz w:val="15"/>
      <w:szCs w:val="15"/>
    </w:rPr>
  </w:style>
  <w:style w:type="paragraph" w:styleId="52">
    <w:name w:val="index 1"/>
    <w:basedOn w:val="1"/>
    <w:next w:val="1"/>
    <w:qFormat/>
    <w:uiPriority w:val="99"/>
    <w:pPr>
      <w:autoSpaceDE/>
      <w:autoSpaceDN/>
      <w:adjustRightInd/>
      <w:jc w:val="center"/>
    </w:pPr>
    <w:rPr>
      <w:rFonts w:ascii="Arial Unicode MS" w:hAnsi="Arial Unicode MS"/>
      <w:kern w:val="2"/>
      <w:sz w:val="21"/>
    </w:rPr>
  </w:style>
  <w:style w:type="paragraph" w:styleId="53">
    <w:name w:val="Title"/>
    <w:basedOn w:val="1"/>
    <w:next w:val="1"/>
    <w:link w:val="104"/>
    <w:qFormat/>
    <w:uiPriority w:val="10"/>
    <w:pPr>
      <w:spacing w:before="240" w:after="60"/>
      <w:jc w:val="center"/>
      <w:outlineLvl w:val="0"/>
    </w:pPr>
    <w:rPr>
      <w:rFonts w:ascii="Roman" w:hAnsi="Roman"/>
      <w:b/>
      <w:bCs/>
      <w:sz w:val="32"/>
      <w:szCs w:val="32"/>
    </w:rPr>
  </w:style>
  <w:style w:type="paragraph" w:styleId="54">
    <w:name w:val="annotation subject"/>
    <w:basedOn w:val="19"/>
    <w:next w:val="19"/>
    <w:link w:val="105"/>
    <w:qFormat/>
    <w:uiPriority w:val="0"/>
    <w:rPr>
      <w:b/>
      <w:bCs/>
    </w:rPr>
  </w:style>
  <w:style w:type="table" w:styleId="56">
    <w:name w:val="Table Grid"/>
    <w:basedOn w:val="5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0"/>
    <w:rPr>
      <w:b/>
      <w:bCs/>
    </w:rPr>
  </w:style>
  <w:style w:type="character" w:styleId="59">
    <w:name w:val="endnote reference"/>
    <w:qFormat/>
    <w:uiPriority w:val="0"/>
    <w:rPr>
      <w:vertAlign w:val="superscript"/>
    </w:rPr>
  </w:style>
  <w:style w:type="character" w:styleId="60">
    <w:name w:val="page number"/>
    <w:basedOn w:val="57"/>
    <w:qFormat/>
    <w:uiPriority w:val="0"/>
  </w:style>
  <w:style w:type="character" w:styleId="61">
    <w:name w:val="FollowedHyperlink"/>
    <w:qFormat/>
    <w:uiPriority w:val="99"/>
    <w:rPr>
      <w:rFonts w:ascii="楷体_GB2312" w:hAnsi="楷体_GB2312" w:cs="楷体_GB2312"/>
      <w:color w:val="000000"/>
      <w:sz w:val="20"/>
      <w:szCs w:val="20"/>
      <w:u w:val="none"/>
    </w:rPr>
  </w:style>
  <w:style w:type="character" w:styleId="62">
    <w:name w:val="Emphasis"/>
    <w:qFormat/>
    <w:uiPriority w:val="0"/>
    <w:rPr>
      <w:i/>
      <w:iCs/>
    </w:rPr>
  </w:style>
  <w:style w:type="character" w:styleId="63">
    <w:name w:val="line number"/>
    <w:qFormat/>
    <w:uiPriority w:val="0"/>
  </w:style>
  <w:style w:type="character" w:styleId="64">
    <w:name w:val="HTML Definition"/>
    <w:unhideWhenUsed/>
    <w:qFormat/>
    <w:uiPriority w:val="0"/>
  </w:style>
  <w:style w:type="character" w:styleId="65">
    <w:name w:val="HTML Variable"/>
    <w:unhideWhenUsed/>
    <w:qFormat/>
    <w:uiPriority w:val="0"/>
  </w:style>
  <w:style w:type="character" w:styleId="66">
    <w:name w:val="Hyperlink"/>
    <w:qFormat/>
    <w:uiPriority w:val="99"/>
    <w:rPr>
      <w:rFonts w:hint="default" w:ascii="楷体_GB2312" w:hAnsi="楷体_GB2312" w:cs="楷体_GB2312"/>
      <w:color w:val="000000"/>
      <w:sz w:val="20"/>
      <w:szCs w:val="20"/>
      <w:u w:val="none"/>
    </w:rPr>
  </w:style>
  <w:style w:type="character" w:styleId="67">
    <w:name w:val="HTML Code"/>
    <w:unhideWhenUsed/>
    <w:qFormat/>
    <w:uiPriority w:val="0"/>
    <w:rPr>
      <w:rFonts w:hint="default" w:ascii="Tahoma" w:hAnsi="Tahoma" w:eastAsia="Tahoma" w:cs="Tahoma"/>
      <w:sz w:val="21"/>
      <w:szCs w:val="21"/>
    </w:rPr>
  </w:style>
  <w:style w:type="character" w:styleId="68">
    <w:name w:val="annotation reference"/>
    <w:qFormat/>
    <w:uiPriority w:val="99"/>
    <w:rPr>
      <w:sz w:val="21"/>
      <w:szCs w:val="21"/>
    </w:rPr>
  </w:style>
  <w:style w:type="character" w:styleId="69">
    <w:name w:val="HTML Cite"/>
    <w:unhideWhenUsed/>
    <w:qFormat/>
    <w:uiPriority w:val="0"/>
  </w:style>
  <w:style w:type="character" w:styleId="70">
    <w:name w:val="footnote reference"/>
    <w:qFormat/>
    <w:uiPriority w:val="0"/>
    <w:rPr>
      <w:vertAlign w:val="superscript"/>
    </w:rPr>
  </w:style>
  <w:style w:type="character" w:styleId="71">
    <w:name w:val="HTML Keyboard"/>
    <w:unhideWhenUsed/>
    <w:qFormat/>
    <w:uiPriority w:val="0"/>
    <w:rPr>
      <w:rFonts w:ascii="Tahoma" w:hAnsi="Tahoma" w:eastAsia="Tahoma" w:cs="Tahoma"/>
      <w:sz w:val="21"/>
      <w:szCs w:val="21"/>
    </w:rPr>
  </w:style>
  <w:style w:type="character" w:styleId="72">
    <w:name w:val="HTML Sample"/>
    <w:unhideWhenUsed/>
    <w:qFormat/>
    <w:uiPriority w:val="0"/>
    <w:rPr>
      <w:rFonts w:hint="default" w:ascii="Tahoma" w:hAnsi="Tahoma" w:eastAsia="Tahoma" w:cs="Tahoma"/>
      <w:sz w:val="21"/>
      <w:szCs w:val="21"/>
    </w:rPr>
  </w:style>
  <w:style w:type="paragraph" w:customStyle="1" w:styleId="73">
    <w:name w:val="样式 宋体 行距: 1.5 倍行距"/>
    <w:basedOn w:val="1"/>
    <w:qFormat/>
    <w:uiPriority w:val="0"/>
    <w:pPr>
      <w:jc w:val="center"/>
    </w:pPr>
    <w:rPr>
      <w:rFonts w:ascii="Times New Roman" w:hAnsi="Times New Roman"/>
      <w:b/>
    </w:rPr>
  </w:style>
  <w:style w:type="character" w:customStyle="1" w:styleId="74">
    <w:name w:val="标题 1 字符"/>
    <w:link w:val="2"/>
    <w:qFormat/>
    <w:uiPriority w:val="0"/>
    <w:rPr>
      <w:rFonts w:ascii="等线 Light" w:hAnsi="幼圆" w:eastAsia="等线 Light" w:cs="幼圆"/>
      <w:kern w:val="0"/>
      <w:sz w:val="24"/>
      <w:szCs w:val="24"/>
    </w:rPr>
  </w:style>
  <w:style w:type="character" w:customStyle="1" w:styleId="75">
    <w:name w:val="标题 2 字符"/>
    <w:link w:val="3"/>
    <w:qFormat/>
    <w:uiPriority w:val="0"/>
    <w:rPr>
      <w:rFonts w:ascii="等线 Light" w:hAnsi="幼圆" w:eastAsia="等线 Light" w:cs="幼圆"/>
      <w:kern w:val="0"/>
      <w:sz w:val="24"/>
      <w:szCs w:val="24"/>
    </w:rPr>
  </w:style>
  <w:style w:type="character" w:customStyle="1" w:styleId="76">
    <w:name w:val="标题 3 字符"/>
    <w:link w:val="4"/>
    <w:qFormat/>
    <w:uiPriority w:val="0"/>
    <w:rPr>
      <w:rFonts w:ascii="等线 Light" w:hAnsi="幼圆" w:eastAsia="等线 Light" w:cs="幼圆"/>
      <w:kern w:val="0"/>
      <w:sz w:val="24"/>
      <w:szCs w:val="24"/>
    </w:rPr>
  </w:style>
  <w:style w:type="character" w:customStyle="1" w:styleId="77">
    <w:name w:val="标题 4 字符"/>
    <w:link w:val="5"/>
    <w:qFormat/>
    <w:uiPriority w:val="0"/>
    <w:rPr>
      <w:rFonts w:ascii="楷体_GB2312" w:hAnsi="楷体_GB2312" w:eastAsia="PMingLiU" w:cs="幼圆"/>
      <w:b/>
      <w:bCs/>
      <w:kern w:val="0"/>
      <w:sz w:val="28"/>
      <w:szCs w:val="28"/>
    </w:rPr>
  </w:style>
  <w:style w:type="character" w:customStyle="1" w:styleId="78">
    <w:name w:val="标题 5 字符1"/>
    <w:link w:val="6"/>
    <w:qFormat/>
    <w:uiPriority w:val="9"/>
    <w:rPr>
      <w:rFonts w:ascii="等线 Light"/>
      <w:b/>
      <w:bCs/>
      <w:sz w:val="28"/>
      <w:szCs w:val="28"/>
    </w:rPr>
  </w:style>
  <w:style w:type="character" w:customStyle="1" w:styleId="79">
    <w:name w:val="标题 6 字符1"/>
    <w:link w:val="7"/>
    <w:qFormat/>
    <w:uiPriority w:val="9"/>
    <w:rPr>
      <w:rFonts w:eastAsia="PMingLiU"/>
      <w:b/>
      <w:bCs/>
      <w:sz w:val="28"/>
      <w:szCs w:val="24"/>
    </w:rPr>
  </w:style>
  <w:style w:type="character" w:customStyle="1" w:styleId="80">
    <w:name w:val="模板正文 Char"/>
    <w:link w:val="8"/>
    <w:qFormat/>
    <w:uiPriority w:val="0"/>
    <w:rPr>
      <w:rFonts w:ascii="等线 Light" w:eastAsia="font-weight : 400"/>
      <w:sz w:val="24"/>
      <w:szCs w:val="21"/>
    </w:rPr>
  </w:style>
  <w:style w:type="character" w:customStyle="1" w:styleId="81">
    <w:name w:val="标题 7 字符"/>
    <w:link w:val="9"/>
    <w:qFormat/>
    <w:uiPriority w:val="0"/>
    <w:rPr>
      <w:rFonts w:eastAsia="PMingLiU"/>
      <w:b/>
      <w:bCs/>
      <w:sz w:val="28"/>
      <w:szCs w:val="24"/>
    </w:rPr>
  </w:style>
  <w:style w:type="character" w:customStyle="1" w:styleId="82">
    <w:name w:val="标题 8 字符"/>
    <w:link w:val="10"/>
    <w:qFormat/>
    <w:uiPriority w:val="0"/>
    <w:rPr>
      <w:rFonts w:eastAsia="PMingLiU"/>
      <w:b/>
      <w:sz w:val="28"/>
      <w:szCs w:val="24"/>
    </w:rPr>
  </w:style>
  <w:style w:type="character" w:customStyle="1" w:styleId="83">
    <w:name w:val="标题 9 字符"/>
    <w:link w:val="11"/>
    <w:qFormat/>
    <w:uiPriority w:val="0"/>
    <w:rPr>
      <w:rFonts w:eastAsia="PMingLiU"/>
      <w:b/>
      <w:sz w:val="28"/>
      <w:szCs w:val="24"/>
    </w:rPr>
  </w:style>
  <w:style w:type="character" w:customStyle="1" w:styleId="84">
    <w:name w:val="正文缩进 字符1"/>
    <w:link w:val="14"/>
    <w:qFormat/>
    <w:uiPriority w:val="0"/>
  </w:style>
  <w:style w:type="character" w:customStyle="1" w:styleId="85">
    <w:name w:val="题注 字符1"/>
    <w:link w:val="15"/>
    <w:qFormat/>
    <w:uiPriority w:val="0"/>
    <w:rPr>
      <w:rFonts w:ascii="楷体_GB2312" w:hAnsi="楷体_GB2312" w:eastAsia="PMingLiU" w:cs="楷体_GB2312"/>
    </w:rPr>
  </w:style>
  <w:style w:type="character" w:customStyle="1" w:styleId="86">
    <w:name w:val="文档结构图 字符"/>
    <w:link w:val="17"/>
    <w:qFormat/>
    <w:uiPriority w:val="0"/>
    <w:rPr>
      <w:rFonts w:ascii="等线 Light" w:hAnsi="幼圆" w:eastAsia="等线 Light" w:cs="幼圆"/>
      <w:kern w:val="0"/>
      <w:sz w:val="24"/>
      <w:szCs w:val="24"/>
      <w:shd w:val="clear" w:color="auto" w:fill="000080"/>
    </w:rPr>
  </w:style>
  <w:style w:type="character" w:customStyle="1" w:styleId="87">
    <w:name w:val="批注文字 字符1"/>
    <w:link w:val="19"/>
    <w:qFormat/>
    <w:uiPriority w:val="0"/>
    <w:rPr>
      <w:rFonts w:ascii="等线 Light" w:hAnsi="幼圆" w:eastAsia="等线 Light" w:cs="幼圆"/>
      <w:kern w:val="0"/>
      <w:sz w:val="24"/>
      <w:szCs w:val="24"/>
    </w:rPr>
  </w:style>
  <w:style w:type="character" w:customStyle="1" w:styleId="88">
    <w:name w:val="正文文本 3 字符"/>
    <w:link w:val="20"/>
    <w:qFormat/>
    <w:uiPriority w:val="0"/>
    <w:rPr>
      <w:rFonts w:ascii="等线 Light" w:hAnsi="幼圆" w:eastAsia="等线 Light" w:cs="幼圆"/>
      <w:b/>
      <w:bCs/>
      <w:color w:val="3366FF"/>
      <w:sz w:val="52"/>
      <w:szCs w:val="52"/>
      <w:lang w:val="zh-CN"/>
    </w:rPr>
  </w:style>
  <w:style w:type="character" w:customStyle="1" w:styleId="89">
    <w:name w:val="正文文本 字符"/>
    <w:link w:val="22"/>
    <w:qFormat/>
    <w:uiPriority w:val="1"/>
    <w:rPr>
      <w:rFonts w:ascii="等线 Light" w:eastAsia="等线 Light"/>
      <w:b/>
      <w:bCs/>
      <w:sz w:val="84"/>
      <w:szCs w:val="84"/>
      <w:lang w:val="zh-CN"/>
    </w:rPr>
  </w:style>
  <w:style w:type="character" w:customStyle="1" w:styleId="90">
    <w:name w:val="正文文本缩进 字符"/>
    <w:link w:val="24"/>
    <w:qFormat/>
    <w:uiPriority w:val="0"/>
    <w:rPr>
      <w:rFonts w:ascii="幼圆" w:hAnsi="幼圆" w:eastAsia="等线 Light" w:cs="幼圆"/>
      <w:szCs w:val="20"/>
    </w:rPr>
  </w:style>
  <w:style w:type="character" w:customStyle="1" w:styleId="91">
    <w:name w:val="纯文本 字符"/>
    <w:link w:val="32"/>
    <w:qFormat/>
    <w:uiPriority w:val="0"/>
    <w:rPr>
      <w:rFonts w:ascii="等线 Light" w:hAnsi="Helv" w:eastAsia="等线 Light"/>
    </w:rPr>
  </w:style>
  <w:style w:type="character" w:customStyle="1" w:styleId="92">
    <w:name w:val="日期 字符"/>
    <w:link w:val="35"/>
    <w:qFormat/>
    <w:uiPriority w:val="0"/>
    <w:rPr>
      <w:rFonts w:ascii="等线 Light" w:hAnsi="幼圆" w:eastAsia="等线 Light" w:cs="幼圆"/>
      <w:b/>
      <w:bCs/>
      <w:szCs w:val="21"/>
      <w:lang w:val="zh-CN"/>
    </w:rPr>
  </w:style>
  <w:style w:type="character" w:customStyle="1" w:styleId="93">
    <w:name w:val="正文文本缩进 2 字符"/>
    <w:link w:val="36"/>
    <w:qFormat/>
    <w:uiPriority w:val="0"/>
    <w:rPr>
      <w:rFonts w:ascii="等线 Light" w:hAnsi="幼圆" w:eastAsia="等线 Light" w:cs="幼圆"/>
      <w:szCs w:val="20"/>
    </w:rPr>
  </w:style>
  <w:style w:type="character" w:customStyle="1" w:styleId="94">
    <w:name w:val="尾注文本 字符1"/>
    <w:link w:val="37"/>
    <w:qFormat/>
    <w:uiPriority w:val="0"/>
    <w:rPr>
      <w:kern w:val="2"/>
      <w:sz w:val="21"/>
      <w:szCs w:val="24"/>
    </w:rPr>
  </w:style>
  <w:style w:type="character" w:customStyle="1" w:styleId="95">
    <w:name w:val="批注框文本 字符"/>
    <w:link w:val="38"/>
    <w:qFormat/>
    <w:uiPriority w:val="0"/>
    <w:rPr>
      <w:rFonts w:ascii="幼圆" w:hAnsi="幼圆" w:eastAsia="等线 Light" w:cs="幼圆"/>
      <w:sz w:val="18"/>
      <w:szCs w:val="18"/>
    </w:rPr>
  </w:style>
  <w:style w:type="character" w:customStyle="1" w:styleId="96">
    <w:name w:val="页脚 字符"/>
    <w:link w:val="39"/>
    <w:qFormat/>
    <w:uiPriority w:val="99"/>
    <w:rPr>
      <w:rFonts w:ascii="等线 Light" w:eastAsia="等线 Light"/>
      <w:sz w:val="18"/>
      <w:szCs w:val="18"/>
    </w:rPr>
  </w:style>
  <w:style w:type="character" w:customStyle="1" w:styleId="97">
    <w:name w:val="页眉 字符"/>
    <w:link w:val="40"/>
    <w:qFormat/>
    <w:uiPriority w:val="0"/>
    <w:rPr>
      <w:rFonts w:ascii="等线 Light" w:eastAsia="等线 Light"/>
      <w:sz w:val="18"/>
      <w:szCs w:val="18"/>
    </w:rPr>
  </w:style>
  <w:style w:type="character" w:customStyle="1" w:styleId="98">
    <w:name w:val="签名 字符"/>
    <w:link w:val="41"/>
    <w:qFormat/>
    <w:uiPriority w:val="0"/>
    <w:rPr>
      <w:rFonts w:ascii="仿宋_GB2312" w:hAnsi="仿宋_GB2312"/>
      <w:spacing w:val="-5"/>
      <w:kern w:val="2"/>
      <w:sz w:val="24"/>
      <w:szCs w:val="24"/>
    </w:rPr>
  </w:style>
  <w:style w:type="character" w:customStyle="1" w:styleId="99">
    <w:name w:val="脚注文本 字符1"/>
    <w:link w:val="44"/>
    <w:qFormat/>
    <w:uiPriority w:val="0"/>
    <w:rPr>
      <w:kern w:val="2"/>
      <w:sz w:val="18"/>
      <w:szCs w:val="18"/>
    </w:rPr>
  </w:style>
  <w:style w:type="character" w:customStyle="1" w:styleId="100">
    <w:name w:val="正文文本缩进 3 字符"/>
    <w:link w:val="46"/>
    <w:qFormat/>
    <w:uiPriority w:val="0"/>
    <w:rPr>
      <w:rFonts w:ascii="等线 Light" w:hAnsi="幼圆" w:eastAsia="等线 Light" w:cs="幼圆"/>
      <w:kern w:val="0"/>
      <w:sz w:val="24"/>
      <w:szCs w:val="24"/>
    </w:rPr>
  </w:style>
  <w:style w:type="character" w:customStyle="1" w:styleId="101">
    <w:name w:val="正文文本 2 字符"/>
    <w:link w:val="49"/>
    <w:qFormat/>
    <w:uiPriority w:val="0"/>
    <w:rPr>
      <w:rFonts w:ascii="楷体_GB2312" w:hAnsi="楷体_GB2312" w:eastAsia="等线 Light" w:cs="幼圆"/>
      <w:color w:val="000000"/>
      <w:szCs w:val="24"/>
    </w:rPr>
  </w:style>
  <w:style w:type="character" w:customStyle="1" w:styleId="102">
    <w:name w:val="HTML 预设格式 字符"/>
    <w:link w:val="50"/>
    <w:qFormat/>
    <w:uiPriority w:val="0"/>
    <w:rPr>
      <w:rFonts w:ascii="楷体_GB2312" w:hAnsi="楷体_GB2312" w:eastAsia="等线 Light" w:cs="楷体_GB2312"/>
      <w:szCs w:val="21"/>
    </w:rPr>
  </w:style>
  <w:style w:type="character" w:customStyle="1" w:styleId="103">
    <w:name w:val="普通(网站) 字符"/>
    <w:link w:val="51"/>
    <w:qFormat/>
    <w:locked/>
    <w:uiPriority w:val="99"/>
    <w:rPr>
      <w:rFonts w:ascii="等线 Light" w:hAnsi="等线 Light"/>
      <w:sz w:val="15"/>
      <w:szCs w:val="15"/>
    </w:rPr>
  </w:style>
  <w:style w:type="character" w:customStyle="1" w:styleId="104">
    <w:name w:val="标题 字符"/>
    <w:link w:val="53"/>
    <w:qFormat/>
    <w:uiPriority w:val="10"/>
    <w:rPr>
      <w:rFonts w:ascii="Roman" w:hAnsi="Roman"/>
      <w:b/>
      <w:bCs/>
      <w:sz w:val="32"/>
      <w:szCs w:val="32"/>
    </w:rPr>
  </w:style>
  <w:style w:type="character" w:customStyle="1" w:styleId="105">
    <w:name w:val="批注主题 字符"/>
    <w:link w:val="54"/>
    <w:qFormat/>
    <w:uiPriority w:val="0"/>
    <w:rPr>
      <w:rFonts w:ascii="等线 Light" w:hAnsi="幼圆" w:eastAsia="等线 Light" w:cs="幼圆"/>
      <w:b/>
      <w:bCs/>
      <w:kern w:val="0"/>
      <w:sz w:val="24"/>
      <w:szCs w:val="24"/>
    </w:rPr>
  </w:style>
  <w:style w:type="character" w:customStyle="1" w:styleId="106">
    <w:name w:val="正文首行缩进 字符1"/>
    <w:link w:val="23"/>
    <w:qFormat/>
    <w:uiPriority w:val="99"/>
    <w:rPr>
      <w:rFonts w:ascii="等线 Light"/>
      <w:b/>
      <w:bCs/>
      <w:sz w:val="84"/>
      <w:szCs w:val="84"/>
      <w:lang w:val="zh-CN"/>
    </w:rPr>
  </w:style>
  <w:style w:type="paragraph" w:customStyle="1" w:styleId="107">
    <w:name w:val="文档正文"/>
    <w:basedOn w:val="1"/>
    <w:qFormat/>
    <w:uiPriority w:val="0"/>
    <w:pPr>
      <w:spacing w:line="360" w:lineRule="auto"/>
    </w:pPr>
    <w:rPr>
      <w:rFonts w:cs="Arial"/>
      <w:bCs/>
    </w:rPr>
  </w:style>
  <w:style w:type="character" w:customStyle="1" w:styleId="108">
    <w:name w:val="themebody1"/>
    <w:qFormat/>
    <w:uiPriority w:val="0"/>
    <w:rPr>
      <w:color w:val="FFFFFF"/>
    </w:rPr>
  </w:style>
  <w:style w:type="character" w:customStyle="1" w:styleId="109">
    <w:name w:val="小 Char"/>
    <w:qFormat/>
    <w:uiPriority w:val="0"/>
    <w:rPr>
      <w:rFonts w:ascii="等线 Light" w:hAnsi="Helv" w:eastAsia="等线 Light"/>
      <w:kern w:val="2"/>
      <w:sz w:val="21"/>
      <w:lang w:val="en-US" w:eastAsia="zh-CN" w:bidi="ar-SA"/>
    </w:rPr>
  </w:style>
  <w:style w:type="character" w:customStyle="1" w:styleId="110">
    <w:name w:val="HTML 预设格式 Char"/>
    <w:qFormat/>
    <w:uiPriority w:val="99"/>
    <w:rPr>
      <w:rFonts w:ascii="PMingLiU" w:hAnsi="Helv" w:eastAsia="PMingLiU" w:cs="Helv"/>
      <w:kern w:val="2"/>
      <w:sz w:val="24"/>
      <w:szCs w:val="24"/>
      <w:lang w:val="en-US" w:eastAsia="zh-CN" w:bidi="ar-SA"/>
    </w:rPr>
  </w:style>
  <w:style w:type="character" w:customStyle="1" w:styleId="111">
    <w:name w:val="批注框文本 Char1"/>
    <w:semiHidden/>
    <w:qFormat/>
    <w:uiPriority w:val="99"/>
    <w:rPr>
      <w:rFonts w:ascii="宋体"/>
      <w:sz w:val="18"/>
      <w:szCs w:val="18"/>
    </w:rPr>
  </w:style>
  <w:style w:type="character" w:customStyle="1" w:styleId="112">
    <w:name w:val="标题 4 Char"/>
    <w:qFormat/>
    <w:uiPriority w:val="0"/>
    <w:rPr>
      <w:rFonts w:ascii="楷体_GB2312" w:hAnsi="楷体_GB2312" w:eastAsia="PMingLiU" w:cs="幼圆"/>
      <w:b/>
      <w:bCs/>
      <w:kern w:val="2"/>
      <w:sz w:val="28"/>
      <w:szCs w:val="28"/>
      <w:lang w:val="en-US" w:eastAsia="zh-CN" w:bidi="ar-SA"/>
    </w:rPr>
  </w:style>
  <w:style w:type="character" w:customStyle="1" w:styleId="113">
    <w:name w:val="icontext12"/>
    <w:basedOn w:val="57"/>
    <w:qFormat/>
    <w:uiPriority w:val="0"/>
  </w:style>
  <w:style w:type="character" w:customStyle="1" w:styleId="114">
    <w:name w:val="批注主题 Char"/>
    <w:qFormat/>
    <w:uiPriority w:val="99"/>
    <w:rPr>
      <w:rFonts w:ascii="幼圆" w:hAnsi="幼圆" w:eastAsia="等线 Light" w:cs="幼圆"/>
      <w:b/>
      <w:bCs/>
      <w:kern w:val="2"/>
      <w:sz w:val="24"/>
      <w:szCs w:val="24"/>
      <w:lang w:val="en-US" w:eastAsia="zh-CN" w:bidi="ar-SA"/>
    </w:rPr>
  </w:style>
  <w:style w:type="character" w:customStyle="1" w:styleId="115">
    <w:name w:val="icon-code-weixin"/>
    <w:qFormat/>
    <w:uiPriority w:val="0"/>
  </w:style>
  <w:style w:type="character" w:customStyle="1" w:styleId="116">
    <w:name w:val="正文文本缩进 2 Char"/>
    <w:qFormat/>
    <w:uiPriority w:val="0"/>
    <w:rPr>
      <w:rFonts w:ascii="幼圆" w:hAnsi="幼圆" w:eastAsia="等线 Light" w:cs="幼圆"/>
      <w:kern w:val="2"/>
      <w:sz w:val="24"/>
      <w:szCs w:val="24"/>
      <w:lang w:val="en-US" w:eastAsia="zh-CN" w:bidi="ar-SA"/>
    </w:rPr>
  </w:style>
  <w:style w:type="character" w:customStyle="1" w:styleId="117">
    <w:name w:val="icontext2"/>
    <w:basedOn w:val="57"/>
    <w:qFormat/>
    <w:uiPriority w:val="0"/>
  </w:style>
  <w:style w:type="character" w:customStyle="1" w:styleId="118">
    <w:name w:val="日期 Char"/>
    <w:qFormat/>
    <w:uiPriority w:val="0"/>
    <w:rPr>
      <w:rFonts w:ascii="幼圆" w:hAnsi="幼圆" w:eastAsia="等线 Light" w:cs="幼圆"/>
      <w:kern w:val="2"/>
      <w:sz w:val="24"/>
      <w:szCs w:val="20"/>
      <w:lang w:val="en-US" w:eastAsia="zh-CN" w:bidi="ar-SA"/>
    </w:rPr>
  </w:style>
  <w:style w:type="character" w:customStyle="1" w:styleId="119">
    <w:name w:val="正文文本缩进 3 Char1"/>
    <w:semiHidden/>
    <w:qFormat/>
    <w:uiPriority w:val="0"/>
    <w:rPr>
      <w:rFonts w:ascii="宋体"/>
      <w:sz w:val="16"/>
      <w:szCs w:val="16"/>
    </w:rPr>
  </w:style>
  <w:style w:type="character" w:customStyle="1" w:styleId="120">
    <w:name w:val="尾注文本 字符2"/>
    <w:semiHidden/>
    <w:qFormat/>
    <w:uiPriority w:val="99"/>
    <w:rPr>
      <w:rFonts w:ascii="等线 Light"/>
      <w:sz w:val="24"/>
      <w:szCs w:val="24"/>
    </w:rPr>
  </w:style>
  <w:style w:type="character" w:customStyle="1" w:styleId="121">
    <w:name w:val="img8"/>
    <w:basedOn w:val="57"/>
    <w:qFormat/>
    <w:uiPriority w:val="0"/>
  </w:style>
  <w:style w:type="character" w:customStyle="1" w:styleId="122">
    <w:name w:val="highlight1"/>
    <w:qFormat/>
    <w:uiPriority w:val="0"/>
    <w:rPr>
      <w:sz w:val="21"/>
      <w:szCs w:val="21"/>
    </w:rPr>
  </w:style>
  <w:style w:type="character" w:customStyle="1" w:styleId="123">
    <w:name w:val="批注框文本 Char"/>
    <w:qFormat/>
    <w:uiPriority w:val="99"/>
    <w:rPr>
      <w:rFonts w:ascii="幼圆" w:hAnsi="幼圆" w:eastAsia="等线 Light" w:cs="幼圆"/>
      <w:kern w:val="2"/>
      <w:sz w:val="18"/>
      <w:szCs w:val="18"/>
      <w:lang w:val="en-US" w:eastAsia="zh-CN" w:bidi="ar-SA"/>
    </w:rPr>
  </w:style>
  <w:style w:type="character" w:customStyle="1" w:styleId="124">
    <w:name w:val="标题 9 Char1"/>
    <w:qFormat/>
    <w:uiPriority w:val="0"/>
    <w:rPr>
      <w:rFonts w:ascii="楷体_GB2312" w:hAnsi="楷体_GB2312" w:eastAsia="等线 Light"/>
      <w:color w:val="000000"/>
      <w:kern w:val="2"/>
      <w:sz w:val="32"/>
      <w:szCs w:val="21"/>
      <w:lang w:val="en-US" w:eastAsia="zh-CN" w:bidi="ar-SA"/>
    </w:rPr>
  </w:style>
  <w:style w:type="character" w:customStyle="1" w:styleId="125">
    <w:name w:val="正文文本 Char"/>
    <w:qFormat/>
    <w:uiPriority w:val="99"/>
    <w:rPr>
      <w:rFonts w:ascii="等线 Light" w:eastAsia="等线 Light"/>
      <w:b/>
      <w:bCs/>
      <w:sz w:val="84"/>
      <w:szCs w:val="84"/>
      <w:lang w:val="zh-CN"/>
    </w:rPr>
  </w:style>
  <w:style w:type="character" w:customStyle="1" w:styleId="126">
    <w:name w:val="首航缩进 Char Char"/>
    <w:qFormat/>
    <w:uiPriority w:val="0"/>
    <w:rPr>
      <w:rFonts w:eastAsia="微软雅黑"/>
      <w:color w:val="000000"/>
      <w:kern w:val="2"/>
      <w:sz w:val="24"/>
      <w:szCs w:val="24"/>
      <w:lang w:val="en-US" w:eastAsia="zh-CN" w:bidi="ar-SA"/>
    </w:rPr>
  </w:style>
  <w:style w:type="character" w:customStyle="1" w:styleId="127">
    <w:name w:val="尾注文本 Char"/>
    <w:qFormat/>
    <w:uiPriority w:val="0"/>
    <w:rPr>
      <w:rFonts w:ascii="幼圆" w:hAnsi="幼圆" w:eastAsia="等线 Light" w:cs="幼圆"/>
      <w:kern w:val="2"/>
      <w:sz w:val="24"/>
      <w:szCs w:val="24"/>
      <w:lang w:bidi="ar-SA"/>
    </w:rPr>
  </w:style>
  <w:style w:type="character" w:customStyle="1" w:styleId="128">
    <w:name w:val="正文文本 3 Char1"/>
    <w:semiHidden/>
    <w:qFormat/>
    <w:uiPriority w:val="0"/>
    <w:rPr>
      <w:rFonts w:ascii="宋体"/>
      <w:sz w:val="16"/>
      <w:szCs w:val="16"/>
    </w:rPr>
  </w:style>
  <w:style w:type="character" w:customStyle="1" w:styleId="129">
    <w:name w:val="文档结构图 Char3"/>
    <w:qFormat/>
    <w:uiPriority w:val="0"/>
    <w:rPr>
      <w:rFonts w:eastAsia="等线 Light"/>
      <w:kern w:val="2"/>
      <w:sz w:val="21"/>
      <w:szCs w:val="24"/>
      <w:shd w:val="clear" w:color="auto" w:fill="000080"/>
      <w:lang w:val="en-US" w:eastAsia="zh-CN" w:bidi="ar-SA"/>
    </w:rPr>
  </w:style>
  <w:style w:type="character" w:customStyle="1" w:styleId="130">
    <w:name w:val="cy"/>
    <w:basedOn w:val="57"/>
    <w:qFormat/>
    <w:uiPriority w:val="0"/>
  </w:style>
  <w:style w:type="character" w:customStyle="1" w:styleId="131">
    <w:name w:val="icontext3"/>
    <w:basedOn w:val="57"/>
    <w:qFormat/>
    <w:uiPriority w:val="0"/>
  </w:style>
  <w:style w:type="character" w:customStyle="1" w:styleId="132">
    <w:name w:val="unnamed1"/>
    <w:qFormat/>
    <w:uiPriority w:val="0"/>
    <w:rPr>
      <w:rFonts w:eastAsia="等线 Light"/>
      <w:kern w:val="2"/>
      <w:sz w:val="24"/>
      <w:szCs w:val="24"/>
      <w:lang w:val="en-US" w:eastAsia="zh-CN" w:bidi="ar-SA"/>
    </w:rPr>
  </w:style>
  <w:style w:type="character" w:customStyle="1" w:styleId="133">
    <w:name w:val="批注文字 字符"/>
    <w:qFormat/>
    <w:uiPriority w:val="0"/>
    <w:rPr>
      <w:rFonts w:ascii="等线 Light" w:hAnsi="幼圆" w:eastAsia="等线 Light" w:cs="幼圆"/>
      <w:kern w:val="0"/>
      <w:sz w:val="24"/>
      <w:szCs w:val="24"/>
    </w:rPr>
  </w:style>
  <w:style w:type="character" w:customStyle="1" w:styleId="134">
    <w:name w:val="iconline2"/>
    <w:basedOn w:val="57"/>
    <w:qFormat/>
    <w:uiPriority w:val="0"/>
  </w:style>
  <w:style w:type="character" w:customStyle="1" w:styleId="135">
    <w:name w:val="ca-41"/>
    <w:qFormat/>
    <w:uiPriority w:val="0"/>
    <w:rPr>
      <w:rFonts w:hint="eastAsia" w:ascii="微软雅黑" w:eastAsia="微软雅黑"/>
      <w:color w:val="FF0000"/>
      <w:kern w:val="2"/>
      <w:sz w:val="32"/>
      <w:szCs w:val="32"/>
      <w:lang w:val="en-US" w:eastAsia="zh-CN" w:bidi="ar-SA"/>
    </w:rPr>
  </w:style>
  <w:style w:type="character" w:customStyle="1" w:styleId="136">
    <w:name w:val="表格文字 Char"/>
    <w:link w:val="137"/>
    <w:qFormat/>
    <w:uiPriority w:val="0"/>
    <w:rPr>
      <w:rFonts w:eastAsia="微软雅黑"/>
      <w:sz w:val="28"/>
      <w:szCs w:val="24"/>
    </w:rPr>
  </w:style>
  <w:style w:type="paragraph" w:customStyle="1" w:styleId="137">
    <w:name w:val="表格文字"/>
    <w:basedOn w:val="1"/>
    <w:link w:val="136"/>
    <w:qFormat/>
    <w:uiPriority w:val="0"/>
    <w:pPr>
      <w:autoSpaceDE/>
      <w:autoSpaceDN/>
      <w:adjustRightInd/>
      <w:jc w:val="both"/>
    </w:pPr>
    <w:rPr>
      <w:rFonts w:ascii="Times New Roman" w:eastAsia="微软雅黑"/>
      <w:sz w:val="28"/>
    </w:rPr>
  </w:style>
  <w:style w:type="character" w:customStyle="1" w:styleId="138">
    <w:name w:val="keyfeatures1"/>
    <w:qFormat/>
    <w:uiPriority w:val="0"/>
    <w:rPr>
      <w:rFonts w:hint="default" w:ascii="楷体_GB2312" w:hAnsi="楷体_GB2312" w:cs="楷体_GB2312"/>
      <w:color w:val="003366"/>
      <w:sz w:val="17"/>
      <w:szCs w:val="17"/>
      <w:u w:val="none"/>
    </w:rPr>
  </w:style>
  <w:style w:type="character" w:customStyle="1" w:styleId="139">
    <w:name w:val="标题 6 字符"/>
    <w:qFormat/>
    <w:uiPriority w:val="0"/>
    <w:rPr>
      <w:rFonts w:ascii="FrutigerNext LT Light" w:hAnsi="FrutigerNext LT Light" w:eastAsia="FrutigerNext LT Light" w:cs="幼圆"/>
      <w:b/>
      <w:bCs/>
      <w:sz w:val="24"/>
      <w:szCs w:val="24"/>
    </w:rPr>
  </w:style>
  <w:style w:type="character" w:customStyle="1" w:styleId="140">
    <w:name w:val="font21"/>
    <w:basedOn w:val="57"/>
    <w:qFormat/>
    <w:uiPriority w:val="0"/>
    <w:rPr>
      <w:rFonts w:hint="eastAsia" w:ascii="等线 Light" w:hAnsi="等线 Light" w:eastAsia="等线 Light" w:cs="等线 Light"/>
      <w:color w:val="000000"/>
      <w:sz w:val="20"/>
      <w:szCs w:val="20"/>
      <w:u w:val="none"/>
    </w:rPr>
  </w:style>
  <w:style w:type="character" w:customStyle="1" w:styleId="141">
    <w:name w:val="标题 6 Char1"/>
    <w:qFormat/>
    <w:uiPriority w:val="0"/>
    <w:rPr>
      <w:rFonts w:ascii="楷体_GB2312" w:hAnsi="楷体_GB2312" w:eastAsia="PMingLiU"/>
      <w:b/>
      <w:bCs/>
      <w:kern w:val="2"/>
      <w:sz w:val="24"/>
      <w:szCs w:val="24"/>
      <w:lang w:val="en-US" w:eastAsia="zh-CN" w:bidi="ar-SA"/>
    </w:rPr>
  </w:style>
  <w:style w:type="character" w:customStyle="1" w:styleId="142">
    <w:name w:val="批注文字 Char2"/>
    <w:qFormat/>
    <w:uiPriority w:val="99"/>
  </w:style>
  <w:style w:type="character" w:customStyle="1" w:styleId="143">
    <w:name w:val="Char Char8"/>
    <w:qFormat/>
    <w:uiPriority w:val="0"/>
    <w:rPr>
      <w:kern w:val="2"/>
      <w:sz w:val="18"/>
      <w:szCs w:val="18"/>
    </w:rPr>
  </w:style>
  <w:style w:type="character" w:customStyle="1" w:styleId="144">
    <w:name w:val="l-btn-text36"/>
    <w:qFormat/>
    <w:uiPriority w:val="0"/>
  </w:style>
  <w:style w:type="character" w:customStyle="1" w:styleId="145">
    <w:name w:val="cdropleft"/>
    <w:basedOn w:val="57"/>
    <w:qFormat/>
    <w:uiPriority w:val="0"/>
  </w:style>
  <w:style w:type="character" w:customStyle="1" w:styleId="146">
    <w:name w:val="标书正文格式 Char Char"/>
    <w:link w:val="147"/>
    <w:qFormat/>
    <w:uiPriority w:val="0"/>
    <w:rPr>
      <w:rFonts w:eastAsia="Cambria Math"/>
      <w:kern w:val="2"/>
      <w:sz w:val="24"/>
      <w:lang w:val="en-US" w:eastAsia="zh-CN" w:bidi="ar-SA"/>
    </w:rPr>
  </w:style>
  <w:style w:type="paragraph" w:customStyle="1" w:styleId="147">
    <w:name w:val="标书正文格式"/>
    <w:link w:val="146"/>
    <w:qFormat/>
    <w:uiPriority w:val="0"/>
    <w:pPr>
      <w:spacing w:line="360" w:lineRule="auto"/>
      <w:ind w:firstLine="200" w:firstLineChars="200"/>
    </w:pPr>
    <w:rPr>
      <w:rFonts w:ascii="Times New Roman" w:hAnsi="Times New Roman" w:eastAsia="Cambria Math" w:cs="Times New Roman"/>
      <w:kern w:val="2"/>
      <w:sz w:val="24"/>
      <w:lang w:val="en-US" w:eastAsia="zh-CN" w:bidi="ar-SA"/>
    </w:rPr>
  </w:style>
  <w:style w:type="character" w:customStyle="1" w:styleId="148">
    <w:name w:val="简述正文"/>
    <w:qFormat/>
    <w:uiPriority w:val="0"/>
    <w:rPr>
      <w:sz w:val="23"/>
    </w:rPr>
  </w:style>
  <w:style w:type="character" w:customStyle="1" w:styleId="149">
    <w:name w:val="apple-style-span"/>
    <w:qFormat/>
    <w:uiPriority w:val="0"/>
  </w:style>
  <w:style w:type="character" w:customStyle="1" w:styleId="150">
    <w:name w:val="font81"/>
    <w:qFormat/>
    <w:uiPriority w:val="0"/>
    <w:rPr>
      <w:rFonts w:hint="default" w:ascii="幼圆" w:hAnsi="幼圆" w:cs="幼圆"/>
      <w:color w:val="000000"/>
      <w:sz w:val="20"/>
      <w:szCs w:val="20"/>
      <w:u w:val="none"/>
    </w:rPr>
  </w:style>
  <w:style w:type="character" w:customStyle="1" w:styleId="151">
    <w:name w:val="postbody"/>
    <w:qFormat/>
    <w:uiPriority w:val="0"/>
  </w:style>
  <w:style w:type="character" w:customStyle="1" w:styleId="152">
    <w:name w:val="标题 4 Char1"/>
    <w:qFormat/>
    <w:uiPriority w:val="9"/>
    <w:rPr>
      <w:rFonts w:ascii="楷体_GB2312" w:hAnsi="楷体_GB2312" w:eastAsia="等线 Light" w:cs="幼圆"/>
      <w:b/>
      <w:bCs/>
      <w:szCs w:val="28"/>
    </w:rPr>
  </w:style>
  <w:style w:type="character" w:customStyle="1" w:styleId="153">
    <w:name w:val="正文文本缩进 Char"/>
    <w:qFormat/>
    <w:uiPriority w:val="0"/>
    <w:rPr>
      <w:rFonts w:ascii="幼圆" w:hAnsi="幼圆" w:eastAsia="等线 Light" w:cs="幼圆"/>
      <w:szCs w:val="20"/>
      <w:lang w:val="en-US" w:eastAsia="zh-CN"/>
    </w:rPr>
  </w:style>
  <w:style w:type="character" w:customStyle="1" w:styleId="154">
    <w:name w:val=" Char Char3"/>
    <w:qFormat/>
    <w:uiPriority w:val="0"/>
    <w:rPr>
      <w:rFonts w:eastAsia="等线 Light"/>
      <w:kern w:val="2"/>
      <w:sz w:val="28"/>
      <w:szCs w:val="24"/>
      <w:lang w:val="en-US" w:eastAsia="zh-CN" w:bidi="ar-SA"/>
    </w:rPr>
  </w:style>
  <w:style w:type="character" w:customStyle="1" w:styleId="155">
    <w:name w:val="彩色列表 - 强调文字颜色 1 Char"/>
    <w:link w:val="156"/>
    <w:qFormat/>
    <w:uiPriority w:val="0"/>
    <w:rPr>
      <w:rFonts w:ascii="等线 Light"/>
      <w:sz w:val="24"/>
      <w:szCs w:val="24"/>
    </w:rPr>
  </w:style>
  <w:style w:type="paragraph" w:customStyle="1" w:styleId="156">
    <w:name w:val="彩色列表 - 强调文字颜色 11"/>
    <w:basedOn w:val="1"/>
    <w:link w:val="155"/>
    <w:qFormat/>
    <w:uiPriority w:val="0"/>
    <w:pPr>
      <w:ind w:firstLine="420" w:firstLineChars="200"/>
    </w:pPr>
  </w:style>
  <w:style w:type="character" w:customStyle="1" w:styleId="157">
    <w:name w:val="标题 字符1"/>
    <w:qFormat/>
    <w:uiPriority w:val="10"/>
    <w:rPr>
      <w:rFonts w:ascii="FrutigerNext LT Light" w:hAnsi="FrutigerNext LT Light" w:eastAsia="font-weight : 400"/>
      <w:b/>
      <w:bCs/>
      <w:kern w:val="2"/>
      <w:sz w:val="28"/>
      <w:szCs w:val="32"/>
    </w:rPr>
  </w:style>
  <w:style w:type="character" w:customStyle="1" w:styleId="158">
    <w:name w:val="页脚 Char"/>
    <w:qFormat/>
    <w:uiPriority w:val="99"/>
    <w:rPr>
      <w:rFonts w:eastAsia="Arial Unicode MS"/>
      <w:sz w:val="21"/>
    </w:rPr>
  </w:style>
  <w:style w:type="character" w:customStyle="1" w:styleId="159">
    <w:name w:val="签名 Char1"/>
    <w:qFormat/>
    <w:uiPriority w:val="0"/>
    <w:rPr>
      <w:rFonts w:eastAsia="等线 Light"/>
      <w:kern w:val="2"/>
      <w:sz w:val="21"/>
      <w:szCs w:val="24"/>
      <w:lang w:val="en-US" w:eastAsia="zh-CN" w:bidi="ar-SA"/>
    </w:rPr>
  </w:style>
  <w:style w:type="character" w:customStyle="1" w:styleId="160">
    <w:name w:val="正文文本 2 Char1"/>
    <w:qFormat/>
    <w:uiPriority w:val="0"/>
    <w:rPr>
      <w:rFonts w:ascii="等线 Light" w:hAnsi="等线 Light" w:eastAsia="等线 Light"/>
      <w:kern w:val="2"/>
      <w:sz w:val="24"/>
      <w:szCs w:val="24"/>
      <w:lang w:val="en-US" w:eastAsia="zh-CN" w:bidi="ar-SA"/>
    </w:rPr>
  </w:style>
  <w:style w:type="character" w:customStyle="1" w:styleId="161">
    <w:name w:val="正文文本 Char3"/>
    <w:qFormat/>
    <w:uiPriority w:val="0"/>
    <w:rPr>
      <w:rFonts w:eastAsia="等线 Light"/>
      <w:kern w:val="2"/>
      <w:sz w:val="21"/>
      <w:szCs w:val="24"/>
      <w:lang w:val="en-US" w:eastAsia="zh-CN" w:bidi="ar-SA"/>
    </w:rPr>
  </w:style>
  <w:style w:type="character" w:customStyle="1" w:styleId="162">
    <w:name w:val="正文文本 3 Char2"/>
    <w:qFormat/>
    <w:uiPriority w:val="0"/>
    <w:rPr>
      <w:rFonts w:ascii="等线 Light" w:hAnsi="等线 Light" w:eastAsia="等线 Light"/>
      <w:kern w:val="2"/>
      <w:sz w:val="28"/>
      <w:szCs w:val="24"/>
      <w:lang w:val="en-US" w:eastAsia="zh-CN" w:bidi="ar-SA"/>
    </w:rPr>
  </w:style>
  <w:style w:type="character" w:customStyle="1" w:styleId="163">
    <w:name w:val="ca-0"/>
    <w:qFormat/>
    <w:uiPriority w:val="0"/>
  </w:style>
  <w:style w:type="character" w:customStyle="1" w:styleId="164">
    <w:name w:val="hilite6"/>
    <w:qFormat/>
    <w:uiPriority w:val="0"/>
    <w:rPr>
      <w:color w:val="FFFFFF"/>
      <w:shd w:val="clear" w:color="auto" w:fill="666666"/>
    </w:rPr>
  </w:style>
  <w:style w:type="character" w:customStyle="1" w:styleId="165">
    <w:name w:val="Char Char3"/>
    <w:qFormat/>
    <w:uiPriority w:val="0"/>
    <w:rPr>
      <w:rFonts w:ascii="Cambria Math" w:eastAsia="Cambria Math"/>
      <w:sz w:val="18"/>
      <w:szCs w:val="18"/>
    </w:rPr>
  </w:style>
  <w:style w:type="character" w:customStyle="1" w:styleId="166">
    <w:name w:val="纯文本 Char2"/>
    <w:qFormat/>
    <w:uiPriority w:val="0"/>
    <w:rPr>
      <w:rFonts w:ascii="等线 Light" w:hAnsi="Helv" w:eastAsia="等线 Light"/>
    </w:rPr>
  </w:style>
  <w:style w:type="character" w:customStyle="1" w:styleId="167">
    <w:name w:val="签名 Char"/>
    <w:qFormat/>
    <w:uiPriority w:val="0"/>
    <w:rPr>
      <w:rFonts w:eastAsia="等线 Light"/>
      <w:kern w:val="2"/>
      <w:sz w:val="21"/>
      <w:szCs w:val="24"/>
      <w:lang w:val="en-US" w:eastAsia="zh-CN" w:bidi="ar-SA"/>
    </w:rPr>
  </w:style>
  <w:style w:type="character" w:customStyle="1" w:styleId="168">
    <w:name w:val="正文文本 Char2"/>
    <w:qFormat/>
    <w:uiPriority w:val="0"/>
  </w:style>
  <w:style w:type="character" w:customStyle="1" w:styleId="169">
    <w:name w:val="彩色列表 - 着色 1 字符"/>
    <w:link w:val="170"/>
    <w:qFormat/>
    <w:uiPriority w:val="0"/>
    <w:rPr>
      <w:rFonts w:ascii="Arial Unicode MS" w:hAnsi="Arial Unicode MS"/>
      <w:kern w:val="2"/>
      <w:sz w:val="21"/>
      <w:szCs w:val="22"/>
    </w:rPr>
  </w:style>
  <w:style w:type="paragraph" w:customStyle="1" w:styleId="170">
    <w:name w:val="彩色列表 - 着色 11"/>
    <w:basedOn w:val="1"/>
    <w:link w:val="169"/>
    <w:qFormat/>
    <w:uiPriority w:val="0"/>
    <w:pPr>
      <w:autoSpaceDE/>
      <w:autoSpaceDN/>
      <w:adjustRightInd/>
      <w:ind w:firstLine="420" w:firstLineChars="200"/>
      <w:jc w:val="both"/>
    </w:pPr>
    <w:rPr>
      <w:rFonts w:ascii="Arial Unicode MS" w:hAnsi="Arial Unicode MS"/>
      <w:kern w:val="2"/>
      <w:sz w:val="21"/>
      <w:szCs w:val="22"/>
    </w:rPr>
  </w:style>
  <w:style w:type="character" w:customStyle="1" w:styleId="171">
    <w:name w:val="正文首行缩进 Char1"/>
    <w:qFormat/>
    <w:uiPriority w:val="99"/>
  </w:style>
  <w:style w:type="character" w:customStyle="1" w:styleId="172">
    <w:name w:val="标题 1 Char"/>
    <w:qFormat/>
    <w:uiPriority w:val="9"/>
    <w:rPr>
      <w:rFonts w:ascii="幼圆" w:hAnsi="幼圆" w:eastAsia="等线 Light" w:cs="幼圆"/>
      <w:b/>
      <w:bCs/>
      <w:kern w:val="44"/>
      <w:sz w:val="44"/>
      <w:szCs w:val="44"/>
      <w:lang w:val="en-US" w:eastAsia="zh-CN" w:bidi="ar-SA"/>
    </w:rPr>
  </w:style>
  <w:style w:type="character" w:customStyle="1" w:styleId="173">
    <w:name w:val="尾注文本 Char2"/>
    <w:semiHidden/>
    <w:qFormat/>
    <w:uiPriority w:val="99"/>
    <w:rPr>
      <w:rFonts w:ascii="等线 Light"/>
      <w:sz w:val="24"/>
      <w:szCs w:val="24"/>
    </w:rPr>
  </w:style>
  <w:style w:type="character" w:customStyle="1" w:styleId="174">
    <w:name w:val="访问过的超链接1"/>
    <w:qFormat/>
    <w:uiPriority w:val="0"/>
    <w:rPr>
      <w:rFonts w:ascii="楷体_GB2312" w:hAnsi="楷体_GB2312" w:cs="楷体_GB2312"/>
      <w:color w:val="000000"/>
      <w:sz w:val="20"/>
      <w:szCs w:val="20"/>
      <w:u w:val="none"/>
    </w:rPr>
  </w:style>
  <w:style w:type="character" w:customStyle="1" w:styleId="175">
    <w:name w:val="font11"/>
    <w:qFormat/>
    <w:uiPriority w:val="0"/>
    <w:rPr>
      <w:rFonts w:hint="eastAsia" w:ascii="等线 Light" w:hAnsi="等线 Light" w:eastAsia="等线 Light" w:cs="等线 Light"/>
      <w:color w:val="000000"/>
      <w:sz w:val="21"/>
      <w:szCs w:val="21"/>
      <w:u w:val="none"/>
    </w:rPr>
  </w:style>
  <w:style w:type="character" w:customStyle="1" w:styleId="176">
    <w:name w:val="正文首行缩进 Char3"/>
    <w:semiHidden/>
    <w:qFormat/>
    <w:uiPriority w:val="99"/>
    <w:rPr>
      <w:rFonts w:ascii="等线 Light" w:eastAsia="等线 Light"/>
      <w:b/>
      <w:bCs/>
      <w:sz w:val="24"/>
      <w:szCs w:val="24"/>
      <w:lang w:val="zh-CN"/>
    </w:rPr>
  </w:style>
  <w:style w:type="character" w:customStyle="1" w:styleId="177">
    <w:name w:val="批注框文本 Char3"/>
    <w:qFormat/>
    <w:uiPriority w:val="99"/>
    <w:rPr>
      <w:rFonts w:eastAsia="等线 Light"/>
      <w:kern w:val="2"/>
      <w:sz w:val="18"/>
      <w:szCs w:val="18"/>
      <w:lang w:val="en-US" w:eastAsia="zh-CN" w:bidi="ar-SA"/>
    </w:rPr>
  </w:style>
  <w:style w:type="character" w:customStyle="1" w:styleId="178">
    <w:name w:val="脚注文本 Char"/>
    <w:qFormat/>
    <w:uiPriority w:val="99"/>
    <w:rPr>
      <w:rFonts w:ascii="幼圆" w:hAnsi="幼圆" w:eastAsia="等线 Light" w:cs="幼圆"/>
      <w:kern w:val="2"/>
      <w:sz w:val="18"/>
      <w:szCs w:val="18"/>
      <w:lang w:bidi="ar-SA"/>
    </w:rPr>
  </w:style>
  <w:style w:type="character" w:customStyle="1" w:styleId="179">
    <w:name w:val="fontstrikethrough"/>
    <w:qFormat/>
    <w:uiPriority w:val="0"/>
    <w:rPr>
      <w:strike/>
    </w:rPr>
  </w:style>
  <w:style w:type="character" w:customStyle="1" w:styleId="180">
    <w:name w:val="font101"/>
    <w:qFormat/>
    <w:uiPriority w:val="0"/>
    <w:rPr>
      <w:rFonts w:hint="default" w:ascii="幼圆" w:hAnsi="幼圆" w:cs="幼圆"/>
      <w:color w:val="000000"/>
      <w:sz w:val="21"/>
      <w:szCs w:val="21"/>
      <w:u w:val="none"/>
    </w:rPr>
  </w:style>
  <w:style w:type="character" w:customStyle="1" w:styleId="181">
    <w:name w:val="spantable1"/>
    <w:qFormat/>
    <w:uiPriority w:val="0"/>
    <w:rPr>
      <w:rFonts w:hint="default" w:eastAsia="等线 Light"/>
      <w:spacing w:val="360"/>
      <w:kern w:val="2"/>
      <w:sz w:val="18"/>
      <w:szCs w:val="18"/>
      <w:lang w:val="en-US" w:eastAsia="zh-CN" w:bidi="ar-SA"/>
    </w:rPr>
  </w:style>
  <w:style w:type="character" w:customStyle="1" w:styleId="182">
    <w:name w:val="disabled"/>
    <w:qFormat/>
    <w:uiPriority w:val="0"/>
    <w:rPr>
      <w:rFonts w:eastAsia="等线 Light"/>
      <w:color w:val="DFDFDF"/>
      <w:kern w:val="2"/>
      <w:sz w:val="24"/>
      <w:szCs w:val="24"/>
      <w:bdr w:val="single" w:color="DFDFDF" w:sz="6" w:space="0"/>
      <w:shd w:val="clear" w:color="auto" w:fill="FFFFFF"/>
      <w:lang w:val="en-US" w:eastAsia="zh-CN" w:bidi="ar-SA"/>
    </w:rPr>
  </w:style>
  <w:style w:type="character" w:customStyle="1" w:styleId="183">
    <w:name w:val="font61"/>
    <w:qFormat/>
    <w:uiPriority w:val="0"/>
    <w:rPr>
      <w:rFonts w:hint="eastAsia" w:ascii="等线 Light" w:hAnsi="等线 Light" w:eastAsia="等线 Light" w:cs="等线 Light"/>
      <w:color w:val="000000"/>
      <w:sz w:val="21"/>
      <w:szCs w:val="21"/>
      <w:u w:val="none"/>
    </w:rPr>
  </w:style>
  <w:style w:type="character" w:customStyle="1" w:styleId="184">
    <w:name w:val=" Char Char6"/>
    <w:qFormat/>
    <w:uiPriority w:val="0"/>
    <w:rPr>
      <w:rFonts w:ascii="等线 Light" w:hAnsi="Helv" w:eastAsia="等线 Light"/>
      <w:szCs w:val="24"/>
    </w:rPr>
  </w:style>
  <w:style w:type="character" w:customStyle="1" w:styleId="185">
    <w:name w:val="正文无缩进 Char"/>
    <w:link w:val="186"/>
    <w:qFormat/>
    <w:locked/>
    <w:uiPriority w:val="0"/>
    <w:rPr>
      <w:rFonts w:ascii="微软雅黑" w:hAnsi="等线 Light" w:eastAsia="微软雅黑"/>
      <w:kern w:val="2"/>
      <w:sz w:val="31"/>
      <w:szCs w:val="28"/>
    </w:rPr>
  </w:style>
  <w:style w:type="paragraph" w:customStyle="1" w:styleId="186">
    <w:name w:val="正文无缩进"/>
    <w:basedOn w:val="187"/>
    <w:link w:val="185"/>
    <w:qFormat/>
    <w:uiPriority w:val="0"/>
    <w:pPr>
      <w:ind w:firstLine="0" w:firstLineChars="0"/>
    </w:pPr>
    <w:rPr>
      <w:kern w:val="2"/>
    </w:rPr>
  </w:style>
  <w:style w:type="paragraph" w:customStyle="1" w:styleId="187">
    <w:name w:val="正文缩进2格"/>
    <w:basedOn w:val="1"/>
    <w:link w:val="188"/>
    <w:qFormat/>
    <w:uiPriority w:val="0"/>
    <w:pPr>
      <w:autoSpaceDE/>
      <w:autoSpaceDN/>
      <w:adjustRightInd/>
      <w:spacing w:line="600" w:lineRule="exact"/>
      <w:ind w:firstLine="639" w:firstLineChars="206"/>
      <w:jc w:val="both"/>
    </w:pPr>
    <w:rPr>
      <w:rFonts w:ascii="微软雅黑" w:hAnsi="等线 Light" w:eastAsia="微软雅黑"/>
      <w:sz w:val="31"/>
      <w:szCs w:val="28"/>
    </w:rPr>
  </w:style>
  <w:style w:type="character" w:customStyle="1" w:styleId="188">
    <w:name w:val="正文缩进2格 Char"/>
    <w:link w:val="187"/>
    <w:qFormat/>
    <w:uiPriority w:val="0"/>
    <w:rPr>
      <w:rFonts w:ascii="微软雅黑" w:hAnsi="等线 Light" w:eastAsia="微软雅黑"/>
      <w:sz w:val="31"/>
      <w:szCs w:val="28"/>
    </w:rPr>
  </w:style>
  <w:style w:type="character" w:customStyle="1" w:styleId="189">
    <w:name w:val="font91"/>
    <w:qFormat/>
    <w:uiPriority w:val="0"/>
    <w:rPr>
      <w:rFonts w:hint="default" w:ascii="幼圆" w:hAnsi="幼圆" w:cs="幼圆"/>
      <w:color w:val="000000"/>
      <w:sz w:val="21"/>
      <w:szCs w:val="21"/>
      <w:u w:val="none"/>
      <w:vertAlign w:val="subscript"/>
    </w:rPr>
  </w:style>
  <w:style w:type="character" w:customStyle="1" w:styleId="190">
    <w:name w:val="页脚 Char1"/>
    <w:semiHidden/>
    <w:qFormat/>
    <w:uiPriority w:val="99"/>
    <w:rPr>
      <w:rFonts w:ascii="等线 Light" w:hAnsi="幼圆" w:eastAsia="等线 Light" w:cs="幼圆"/>
      <w:kern w:val="0"/>
      <w:sz w:val="18"/>
      <w:szCs w:val="18"/>
    </w:rPr>
  </w:style>
  <w:style w:type="character" w:customStyle="1" w:styleId="191">
    <w:name w:val="+正文 Char4"/>
    <w:link w:val="192"/>
    <w:qFormat/>
    <w:uiPriority w:val="0"/>
    <w:rPr>
      <w:kern w:val="2"/>
      <w:sz w:val="24"/>
      <w:szCs w:val="28"/>
    </w:rPr>
  </w:style>
  <w:style w:type="paragraph" w:customStyle="1" w:styleId="192">
    <w:name w:val="+正文"/>
    <w:basedOn w:val="1"/>
    <w:link w:val="191"/>
    <w:qFormat/>
    <w:uiPriority w:val="0"/>
    <w:pPr>
      <w:autoSpaceDE/>
      <w:autoSpaceDN/>
      <w:adjustRightInd/>
      <w:spacing w:line="360" w:lineRule="auto"/>
      <w:ind w:firstLine="200" w:firstLineChars="200"/>
      <w:jc w:val="both"/>
    </w:pPr>
    <w:rPr>
      <w:rFonts w:ascii="Times New Roman"/>
      <w:kern w:val="2"/>
      <w:szCs w:val="28"/>
    </w:rPr>
  </w:style>
  <w:style w:type="character" w:customStyle="1" w:styleId="193">
    <w:name w:val="表头文字 Char"/>
    <w:link w:val="194"/>
    <w:qFormat/>
    <w:uiPriority w:val="0"/>
    <w:rPr>
      <w:rFonts w:eastAsia="微软雅黑"/>
      <w:b/>
      <w:sz w:val="28"/>
      <w:szCs w:val="21"/>
    </w:rPr>
  </w:style>
  <w:style w:type="paragraph" w:customStyle="1" w:styleId="194">
    <w:name w:val="表头文字"/>
    <w:basedOn w:val="1"/>
    <w:link w:val="193"/>
    <w:qFormat/>
    <w:uiPriority w:val="0"/>
    <w:pPr>
      <w:autoSpaceDE/>
      <w:autoSpaceDN/>
      <w:snapToGrid w:val="0"/>
      <w:spacing w:before="120" w:line="360" w:lineRule="auto"/>
      <w:jc w:val="center"/>
      <w:textAlignment w:val="baseline"/>
    </w:pPr>
    <w:rPr>
      <w:rFonts w:ascii="Times New Roman" w:eastAsia="微软雅黑"/>
      <w:b/>
      <w:sz w:val="28"/>
      <w:szCs w:val="21"/>
    </w:rPr>
  </w:style>
  <w:style w:type="character" w:customStyle="1" w:styleId="195">
    <w:name w:val="日期 Char1"/>
    <w:semiHidden/>
    <w:qFormat/>
    <w:uiPriority w:val="0"/>
    <w:rPr>
      <w:rFonts w:ascii="宋体"/>
      <w:sz w:val="24"/>
      <w:szCs w:val="24"/>
    </w:rPr>
  </w:style>
  <w:style w:type="character" w:customStyle="1" w:styleId="196">
    <w:name w:val="标题 3.1 Char"/>
    <w:link w:val="197"/>
    <w:qFormat/>
    <w:uiPriority w:val="0"/>
    <w:rPr>
      <w:rFonts w:ascii="等线 Light" w:hAnsi="等线 Light"/>
      <w:b/>
      <w:bCs/>
      <w:sz w:val="32"/>
      <w:szCs w:val="32"/>
    </w:rPr>
  </w:style>
  <w:style w:type="paragraph" w:customStyle="1" w:styleId="197">
    <w:name w:val="标题 3.1"/>
    <w:basedOn w:val="4"/>
    <w:link w:val="196"/>
    <w:qFormat/>
    <w:uiPriority w:val="0"/>
    <w:pPr>
      <w:keepNext/>
      <w:keepLines/>
      <w:pageBreakBefore/>
      <w:tabs>
        <w:tab w:val="left" w:pos="1440"/>
        <w:tab w:val="left" w:pos="1620"/>
      </w:tabs>
      <w:autoSpaceDE/>
      <w:autoSpaceDN/>
      <w:adjustRightInd/>
      <w:spacing w:before="260" w:after="260" w:line="600" w:lineRule="exact"/>
      <w:jc w:val="both"/>
    </w:pPr>
    <w:rPr>
      <w:rFonts w:hAnsi="等线 Light" w:eastAsia="宋体"/>
      <w:b/>
      <w:bCs/>
      <w:sz w:val="32"/>
      <w:szCs w:val="32"/>
    </w:rPr>
  </w:style>
  <w:style w:type="character" w:customStyle="1" w:styleId="198">
    <w:name w:val="批注文字 Char3"/>
    <w:qFormat/>
    <w:uiPriority w:val="0"/>
    <w:rPr>
      <w:rFonts w:eastAsia="等线 Light"/>
      <w:kern w:val="2"/>
      <w:sz w:val="24"/>
      <w:szCs w:val="24"/>
      <w:lang w:val="en-US" w:eastAsia="zh-CN" w:bidi="ar-SA"/>
    </w:rPr>
  </w:style>
  <w:style w:type="character" w:customStyle="1" w:styleId="199">
    <w:name w:val="标题 2 字符2"/>
    <w:qFormat/>
    <w:uiPriority w:val="0"/>
    <w:rPr>
      <w:rFonts w:ascii="楷体_GB2312" w:hAnsi="楷体_GB2312" w:eastAsia="PMingLiU"/>
      <w:b/>
      <w:bCs/>
      <w:kern w:val="2"/>
      <w:sz w:val="32"/>
      <w:szCs w:val="32"/>
      <w:lang w:val="en-US" w:eastAsia="zh-CN" w:bidi="ar-SA"/>
    </w:rPr>
  </w:style>
  <w:style w:type="character" w:customStyle="1" w:styleId="200">
    <w:name w:val="img9"/>
    <w:basedOn w:val="57"/>
    <w:qFormat/>
    <w:uiPriority w:val="0"/>
  </w:style>
  <w:style w:type="character" w:customStyle="1" w:styleId="201">
    <w:name w:val="fontborder"/>
    <w:qFormat/>
    <w:uiPriority w:val="0"/>
    <w:rPr>
      <w:bdr w:val="single" w:color="000000" w:sz="6" w:space="0"/>
    </w:rPr>
  </w:style>
  <w:style w:type="character" w:customStyle="1" w:styleId="202">
    <w:name w:val="标题 7 Char"/>
    <w:qFormat/>
    <w:uiPriority w:val="0"/>
    <w:rPr>
      <w:rFonts w:ascii="幼圆" w:hAnsi="幼圆" w:eastAsia="等线 Light" w:cs="幼圆"/>
      <w:bCs/>
      <w:color w:val="000000"/>
      <w:kern w:val="2"/>
      <w:sz w:val="32"/>
      <w:szCs w:val="21"/>
      <w:lang w:val="en-US" w:eastAsia="zh-CN" w:bidi="ar-SA"/>
    </w:rPr>
  </w:style>
  <w:style w:type="character" w:customStyle="1" w:styleId="203">
    <w:name w:val="active7"/>
    <w:qFormat/>
    <w:uiPriority w:val="0"/>
    <w:rPr>
      <w:color w:val="00FF00"/>
      <w:shd w:val="clear" w:color="auto" w:fill="111111"/>
    </w:rPr>
  </w:style>
  <w:style w:type="character" w:customStyle="1" w:styleId="204">
    <w:name w:val="curr"/>
    <w:qFormat/>
    <w:uiPriority w:val="0"/>
    <w:rPr>
      <w:rFonts w:eastAsia="等线 Light"/>
      <w:color w:val="FF6600"/>
      <w:kern w:val="2"/>
      <w:sz w:val="24"/>
      <w:szCs w:val="24"/>
      <w:bdr w:val="single" w:color="FF6600" w:sz="6" w:space="0"/>
      <w:shd w:val="clear" w:color="auto" w:fill="FFEEE5"/>
      <w:lang w:val="en-US" w:eastAsia="zh-CN" w:bidi="ar-SA"/>
    </w:rPr>
  </w:style>
  <w:style w:type="character" w:customStyle="1" w:styleId="205">
    <w:name w:val="正文缩进2格 Char Char"/>
    <w:qFormat/>
    <w:uiPriority w:val="0"/>
    <w:rPr>
      <w:rFonts w:ascii="微软雅黑" w:hAnsi="等线 Light" w:eastAsia="微软雅黑"/>
      <w:kern w:val="2"/>
      <w:sz w:val="31"/>
      <w:szCs w:val="28"/>
      <w:lang w:val="en-US" w:eastAsia="zh-CN" w:bidi="ar-SA"/>
    </w:rPr>
  </w:style>
  <w:style w:type="character" w:customStyle="1" w:styleId="206">
    <w:name w:val="font01"/>
    <w:qFormat/>
    <w:uiPriority w:val="0"/>
    <w:rPr>
      <w:rFonts w:hint="eastAsia" w:ascii="等线 Light" w:hAnsi="等线 Light" w:eastAsia="等线 Light" w:cs="等线 Light"/>
      <w:color w:val="000000"/>
      <w:sz w:val="28"/>
      <w:szCs w:val="28"/>
      <w:u w:val="none"/>
    </w:rPr>
  </w:style>
  <w:style w:type="character" w:customStyle="1" w:styleId="207">
    <w:name w:val="show"/>
    <w:qFormat/>
    <w:uiPriority w:val="0"/>
  </w:style>
  <w:style w:type="character" w:customStyle="1" w:styleId="208">
    <w:name w:val="批注文字 Char"/>
    <w:qFormat/>
    <w:uiPriority w:val="99"/>
    <w:rPr>
      <w:rFonts w:ascii="幼圆" w:hAnsi="幼圆" w:eastAsia="等线 Light" w:cs="幼圆"/>
      <w:kern w:val="2"/>
      <w:sz w:val="24"/>
      <w:szCs w:val="24"/>
      <w:lang w:val="en-US" w:eastAsia="zh-CN" w:bidi="ar-SA"/>
    </w:rPr>
  </w:style>
  <w:style w:type="character" w:customStyle="1" w:styleId="209">
    <w:name w:val="ziti"/>
    <w:qFormat/>
    <w:uiPriority w:val="0"/>
    <w:rPr>
      <w:rFonts w:hint="default" w:ascii="楷体_GB2312" w:hAnsi="楷体_GB2312" w:cs="楷体_GB2312"/>
      <w:sz w:val="16"/>
      <w:szCs w:val="16"/>
    </w:rPr>
  </w:style>
  <w:style w:type="character" w:customStyle="1" w:styleId="210">
    <w:name w:val="脚注文本 字符2"/>
    <w:semiHidden/>
    <w:qFormat/>
    <w:uiPriority w:val="99"/>
    <w:rPr>
      <w:rFonts w:ascii="等线 Light"/>
      <w:sz w:val="18"/>
      <w:szCs w:val="18"/>
    </w:rPr>
  </w:style>
  <w:style w:type="character" w:customStyle="1" w:styleId="211">
    <w:name w:val="标题 Char"/>
    <w:qFormat/>
    <w:uiPriority w:val="10"/>
    <w:rPr>
      <w:rFonts w:ascii="Cambria" w:hAnsi="Cambria"/>
      <w:b/>
      <w:bCs/>
      <w:sz w:val="32"/>
      <w:szCs w:val="32"/>
    </w:rPr>
  </w:style>
  <w:style w:type="character" w:customStyle="1" w:styleId="212">
    <w:name w:val="正文缩进 Char"/>
    <w:qFormat/>
    <w:uiPriority w:val="0"/>
    <w:rPr>
      <w:rFonts w:ascii="幼圆" w:hAnsi="幼圆" w:eastAsia="等线 Light" w:cs="幼圆"/>
      <w:kern w:val="0"/>
      <w:sz w:val="20"/>
      <w:szCs w:val="20"/>
    </w:rPr>
  </w:style>
  <w:style w:type="character" w:customStyle="1" w:styleId="213">
    <w:name w:val="hover23"/>
    <w:qFormat/>
    <w:uiPriority w:val="0"/>
    <w:rPr>
      <w:color w:val="D52222"/>
    </w:rPr>
  </w:style>
  <w:style w:type="character" w:customStyle="1" w:styleId="214">
    <w:name w:val="标题 3 字符1"/>
    <w:qFormat/>
    <w:uiPriority w:val="0"/>
    <w:rPr>
      <w:rFonts w:ascii="等线 Light" w:hAnsi="幼圆" w:eastAsia="等线 Light" w:cs="幼圆"/>
      <w:kern w:val="0"/>
      <w:sz w:val="24"/>
      <w:szCs w:val="24"/>
    </w:rPr>
  </w:style>
  <w:style w:type="character" w:customStyle="1" w:styleId="215">
    <w:name w:val="ico1656"/>
    <w:basedOn w:val="57"/>
    <w:qFormat/>
    <w:uiPriority w:val="0"/>
  </w:style>
  <w:style w:type="character" w:customStyle="1" w:styleId="216">
    <w:name w:val="中等深浅网格 2 字符"/>
    <w:link w:val="217"/>
    <w:qFormat/>
    <w:uiPriority w:val="1"/>
    <w:rPr>
      <w:kern w:val="2"/>
      <w:sz w:val="21"/>
      <w:szCs w:val="22"/>
      <w:lang w:val="en-US" w:eastAsia="zh-CN" w:bidi="ar-SA"/>
    </w:rPr>
  </w:style>
  <w:style w:type="paragraph" w:customStyle="1" w:styleId="217">
    <w:name w:val="中等深浅网格 21"/>
    <w:link w:val="216"/>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18">
    <w:name w:val="font41"/>
    <w:qFormat/>
    <w:uiPriority w:val="0"/>
    <w:rPr>
      <w:rFonts w:hint="default" w:ascii="幼圆" w:hAnsi="幼圆" w:cs="幼圆"/>
      <w:color w:val="000000"/>
      <w:sz w:val="21"/>
      <w:szCs w:val="21"/>
      <w:u w:val="none"/>
    </w:rPr>
  </w:style>
  <w:style w:type="character" w:customStyle="1" w:styleId="219">
    <w:name w:val="正文首行缩进 字符"/>
    <w:basedOn w:val="161"/>
    <w:qFormat/>
    <w:uiPriority w:val="0"/>
  </w:style>
  <w:style w:type="character" w:customStyle="1" w:styleId="220">
    <w:name w:val="标题 9 Char"/>
    <w:qFormat/>
    <w:uiPriority w:val="0"/>
    <w:rPr>
      <w:rFonts w:ascii="楷体_GB2312" w:hAnsi="楷体_GB2312" w:eastAsia="等线 Light" w:cs="幼圆"/>
      <w:color w:val="000000"/>
      <w:kern w:val="2"/>
      <w:sz w:val="32"/>
      <w:szCs w:val="21"/>
      <w:lang w:val="en-US" w:eastAsia="zh-CN" w:bidi="ar-SA"/>
    </w:rPr>
  </w:style>
  <w:style w:type="character" w:customStyle="1" w:styleId="221">
    <w:name w:val="标书正文格式 Char"/>
    <w:qFormat/>
    <w:uiPriority w:val="0"/>
    <w:rPr>
      <w:rFonts w:eastAsia="Cambria Math"/>
      <w:kern w:val="2"/>
      <w:sz w:val="24"/>
      <w:lang w:val="en-US" w:eastAsia="zh-CN" w:bidi="ar-SA"/>
    </w:rPr>
  </w:style>
  <w:style w:type="character" w:customStyle="1" w:styleId="222">
    <w:name w:val="layui-layer-tabnow"/>
    <w:qFormat/>
    <w:uiPriority w:val="0"/>
    <w:rPr>
      <w:rFonts w:eastAsia="等线 Light"/>
      <w:kern w:val="2"/>
      <w:sz w:val="24"/>
      <w:szCs w:val="24"/>
      <w:bdr w:val="single" w:color="CCCCCC" w:sz="6" w:space="0"/>
      <w:shd w:val="clear" w:color="auto" w:fill="FFFFFF"/>
      <w:lang w:val="en-US" w:eastAsia="zh-CN" w:bidi="ar-SA"/>
    </w:rPr>
  </w:style>
  <w:style w:type="character" w:customStyle="1" w:styleId="223">
    <w:name w:val="Char Char6"/>
    <w:qFormat/>
    <w:uiPriority w:val="0"/>
    <w:rPr>
      <w:rFonts w:ascii="_x001A_" w:eastAsia="_x001A_"/>
      <w:b/>
      <w:sz w:val="28"/>
    </w:rPr>
  </w:style>
  <w:style w:type="character" w:customStyle="1" w:styleId="224">
    <w:name w:val="hover64"/>
    <w:qFormat/>
    <w:uiPriority w:val="0"/>
    <w:rPr>
      <w:rFonts w:eastAsia="等线 Light"/>
      <w:color w:val="D52222"/>
      <w:kern w:val="2"/>
      <w:sz w:val="24"/>
      <w:szCs w:val="24"/>
      <w:lang w:val="en-US" w:eastAsia="zh-CN" w:bidi="ar-SA"/>
    </w:rPr>
  </w:style>
  <w:style w:type="character" w:customStyle="1" w:styleId="225">
    <w:name w:val="正文文本缩进 Char1"/>
    <w:semiHidden/>
    <w:qFormat/>
    <w:uiPriority w:val="99"/>
    <w:rPr>
      <w:rFonts w:ascii="宋体"/>
      <w:sz w:val="24"/>
      <w:szCs w:val="24"/>
    </w:rPr>
  </w:style>
  <w:style w:type="character" w:customStyle="1" w:styleId="226">
    <w:name w:val="标题 2 Char"/>
    <w:qFormat/>
    <w:uiPriority w:val="0"/>
    <w:rPr>
      <w:rFonts w:ascii="楷体_GB2312" w:hAnsi="楷体_GB2312" w:eastAsia="PMingLiU" w:cs="幼圆"/>
      <w:b/>
      <w:bCs/>
      <w:kern w:val="2"/>
      <w:sz w:val="32"/>
      <w:szCs w:val="32"/>
      <w:lang w:val="en-US" w:eastAsia="zh-CN" w:bidi="ar-SA"/>
    </w:rPr>
  </w:style>
  <w:style w:type="character" w:customStyle="1" w:styleId="227">
    <w:name w:val="icon-pd-bbs"/>
    <w:qFormat/>
    <w:uiPriority w:val="0"/>
  </w:style>
  <w:style w:type="character" w:customStyle="1" w:styleId="228">
    <w:name w:val="正文文本 3 Char"/>
    <w:qFormat/>
    <w:uiPriority w:val="0"/>
    <w:rPr>
      <w:rFonts w:ascii="等线 Light" w:hAnsi="等线 Light" w:eastAsia="等线 Light" w:cs="幼圆"/>
      <w:kern w:val="2"/>
      <w:sz w:val="28"/>
      <w:szCs w:val="24"/>
      <w:lang w:val="en-US" w:eastAsia="zh-CN" w:bidi="ar-SA"/>
    </w:rPr>
  </w:style>
  <w:style w:type="character" w:customStyle="1" w:styleId="229">
    <w:name w:val="icontext11"/>
    <w:basedOn w:val="57"/>
    <w:qFormat/>
    <w:uiPriority w:val="0"/>
  </w:style>
  <w:style w:type="character" w:customStyle="1" w:styleId="230">
    <w:name w:val="associateddata"/>
    <w:qFormat/>
    <w:uiPriority w:val="0"/>
    <w:rPr>
      <w:shd w:val="clear" w:color="auto" w:fill="50A6F9"/>
    </w:rPr>
  </w:style>
  <w:style w:type="character" w:customStyle="1" w:styleId="231">
    <w:name w:val="bigfont1"/>
    <w:qFormat/>
    <w:uiPriority w:val="0"/>
    <w:rPr>
      <w:rFonts w:hint="default" w:ascii="MS Sans Serif" w:hAnsi="MS Sans Serif"/>
      <w:color w:val="000000"/>
      <w:sz w:val="24"/>
      <w:szCs w:val="24"/>
      <w:u w:val="none"/>
    </w:rPr>
  </w:style>
  <w:style w:type="character" w:customStyle="1" w:styleId="232">
    <w:name w:val="正文文本缩进 2 Char1"/>
    <w:qFormat/>
    <w:uiPriority w:val="0"/>
    <w:rPr>
      <w:rFonts w:eastAsia="等线 Light"/>
      <w:kern w:val="2"/>
      <w:sz w:val="21"/>
      <w:szCs w:val="24"/>
      <w:lang w:val="en-US" w:eastAsia="zh-CN" w:bidi="ar-SA"/>
    </w:rPr>
  </w:style>
  <w:style w:type="character" w:customStyle="1" w:styleId="233">
    <w:name w:val="正文文本缩进 3 Char"/>
    <w:qFormat/>
    <w:uiPriority w:val="0"/>
    <w:rPr>
      <w:rFonts w:ascii="幼圆" w:hAnsi="幼圆" w:eastAsia="等线 Light" w:cs="幼圆"/>
      <w:kern w:val="2"/>
      <w:sz w:val="24"/>
      <w:szCs w:val="21"/>
      <w:lang w:val="en-US" w:eastAsia="zh-CN" w:bidi="ar-SA"/>
    </w:rPr>
  </w:style>
  <w:style w:type="character" w:customStyle="1" w:styleId="234">
    <w:name w:val="DAS正文 Char"/>
    <w:qFormat/>
    <w:uiPriority w:val="0"/>
    <w:rPr>
      <w:rFonts w:ascii="Lucida Grande" w:hAnsi="Lucida Grande" w:eastAsia="等线 Light"/>
      <w:kern w:val="2"/>
      <w:sz w:val="21"/>
      <w:szCs w:val="21"/>
      <w:lang w:val="en-US" w:eastAsia="zh-CN" w:bidi="ar-SA"/>
    </w:rPr>
  </w:style>
  <w:style w:type="character" w:customStyle="1" w:styleId="235">
    <w:name w:val="iconline21"/>
    <w:basedOn w:val="57"/>
    <w:qFormat/>
    <w:uiPriority w:val="0"/>
  </w:style>
  <w:style w:type="character" w:customStyle="1" w:styleId="236">
    <w:name w:val="cdropright"/>
    <w:basedOn w:val="57"/>
    <w:qFormat/>
    <w:uiPriority w:val="0"/>
  </w:style>
  <w:style w:type="character" w:customStyle="1" w:styleId="237">
    <w:name w:val="drapbtn"/>
    <w:basedOn w:val="57"/>
    <w:qFormat/>
    <w:uiPriority w:val="0"/>
  </w:style>
  <w:style w:type="character" w:customStyle="1" w:styleId="238">
    <w:name w:val="HTML Markup"/>
    <w:qFormat/>
    <w:uiPriority w:val="0"/>
    <w:rPr>
      <w:vanish/>
      <w:color w:val="FF0000"/>
    </w:rPr>
  </w:style>
  <w:style w:type="character" w:customStyle="1" w:styleId="239">
    <w:name w:val="first-child"/>
    <w:qFormat/>
    <w:uiPriority w:val="0"/>
  </w:style>
  <w:style w:type="character" w:customStyle="1" w:styleId="240">
    <w:name w:val="标题 1 Char1"/>
    <w:qFormat/>
    <w:uiPriority w:val="0"/>
    <w:rPr>
      <w:rFonts w:eastAsia="等线 Light"/>
      <w:b/>
      <w:bCs/>
      <w:kern w:val="44"/>
      <w:sz w:val="44"/>
      <w:szCs w:val="44"/>
      <w:lang w:val="en-US" w:eastAsia="zh-CN" w:bidi="ar-SA"/>
    </w:rPr>
  </w:style>
  <w:style w:type="character" w:customStyle="1" w:styleId="241">
    <w:name w:val="普通(网站) Char"/>
    <w:qFormat/>
    <w:uiPriority w:val="99"/>
    <w:rPr>
      <w:rFonts w:ascii="等线 Light" w:hAnsi="等线 Light"/>
      <w:sz w:val="15"/>
      <w:szCs w:val="15"/>
    </w:rPr>
  </w:style>
  <w:style w:type="character" w:customStyle="1" w:styleId="242">
    <w:name w:val="style61"/>
    <w:qFormat/>
    <w:uiPriority w:val="0"/>
    <w:rPr>
      <w:b/>
      <w:bCs/>
    </w:rPr>
  </w:style>
  <w:style w:type="character" w:customStyle="1" w:styleId="243">
    <w:name w:val="font51"/>
    <w:qFormat/>
    <w:uiPriority w:val="0"/>
    <w:rPr>
      <w:rFonts w:hint="default" w:ascii="幼圆" w:hAnsi="幼圆" w:cs="幼圆"/>
      <w:color w:val="000000"/>
      <w:sz w:val="20"/>
      <w:szCs w:val="20"/>
      <w:u w:val="none"/>
    </w:rPr>
  </w:style>
  <w:style w:type="character" w:customStyle="1" w:styleId="244">
    <w:name w:val="Char Char Char Char Char Char Char1 Char"/>
    <w:qFormat/>
    <w:uiPriority w:val="0"/>
    <w:rPr>
      <w:rFonts w:ascii="PMingLiU" w:hAnsi="Lucida Grande" w:eastAsia="PMingLiU"/>
      <w:sz w:val="32"/>
      <w:szCs w:val="32"/>
      <w:lang w:eastAsia="en-US"/>
    </w:rPr>
  </w:style>
  <w:style w:type="character" w:customStyle="1" w:styleId="245">
    <w:name w:val="Char Char2"/>
    <w:qFormat/>
    <w:uiPriority w:val="0"/>
    <w:rPr>
      <w:kern w:val="2"/>
      <w:sz w:val="21"/>
      <w:szCs w:val="24"/>
    </w:rPr>
  </w:style>
  <w:style w:type="character" w:customStyle="1" w:styleId="246">
    <w:name w:val="标题 8 Char"/>
    <w:qFormat/>
    <w:uiPriority w:val="0"/>
    <w:rPr>
      <w:rFonts w:ascii="楷体_GB2312" w:hAnsi="楷体_GB2312" w:eastAsia="等线 Light" w:cs="幼圆"/>
      <w:color w:val="000000"/>
      <w:kern w:val="2"/>
      <w:sz w:val="32"/>
      <w:szCs w:val="21"/>
      <w:lang w:val="en-US" w:eastAsia="zh-CN" w:bidi="ar-SA"/>
    </w:rPr>
  </w:style>
  <w:style w:type="character" w:customStyle="1" w:styleId="247">
    <w:name w:val="样式 样式 标准正文 + 宋体 + 黑色 Char Char"/>
    <w:link w:val="248"/>
    <w:qFormat/>
    <w:uiPriority w:val="0"/>
    <w:rPr>
      <w:rFonts w:ascii="等线 Light" w:hAnsi="等线 Light"/>
      <w:color w:val="000000"/>
      <w:kern w:val="2"/>
      <w:sz w:val="24"/>
    </w:rPr>
  </w:style>
  <w:style w:type="paragraph" w:customStyle="1" w:styleId="248">
    <w:name w:val="样式 样式 标准正文 + 宋体 + 黑色"/>
    <w:basedOn w:val="1"/>
    <w:link w:val="247"/>
    <w:qFormat/>
    <w:uiPriority w:val="0"/>
    <w:pPr>
      <w:autoSpaceDE/>
      <w:autoSpaceDN/>
      <w:adjustRightInd/>
      <w:spacing w:before="60" w:after="60" w:line="360" w:lineRule="auto"/>
      <w:ind w:firstLine="482"/>
      <w:jc w:val="both"/>
    </w:pPr>
    <w:rPr>
      <w:rFonts w:hAnsi="等线 Light"/>
      <w:color w:val="000000"/>
      <w:kern w:val="2"/>
      <w:szCs w:val="20"/>
    </w:rPr>
  </w:style>
  <w:style w:type="character" w:customStyle="1" w:styleId="249">
    <w:name w:val="尾注文本 字符"/>
    <w:qFormat/>
    <w:uiPriority w:val="0"/>
    <w:rPr>
      <w:rFonts w:ascii="幼圆" w:hAnsi="幼圆" w:eastAsia="等线 Light" w:cs="幼圆"/>
      <w:kern w:val="2"/>
      <w:sz w:val="24"/>
      <w:szCs w:val="24"/>
      <w:lang w:bidi="ar-SA"/>
    </w:rPr>
  </w:style>
  <w:style w:type="character" w:customStyle="1" w:styleId="250">
    <w:name w:val="article1"/>
    <w:qFormat/>
    <w:uiPriority w:val="0"/>
    <w:rPr>
      <w:sz w:val="30"/>
      <w:szCs w:val="30"/>
    </w:rPr>
  </w:style>
  <w:style w:type="character" w:customStyle="1" w:styleId="251">
    <w:name w:val="apple-converted-space"/>
    <w:qFormat/>
    <w:uiPriority w:val="0"/>
  </w:style>
  <w:style w:type="character" w:customStyle="1" w:styleId="252">
    <w:name w:val="纯文本 Char1"/>
    <w:qFormat/>
    <w:uiPriority w:val="0"/>
    <w:rPr>
      <w:rFonts w:ascii="等线 Light" w:hAnsi="Helv" w:eastAsia="等线 Light" w:cs="Helv"/>
      <w:kern w:val="0"/>
      <w:szCs w:val="21"/>
    </w:rPr>
  </w:style>
  <w:style w:type="character" w:customStyle="1" w:styleId="253">
    <w:name w:val="文档结构图 Char1"/>
    <w:semiHidden/>
    <w:qFormat/>
    <w:uiPriority w:val="99"/>
    <w:rPr>
      <w:rFonts w:ascii="Microsoft YaHei UI" w:eastAsia="Microsoft YaHei UI"/>
      <w:sz w:val="18"/>
      <w:szCs w:val="18"/>
    </w:rPr>
  </w:style>
  <w:style w:type="character" w:customStyle="1" w:styleId="254">
    <w:name w:val="l-btn-text35"/>
    <w:qFormat/>
    <w:uiPriority w:val="0"/>
  </w:style>
  <w:style w:type="character" w:customStyle="1" w:styleId="255">
    <w:name w:val=" Char Char Char Char Char Char Char1 Char Char"/>
    <w:link w:val="256"/>
    <w:qFormat/>
    <w:uiPriority w:val="0"/>
    <w:rPr>
      <w:rFonts w:ascii="PMingLiU" w:hAnsi="Lucida Grande" w:eastAsia="PMingLiU"/>
      <w:sz w:val="32"/>
      <w:szCs w:val="32"/>
      <w:lang w:eastAsia="en-US"/>
    </w:rPr>
  </w:style>
  <w:style w:type="paragraph" w:customStyle="1" w:styleId="256">
    <w:name w:val=" Char Char Char Char Char Char Char1"/>
    <w:basedOn w:val="1"/>
    <w:link w:val="255"/>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character" w:customStyle="1" w:styleId="257">
    <w:name w:val="hover41"/>
    <w:qFormat/>
    <w:uiPriority w:val="0"/>
    <w:rPr>
      <w:color w:val="2490F8"/>
    </w:rPr>
  </w:style>
  <w:style w:type="character" w:customStyle="1" w:styleId="258">
    <w:name w:val="font71"/>
    <w:qFormat/>
    <w:uiPriority w:val="0"/>
    <w:rPr>
      <w:rFonts w:hint="eastAsia" w:ascii="等线 Light" w:hAnsi="等线 Light" w:eastAsia="等线 Light" w:cs="等线 Light"/>
      <w:color w:val="000000"/>
      <w:sz w:val="20"/>
      <w:szCs w:val="20"/>
      <w:u w:val="none"/>
    </w:rPr>
  </w:style>
  <w:style w:type="character" w:customStyle="1" w:styleId="259">
    <w:name w:val="页眉 Char2"/>
    <w:qFormat/>
    <w:uiPriority w:val="0"/>
    <w:rPr>
      <w:rFonts w:eastAsia="等线 Light"/>
      <w:kern w:val="2"/>
      <w:sz w:val="18"/>
      <w:szCs w:val="18"/>
      <w:lang w:val="en-US" w:eastAsia="zh-CN" w:bidi="ar-SA"/>
    </w:rPr>
  </w:style>
  <w:style w:type="character" w:customStyle="1" w:styleId="260">
    <w:name w:val="首航所进 Char"/>
    <w:qFormat/>
    <w:uiPriority w:val="0"/>
    <w:rPr>
      <w:rFonts w:eastAsia="等线 Light"/>
      <w:kern w:val="2"/>
      <w:sz w:val="24"/>
      <w:szCs w:val="24"/>
      <w:lang w:val="en-US" w:eastAsia="zh-CN" w:bidi="ar-SA"/>
    </w:rPr>
  </w:style>
  <w:style w:type="character" w:customStyle="1" w:styleId="261">
    <w:name w:val="样式 样式 标准正文 + 宋体 + 黑色 Char"/>
    <w:qFormat/>
    <w:uiPriority w:val="0"/>
    <w:rPr>
      <w:rFonts w:ascii="等线 Light" w:hAnsi="等线 Light" w:eastAsia="等线 Light"/>
      <w:color w:val="000000"/>
      <w:kern w:val="2"/>
      <w:sz w:val="24"/>
      <w:lang w:val="en-US" w:eastAsia="zh-CN" w:bidi="ar-SA"/>
    </w:rPr>
  </w:style>
  <w:style w:type="character" w:customStyle="1" w:styleId="262">
    <w:name w:val="Char Char Char Char Char Char Char1 Char Char"/>
    <w:link w:val="263"/>
    <w:qFormat/>
    <w:uiPriority w:val="0"/>
    <w:rPr>
      <w:rFonts w:ascii="PMingLiU" w:hAnsi="Lucida Grande" w:eastAsia="PMingLiU"/>
      <w:sz w:val="32"/>
      <w:szCs w:val="32"/>
      <w:lang w:eastAsia="en-US"/>
    </w:rPr>
  </w:style>
  <w:style w:type="paragraph" w:customStyle="1" w:styleId="263">
    <w:name w:val="Char Char Char Char Char Char Char1"/>
    <w:basedOn w:val="1"/>
    <w:link w:val="262"/>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character" w:customStyle="1" w:styleId="264">
    <w:name w:val="ca-31"/>
    <w:qFormat/>
    <w:uiPriority w:val="0"/>
    <w:rPr>
      <w:rFonts w:hint="eastAsia" w:ascii="微软雅黑" w:eastAsia="微软雅黑"/>
      <w:kern w:val="2"/>
      <w:sz w:val="32"/>
      <w:szCs w:val="32"/>
      <w:lang w:val="en-US" w:eastAsia="zh-CN" w:bidi="ar-SA"/>
    </w:rPr>
  </w:style>
  <w:style w:type="character" w:customStyle="1" w:styleId="265">
    <w:name w:val="hover63"/>
    <w:qFormat/>
    <w:uiPriority w:val="0"/>
    <w:rPr>
      <w:rFonts w:eastAsia="等线 Light"/>
      <w:color w:val="2B84B5"/>
      <w:kern w:val="2"/>
      <w:sz w:val="24"/>
      <w:szCs w:val="24"/>
      <w:lang w:val="en-US" w:eastAsia="zh-CN" w:bidi="ar-SA"/>
    </w:rPr>
  </w:style>
  <w:style w:type="character" w:customStyle="1" w:styleId="266">
    <w:name w:val="标题 2 字符1"/>
    <w:qFormat/>
    <w:uiPriority w:val="0"/>
    <w:rPr>
      <w:rFonts w:ascii="楷体_GB2312" w:hAnsi="楷体_GB2312" w:eastAsia="PMingLiU"/>
      <w:b/>
      <w:bCs/>
      <w:kern w:val="2"/>
      <w:sz w:val="32"/>
      <w:szCs w:val="32"/>
      <w:lang w:val="en-US" w:eastAsia="zh-CN" w:bidi="ar-SA"/>
    </w:rPr>
  </w:style>
  <w:style w:type="character" w:customStyle="1" w:styleId="267">
    <w:name w:val="页眉 Char"/>
    <w:qFormat/>
    <w:uiPriority w:val="99"/>
    <w:rPr>
      <w:rFonts w:eastAsia="等线 Light"/>
      <w:kern w:val="2"/>
      <w:sz w:val="18"/>
      <w:szCs w:val="18"/>
      <w:lang w:val="en-US" w:eastAsia="zh-CN" w:bidi="ar-SA"/>
    </w:rPr>
  </w:style>
  <w:style w:type="character" w:customStyle="1" w:styleId="268">
    <w:name w:val="after"/>
    <w:qFormat/>
    <w:uiPriority w:val="0"/>
    <w:rPr>
      <w:sz w:val="16"/>
      <w:szCs w:val="0"/>
    </w:rPr>
  </w:style>
  <w:style w:type="character" w:customStyle="1" w:styleId="269">
    <w:name w:val="pagechatarealistclose_box1"/>
    <w:basedOn w:val="57"/>
    <w:qFormat/>
    <w:uiPriority w:val="0"/>
  </w:style>
  <w:style w:type="character" w:customStyle="1" w:styleId="270">
    <w:name w:val="批注主题 Char2"/>
    <w:qFormat/>
    <w:uiPriority w:val="99"/>
    <w:rPr>
      <w:rFonts w:eastAsia="等线 Light"/>
      <w:b/>
      <w:bCs/>
      <w:kern w:val="2"/>
      <w:sz w:val="21"/>
      <w:szCs w:val="24"/>
      <w:lang w:val="en-US" w:eastAsia="zh-CN" w:bidi="ar-SA"/>
    </w:rPr>
  </w:style>
  <w:style w:type="character" w:customStyle="1" w:styleId="271">
    <w:name w:val="标题 7 Char1"/>
    <w:qFormat/>
    <w:uiPriority w:val="0"/>
    <w:rPr>
      <w:rFonts w:eastAsia="等线 Light"/>
      <w:bCs/>
      <w:color w:val="000000"/>
      <w:kern w:val="2"/>
      <w:sz w:val="32"/>
      <w:szCs w:val="21"/>
      <w:lang w:val="en-US" w:eastAsia="zh-CN" w:bidi="ar-SA"/>
    </w:rPr>
  </w:style>
  <w:style w:type="character" w:customStyle="1" w:styleId="272">
    <w:name w:val="tmpztreemove_arrow"/>
    <w:basedOn w:val="57"/>
    <w:qFormat/>
    <w:uiPriority w:val="0"/>
  </w:style>
  <w:style w:type="character" w:customStyle="1" w:styleId="273">
    <w:name w:val="页脚 Char2"/>
    <w:qFormat/>
    <w:uiPriority w:val="99"/>
    <w:rPr>
      <w:rFonts w:eastAsia="等线 Light"/>
      <w:kern w:val="2"/>
      <w:sz w:val="18"/>
      <w:szCs w:val="18"/>
      <w:lang w:val="en-US" w:eastAsia="zh-CN" w:bidi="ar-SA"/>
    </w:rPr>
  </w:style>
  <w:style w:type="character" w:customStyle="1" w:styleId="274">
    <w:name w:val="button"/>
    <w:basedOn w:val="57"/>
    <w:qFormat/>
    <w:uiPriority w:val="0"/>
  </w:style>
  <w:style w:type="character" w:customStyle="1" w:styleId="275">
    <w:name w:val="标题 5 字符"/>
    <w:qFormat/>
    <w:uiPriority w:val="0"/>
    <w:rPr>
      <w:rFonts w:ascii="等线 Light"/>
      <w:b/>
      <w:bCs/>
      <w:sz w:val="28"/>
      <w:szCs w:val="28"/>
    </w:rPr>
  </w:style>
  <w:style w:type="character" w:customStyle="1" w:styleId="276">
    <w:name w:val="icontext1"/>
    <w:basedOn w:val="57"/>
    <w:qFormat/>
    <w:uiPriority w:val="0"/>
  </w:style>
  <w:style w:type="character" w:customStyle="1" w:styleId="277">
    <w:name w:val="标题 Char1"/>
    <w:qFormat/>
    <w:uiPriority w:val="10"/>
    <w:rPr>
      <w:rFonts w:ascii="Calibri Light" w:hAnsi="Calibri Light" w:cs="Times New Roman"/>
      <w:b/>
      <w:bCs/>
      <w:sz w:val="32"/>
      <w:szCs w:val="32"/>
    </w:rPr>
  </w:style>
  <w:style w:type="character" w:customStyle="1" w:styleId="278">
    <w:name w:val="吉奥正文 Char"/>
    <w:link w:val="279"/>
    <w:qFormat/>
    <w:locked/>
    <w:uiPriority w:val="0"/>
    <w:rPr>
      <w:rFonts w:eastAsia="微软雅黑"/>
      <w:kern w:val="2"/>
      <w:sz w:val="28"/>
    </w:rPr>
  </w:style>
  <w:style w:type="paragraph" w:customStyle="1" w:styleId="279">
    <w:name w:val="吉奥正文"/>
    <w:basedOn w:val="1"/>
    <w:link w:val="278"/>
    <w:qFormat/>
    <w:uiPriority w:val="0"/>
    <w:pPr>
      <w:autoSpaceDE/>
      <w:autoSpaceDN/>
      <w:snapToGrid w:val="0"/>
      <w:spacing w:before="120" w:line="360" w:lineRule="auto"/>
      <w:ind w:firstLine="200" w:firstLineChars="200"/>
      <w:jc w:val="both"/>
      <w:textAlignment w:val="baseline"/>
    </w:pPr>
    <w:rPr>
      <w:rFonts w:ascii="Times New Roman" w:eastAsia="微软雅黑"/>
      <w:kern w:val="2"/>
      <w:sz w:val="28"/>
      <w:szCs w:val="20"/>
    </w:rPr>
  </w:style>
  <w:style w:type="character" w:customStyle="1" w:styleId="280">
    <w:name w:val="纯文本 字符2"/>
    <w:qFormat/>
    <w:uiPriority w:val="0"/>
    <w:rPr>
      <w:rFonts w:ascii="等线 Light" w:hAnsi="Helv" w:eastAsia="等线 Light"/>
    </w:rPr>
  </w:style>
  <w:style w:type="character" w:customStyle="1" w:styleId="281">
    <w:name w:val="ico1654"/>
    <w:basedOn w:val="57"/>
    <w:qFormat/>
    <w:uiPriority w:val="0"/>
  </w:style>
  <w:style w:type="character" w:customStyle="1" w:styleId="282">
    <w:name w:val="批注文字 字符2"/>
    <w:qFormat/>
    <w:uiPriority w:val="99"/>
    <w:rPr>
      <w:rFonts w:ascii="等线 Light" w:hAnsi="幼圆" w:eastAsia="等线 Light" w:cs="幼圆"/>
      <w:kern w:val="0"/>
      <w:sz w:val="24"/>
      <w:szCs w:val="24"/>
    </w:rPr>
  </w:style>
  <w:style w:type="character" w:customStyle="1" w:styleId="283">
    <w:name w:val="icon-help-center"/>
    <w:qFormat/>
    <w:uiPriority w:val="0"/>
  </w:style>
  <w:style w:type="character" w:customStyle="1" w:styleId="284">
    <w:name w:val="批注文字 Char1"/>
    <w:qFormat/>
    <w:uiPriority w:val="99"/>
    <w:rPr>
      <w:rFonts w:ascii="幼圆" w:hAnsi="幼圆" w:eastAsia="Cambria Math" w:cs="幼圆"/>
      <w:spacing w:val="-20"/>
      <w:sz w:val="32"/>
      <w:szCs w:val="20"/>
    </w:rPr>
  </w:style>
  <w:style w:type="character" w:customStyle="1" w:styleId="285">
    <w:name w:val="HTML 预设格式 Char1"/>
    <w:qFormat/>
    <w:uiPriority w:val="99"/>
    <w:rPr>
      <w:rFonts w:ascii="Helv" w:hAnsi="Helv" w:eastAsia="等线 Light" w:cs="Helv"/>
      <w:kern w:val="0"/>
      <w:sz w:val="20"/>
      <w:szCs w:val="20"/>
    </w:rPr>
  </w:style>
  <w:style w:type="character" w:customStyle="1" w:styleId="286">
    <w:name w:val="标题 3 Char"/>
    <w:qFormat/>
    <w:uiPriority w:val="0"/>
    <w:rPr>
      <w:rFonts w:ascii="幼圆" w:hAnsi="幼圆" w:eastAsia="等线 Light" w:cs="幼圆"/>
      <w:b/>
      <w:bCs/>
      <w:kern w:val="2"/>
      <w:sz w:val="32"/>
      <w:szCs w:val="32"/>
      <w:lang w:val="en-US" w:eastAsia="zh-CN" w:bidi="ar-SA"/>
    </w:rPr>
  </w:style>
  <w:style w:type="character" w:customStyle="1" w:styleId="287">
    <w:name w:val="正文文本缩进 字符1"/>
    <w:qFormat/>
    <w:uiPriority w:val="0"/>
    <w:rPr>
      <w:rFonts w:ascii="幼圆" w:hAnsi="幼圆" w:eastAsia="等线 Light" w:cs="幼圆"/>
      <w:szCs w:val="20"/>
    </w:rPr>
  </w:style>
  <w:style w:type="character" w:customStyle="1" w:styleId="288">
    <w:name w:val=" Char Char2"/>
    <w:qFormat/>
    <w:uiPriority w:val="0"/>
    <w:rPr>
      <w:rFonts w:ascii="等线 Light" w:hAnsi="Helv" w:eastAsia="等线 Light"/>
      <w:kern w:val="2"/>
      <w:sz w:val="21"/>
      <w:lang w:val="en-US" w:eastAsia="zh-CN" w:bidi="ar-SA"/>
    </w:rPr>
  </w:style>
  <w:style w:type="character" w:customStyle="1" w:styleId="289">
    <w:name w:val="标题 3 Char1"/>
    <w:qFormat/>
    <w:uiPriority w:val="0"/>
    <w:rPr>
      <w:rFonts w:eastAsia="等线 Light"/>
      <w:b/>
      <w:bCs/>
      <w:kern w:val="2"/>
      <w:sz w:val="32"/>
      <w:szCs w:val="32"/>
      <w:lang w:val="en-US" w:eastAsia="zh-CN" w:bidi="ar-SA"/>
    </w:rPr>
  </w:style>
  <w:style w:type="character" w:customStyle="1" w:styleId="290">
    <w:name w:val="copytolefthover"/>
    <w:qFormat/>
    <w:uiPriority w:val="0"/>
    <w:rPr>
      <w:vanish/>
    </w:rPr>
  </w:style>
  <w:style w:type="character" w:customStyle="1" w:styleId="291">
    <w:name w:val="w32"/>
    <w:basedOn w:val="57"/>
    <w:qFormat/>
    <w:uiPriority w:val="0"/>
  </w:style>
  <w:style w:type="character" w:customStyle="1" w:styleId="292">
    <w:name w:val="纯文本 Char"/>
    <w:qFormat/>
    <w:uiPriority w:val="0"/>
    <w:rPr>
      <w:rFonts w:ascii="等线 Light" w:hAnsi="Helv" w:eastAsia="等线 Light" w:cs="幼圆"/>
      <w:szCs w:val="20"/>
    </w:rPr>
  </w:style>
  <w:style w:type="character" w:customStyle="1" w:styleId="293">
    <w:name w:val="标题 2 Char2"/>
    <w:qFormat/>
    <w:uiPriority w:val="0"/>
    <w:rPr>
      <w:rFonts w:ascii="楷体_GB2312" w:hAnsi="楷体_GB2312" w:eastAsia="PMingLiU"/>
      <w:b/>
      <w:bCs/>
      <w:kern w:val="2"/>
      <w:sz w:val="32"/>
      <w:szCs w:val="32"/>
      <w:lang w:val="en-US" w:eastAsia="zh-CN" w:bidi="ar-SA"/>
    </w:rPr>
  </w:style>
  <w:style w:type="character" w:customStyle="1" w:styleId="294">
    <w:name w:val="eschoolnr"/>
    <w:qFormat/>
    <w:uiPriority w:val="0"/>
    <w:rPr>
      <w:sz w:val="23"/>
      <w:szCs w:val="23"/>
    </w:rPr>
  </w:style>
  <w:style w:type="character" w:customStyle="1" w:styleId="295">
    <w:name w:val="题注 字符"/>
    <w:qFormat/>
    <w:uiPriority w:val="0"/>
    <w:rPr>
      <w:rFonts w:ascii="等线 Light" w:hAnsi="等线 Light" w:eastAsia="PMingLiU" w:cs="幼圆"/>
      <w:b/>
      <w:szCs w:val="21"/>
    </w:rPr>
  </w:style>
  <w:style w:type="character" w:customStyle="1" w:styleId="296">
    <w:name w:val="List Paragraph Char"/>
    <w:link w:val="297"/>
    <w:qFormat/>
    <w:uiPriority w:val="34"/>
    <w:rPr>
      <w:rFonts w:ascii="Arial Unicode MS" w:hAnsi="Arial Unicode MS"/>
      <w:kern w:val="2"/>
      <w:sz w:val="21"/>
      <w:szCs w:val="22"/>
    </w:rPr>
  </w:style>
  <w:style w:type="paragraph" w:customStyle="1" w:styleId="297">
    <w:name w:val="列出段落1"/>
    <w:basedOn w:val="1"/>
    <w:link w:val="296"/>
    <w:qFormat/>
    <w:uiPriority w:val="34"/>
    <w:pPr>
      <w:autoSpaceDE/>
      <w:autoSpaceDN/>
      <w:adjustRightInd/>
      <w:ind w:firstLine="420" w:firstLineChars="200"/>
      <w:jc w:val="both"/>
    </w:pPr>
    <w:rPr>
      <w:rFonts w:ascii="Arial Unicode MS" w:hAnsi="Arial Unicode MS"/>
      <w:kern w:val="2"/>
      <w:sz w:val="21"/>
      <w:szCs w:val="22"/>
    </w:rPr>
  </w:style>
  <w:style w:type="character" w:customStyle="1" w:styleId="298">
    <w:name w:val="网格表 1 浅色1"/>
    <w:qFormat/>
    <w:uiPriority w:val="33"/>
    <w:rPr>
      <w:rFonts w:eastAsia="等线 Light"/>
      <w:b/>
      <w:bCs/>
      <w:smallCaps/>
      <w:spacing w:val="5"/>
      <w:kern w:val="2"/>
      <w:sz w:val="24"/>
      <w:szCs w:val="24"/>
      <w:lang w:val="en-US" w:eastAsia="zh-CN" w:bidi="ar-SA"/>
    </w:rPr>
  </w:style>
  <w:style w:type="character" w:customStyle="1" w:styleId="299">
    <w:name w:val="标题 2 Char1"/>
    <w:qFormat/>
    <w:uiPriority w:val="0"/>
    <w:rPr>
      <w:rFonts w:ascii="楷体_GB2312" w:hAnsi="楷体_GB2312" w:eastAsia="PMingLiU" w:cs="幼圆"/>
      <w:b/>
      <w:kern w:val="0"/>
      <w:sz w:val="32"/>
      <w:szCs w:val="20"/>
    </w:rPr>
  </w:style>
  <w:style w:type="character" w:customStyle="1" w:styleId="300">
    <w:name w:val="日期 Char2"/>
    <w:qFormat/>
    <w:uiPriority w:val="0"/>
    <w:rPr>
      <w:rFonts w:eastAsia="等线 Light"/>
      <w:kern w:val="2"/>
      <w:sz w:val="24"/>
      <w:szCs w:val="24"/>
      <w:lang w:val="en-US" w:eastAsia="zh-CN" w:bidi="ar-SA"/>
    </w:rPr>
  </w:style>
  <w:style w:type="character" w:customStyle="1" w:styleId="301">
    <w:name w:val="页眉 Char1"/>
    <w:semiHidden/>
    <w:qFormat/>
    <w:uiPriority w:val="99"/>
    <w:rPr>
      <w:rFonts w:ascii="等线 Light" w:hAnsi="幼圆" w:eastAsia="等线 Light" w:cs="幼圆"/>
      <w:kern w:val="0"/>
      <w:sz w:val="18"/>
      <w:szCs w:val="18"/>
    </w:rPr>
  </w:style>
  <w:style w:type="character" w:customStyle="1" w:styleId="302">
    <w:name w:val="para"/>
    <w:qFormat/>
    <w:uiPriority w:val="0"/>
    <w:rPr>
      <w:rFonts w:eastAsia="等线 Light"/>
      <w:kern w:val="2"/>
      <w:sz w:val="24"/>
      <w:szCs w:val="24"/>
      <w:lang w:val="en-US" w:eastAsia="zh-CN" w:bidi="ar-SA"/>
    </w:rPr>
  </w:style>
  <w:style w:type="character" w:customStyle="1" w:styleId="303">
    <w:name w:val="标题 4 Char2"/>
    <w:qFormat/>
    <w:uiPriority w:val="0"/>
    <w:rPr>
      <w:rFonts w:ascii="楷体_GB2312" w:hAnsi="楷体_GB2312" w:eastAsia="PMingLiU"/>
      <w:b/>
      <w:bCs/>
      <w:kern w:val="2"/>
      <w:sz w:val="28"/>
      <w:szCs w:val="28"/>
      <w:lang w:val="en-US" w:eastAsia="zh-CN" w:bidi="ar-SA"/>
    </w:rPr>
  </w:style>
  <w:style w:type="character" w:customStyle="1" w:styleId="304">
    <w:name w:val="正文缩进 字符"/>
    <w:qFormat/>
    <w:uiPriority w:val="0"/>
    <w:rPr>
      <w:rFonts w:ascii="幼圆" w:hAnsi="幼圆" w:eastAsia="等线 Light" w:cs="幼圆"/>
      <w:kern w:val="0"/>
      <w:sz w:val="20"/>
      <w:szCs w:val="20"/>
    </w:rPr>
  </w:style>
  <w:style w:type="character" w:customStyle="1" w:styleId="305">
    <w:name w:val="批注主题 Char1"/>
    <w:semiHidden/>
    <w:qFormat/>
    <w:uiPriority w:val="99"/>
    <w:rPr>
      <w:rFonts w:ascii="宋体" w:hAnsi="幼圆" w:eastAsia="等线 Light" w:cs="幼圆"/>
      <w:b/>
      <w:bCs/>
      <w:kern w:val="2"/>
      <w:sz w:val="24"/>
      <w:szCs w:val="24"/>
      <w:lang w:val="en-US" w:eastAsia="zh-CN" w:bidi="ar-SA"/>
    </w:rPr>
  </w:style>
  <w:style w:type="character" w:customStyle="1" w:styleId="306">
    <w:name w:val="纯文本 字符1"/>
    <w:qFormat/>
    <w:uiPriority w:val="0"/>
    <w:rPr>
      <w:rFonts w:ascii="等线 Light" w:hAnsi="Helv" w:eastAsia="等线 Light"/>
      <w:kern w:val="2"/>
      <w:sz w:val="21"/>
      <w:szCs w:val="24"/>
      <w:lang w:val="en-US" w:eastAsia="zh-CN" w:bidi="ar-SA"/>
    </w:rPr>
  </w:style>
  <w:style w:type="character" w:customStyle="1" w:styleId="307">
    <w:name w:val="正文文本 Char1"/>
    <w:qFormat/>
    <w:uiPriority w:val="99"/>
    <w:rPr>
      <w:rFonts w:ascii="等线 Light" w:hAnsi="幼圆" w:eastAsia="等线 Light" w:cs="幼圆"/>
      <w:kern w:val="0"/>
      <w:sz w:val="24"/>
      <w:szCs w:val="24"/>
    </w:rPr>
  </w:style>
  <w:style w:type="character" w:customStyle="1" w:styleId="308">
    <w:name w:val="Char Char9"/>
    <w:qFormat/>
    <w:uiPriority w:val="0"/>
    <w:rPr>
      <w:kern w:val="2"/>
      <w:sz w:val="18"/>
      <w:szCs w:val="18"/>
    </w:rPr>
  </w:style>
  <w:style w:type="character" w:customStyle="1" w:styleId="309">
    <w:name w:val="d Char"/>
    <w:qFormat/>
    <w:uiPriority w:val="0"/>
    <w:rPr>
      <w:rFonts w:ascii="等线 Light" w:hAnsi="等线 Light" w:eastAsia="等线 Light" w:cs="楷体_GB2312"/>
      <w:snapToGrid w:val="0"/>
      <w:kern w:val="2"/>
      <w:sz w:val="21"/>
      <w:szCs w:val="21"/>
      <w:lang w:val="en-US" w:eastAsia="zh-CN" w:bidi="ar-SA"/>
    </w:rPr>
  </w:style>
  <w:style w:type="character" w:customStyle="1" w:styleId="310">
    <w:name w:val="标题 3 Char1 Char"/>
    <w:qFormat/>
    <w:uiPriority w:val="0"/>
    <w:rPr>
      <w:rFonts w:eastAsia="等线 Light"/>
      <w:b/>
      <w:bCs/>
      <w:kern w:val="2"/>
      <w:sz w:val="32"/>
      <w:szCs w:val="32"/>
      <w:lang w:val="en-US" w:eastAsia="zh-CN" w:bidi="ar-SA"/>
    </w:rPr>
  </w:style>
  <w:style w:type="character" w:customStyle="1" w:styleId="311">
    <w:name w:val="标题 6 Char"/>
    <w:qFormat/>
    <w:uiPriority w:val="0"/>
    <w:rPr>
      <w:rFonts w:ascii="楷体_GB2312" w:hAnsi="楷体_GB2312" w:eastAsia="PMingLiU" w:cs="幼圆"/>
      <w:b/>
      <w:bCs/>
      <w:kern w:val="2"/>
      <w:sz w:val="24"/>
      <w:szCs w:val="24"/>
      <w:lang w:val="en-US" w:eastAsia="zh-CN" w:bidi="ar-SA"/>
    </w:rPr>
  </w:style>
  <w:style w:type="character" w:customStyle="1" w:styleId="312">
    <w:name w:val="脚注文本 字符"/>
    <w:qFormat/>
    <w:uiPriority w:val="0"/>
    <w:rPr>
      <w:rFonts w:ascii="幼圆" w:hAnsi="幼圆" w:eastAsia="等线 Light" w:cs="幼圆"/>
      <w:kern w:val="2"/>
      <w:sz w:val="18"/>
      <w:szCs w:val="18"/>
      <w:lang w:bidi="ar-SA"/>
    </w:rPr>
  </w:style>
  <w:style w:type="character" w:customStyle="1" w:styleId="313">
    <w:name w:val="正文文本缩进 Char2"/>
    <w:qFormat/>
    <w:uiPriority w:val="0"/>
    <w:rPr>
      <w:rFonts w:eastAsia="等线 Light"/>
      <w:kern w:val="2"/>
      <w:sz w:val="28"/>
      <w:szCs w:val="24"/>
      <w:lang w:val="en-US" w:eastAsia="zh-CN" w:bidi="ar-SA"/>
    </w:rPr>
  </w:style>
  <w:style w:type="character" w:customStyle="1" w:styleId="314">
    <w:name w:val="标题 5 Char"/>
    <w:qFormat/>
    <w:uiPriority w:val="0"/>
    <w:rPr>
      <w:rFonts w:ascii="幼圆" w:hAnsi="幼圆" w:eastAsia="等线 Light" w:cs="幼圆"/>
      <w:b/>
      <w:bCs/>
      <w:kern w:val="2"/>
      <w:sz w:val="28"/>
      <w:szCs w:val="28"/>
      <w:lang w:val="en-US" w:eastAsia="zh-CN" w:bidi="ar-SA"/>
    </w:rPr>
  </w:style>
  <w:style w:type="character" w:customStyle="1" w:styleId="315">
    <w:name w:val="正文首行缩进 Char"/>
    <w:qFormat/>
    <w:uiPriority w:val="0"/>
    <w:rPr>
      <w:rFonts w:eastAsia="等线 Light"/>
      <w:kern w:val="2"/>
      <w:sz w:val="21"/>
      <w:szCs w:val="24"/>
      <w:lang w:val="en-US" w:eastAsia="zh-CN" w:bidi="ar-SA"/>
    </w:rPr>
  </w:style>
  <w:style w:type="character" w:customStyle="1" w:styleId="316">
    <w:name w:val="black11"/>
    <w:qFormat/>
    <w:uiPriority w:val="0"/>
    <w:rPr>
      <w:color w:val="000000"/>
      <w:sz w:val="18"/>
      <w:szCs w:val="18"/>
    </w:rPr>
  </w:style>
  <w:style w:type="character" w:customStyle="1" w:styleId="317">
    <w:name w:val="hover22"/>
    <w:qFormat/>
    <w:uiPriority w:val="0"/>
    <w:rPr>
      <w:color w:val="2B84B5"/>
    </w:rPr>
  </w:style>
  <w:style w:type="character" w:customStyle="1" w:styleId="318">
    <w:name w:val="正文文本缩进 3 Char2"/>
    <w:qFormat/>
    <w:uiPriority w:val="0"/>
    <w:rPr>
      <w:rFonts w:eastAsia="等线 Light"/>
      <w:kern w:val="2"/>
      <w:sz w:val="21"/>
      <w:szCs w:val="21"/>
      <w:lang w:val="en-US" w:eastAsia="zh-CN" w:bidi="ar-SA"/>
    </w:rPr>
  </w:style>
  <w:style w:type="character" w:customStyle="1" w:styleId="319">
    <w:name w:val="脚注文本 Char2"/>
    <w:semiHidden/>
    <w:qFormat/>
    <w:uiPriority w:val="99"/>
    <w:rPr>
      <w:rFonts w:ascii="等线 Light"/>
      <w:sz w:val="18"/>
      <w:szCs w:val="18"/>
    </w:rPr>
  </w:style>
  <w:style w:type="character" w:customStyle="1" w:styleId="320">
    <w:name w:val="ico1655"/>
    <w:basedOn w:val="57"/>
    <w:qFormat/>
    <w:uiPriority w:val="0"/>
  </w:style>
  <w:style w:type="character" w:customStyle="1" w:styleId="321">
    <w:name w:val="huei12b1"/>
    <w:qFormat/>
    <w:uiPriority w:val="0"/>
    <w:rPr>
      <w:b/>
      <w:bCs/>
      <w:color w:val="333333"/>
      <w:sz w:val="18"/>
      <w:szCs w:val="18"/>
    </w:rPr>
  </w:style>
  <w:style w:type="character" w:customStyle="1" w:styleId="322">
    <w:name w:val="普通(网站) 字符1"/>
    <w:qFormat/>
    <w:locked/>
    <w:uiPriority w:val="0"/>
    <w:rPr>
      <w:rFonts w:ascii="等线 Light" w:hAnsi="等线 Light"/>
      <w:sz w:val="15"/>
      <w:szCs w:val="15"/>
    </w:rPr>
  </w:style>
  <w:style w:type="character" w:customStyle="1" w:styleId="323">
    <w:name w:val="ca-51"/>
    <w:qFormat/>
    <w:uiPriority w:val="0"/>
    <w:rPr>
      <w:rFonts w:hint="eastAsia" w:ascii="微软雅黑" w:eastAsia="微软雅黑"/>
      <w:color w:val="FF00FF"/>
      <w:kern w:val="2"/>
      <w:sz w:val="32"/>
      <w:szCs w:val="32"/>
      <w:lang w:val="en-US" w:eastAsia="zh-CN" w:bidi="ar-SA"/>
    </w:rPr>
  </w:style>
  <w:style w:type="character" w:customStyle="1" w:styleId="324">
    <w:name w:val="_Style 323"/>
    <w:qFormat/>
    <w:uiPriority w:val="33"/>
    <w:rPr>
      <w:rFonts w:eastAsia="等线 Light"/>
      <w:b/>
      <w:bCs/>
      <w:smallCaps/>
      <w:spacing w:val="5"/>
      <w:kern w:val="2"/>
      <w:sz w:val="24"/>
      <w:szCs w:val="24"/>
      <w:lang w:val="en-US" w:eastAsia="zh-CN" w:bidi="ar-SA"/>
    </w:rPr>
  </w:style>
  <w:style w:type="character" w:customStyle="1" w:styleId="325">
    <w:name w:val="font31"/>
    <w:basedOn w:val="57"/>
    <w:qFormat/>
    <w:uiPriority w:val="0"/>
    <w:rPr>
      <w:rFonts w:ascii="黑体" w:hAnsi="黑体" w:eastAsia="黑体" w:cs="黑体"/>
      <w:color w:val="000000"/>
      <w:sz w:val="22"/>
      <w:szCs w:val="22"/>
      <w:u w:val="none"/>
    </w:rPr>
  </w:style>
  <w:style w:type="character" w:customStyle="1" w:styleId="326">
    <w:name w:val="ca-1"/>
    <w:qFormat/>
    <w:uiPriority w:val="0"/>
  </w:style>
  <w:style w:type="character" w:customStyle="1" w:styleId="327">
    <w:name w:val="签名 Char3"/>
    <w:semiHidden/>
    <w:qFormat/>
    <w:uiPriority w:val="99"/>
    <w:rPr>
      <w:rFonts w:ascii="等线 Light"/>
      <w:sz w:val="24"/>
      <w:szCs w:val="24"/>
    </w:rPr>
  </w:style>
  <w:style w:type="character" w:customStyle="1" w:styleId="328">
    <w:name w:val="pt9-hui-line201"/>
    <w:qFormat/>
    <w:uiPriority w:val="0"/>
    <w:rPr>
      <w:color w:val="333333"/>
      <w:sz w:val="18"/>
      <w:szCs w:val="18"/>
      <w:u w:val="none"/>
    </w:rPr>
  </w:style>
  <w:style w:type="character" w:customStyle="1" w:styleId="329">
    <w:name w:val="纯文本 Char3"/>
    <w:qFormat/>
    <w:uiPriority w:val="0"/>
    <w:rPr>
      <w:rFonts w:ascii="等线 Light" w:hAnsi="Helv" w:eastAsia="等线 Light"/>
      <w:kern w:val="2"/>
      <w:sz w:val="21"/>
      <w:szCs w:val="24"/>
      <w:lang w:val="en-US" w:eastAsia="zh-CN" w:bidi="ar-SA"/>
    </w:rPr>
  </w:style>
  <w:style w:type="character" w:customStyle="1" w:styleId="330">
    <w:name w:val="文档结构图 Char"/>
    <w:qFormat/>
    <w:uiPriority w:val="99"/>
    <w:rPr>
      <w:rFonts w:ascii="幼圆" w:hAnsi="幼圆" w:eastAsia="等线 Light" w:cs="幼圆"/>
      <w:kern w:val="2"/>
      <w:sz w:val="24"/>
      <w:szCs w:val="24"/>
      <w:shd w:val="clear" w:color="auto" w:fill="000080"/>
      <w:lang w:val="en-US" w:eastAsia="zh-CN" w:bidi="ar-SA"/>
    </w:rPr>
  </w:style>
  <w:style w:type="character" w:customStyle="1" w:styleId="331">
    <w:name w:val="标书正文 字符"/>
    <w:link w:val="332"/>
    <w:qFormat/>
    <w:uiPriority w:val="0"/>
    <w:rPr>
      <w:rFonts w:ascii="Arial Unicode MS" w:hAnsi="Arial Unicode MS" w:eastAsia="font-weight : 400"/>
      <w:kern w:val="2"/>
      <w:sz w:val="24"/>
      <w:szCs w:val="21"/>
    </w:rPr>
  </w:style>
  <w:style w:type="paragraph" w:customStyle="1" w:styleId="332">
    <w:name w:val="标书正文"/>
    <w:basedOn w:val="1"/>
    <w:link w:val="331"/>
    <w:qFormat/>
    <w:uiPriority w:val="0"/>
    <w:pPr>
      <w:autoSpaceDE/>
      <w:autoSpaceDN/>
      <w:snapToGrid w:val="0"/>
      <w:spacing w:beforeLines="50" w:line="360" w:lineRule="auto"/>
      <w:ind w:firstLine="200" w:firstLineChars="200"/>
      <w:jc w:val="both"/>
    </w:pPr>
    <w:rPr>
      <w:rFonts w:ascii="Arial Unicode MS" w:hAnsi="Arial Unicode MS" w:eastAsia="font-weight : 400"/>
      <w:kern w:val="2"/>
      <w:szCs w:val="21"/>
    </w:rPr>
  </w:style>
  <w:style w:type="character" w:customStyle="1" w:styleId="333">
    <w:name w:val="正文文本 2 Char"/>
    <w:qFormat/>
    <w:uiPriority w:val="0"/>
    <w:rPr>
      <w:rFonts w:ascii="等线 Light" w:hAnsi="等线 Light" w:eastAsia="等线 Light" w:cs="幼圆"/>
      <w:kern w:val="2"/>
      <w:sz w:val="24"/>
      <w:szCs w:val="24"/>
      <w:lang w:val="en-US" w:eastAsia="zh-CN" w:bidi="ar-SA"/>
    </w:rPr>
  </w:style>
  <w:style w:type="character" w:customStyle="1" w:styleId="334">
    <w:name w:val="t31"/>
    <w:qFormat/>
    <w:uiPriority w:val="0"/>
    <w:rPr>
      <w:rFonts w:hint="eastAsia" w:ascii="等线 Light" w:hAnsi="等线 Light" w:eastAsia="等线 Light"/>
      <w:color w:val="000060"/>
      <w:sz w:val="28"/>
      <w:szCs w:val="28"/>
    </w:rPr>
  </w:style>
  <w:style w:type="character" w:customStyle="1" w:styleId="335">
    <w:name w:val="正文文本 字符1"/>
    <w:qFormat/>
    <w:uiPriority w:val="0"/>
    <w:rPr>
      <w:rFonts w:ascii="等线 Light" w:eastAsia="等线 Light"/>
      <w:b/>
      <w:bCs/>
      <w:sz w:val="84"/>
      <w:szCs w:val="84"/>
      <w:lang w:val="zh-CN"/>
    </w:rPr>
  </w:style>
  <w:style w:type="character" w:customStyle="1" w:styleId="336">
    <w:name w:val="pagechatarealistclose_box"/>
    <w:basedOn w:val="57"/>
    <w:qFormat/>
    <w:uiPriority w:val="0"/>
  </w:style>
  <w:style w:type="character" w:customStyle="1" w:styleId="337">
    <w:name w:val="签名 字符1"/>
    <w:semiHidden/>
    <w:qFormat/>
    <w:uiPriority w:val="99"/>
    <w:rPr>
      <w:rFonts w:ascii="等线 Light"/>
      <w:sz w:val="24"/>
      <w:szCs w:val="24"/>
    </w:rPr>
  </w:style>
  <w:style w:type="character" w:customStyle="1" w:styleId="338">
    <w:name w:val="neir1"/>
    <w:qFormat/>
    <w:uiPriority w:val="0"/>
    <w:rPr>
      <w:rFonts w:hint="default" w:ascii="等线" w:hAnsi="等线"/>
      <w:color w:val="333333"/>
      <w:sz w:val="21"/>
      <w:szCs w:val="21"/>
      <w:u w:val="none"/>
    </w:rPr>
  </w:style>
  <w:style w:type="character" w:customStyle="1" w:styleId="339">
    <w:name w:val="icon-weibo"/>
    <w:qFormat/>
    <w:uiPriority w:val="0"/>
  </w:style>
  <w:style w:type="character" w:customStyle="1" w:styleId="340">
    <w:name w:val="标题 8 Char1"/>
    <w:qFormat/>
    <w:uiPriority w:val="0"/>
    <w:rPr>
      <w:rFonts w:ascii="楷体_GB2312" w:hAnsi="楷体_GB2312" w:eastAsia="等线 Light"/>
      <w:color w:val="000000"/>
      <w:kern w:val="2"/>
      <w:sz w:val="32"/>
      <w:szCs w:val="21"/>
      <w:lang w:val="en-US" w:eastAsia="zh-CN" w:bidi="ar-SA"/>
    </w:rPr>
  </w:style>
  <w:style w:type="character" w:customStyle="1" w:styleId="341">
    <w:name w:val=" Char Char Char Char Char Char Char1 Char"/>
    <w:qFormat/>
    <w:uiPriority w:val="0"/>
    <w:rPr>
      <w:rFonts w:ascii="PMingLiU" w:hAnsi="Lucida Grande" w:eastAsia="PMingLiU"/>
      <w:sz w:val="32"/>
      <w:szCs w:val="32"/>
      <w:lang w:val="en-US" w:eastAsia="en-US" w:bidi="ar-SA"/>
    </w:rPr>
  </w:style>
  <w:style w:type="character" w:customStyle="1" w:styleId="342">
    <w:name w:val="标题 31"/>
    <w:qFormat/>
    <w:uiPriority w:val="0"/>
    <w:rPr>
      <w:rFonts w:eastAsia="等线 Light"/>
      <w:b/>
      <w:bCs/>
      <w:kern w:val="2"/>
      <w:sz w:val="32"/>
      <w:szCs w:val="32"/>
      <w:lang w:val="en-US" w:eastAsia="zh-CN" w:bidi="ar-SA"/>
    </w:rPr>
  </w:style>
  <w:style w:type="character" w:customStyle="1" w:styleId="343">
    <w:name w:val="标题 5 Char1"/>
    <w:qFormat/>
    <w:uiPriority w:val="0"/>
    <w:rPr>
      <w:rFonts w:eastAsia="等线 Light"/>
      <w:b/>
      <w:bCs/>
      <w:kern w:val="2"/>
      <w:sz w:val="28"/>
      <w:szCs w:val="28"/>
      <w:lang w:val="en-US" w:eastAsia="zh-CN" w:bidi="ar-SA"/>
    </w:rPr>
  </w:style>
  <w:style w:type="paragraph" w:customStyle="1" w:styleId="344">
    <w:name w:val="xl38"/>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hAnsi="等线 Light"/>
    </w:rPr>
  </w:style>
  <w:style w:type="paragraph" w:customStyle="1" w:styleId="345">
    <w:name w:val="sma."/>
    <w:basedOn w:val="1"/>
    <w:qFormat/>
    <w:uiPriority w:val="0"/>
    <w:pPr>
      <w:widowControl/>
      <w:tabs>
        <w:tab w:val="left" w:pos="1588"/>
      </w:tabs>
      <w:autoSpaceDE/>
      <w:autoSpaceDN/>
      <w:adjustRightInd/>
      <w:spacing w:before="240" w:line="240" w:lineRule="atLeast"/>
      <w:ind w:left="1588" w:hanging="454"/>
      <w:jc w:val="both"/>
    </w:pPr>
    <w:rPr>
      <w:rFonts w:ascii="Arial Unicode MS" w:hAnsi="Arial Unicode MS"/>
      <w:kern w:val="2"/>
    </w:rPr>
  </w:style>
  <w:style w:type="paragraph" w:customStyle="1" w:styleId="346">
    <w:name w:val="CM16"/>
    <w:basedOn w:val="347"/>
    <w:next w:val="347"/>
    <w:qFormat/>
    <w:uiPriority w:val="99"/>
    <w:rPr>
      <w:rFonts w:ascii="等线 Light" w:hAnsi="Arial Unicode MS" w:eastAsia="等线 Light" w:cs="幼圆"/>
      <w:color w:val="auto"/>
    </w:rPr>
  </w:style>
  <w:style w:type="paragraph" w:customStyle="1" w:styleId="347">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348">
    <w:name w:val="块引用"/>
    <w:basedOn w:val="1"/>
    <w:qFormat/>
    <w:uiPriority w:val="0"/>
    <w:pPr>
      <w:keepLines/>
      <w:autoSpaceDE/>
      <w:autoSpaceDN/>
      <w:adjustRightInd/>
      <w:ind w:left="360" w:right="360"/>
      <w:jc w:val="center"/>
    </w:pPr>
    <w:rPr>
      <w:rFonts w:ascii="Arial Unicode MS" w:hAnsi="Arial Unicode MS"/>
      <w:i/>
      <w:kern w:val="2"/>
      <w:sz w:val="21"/>
    </w:rPr>
  </w:style>
  <w:style w:type="paragraph" w:customStyle="1" w:styleId="349">
    <w:name w:val="样式 加粗 段前: 7.8 磅 段后: 7.8 磅 行距: 固定值 20 磅"/>
    <w:basedOn w:val="1"/>
    <w:qFormat/>
    <w:uiPriority w:val="0"/>
    <w:pPr>
      <w:autoSpaceDE/>
      <w:autoSpaceDN/>
      <w:adjustRightInd/>
      <w:spacing w:before="60" w:after="60" w:line="360" w:lineRule="exact"/>
      <w:jc w:val="both"/>
    </w:pPr>
    <w:rPr>
      <w:rFonts w:ascii="Arial Unicode MS" w:hAnsi="Arial Unicode MS" w:cs="等线 Light"/>
      <w:b/>
      <w:bCs/>
      <w:spacing w:val="-2"/>
      <w:kern w:val="2"/>
      <w:szCs w:val="20"/>
    </w:rPr>
  </w:style>
  <w:style w:type="paragraph" w:customStyle="1" w:styleId="350">
    <w:name w:val="14"/>
    <w:basedOn w:val="1"/>
    <w:qFormat/>
    <w:uiPriority w:val="0"/>
    <w:pPr>
      <w:widowControl/>
      <w:autoSpaceDE/>
      <w:autoSpaceDN/>
      <w:adjustRightInd/>
      <w:spacing w:after="160" w:line="240" w:lineRule="exact"/>
    </w:pPr>
    <w:rPr>
      <w:rFonts w:ascii="Arial Unicode MS" w:hAnsi="Arial Unicode MS"/>
      <w:kern w:val="2"/>
      <w:sz w:val="21"/>
      <w:szCs w:val="20"/>
    </w:rPr>
  </w:style>
  <w:style w:type="paragraph" w:customStyle="1" w:styleId="351">
    <w:name w:val=" Char Char Char Char"/>
    <w:basedOn w:val="1"/>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352">
    <w:name w:val="space"/>
    <w:qFormat/>
    <w:uiPriority w:val="0"/>
    <w:rPr>
      <w:rFonts w:ascii="Arial Unicode MS" w:hAnsi="Arial Unicode MS" w:eastAsia="宋体" w:cs="Times New Roman"/>
      <w:caps/>
      <w:lang w:val="en-US" w:eastAsia="zh-CN" w:bidi="ar-SA"/>
    </w:rPr>
  </w:style>
  <w:style w:type="paragraph" w:customStyle="1" w:styleId="353">
    <w:name w:val="Pa8"/>
    <w:basedOn w:val="1"/>
    <w:next w:val="1"/>
    <w:qFormat/>
    <w:uiPriority w:val="99"/>
    <w:pPr>
      <w:spacing w:line="181" w:lineRule="atLeast"/>
    </w:pPr>
    <w:rPr>
      <w:rFonts w:ascii="font-weight : 400" w:hAnsi="Arial Unicode MS" w:eastAsia="font-weight : 400"/>
    </w:rPr>
  </w:style>
  <w:style w:type="paragraph" w:customStyle="1" w:styleId="354">
    <w:name w:val=" Char"/>
    <w:basedOn w:val="17"/>
    <w:qFormat/>
    <w:uiPriority w:val="0"/>
    <w:pPr>
      <w:autoSpaceDE/>
      <w:autoSpaceDN/>
      <w:spacing w:line="436" w:lineRule="exact"/>
      <w:ind w:left="357"/>
      <w:outlineLvl w:val="3"/>
    </w:pPr>
    <w:rPr>
      <w:rFonts w:ascii="Calibri" w:hAnsi="Calibri"/>
      <w:b/>
      <w:kern w:val="2"/>
    </w:rPr>
  </w:style>
  <w:style w:type="paragraph" w:customStyle="1" w:styleId="355">
    <w:name w:val="xl39"/>
    <w:basedOn w:val="1"/>
    <w:qFormat/>
    <w:uiPriority w:val="0"/>
    <w:pPr>
      <w:widowControl/>
      <w:autoSpaceDE/>
      <w:autoSpaceDN/>
      <w:adjustRightInd/>
      <w:spacing w:before="100" w:beforeAutospacing="1" w:after="100" w:afterAutospacing="1"/>
      <w:jc w:val="center"/>
    </w:pPr>
    <w:rPr>
      <w:rFonts w:hAnsi="等线 Light"/>
    </w:rPr>
  </w:style>
  <w:style w:type="paragraph" w:customStyle="1" w:styleId="356">
    <w:name w:val="font9"/>
    <w:basedOn w:val="1"/>
    <w:qFormat/>
    <w:uiPriority w:val="0"/>
    <w:pPr>
      <w:widowControl/>
      <w:autoSpaceDE/>
      <w:autoSpaceDN/>
      <w:adjustRightInd/>
      <w:spacing w:before="100" w:beforeAutospacing="1" w:after="100" w:afterAutospacing="1"/>
    </w:pPr>
    <w:rPr>
      <w:rFonts w:ascii="Arial Unicode MS" w:hAnsi="Arial Unicode MS"/>
    </w:rPr>
  </w:style>
  <w:style w:type="paragraph" w:customStyle="1" w:styleId="357">
    <w:name w:val="xl49"/>
    <w:basedOn w:val="1"/>
    <w:qFormat/>
    <w:uiPriority w:val="0"/>
    <w:pPr>
      <w:widowControl/>
      <w:pBdr>
        <w:bottom w:val="single" w:color="auto" w:sz="4" w:space="0"/>
      </w:pBdr>
      <w:autoSpaceDE/>
      <w:autoSpaceDN/>
      <w:adjustRightInd/>
      <w:spacing w:before="100" w:beforeAutospacing="1" w:after="100" w:afterAutospacing="1"/>
    </w:pPr>
    <w:rPr>
      <w:rFonts w:hAnsi="等线 Light" w:cs="等线 Light"/>
    </w:rPr>
  </w:style>
  <w:style w:type="paragraph" w:customStyle="1" w:styleId="358">
    <w:name w:val="YB表格五号宋体"/>
    <w:basedOn w:val="1"/>
    <w:qFormat/>
    <w:uiPriority w:val="0"/>
    <w:pPr>
      <w:autoSpaceDE/>
      <w:autoSpaceDN/>
      <w:snapToGrid w:val="0"/>
      <w:jc w:val="center"/>
    </w:pPr>
    <w:rPr>
      <w:rFonts w:ascii="Times New Roman" w:hAnsi="Times New Roman" w:eastAsia="宋体" w:cs="Times New Roman"/>
      <w:sz w:val="21"/>
      <w:szCs w:val="20"/>
    </w:rPr>
  </w:style>
  <w:style w:type="paragraph" w:customStyle="1" w:styleId="359">
    <w:name w:val="二级条标题"/>
    <w:basedOn w:val="360"/>
    <w:next w:val="362"/>
    <w:qFormat/>
    <w:uiPriority w:val="0"/>
    <w:pPr>
      <w:numPr>
        <w:ilvl w:val="3"/>
        <w:numId w:val="3"/>
      </w:numPr>
      <w:tabs>
        <w:tab w:val="left" w:pos="360"/>
        <w:tab w:val="left" w:pos="840"/>
        <w:tab w:val="left" w:pos="1260"/>
        <w:tab w:val="left" w:pos="1680"/>
      </w:tabs>
      <w:outlineLvl w:val="3"/>
    </w:pPr>
  </w:style>
  <w:style w:type="paragraph" w:customStyle="1" w:styleId="360">
    <w:name w:val="一级条标题"/>
    <w:basedOn w:val="361"/>
    <w:next w:val="362"/>
    <w:qFormat/>
    <w:uiPriority w:val="0"/>
    <w:pPr>
      <w:numPr>
        <w:ilvl w:val="2"/>
        <w:numId w:val="3"/>
      </w:numPr>
      <w:tabs>
        <w:tab w:val="left" w:pos="360"/>
        <w:tab w:val="left" w:pos="840"/>
        <w:tab w:val="left" w:pos="1260"/>
      </w:tabs>
      <w:spacing w:beforeLines="0" w:afterLines="0"/>
      <w:outlineLvl w:val="2"/>
    </w:pPr>
  </w:style>
  <w:style w:type="paragraph" w:customStyle="1" w:styleId="361">
    <w:name w:val="章标题"/>
    <w:next w:val="362"/>
    <w:qFormat/>
    <w:uiPriority w:val="0"/>
    <w:pPr>
      <w:numPr>
        <w:ilvl w:val="1"/>
        <w:numId w:val="3"/>
      </w:numPr>
      <w:tabs>
        <w:tab w:val="left" w:pos="840"/>
      </w:tabs>
      <w:spacing w:beforeLines="50" w:afterLines="50"/>
      <w:jc w:val="both"/>
      <w:outlineLvl w:val="1"/>
    </w:pPr>
    <w:rPr>
      <w:rFonts w:ascii="PMingLiU" w:hAnsi="Arial Unicode MS" w:eastAsia="PMingLiU" w:cs="Times New Roman"/>
      <w:sz w:val="21"/>
      <w:lang w:val="en-US" w:eastAsia="zh-CN" w:bidi="ar-SA"/>
    </w:rPr>
  </w:style>
  <w:style w:type="paragraph" w:customStyle="1" w:styleId="362">
    <w:name w:val="段"/>
    <w:qFormat/>
    <w:uiPriority w:val="0"/>
    <w:pPr>
      <w:autoSpaceDE w:val="0"/>
      <w:autoSpaceDN w:val="0"/>
      <w:ind w:firstLine="200" w:firstLineChars="200"/>
      <w:jc w:val="both"/>
    </w:pPr>
    <w:rPr>
      <w:rFonts w:ascii="等线 Light" w:hAnsi="Arial Unicode MS" w:eastAsia="宋体" w:cs="Times New Roman"/>
      <w:sz w:val="21"/>
      <w:lang w:val="en-US" w:eastAsia="zh-CN" w:bidi="ar-SA"/>
    </w:rPr>
  </w:style>
  <w:style w:type="paragraph" w:customStyle="1" w:styleId="363">
    <w:name w:val="List Paragraph1"/>
    <w:basedOn w:val="1"/>
    <w:qFormat/>
    <w:uiPriority w:val="0"/>
    <w:pPr>
      <w:autoSpaceDE/>
      <w:autoSpaceDN/>
      <w:adjustRightInd/>
      <w:ind w:firstLine="420" w:firstLineChars="200"/>
      <w:jc w:val="both"/>
    </w:pPr>
    <w:rPr>
      <w:rFonts w:ascii="Arial Unicode MS" w:hAnsi="Arial Unicode MS"/>
      <w:kern w:val="2"/>
      <w:sz w:val="21"/>
      <w:szCs w:val="20"/>
    </w:rPr>
  </w:style>
  <w:style w:type="paragraph" w:customStyle="1" w:styleId="364">
    <w:name w:val="d"/>
    <w:basedOn w:val="1"/>
    <w:qFormat/>
    <w:uiPriority w:val="0"/>
    <w:pPr>
      <w:overflowPunct w:val="0"/>
      <w:snapToGrid w:val="0"/>
      <w:spacing w:line="360" w:lineRule="auto"/>
      <w:ind w:left="709"/>
      <w:jc w:val="both"/>
    </w:pPr>
    <w:rPr>
      <w:rFonts w:ascii="Arial Unicode MS" w:hAnsi="Arial Unicode MS"/>
      <w:b/>
      <w:snapToGrid w:val="0"/>
      <w:sz w:val="21"/>
      <w:szCs w:val="21"/>
    </w:rPr>
  </w:style>
  <w:style w:type="paragraph" w:customStyle="1" w:styleId="36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66">
    <w:name w:val="三级条标题"/>
    <w:basedOn w:val="359"/>
    <w:next w:val="362"/>
    <w:qFormat/>
    <w:uiPriority w:val="0"/>
    <w:pPr>
      <w:numPr>
        <w:ilvl w:val="4"/>
        <w:numId w:val="3"/>
      </w:numPr>
      <w:tabs>
        <w:tab w:val="left" w:pos="2100"/>
      </w:tabs>
      <w:outlineLvl w:val="4"/>
    </w:pPr>
  </w:style>
  <w:style w:type="paragraph" w:customStyle="1" w:styleId="367">
    <w:name w:val="样式 四号 行距: 1.5 倍行距"/>
    <w:basedOn w:val="1"/>
    <w:qFormat/>
    <w:uiPriority w:val="0"/>
    <w:pPr>
      <w:autoSpaceDE/>
      <w:autoSpaceDN/>
      <w:snapToGrid w:val="0"/>
      <w:ind w:firstLine="420" w:firstLineChars="200"/>
      <w:jc w:val="both"/>
    </w:pPr>
    <w:rPr>
      <w:rFonts w:ascii="Arial Unicode MS" w:hAnsi="Arial Unicode MS" w:cs="等线 Light"/>
      <w:kern w:val="2"/>
      <w:sz w:val="21"/>
      <w:szCs w:val="21"/>
    </w:rPr>
  </w:style>
  <w:style w:type="paragraph" w:customStyle="1" w:styleId="368">
    <w:name w:val="xl45"/>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ascii="PMingLiU" w:hAnsi="等线 Light" w:eastAsia="PMingLiU"/>
      <w:sz w:val="26"/>
      <w:szCs w:val="26"/>
    </w:rPr>
  </w:style>
  <w:style w:type="paragraph" w:customStyle="1" w:styleId="369">
    <w:name w:val="表头"/>
    <w:basedOn w:val="15"/>
    <w:qFormat/>
    <w:uiPriority w:val="0"/>
    <w:pPr>
      <w:keepNext/>
      <w:keepLines/>
      <w:widowControl/>
      <w:autoSpaceDE/>
      <w:autoSpaceDN/>
      <w:adjustRightInd/>
      <w:spacing w:before="120" w:after="120" w:line="300" w:lineRule="auto"/>
      <w:jc w:val="center"/>
      <w:textAlignment w:val="baseline"/>
    </w:pPr>
    <w:rPr>
      <w:rFonts w:cs="幼圆"/>
      <w:sz w:val="21"/>
    </w:rPr>
  </w:style>
  <w:style w:type="paragraph" w:customStyle="1" w:styleId="370">
    <w:name w:val="head"/>
    <w:basedOn w:val="1"/>
    <w:qFormat/>
    <w:uiPriority w:val="0"/>
    <w:pPr>
      <w:widowControl/>
      <w:autoSpaceDE/>
      <w:autoSpaceDN/>
      <w:adjustRightInd/>
      <w:spacing w:before="100" w:beforeAutospacing="1" w:after="100" w:afterAutospacing="1"/>
      <w:jc w:val="center"/>
    </w:pPr>
    <w:rPr>
      <w:rFonts w:hint="eastAsia" w:ascii="PMingLiU" w:hAnsi="等线 Light" w:eastAsia="PMingLiU"/>
      <w:b/>
      <w:bCs/>
      <w:sz w:val="28"/>
      <w:szCs w:val="28"/>
    </w:rPr>
  </w:style>
  <w:style w:type="paragraph" w:customStyle="1" w:styleId="371">
    <w:name w:val="网格表 31"/>
    <w:basedOn w:val="2"/>
    <w:next w:val="1"/>
    <w:unhideWhenUsed/>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372">
    <w:name w:val="xl2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373">
    <w:name w:val="默认段落字体 Para Char Char Char Char Char Char Char"/>
    <w:basedOn w:val="1"/>
    <w:qFormat/>
    <w:uiPriority w:val="0"/>
    <w:pPr>
      <w:autoSpaceDE/>
      <w:autoSpaceDN/>
      <w:adjustRightInd/>
      <w:jc w:val="both"/>
    </w:pPr>
    <w:rPr>
      <w:rFonts w:ascii="Arial Unicode MS" w:hAnsi="Arial Unicode MS"/>
      <w:kern w:val="2"/>
      <w:sz w:val="21"/>
      <w:szCs w:val="20"/>
    </w:rPr>
  </w:style>
  <w:style w:type="paragraph" w:customStyle="1" w:styleId="374">
    <w:name w:val="1册标题3"/>
    <w:basedOn w:val="1"/>
    <w:next w:val="1"/>
    <w:qFormat/>
    <w:uiPriority w:val="0"/>
    <w:pPr>
      <w:keepNext/>
      <w:keepLines/>
      <w:autoSpaceDE/>
      <w:autoSpaceDN/>
      <w:spacing w:before="156" w:beforeLines="50" w:after="156" w:afterLines="50"/>
      <w:jc w:val="both"/>
      <w:textAlignment w:val="baseline"/>
      <w:outlineLvl w:val="2"/>
    </w:pPr>
    <w:rPr>
      <w:rFonts w:ascii="楷体_GB2312" w:hAnsi="楷体_GB2312" w:eastAsia="PMingLiU"/>
      <w:szCs w:val="20"/>
    </w:rPr>
  </w:style>
  <w:style w:type="paragraph" w:customStyle="1" w:styleId="375">
    <w:name w:val="12册标题"/>
    <w:basedOn w:val="1"/>
    <w:next w:val="1"/>
    <w:qFormat/>
    <w:uiPriority w:val="0"/>
    <w:pPr>
      <w:autoSpaceDE/>
      <w:autoSpaceDN/>
      <w:adjustRightInd/>
      <w:spacing w:before="156" w:beforeLines="50" w:after="156" w:afterLines="50"/>
      <w:jc w:val="center"/>
      <w:outlineLvl w:val="0"/>
    </w:pPr>
    <w:rPr>
      <w:rFonts w:ascii="楷体_GB2312" w:hAnsi="楷体_GB2312" w:eastAsia="PMingLiU"/>
      <w:kern w:val="2"/>
      <w:sz w:val="44"/>
      <w:szCs w:val="20"/>
    </w:rPr>
  </w:style>
  <w:style w:type="paragraph" w:customStyle="1" w:styleId="376">
    <w:name w:val="规正文"/>
    <w:basedOn w:val="1"/>
    <w:qFormat/>
    <w:uiPriority w:val="0"/>
    <w:pPr>
      <w:autoSpaceDE/>
      <w:autoSpaceDN/>
      <w:adjustRightInd/>
      <w:ind w:firstLine="560" w:firstLineChars="200"/>
      <w:jc w:val="both"/>
    </w:pPr>
    <w:rPr>
      <w:rFonts w:ascii="Arial Unicode MS" w:hAnsi="Arial Unicode MS" w:eastAsia="等线 Light" w:cs="幼圆"/>
      <w:kern w:val="2"/>
      <w:sz w:val="28"/>
      <w:szCs w:val="28"/>
    </w:rPr>
  </w:style>
  <w:style w:type="paragraph" w:customStyle="1" w:styleId="377">
    <w:name w:val=" Char Char Char Char Char Char Char Char Char Char Char Char1 Char Char Char Char"/>
    <w:basedOn w:val="1"/>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378">
    <w:name w:val="A."/>
    <w:basedOn w:val="1"/>
    <w:qFormat/>
    <w:uiPriority w:val="0"/>
    <w:pPr>
      <w:widowControl/>
      <w:tabs>
        <w:tab w:val="left" w:pos="859"/>
        <w:tab w:val="left" w:pos="1200"/>
      </w:tabs>
      <w:autoSpaceDE/>
      <w:autoSpaceDN/>
      <w:adjustRightInd/>
      <w:spacing w:before="240" w:line="240" w:lineRule="atLeast"/>
      <w:ind w:left="859" w:hanging="453"/>
      <w:jc w:val="both"/>
    </w:pPr>
    <w:rPr>
      <w:rFonts w:ascii="Arial Unicode MS" w:hAnsi="Arial Unicode MS"/>
      <w:kern w:val="2"/>
    </w:rPr>
  </w:style>
  <w:style w:type="paragraph" w:customStyle="1" w:styleId="379">
    <w:name w:val="图"/>
    <w:basedOn w:val="1"/>
    <w:qFormat/>
    <w:uiPriority w:val="0"/>
    <w:pPr>
      <w:keepNext/>
      <w:autoSpaceDE/>
      <w:autoSpaceDN/>
      <w:spacing w:before="60" w:after="60" w:line="300" w:lineRule="auto"/>
      <w:jc w:val="center"/>
      <w:textAlignment w:val="center"/>
    </w:pPr>
    <w:rPr>
      <w:rFonts w:ascii="幼圆"/>
      <w:snapToGrid w:val="0"/>
      <w:spacing w:val="20"/>
      <w:szCs w:val="20"/>
    </w:rPr>
  </w:style>
  <w:style w:type="paragraph" w:customStyle="1" w:styleId="380">
    <w:name w:val="正文[858D7CFB-ED40-4347-BF05-701D383B685F][858D7CFB-ED40-4347-BF05-701D383B685F]"/>
    <w:qFormat/>
    <w:uiPriority w:val="0"/>
    <w:pPr>
      <w:widowControl w:val="0"/>
      <w:spacing w:line="360" w:lineRule="auto"/>
      <w:ind w:firstLine="200"/>
      <w:jc w:val="both"/>
    </w:pPr>
    <w:rPr>
      <w:rFonts w:ascii="_x001A_" w:hAnsi="_x001A_" w:eastAsia="宋体" w:cs="Times New Roman"/>
      <w:color w:val="000000"/>
      <w:kern w:val="2"/>
      <w:sz w:val="24"/>
      <w:lang w:val="en-US" w:eastAsia="zh-CN" w:bidi="ar-SA"/>
    </w:rPr>
  </w:style>
  <w:style w:type="paragraph" w:customStyle="1" w:styleId="381">
    <w:name w:val="Char Char1 Char Char Char Char Char Char Char Char Char Char Char Char Char"/>
    <w:basedOn w:val="1"/>
    <w:qFormat/>
    <w:uiPriority w:val="0"/>
    <w:pPr>
      <w:widowControl/>
      <w:autoSpaceDE/>
      <w:autoSpaceDN/>
      <w:adjustRightInd/>
      <w:spacing w:after="160" w:line="360" w:lineRule="auto"/>
    </w:pPr>
    <w:rPr>
      <w:rFonts w:ascii="Lucida Grande" w:hAnsi="Lucida Grande"/>
      <w:sz w:val="21"/>
      <w:szCs w:val="20"/>
      <w:lang w:eastAsia="en-US"/>
    </w:rPr>
  </w:style>
  <w:style w:type="paragraph" w:customStyle="1" w:styleId="382">
    <w:name w:val="日期1"/>
    <w:basedOn w:val="1"/>
    <w:next w:val="1"/>
    <w:qFormat/>
    <w:uiPriority w:val="0"/>
    <w:pPr>
      <w:autoSpaceDE/>
      <w:autoSpaceDN/>
      <w:adjustRightInd/>
      <w:ind w:left="100" w:leftChars="2500"/>
      <w:jc w:val="both"/>
    </w:pPr>
    <w:rPr>
      <w:rFonts w:ascii="Arial Unicode MS" w:hAnsi="Arial Unicode MS" w:eastAsia="ˎ̥"/>
      <w:kern w:val="2"/>
      <w:sz w:val="21"/>
    </w:rPr>
  </w:style>
  <w:style w:type="paragraph" w:customStyle="1" w:styleId="383">
    <w:name w:val="样式 标题 2H2Heading 2 HiddenHeading 2 CCBSh22nd levell2Titre...5"/>
    <w:basedOn w:val="4"/>
    <w:qFormat/>
    <w:uiPriority w:val="0"/>
    <w:pPr>
      <w:keepLines/>
      <w:widowControl/>
      <w:autoSpaceDE/>
      <w:autoSpaceDN/>
      <w:spacing w:before="260" w:after="260" w:line="416" w:lineRule="auto"/>
      <w:jc w:val="both"/>
    </w:pPr>
    <w:rPr>
      <w:rFonts w:ascii="楷体_GB2312" w:hAnsi="楷体_GB2312" w:cs="等线 Light"/>
      <w:b/>
      <w:bCs/>
      <w:kern w:val="2"/>
      <w:sz w:val="32"/>
      <w:szCs w:val="20"/>
    </w:rPr>
  </w:style>
  <w:style w:type="paragraph" w:customStyle="1" w:styleId="384">
    <w:name w:val="Char1 Char Char Char1 Char Char Char Char Char Char Char Char Char"/>
    <w:basedOn w:val="1"/>
    <w:qFormat/>
    <w:uiPriority w:val="0"/>
    <w:pPr>
      <w:widowControl/>
      <w:autoSpaceDE/>
      <w:autoSpaceDN/>
      <w:adjustRightInd/>
      <w:spacing w:after="160" w:line="240" w:lineRule="exact"/>
    </w:pPr>
    <w:rPr>
      <w:rFonts w:ascii="Lucida Grande" w:hAnsi="Lucida Grande" w:eastAsia="Cambria Math"/>
      <w:b/>
      <w:i/>
      <w:iCs/>
      <w:color w:val="000000"/>
      <w:sz w:val="20"/>
      <w:szCs w:val="20"/>
      <w:lang w:eastAsia="en-US"/>
    </w:rPr>
  </w:style>
  <w:style w:type="paragraph" w:customStyle="1" w:styleId="385">
    <w:name w:val="xl25"/>
    <w:basedOn w:val="1"/>
    <w:qFormat/>
    <w:uiPriority w:val="0"/>
    <w:pPr>
      <w:widowControl/>
      <w:pBdr>
        <w:top w:val="single" w:color="auto" w:sz="4" w:space="0"/>
        <w:bottom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386">
    <w:name w:val="Char Char Char Char Char Char Char"/>
    <w:basedOn w:val="1"/>
    <w:qFormat/>
    <w:uiPriority w:val="0"/>
    <w:pPr>
      <w:autoSpaceDE/>
      <w:autoSpaceDN/>
      <w:adjustRightInd/>
      <w:spacing w:line="360" w:lineRule="auto"/>
      <w:ind w:left="420" w:firstLine="420"/>
      <w:jc w:val="both"/>
    </w:pPr>
    <w:rPr>
      <w:rFonts w:ascii="Arial Unicode MS" w:hAnsi="Arial Unicode MS"/>
      <w:szCs w:val="21"/>
    </w:rPr>
  </w:style>
  <w:style w:type="paragraph" w:customStyle="1" w:styleId="387">
    <w:name w:val="修订2"/>
    <w:unhideWhenUsed/>
    <w:qFormat/>
    <w:uiPriority w:val="99"/>
    <w:rPr>
      <w:rFonts w:ascii="Times New Roman" w:hAnsi="Times New Roman" w:eastAsia="宋体" w:cs="Times New Roman"/>
      <w:kern w:val="2"/>
      <w:sz w:val="21"/>
      <w:szCs w:val="22"/>
      <w:lang w:val="en-US" w:eastAsia="zh-CN" w:bidi="ar-SA"/>
    </w:rPr>
  </w:style>
  <w:style w:type="paragraph" w:customStyle="1" w:styleId="388">
    <w:name w:val="zhang"/>
    <w:basedOn w:val="1"/>
    <w:qFormat/>
    <w:uiPriority w:val="0"/>
    <w:pPr>
      <w:autoSpaceDE/>
      <w:autoSpaceDN/>
      <w:adjustRightInd/>
      <w:ind w:firstLine="200" w:firstLineChars="200"/>
      <w:jc w:val="both"/>
    </w:pPr>
    <w:rPr>
      <w:rFonts w:ascii="Arial Unicode MS" w:hAnsi="Arial Unicode MS" w:eastAsia="微软雅黑"/>
      <w:bCs/>
      <w:kern w:val="2"/>
      <w:sz w:val="28"/>
      <w:szCs w:val="20"/>
    </w:rPr>
  </w:style>
  <w:style w:type="paragraph" w:customStyle="1" w:styleId="389">
    <w:name w:val="样式 标题 3头小节标题Heading 3 - oldh33rd levelH3l3CTLevel 3 Hea..."/>
    <w:basedOn w:val="4"/>
    <w:qFormat/>
    <w:uiPriority w:val="0"/>
    <w:pPr>
      <w:keepNext/>
      <w:keepLines/>
      <w:tabs>
        <w:tab w:val="left" w:pos="964"/>
      </w:tabs>
      <w:autoSpaceDE/>
      <w:autoSpaceDN/>
      <w:adjustRightInd/>
      <w:spacing w:line="360" w:lineRule="auto"/>
      <w:ind w:firstLine="200" w:firstLineChars="200"/>
      <w:jc w:val="both"/>
    </w:pPr>
    <w:rPr>
      <w:rFonts w:ascii="Arial Unicode MS" w:hAnsi="Arial Unicode MS" w:cs="等线 Light"/>
      <w:kern w:val="2"/>
      <w:szCs w:val="20"/>
    </w:rPr>
  </w:style>
  <w:style w:type="paragraph" w:customStyle="1" w:styleId="390">
    <w:name w:val="Char1"/>
    <w:basedOn w:val="1"/>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391">
    <w:name w:val="Char2"/>
    <w:basedOn w:val="1"/>
    <w:qFormat/>
    <w:uiPriority w:val="0"/>
    <w:pPr>
      <w:widowControl/>
      <w:autoSpaceDE/>
      <w:autoSpaceDN/>
      <w:adjustRightInd/>
      <w:spacing w:after="160" w:line="240" w:lineRule="exact"/>
    </w:pPr>
    <w:rPr>
      <w:rFonts w:ascii="Lucida Grande" w:hAnsi="Lucida Grande" w:eastAsia="微软雅黑"/>
      <w:szCs w:val="20"/>
      <w:lang w:eastAsia="en-US"/>
    </w:rPr>
  </w:style>
  <w:style w:type="paragraph" w:customStyle="1" w:styleId="392">
    <w:name w:val=" Char1"/>
    <w:basedOn w:val="1"/>
    <w:qFormat/>
    <w:uiPriority w:val="0"/>
    <w:pPr>
      <w:tabs>
        <w:tab w:val="left" w:pos="360"/>
      </w:tabs>
      <w:autoSpaceDE/>
      <w:autoSpaceDN/>
      <w:adjustRightInd/>
      <w:jc w:val="both"/>
    </w:pPr>
    <w:rPr>
      <w:rFonts w:ascii="Arial Unicode MS" w:hAnsi="Arial Unicode MS"/>
      <w:kern w:val="2"/>
    </w:rPr>
  </w:style>
  <w:style w:type="paragraph" w:customStyle="1" w:styleId="393">
    <w:name w:val="Char1 Char Char Char1 Char Char Char"/>
    <w:basedOn w:val="1"/>
    <w:qFormat/>
    <w:uiPriority w:val="0"/>
    <w:pPr>
      <w:autoSpaceDE/>
      <w:autoSpaceDN/>
      <w:adjustRightInd/>
      <w:spacing w:line="360" w:lineRule="auto"/>
    </w:pPr>
    <w:rPr>
      <w:rFonts w:ascii="Arial Unicode MS" w:hAnsi="Arial Unicode MS"/>
      <w:kern w:val="2"/>
      <w:sz w:val="21"/>
    </w:rPr>
  </w:style>
  <w:style w:type="paragraph" w:customStyle="1" w:styleId="394">
    <w:name w:val="样式 样式 小四 首行缩进:  0.85 厘米 + 首行缩进:  2 字符"/>
    <w:basedOn w:val="1"/>
    <w:qFormat/>
    <w:uiPriority w:val="0"/>
    <w:pPr>
      <w:autoSpaceDE/>
      <w:autoSpaceDN/>
      <w:snapToGrid w:val="0"/>
      <w:spacing w:line="360" w:lineRule="auto"/>
      <w:ind w:firstLine="584" w:firstLineChars="200"/>
      <w:jc w:val="both"/>
    </w:pPr>
    <w:rPr>
      <w:rFonts w:ascii="Arial Unicode MS" w:hAnsi="Arial Unicode MS" w:cs="等线 Light"/>
      <w:snapToGrid w:val="0"/>
      <w:sz w:val="28"/>
      <w:szCs w:val="28"/>
    </w:rPr>
  </w:style>
  <w:style w:type="paragraph" w:customStyle="1" w:styleId="395">
    <w:name w:val="xl40"/>
    <w:basedOn w:val="1"/>
    <w:qFormat/>
    <w:uiPriority w:val="0"/>
    <w:pPr>
      <w:widowControl/>
      <w:autoSpaceDE/>
      <w:autoSpaceDN/>
      <w:adjustRightInd/>
      <w:spacing w:before="100" w:beforeAutospacing="1" w:after="100" w:afterAutospacing="1"/>
      <w:jc w:val="both"/>
    </w:pPr>
    <w:rPr>
      <w:rFonts w:hAnsi="等线 Light"/>
      <w:b/>
      <w:bCs/>
    </w:rPr>
  </w:style>
  <w:style w:type="paragraph" w:customStyle="1" w:styleId="396">
    <w:name w:val="表格"/>
    <w:basedOn w:val="1"/>
    <w:qFormat/>
    <w:uiPriority w:val="0"/>
    <w:pPr>
      <w:autoSpaceDE/>
      <w:autoSpaceDN/>
      <w:adjustRightInd/>
      <w:spacing w:line="400" w:lineRule="atLeast"/>
      <w:jc w:val="both"/>
    </w:pPr>
    <w:rPr>
      <w:rFonts w:ascii="Arial Unicode MS" w:hAnsi="Arial Unicode MS"/>
      <w:b/>
      <w:bCs/>
      <w:color w:val="FF00FF"/>
      <w:kern w:val="2"/>
    </w:rPr>
  </w:style>
  <w:style w:type="paragraph" w:customStyle="1" w:styleId="397">
    <w:name w:val="xl31"/>
    <w:basedOn w:val="1"/>
    <w:qFormat/>
    <w:uiPriority w:val="0"/>
    <w:pPr>
      <w:widowControl/>
      <w:pBdr>
        <w:left w:val="single" w:color="auto" w:sz="4" w:space="0"/>
        <w:bottom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398">
    <w:name w:val="Char3"/>
    <w:basedOn w:val="1"/>
    <w:qFormat/>
    <w:uiPriority w:val="99"/>
    <w:pPr>
      <w:widowControl/>
      <w:autoSpaceDE/>
      <w:autoSpaceDN/>
      <w:adjustRightInd/>
      <w:spacing w:line="400" w:lineRule="exact"/>
      <w:jc w:val="center"/>
    </w:pPr>
    <w:rPr>
      <w:rFonts w:ascii="Lucida Grande" w:hAnsi="Lucida Grande"/>
      <w:sz w:val="21"/>
      <w:szCs w:val="20"/>
      <w:lang w:eastAsia="en-US"/>
    </w:rPr>
  </w:style>
  <w:style w:type="paragraph" w:customStyle="1" w:styleId="399">
    <w:name w:val="p0"/>
    <w:basedOn w:val="1"/>
    <w:qFormat/>
    <w:uiPriority w:val="0"/>
    <w:pPr>
      <w:widowControl/>
      <w:autoSpaceDE/>
      <w:autoSpaceDN/>
      <w:adjustRightInd/>
      <w:jc w:val="both"/>
    </w:pPr>
    <w:rPr>
      <w:rFonts w:ascii="Arial Unicode MS" w:hAnsi="Arial Unicode MS"/>
      <w:sz w:val="21"/>
      <w:szCs w:val="20"/>
    </w:rPr>
  </w:style>
  <w:style w:type="paragraph" w:customStyle="1" w:styleId="400">
    <w:name w:val="1)"/>
    <w:basedOn w:val="1"/>
    <w:qFormat/>
    <w:uiPriority w:val="0"/>
    <w:pPr>
      <w:autoSpaceDE/>
      <w:autoSpaceDN/>
      <w:adjustRightInd/>
      <w:spacing w:line="264" w:lineRule="auto"/>
      <w:jc w:val="both"/>
    </w:pPr>
    <w:rPr>
      <w:rFonts w:ascii="Arial Unicode MS" w:hAnsi="Arial Unicode MS"/>
      <w:kern w:val="2"/>
    </w:rPr>
  </w:style>
  <w:style w:type="paragraph" w:customStyle="1" w:styleId="401">
    <w:name w:val="样式 标题 5五 + 首行缩进:  2 字符"/>
    <w:basedOn w:val="6"/>
    <w:qFormat/>
    <w:uiPriority w:val="0"/>
    <w:pPr>
      <w:autoSpaceDE/>
      <w:autoSpaceDN/>
      <w:adjustRightInd/>
      <w:snapToGrid w:val="0"/>
      <w:spacing w:before="0" w:after="0" w:line="360" w:lineRule="auto"/>
      <w:ind w:firstLine="500" w:firstLineChars="200"/>
      <w:jc w:val="both"/>
    </w:pPr>
    <w:rPr>
      <w:rFonts w:ascii="Arial Unicode MS" w:hAnsi="Arial Unicode MS" w:cs="等线 Light"/>
      <w:b w:val="0"/>
      <w:bCs w:val="0"/>
      <w:spacing w:val="20"/>
      <w:kern w:val="2"/>
      <w:sz w:val="24"/>
      <w:szCs w:val="20"/>
    </w:rPr>
  </w:style>
  <w:style w:type="paragraph" w:customStyle="1" w:styleId="402">
    <w:name w:val="1册标题2"/>
    <w:basedOn w:val="3"/>
    <w:next w:val="1"/>
    <w:qFormat/>
    <w:uiPriority w:val="0"/>
    <w:pPr>
      <w:autoSpaceDE/>
      <w:autoSpaceDN/>
      <w:adjustRightInd/>
      <w:jc w:val="both"/>
      <w:outlineLvl w:val="9"/>
    </w:pPr>
    <w:rPr>
      <w:rFonts w:hAnsi="等线 Light"/>
      <w:color w:val="008000"/>
      <w:kern w:val="2"/>
      <w:sz w:val="21"/>
      <w:szCs w:val="21"/>
    </w:rPr>
  </w:style>
  <w:style w:type="paragraph" w:customStyle="1" w:styleId="403">
    <w:name w:val="xl55"/>
    <w:basedOn w:val="1"/>
    <w:qFormat/>
    <w:uiPriority w:val="0"/>
    <w:pPr>
      <w:widowControl/>
      <w:pBdr>
        <w:top w:val="single" w:color="auto" w:sz="4" w:space="0"/>
        <w:bottom w:val="single" w:color="auto" w:sz="4" w:space="0"/>
      </w:pBdr>
      <w:autoSpaceDE/>
      <w:autoSpaceDN/>
      <w:adjustRightInd/>
      <w:spacing w:before="100" w:beforeAutospacing="1" w:after="100" w:afterAutospacing="1"/>
      <w:jc w:val="center"/>
    </w:pPr>
    <w:rPr>
      <w:rFonts w:hint="eastAsia" w:hAnsi="等线 Light"/>
    </w:rPr>
  </w:style>
  <w:style w:type="paragraph" w:customStyle="1" w:styleId="404">
    <w:name w:val="首航所进"/>
    <w:basedOn w:val="1"/>
    <w:qFormat/>
    <w:uiPriority w:val="0"/>
    <w:pPr>
      <w:autoSpaceDE/>
      <w:autoSpaceDN/>
      <w:adjustRightInd/>
      <w:spacing w:line="300" w:lineRule="auto"/>
      <w:ind w:firstLine="480" w:firstLineChars="200"/>
      <w:jc w:val="both"/>
    </w:pPr>
    <w:rPr>
      <w:rFonts w:ascii="Arial Unicode MS" w:hAnsi="Arial Unicode MS"/>
      <w:kern w:val="2"/>
    </w:rPr>
  </w:style>
  <w:style w:type="paragraph" w:customStyle="1" w:styleId="405">
    <w:name w:val="xl47"/>
    <w:basedOn w:val="1"/>
    <w:qFormat/>
    <w:uiPriority w:val="0"/>
    <w:pPr>
      <w:widowControl/>
      <w:pBdr>
        <w:top w:val="single" w:color="auto" w:sz="4" w:space="0"/>
        <w:right w:val="single" w:color="auto" w:sz="4" w:space="0"/>
      </w:pBdr>
      <w:autoSpaceDE/>
      <w:autoSpaceDN/>
      <w:adjustRightInd/>
      <w:spacing w:before="100" w:beforeAutospacing="1" w:after="100" w:afterAutospacing="1"/>
    </w:pPr>
    <w:rPr>
      <w:rFonts w:hAnsi="等线 Light" w:cs="等线 Light"/>
    </w:rPr>
  </w:style>
  <w:style w:type="paragraph" w:customStyle="1" w:styleId="406">
    <w:name w:val="图/图注"/>
    <w:basedOn w:val="8"/>
    <w:qFormat/>
    <w:uiPriority w:val="0"/>
    <w:pPr>
      <w:wordWrap/>
      <w:autoSpaceDE/>
      <w:autoSpaceDN/>
      <w:adjustRightInd/>
      <w:spacing w:before="50"/>
      <w:ind w:firstLine="0" w:firstLineChars="0"/>
      <w:jc w:val="center"/>
    </w:pPr>
    <w:rPr>
      <w:rFonts w:ascii="幼圆" w:eastAsia="PMingLiU"/>
      <w:b/>
      <w:kern w:val="2"/>
      <w:sz w:val="21"/>
      <w:szCs w:val="22"/>
    </w:rPr>
  </w:style>
  <w:style w:type="paragraph" w:customStyle="1" w:styleId="407">
    <w:name w:val="_Style 1"/>
    <w:basedOn w:val="1"/>
    <w:qFormat/>
    <w:uiPriority w:val="34"/>
    <w:pPr>
      <w:autoSpaceDE/>
      <w:autoSpaceDN/>
      <w:adjustRightInd/>
      <w:ind w:firstLine="420" w:firstLineChars="200"/>
      <w:jc w:val="both"/>
    </w:pPr>
    <w:rPr>
      <w:rFonts w:ascii="Arial Unicode MS" w:hAnsi="Arial Unicode MS"/>
      <w:kern w:val="2"/>
      <w:sz w:val="21"/>
      <w:szCs w:val="20"/>
    </w:rPr>
  </w:style>
  <w:style w:type="paragraph" w:customStyle="1" w:styleId="408">
    <w:name w:val="font8"/>
    <w:basedOn w:val="1"/>
    <w:qFormat/>
    <w:uiPriority w:val="0"/>
    <w:pPr>
      <w:widowControl/>
      <w:autoSpaceDE/>
      <w:autoSpaceDN/>
      <w:adjustRightInd/>
      <w:spacing w:before="100" w:beforeAutospacing="1" w:after="100" w:afterAutospacing="1"/>
    </w:pPr>
    <w:rPr>
      <w:rFonts w:hint="eastAsia" w:ascii="微软雅黑" w:hAnsi="等线 Light" w:eastAsia="微软雅黑"/>
    </w:rPr>
  </w:style>
  <w:style w:type="paragraph" w:customStyle="1" w:styleId="409">
    <w:name w:val="列出段落2"/>
    <w:basedOn w:val="1"/>
    <w:unhideWhenUsed/>
    <w:qFormat/>
    <w:uiPriority w:val="34"/>
    <w:pPr>
      <w:ind w:firstLine="420" w:firstLineChars="200"/>
    </w:pPr>
  </w:style>
  <w:style w:type="paragraph" w:customStyle="1" w:styleId="410">
    <w:name w:val="_Style 26"/>
    <w:qFormat/>
    <w:uiPriority w:val="0"/>
    <w:pPr>
      <w:widowControl w:val="0"/>
      <w:jc w:val="both"/>
    </w:pPr>
    <w:rPr>
      <w:rFonts w:ascii="Arial Unicode MS" w:hAnsi="Arial Unicode MS" w:eastAsia="宋体" w:cs="Times New Roman"/>
      <w:kern w:val="2"/>
      <w:sz w:val="21"/>
      <w:szCs w:val="24"/>
      <w:lang w:val="en-US" w:eastAsia="zh-CN" w:bidi="ar-SA"/>
    </w:rPr>
  </w:style>
  <w:style w:type="paragraph" w:customStyle="1" w:styleId="411">
    <w:name w:val="head3"/>
    <w:qFormat/>
    <w:uiPriority w:val="0"/>
    <w:pPr>
      <w:spacing w:before="120" w:after="120"/>
    </w:pPr>
    <w:rPr>
      <w:rFonts w:ascii="等线 Light" w:hAnsi="Arial Unicode MS" w:eastAsia="宋体" w:cs="Times New Roman"/>
      <w:b/>
      <w:sz w:val="24"/>
      <w:lang w:val="en-US" w:eastAsia="zh-CN" w:bidi="ar-SA"/>
    </w:rPr>
  </w:style>
  <w:style w:type="paragraph" w:customStyle="1" w:styleId="412">
    <w:name w:val="_Style 142"/>
    <w:basedOn w:val="17"/>
    <w:qFormat/>
    <w:uiPriority w:val="0"/>
    <w:pPr>
      <w:autoSpaceDE/>
      <w:autoSpaceDN/>
      <w:adjustRightInd/>
      <w:jc w:val="both"/>
    </w:pPr>
    <w:rPr>
      <w:rFonts w:ascii="Arial Unicode MS" w:hAnsi="Arial Unicode MS"/>
      <w:kern w:val="2"/>
      <w:sz w:val="21"/>
    </w:rPr>
  </w:style>
  <w:style w:type="paragraph" w:customStyle="1" w:styleId="413">
    <w:name w:val="批注框文本1"/>
    <w:basedOn w:val="1"/>
    <w:next w:val="38"/>
    <w:qFormat/>
    <w:uiPriority w:val="0"/>
    <w:pPr>
      <w:autoSpaceDE/>
      <w:autoSpaceDN/>
      <w:adjustRightInd/>
      <w:jc w:val="both"/>
    </w:pPr>
    <w:rPr>
      <w:rFonts w:ascii="Arial Unicode MS" w:hAnsi="Arial Unicode MS" w:eastAsia="ˎ̥"/>
      <w:kern w:val="2"/>
      <w:sz w:val="18"/>
      <w:szCs w:val="18"/>
    </w:rPr>
  </w:style>
  <w:style w:type="paragraph" w:customStyle="1" w:styleId="414">
    <w:name w:val="无间隔1"/>
    <w:qFormat/>
    <w:uiPriority w:val="1"/>
    <w:pPr>
      <w:widowControl w:val="0"/>
      <w:ind w:left="198" w:hanging="198"/>
      <w:jc w:val="center"/>
    </w:pPr>
    <w:rPr>
      <w:rFonts w:ascii="Arial Unicode MS" w:hAnsi="Arial Unicode MS" w:eastAsia="宋体" w:cs="Times New Roman"/>
      <w:kern w:val="2"/>
      <w:sz w:val="24"/>
      <w:szCs w:val="22"/>
      <w:lang w:val="en-US" w:eastAsia="zh-CN" w:bidi="ar-SA"/>
    </w:rPr>
  </w:style>
  <w:style w:type="paragraph" w:customStyle="1" w:styleId="415">
    <w:name w:val="Char Char1 Char Char Char Char Char Char Char Char Char Char Char Char Char Char"/>
    <w:basedOn w:val="1"/>
    <w:qFormat/>
    <w:uiPriority w:val="0"/>
    <w:pPr>
      <w:widowControl/>
      <w:autoSpaceDE/>
      <w:autoSpaceDN/>
      <w:adjustRightInd/>
      <w:spacing w:after="160" w:line="240" w:lineRule="exact"/>
    </w:pPr>
    <w:rPr>
      <w:rFonts w:ascii="Lucida Grande" w:hAnsi="Lucida Grande"/>
      <w:sz w:val="20"/>
      <w:szCs w:val="20"/>
      <w:lang w:eastAsia="en-US"/>
    </w:rPr>
  </w:style>
  <w:style w:type="paragraph" w:customStyle="1" w:styleId="416">
    <w:name w:val="Char Char Char Char Char Char Char Char Char Char Char Char Char Char Char Char"/>
    <w:basedOn w:val="1"/>
    <w:qFormat/>
    <w:uiPriority w:val="0"/>
    <w:pPr>
      <w:autoSpaceDE/>
      <w:autoSpaceDN/>
      <w:adjustRightInd/>
      <w:spacing w:line="330" w:lineRule="atLeast"/>
      <w:ind w:left="360" w:firstLine="360" w:firstLineChars="150"/>
    </w:pPr>
    <w:rPr>
      <w:rFonts w:ascii="等线" w:hAnsi="等线" w:cs="等线 Light"/>
      <w:color w:val="51585D"/>
      <w:szCs w:val="18"/>
    </w:rPr>
  </w:style>
  <w:style w:type="paragraph" w:customStyle="1" w:styleId="417">
    <w:name w:val="目录文字"/>
    <w:basedOn w:val="1"/>
    <w:qFormat/>
    <w:uiPriority w:val="0"/>
    <w:pPr>
      <w:widowControl/>
      <w:autoSpaceDE/>
      <w:autoSpaceDN/>
      <w:adjustRightInd/>
      <w:spacing w:line="480" w:lineRule="auto"/>
    </w:pPr>
    <w:rPr>
      <w:rFonts w:hAnsi="等线 Light"/>
      <w:szCs w:val="20"/>
    </w:rPr>
  </w:style>
  <w:style w:type="paragraph" w:customStyle="1" w:styleId="418">
    <w:name w:val="默认段落字体 Para Char Char Char Char Char Char Char Char Char Char Char Char Char Char Char Char Char Char Char"/>
    <w:basedOn w:val="1"/>
    <w:qFormat/>
    <w:uiPriority w:val="0"/>
    <w:pPr>
      <w:autoSpaceDE/>
      <w:autoSpaceDN/>
      <w:adjustRightInd/>
      <w:jc w:val="both"/>
    </w:pPr>
    <w:rPr>
      <w:rFonts w:ascii="Calibri" w:hAnsi="Calibri"/>
      <w:kern w:val="2"/>
      <w:szCs w:val="20"/>
    </w:rPr>
  </w:style>
  <w:style w:type="paragraph" w:customStyle="1" w:styleId="419">
    <w:name w:val=" Char Char"/>
    <w:basedOn w:val="1"/>
    <w:qFormat/>
    <w:uiPriority w:val="0"/>
    <w:pPr>
      <w:autoSpaceDE/>
      <w:autoSpaceDN/>
      <w:adjustRightInd/>
      <w:jc w:val="both"/>
    </w:pPr>
    <w:rPr>
      <w:rFonts w:ascii="Calibri" w:hAnsi="Calibri"/>
      <w:kern w:val="2"/>
      <w:szCs w:val="20"/>
    </w:rPr>
  </w:style>
  <w:style w:type="paragraph" w:customStyle="1" w:styleId="420">
    <w:name w:val="xl53"/>
    <w:basedOn w:val="1"/>
    <w:qFormat/>
    <w:uiPriority w:val="0"/>
    <w:pPr>
      <w:widowControl/>
      <w:pBdr>
        <w:top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hAnsi="等线 Light"/>
    </w:rPr>
  </w:style>
  <w:style w:type="paragraph" w:customStyle="1" w:styleId="421">
    <w:name w:val="Char Char Char Char"/>
    <w:basedOn w:val="17"/>
    <w:qFormat/>
    <w:uiPriority w:val="0"/>
    <w:pPr>
      <w:autoSpaceDE/>
      <w:autoSpaceDN/>
      <w:adjustRightInd/>
      <w:jc w:val="both"/>
    </w:pPr>
    <w:rPr>
      <w:rFonts w:ascii="Arial Unicode MS" w:hAnsi="Arial Unicode MS"/>
      <w:kern w:val="2"/>
    </w:rPr>
  </w:style>
  <w:style w:type="paragraph" w:customStyle="1" w:styleId="422">
    <w:name w:val="xl57"/>
    <w:basedOn w:val="1"/>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hint="eastAsia" w:hAnsi="等线 Light"/>
    </w:rPr>
  </w:style>
  <w:style w:type="paragraph" w:customStyle="1" w:styleId="423">
    <w:name w:val="样式 四号 左 行距: 1.5 倍行距 首行缩进:  2 字符"/>
    <w:basedOn w:val="1"/>
    <w:qFormat/>
    <w:uiPriority w:val="0"/>
    <w:pPr>
      <w:autoSpaceDE/>
      <w:autoSpaceDN/>
      <w:adjustRightInd/>
      <w:spacing w:line="360" w:lineRule="auto"/>
      <w:ind w:firstLine="560" w:firstLineChars="200"/>
    </w:pPr>
    <w:rPr>
      <w:rFonts w:ascii="Arial Unicode MS" w:hAnsi="Arial Unicode MS" w:cs="等线 Light"/>
      <w:kern w:val="2"/>
      <w:szCs w:val="20"/>
    </w:rPr>
  </w:style>
  <w:style w:type="paragraph" w:customStyle="1" w:styleId="424">
    <w:name w:val="保留正文"/>
    <w:basedOn w:val="22"/>
    <w:qFormat/>
    <w:uiPriority w:val="0"/>
    <w:pPr>
      <w:keepNext/>
      <w:autoSpaceDE/>
      <w:autoSpaceDN/>
      <w:adjustRightInd/>
      <w:spacing w:after="160"/>
      <w:ind w:right="0"/>
      <w:jc w:val="both"/>
    </w:pPr>
    <w:rPr>
      <w:rFonts w:ascii="幼圆" w:hAnsi="幼圆"/>
      <w:b w:val="0"/>
      <w:bCs w:val="0"/>
      <w:kern w:val="2"/>
      <w:sz w:val="21"/>
      <w:szCs w:val="24"/>
      <w:lang w:val="en-US" w:eastAsia="zh-CN"/>
    </w:rPr>
  </w:style>
  <w:style w:type="paragraph" w:customStyle="1" w:styleId="425">
    <w:name w:val="表格内文字"/>
    <w:basedOn w:val="1"/>
    <w:qFormat/>
    <w:uiPriority w:val="0"/>
    <w:pPr>
      <w:widowControl/>
      <w:autoSpaceDE/>
      <w:autoSpaceDN/>
      <w:snapToGrid w:val="0"/>
      <w:ind w:left="13" w:hanging="13" w:hangingChars="6"/>
      <w:jc w:val="center"/>
    </w:pPr>
    <w:rPr>
      <w:rFonts w:ascii="Arial Unicode MS" w:hAnsi="等线" w:eastAsia="微软雅黑"/>
      <w:snapToGrid w:val="0"/>
      <w:color w:val="333333"/>
      <w:sz w:val="21"/>
      <w:szCs w:val="21"/>
    </w:rPr>
  </w:style>
  <w:style w:type="paragraph" w:customStyle="1" w:styleId="426">
    <w:name w:val="标题5"/>
    <w:qFormat/>
    <w:uiPriority w:val="0"/>
    <w:pPr>
      <w:adjustRightInd w:val="0"/>
      <w:spacing w:line="400" w:lineRule="exact"/>
      <w:textAlignment w:val="baseline"/>
    </w:pPr>
    <w:rPr>
      <w:rFonts w:ascii="Arial Unicode MS" w:hAnsi="Arial Unicode MS" w:eastAsia="微软雅黑" w:cs="Times New Roman"/>
      <w:b/>
      <w:sz w:val="24"/>
      <w:lang w:val="en-US" w:eastAsia="zh-CN" w:bidi="ar-SA"/>
    </w:rPr>
  </w:style>
  <w:style w:type="paragraph" w:customStyle="1" w:styleId="427">
    <w:name w:val="xl59"/>
    <w:basedOn w:val="1"/>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hint="eastAsia" w:hAnsi="等线 Light"/>
    </w:rPr>
  </w:style>
  <w:style w:type="paragraph" w:customStyle="1" w:styleId="428">
    <w:name w:val=" Char Char Char Char Char Char Char"/>
    <w:basedOn w:val="17"/>
    <w:qFormat/>
    <w:uiPriority w:val="0"/>
    <w:pPr>
      <w:autoSpaceDE/>
      <w:autoSpaceDN/>
      <w:adjustRightInd/>
      <w:jc w:val="both"/>
    </w:pPr>
    <w:rPr>
      <w:rFonts w:ascii="Calibri" w:hAnsi="Calibri"/>
      <w:kern w:val="2"/>
      <w:szCs w:val="20"/>
    </w:rPr>
  </w:style>
  <w:style w:type="paragraph" w:customStyle="1" w:styleId="429">
    <w:name w:val="reader-word-layer"/>
    <w:basedOn w:val="1"/>
    <w:qFormat/>
    <w:uiPriority w:val="0"/>
    <w:pPr>
      <w:widowControl/>
      <w:autoSpaceDE/>
      <w:autoSpaceDN/>
      <w:adjustRightInd/>
      <w:spacing w:before="100" w:beforeAutospacing="1" w:after="100" w:afterAutospacing="1"/>
    </w:pPr>
    <w:rPr>
      <w:rFonts w:hAnsi="等线 Light" w:cs="等线 Light"/>
    </w:rPr>
  </w:style>
  <w:style w:type="paragraph" w:customStyle="1" w:styleId="430">
    <w:name w:val="正文缩进6格"/>
    <w:basedOn w:val="431"/>
    <w:qFormat/>
    <w:uiPriority w:val="0"/>
    <w:pPr>
      <w:spacing w:line="600" w:lineRule="exact"/>
      <w:ind w:left="1758" w:leftChars="854" w:firstLine="403" w:firstLineChars="192"/>
      <w:jc w:val="left"/>
    </w:pPr>
    <w:rPr>
      <w:rFonts w:ascii="微软雅黑" w:eastAsia="微软雅黑"/>
      <w:kern w:val="2"/>
      <w:lang w:val="en-US" w:eastAsia="zh-CN"/>
    </w:rPr>
  </w:style>
  <w:style w:type="paragraph" w:customStyle="1" w:styleId="431">
    <w:name w:val="正文缩进4格"/>
    <w:basedOn w:val="187"/>
    <w:qFormat/>
    <w:uiPriority w:val="0"/>
    <w:pPr>
      <w:spacing w:line="360" w:lineRule="auto"/>
      <w:ind w:left="964" w:leftChars="314" w:hanging="210" w:hangingChars="100"/>
    </w:pPr>
    <w:rPr>
      <w:rFonts w:ascii="等线 Light" w:eastAsia="等线 Light"/>
      <w:sz w:val="21"/>
      <w:szCs w:val="21"/>
      <w:lang w:val="zh-CN"/>
    </w:rPr>
  </w:style>
  <w:style w:type="paragraph" w:customStyle="1" w:styleId="432">
    <w:name w:val="样式 标题 3头小节标题Heading 3 - oldh33rd levelH3l3CTLevel 3 Hea...6"/>
    <w:basedOn w:val="4"/>
    <w:qFormat/>
    <w:uiPriority w:val="0"/>
    <w:pPr>
      <w:keepNext/>
      <w:keepLines/>
      <w:tabs>
        <w:tab w:val="left" w:pos="964"/>
      </w:tabs>
      <w:autoSpaceDE/>
      <w:autoSpaceDN/>
      <w:adjustRightInd/>
      <w:spacing w:line="360" w:lineRule="auto"/>
      <w:jc w:val="both"/>
    </w:pPr>
    <w:rPr>
      <w:rFonts w:hAnsi="等线 Light"/>
      <w:bCs/>
      <w:szCs w:val="32"/>
    </w:rPr>
  </w:style>
  <w:style w:type="paragraph" w:customStyle="1" w:styleId="433">
    <w:name w:val="_Style 218"/>
    <w:next w:val="1"/>
    <w:qFormat/>
    <w:uiPriority w:val="0"/>
    <w:pPr>
      <w:widowControl w:val="0"/>
      <w:jc w:val="both"/>
    </w:pPr>
    <w:rPr>
      <w:rFonts w:ascii="Arial Unicode MS" w:hAnsi="Arial Unicode MS" w:eastAsia="宋体" w:cs="Times New Roman"/>
      <w:kern w:val="2"/>
      <w:sz w:val="21"/>
      <w:szCs w:val="24"/>
      <w:lang w:val="en-US" w:eastAsia="zh-CN" w:bidi="ar-SA"/>
    </w:rPr>
  </w:style>
  <w:style w:type="paragraph" w:customStyle="1" w:styleId="434">
    <w:name w:val="af3-TBL-BR-1"/>
    <w:qFormat/>
    <w:uiPriority w:val="0"/>
    <w:pPr>
      <w:widowControl w:val="0"/>
      <w:ind w:left="100" w:leftChars="2500"/>
      <w:jc w:val="both"/>
    </w:pPr>
    <w:rPr>
      <w:rFonts w:ascii="Arial Unicode MS" w:hAnsi="Arial Unicode MS" w:eastAsia="宋体" w:cs="Times New Roman"/>
      <w:kern w:val="2"/>
      <w:sz w:val="21"/>
      <w:szCs w:val="24"/>
      <w:lang w:val="en-US" w:eastAsia="zh-CN" w:bidi="ar-SA"/>
    </w:rPr>
  </w:style>
  <w:style w:type="paragraph" w:customStyle="1" w:styleId="435">
    <w:name w:val="Char1 Char Char Char"/>
    <w:basedOn w:val="1"/>
    <w:qFormat/>
    <w:uiPriority w:val="0"/>
    <w:pPr>
      <w:tabs>
        <w:tab w:val="left" w:pos="4301"/>
      </w:tabs>
      <w:autoSpaceDE/>
      <w:autoSpaceDN/>
      <w:adjustRightInd/>
      <w:ind w:left="4301" w:hanging="420"/>
      <w:jc w:val="both"/>
    </w:pPr>
    <w:rPr>
      <w:rFonts w:ascii="Arial Unicode MS" w:hAnsi="Arial Unicode MS"/>
      <w:kern w:val="2"/>
    </w:rPr>
  </w:style>
  <w:style w:type="paragraph" w:customStyle="1" w:styleId="436">
    <w:name w:val="编号列项（三级）"/>
    <w:qFormat/>
    <w:uiPriority w:val="0"/>
    <w:pPr>
      <w:ind w:left="800" w:leftChars="600" w:hanging="200" w:hangingChars="200"/>
    </w:pPr>
    <w:rPr>
      <w:rFonts w:ascii="等线 Light" w:hAnsi="Arial Unicode MS" w:eastAsia="宋体" w:cs="Times New Roman"/>
      <w:sz w:val="21"/>
      <w:lang w:val="en-US" w:eastAsia="zh-CN" w:bidi="ar-SA"/>
    </w:rPr>
  </w:style>
  <w:style w:type="paragraph" w:customStyle="1" w:styleId="437">
    <w:name w:val="pa-4"/>
    <w:basedOn w:val="1"/>
    <w:qFormat/>
    <w:uiPriority w:val="0"/>
    <w:pPr>
      <w:widowControl/>
      <w:autoSpaceDE/>
      <w:autoSpaceDN/>
      <w:adjustRightInd/>
      <w:spacing w:line="360" w:lineRule="atLeast"/>
      <w:jc w:val="both"/>
    </w:pPr>
    <w:rPr>
      <w:rFonts w:hAnsi="等线 Light" w:cs="等线 Light"/>
    </w:rPr>
  </w:style>
  <w:style w:type="paragraph" w:customStyle="1" w:styleId="438">
    <w:name w:val="样式 标题 3 + (中文) 黑体 小四 非加粗 段前: 7.8 磅 段后: 0 磅 行距: 固定值 20 磅"/>
    <w:basedOn w:val="4"/>
    <w:qFormat/>
    <w:uiPriority w:val="0"/>
    <w:pPr>
      <w:keepNext/>
      <w:keepLines/>
      <w:autoSpaceDE/>
      <w:autoSpaceDN/>
      <w:adjustRightInd/>
      <w:spacing w:line="400" w:lineRule="exact"/>
      <w:jc w:val="both"/>
    </w:pPr>
    <w:rPr>
      <w:rFonts w:ascii="Arial Unicode MS" w:hAnsi="Arial Unicode MS" w:eastAsia="PMingLiU" w:cs="等线 Light"/>
      <w:kern w:val="2"/>
      <w:szCs w:val="20"/>
    </w:rPr>
  </w:style>
  <w:style w:type="paragraph" w:customStyle="1" w:styleId="439">
    <w:name w:val="afff0-TBL-BR-1"/>
    <w:qFormat/>
    <w:uiPriority w:val="0"/>
    <w:pPr>
      <w:spacing w:line="480" w:lineRule="auto"/>
    </w:pPr>
    <w:rPr>
      <w:rFonts w:ascii="等线 Light" w:hAnsi="等线 Light" w:eastAsia="宋体" w:cs="Times New Roman"/>
      <w:sz w:val="24"/>
      <w:lang w:val="en-US" w:eastAsia="zh-CN" w:bidi="ar-SA"/>
    </w:rPr>
  </w:style>
  <w:style w:type="paragraph" w:customStyle="1" w:styleId="440">
    <w:name w:val="0"/>
    <w:basedOn w:val="1"/>
    <w:qFormat/>
    <w:uiPriority w:val="0"/>
    <w:pPr>
      <w:widowControl/>
      <w:autoSpaceDE/>
      <w:autoSpaceDN/>
      <w:adjustRightInd/>
      <w:spacing w:before="100" w:beforeAutospacing="1" w:after="100" w:afterAutospacing="1"/>
    </w:pPr>
    <w:rPr>
      <w:rFonts w:hAnsi="等线 Light" w:cs="等线 Light"/>
    </w:rPr>
  </w:style>
  <w:style w:type="paragraph" w:customStyle="1" w:styleId="441">
    <w:name w:val="修订3"/>
    <w:qFormat/>
    <w:uiPriority w:val="99"/>
    <w:pPr>
      <w:tabs>
        <w:tab w:val="left" w:pos="840"/>
      </w:tabs>
    </w:pPr>
    <w:rPr>
      <w:rFonts w:ascii="Arial Unicode MS" w:hAnsi="Arial Unicode MS" w:eastAsia="宋体" w:cs="Times New Roman"/>
      <w:kern w:val="2"/>
      <w:sz w:val="21"/>
      <w:lang w:val="en-US" w:eastAsia="zh-CN" w:bidi="ar-SA"/>
    </w:rPr>
  </w:style>
  <w:style w:type="paragraph" w:customStyle="1" w:styleId="442">
    <w:name w:val="样式 标题 3头小节标题Heading 3 - oldh33rd levelH3l3CTLevel 3 Hea...4"/>
    <w:basedOn w:val="4"/>
    <w:qFormat/>
    <w:uiPriority w:val="0"/>
    <w:pPr>
      <w:keepNext/>
      <w:keepLines/>
      <w:tabs>
        <w:tab w:val="left" w:pos="964"/>
      </w:tabs>
      <w:autoSpaceDE/>
      <w:autoSpaceDN/>
      <w:adjustRightInd/>
      <w:spacing w:line="360" w:lineRule="auto"/>
      <w:ind w:firstLine="200" w:firstLineChars="200"/>
      <w:jc w:val="both"/>
    </w:pPr>
    <w:rPr>
      <w:rFonts w:hAnsi="等线 Light" w:cs="等线 Light"/>
      <w:kern w:val="2"/>
      <w:szCs w:val="20"/>
    </w:rPr>
  </w:style>
  <w:style w:type="paragraph" w:customStyle="1" w:styleId="443">
    <w:name w:val="xl101"/>
    <w:basedOn w:val="1"/>
    <w:qFormat/>
    <w:uiPriority w:val="0"/>
    <w:pPr>
      <w:widowControl/>
      <w:autoSpaceDE/>
      <w:autoSpaceDN/>
      <w:adjustRightInd/>
      <w:spacing w:before="100" w:beforeAutospacing="1" w:after="100" w:afterAutospacing="1"/>
      <w:jc w:val="center"/>
    </w:pPr>
    <w:rPr>
      <w:rFonts w:hAnsi="等线 Light" w:cs="等线 Light"/>
      <w:b/>
      <w:bCs/>
      <w:sz w:val="32"/>
      <w:szCs w:val="32"/>
    </w:rPr>
  </w:style>
  <w:style w:type="paragraph" w:customStyle="1" w:styleId="444">
    <w:name w:val="Char Char Char Char Char Char Char Char Char Char Char Char1 Char Char Char Char"/>
    <w:basedOn w:val="1"/>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45">
    <w:name w:val="Char Char Char Char Char Char Char Char Char Char Char Char Char Char Char Char Char Char Char"/>
    <w:basedOn w:val="1"/>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46">
    <w:name w:val="2册标题5"/>
    <w:basedOn w:val="447"/>
    <w:next w:val="1"/>
    <w:qFormat/>
    <w:uiPriority w:val="0"/>
    <w:pPr>
      <w:ind w:left="720" w:leftChars="300"/>
      <w:outlineLvl w:val="4"/>
    </w:pPr>
    <w:rPr>
      <w:rFonts w:eastAsia="Cambria Math" w:cs="楷体_GB2312"/>
      <w:b/>
    </w:rPr>
  </w:style>
  <w:style w:type="paragraph" w:customStyle="1" w:styleId="447">
    <w:name w:val="2册标题4"/>
    <w:basedOn w:val="1"/>
    <w:next w:val="1"/>
    <w:qFormat/>
    <w:uiPriority w:val="0"/>
    <w:pPr>
      <w:autoSpaceDE/>
      <w:autoSpaceDN/>
      <w:adjustRightInd/>
      <w:spacing w:before="156" w:beforeLines="50" w:after="156" w:afterLines="50"/>
      <w:ind w:left="480" w:leftChars="200"/>
      <w:jc w:val="both"/>
      <w:outlineLvl w:val="3"/>
    </w:pPr>
    <w:rPr>
      <w:rFonts w:ascii="楷体_GB2312" w:hAnsi="楷体_GB2312" w:eastAsia="PMingLiU"/>
      <w:kern w:val="2"/>
    </w:rPr>
  </w:style>
  <w:style w:type="paragraph" w:customStyle="1" w:styleId="448">
    <w:name w:val="È±Ê¡ÎÄ±¾"/>
    <w:basedOn w:val="1"/>
    <w:qFormat/>
    <w:uiPriority w:val="0"/>
    <w:pPr>
      <w:widowControl/>
      <w:overflowPunct w:val="0"/>
      <w:textAlignment w:val="baseline"/>
    </w:pPr>
    <w:rPr>
      <w:rFonts w:ascii="Arial Unicode MS" w:hAnsi="Arial Unicode MS"/>
      <w:szCs w:val="20"/>
    </w:rPr>
  </w:style>
  <w:style w:type="paragraph" w:customStyle="1" w:styleId="449">
    <w:name w:val="1册标题1"/>
    <w:basedOn w:val="1"/>
    <w:next w:val="1"/>
    <w:qFormat/>
    <w:uiPriority w:val="0"/>
    <w:pPr>
      <w:autoSpaceDE/>
      <w:autoSpaceDN/>
      <w:adjustRightInd/>
      <w:spacing w:before="156" w:beforeLines="50" w:after="156" w:afterLines="50"/>
      <w:jc w:val="center"/>
      <w:outlineLvl w:val="0"/>
    </w:pPr>
    <w:rPr>
      <w:rFonts w:ascii="楷体_GB2312" w:hAnsi="楷体_GB2312" w:eastAsia="PMingLiU"/>
      <w:b/>
      <w:bCs/>
      <w:kern w:val="2"/>
      <w:sz w:val="48"/>
      <w:szCs w:val="20"/>
    </w:rPr>
  </w:style>
  <w:style w:type="paragraph" w:customStyle="1" w:styleId="450">
    <w:name w:val="xl28"/>
    <w:basedOn w:val="1"/>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451">
    <w:name w:val="i."/>
    <w:basedOn w:val="1"/>
    <w:qFormat/>
    <w:uiPriority w:val="0"/>
    <w:pPr>
      <w:tabs>
        <w:tab w:val="left" w:pos="2041"/>
        <w:tab w:val="left" w:pos="2308"/>
      </w:tabs>
      <w:autoSpaceDE/>
      <w:autoSpaceDN/>
      <w:adjustRightInd/>
      <w:spacing w:before="60" w:after="60" w:line="264" w:lineRule="auto"/>
      <w:ind w:left="2041" w:hanging="453"/>
      <w:jc w:val="both"/>
    </w:pPr>
    <w:rPr>
      <w:rFonts w:ascii="Arial Unicode MS" w:hAnsi="Arial Unicode MS"/>
      <w:kern w:val="2"/>
      <w:sz w:val="22"/>
      <w:szCs w:val="22"/>
    </w:rPr>
  </w:style>
  <w:style w:type="paragraph" w:customStyle="1" w:styleId="452">
    <w:name w:val="Body Text(ch)1"/>
    <w:basedOn w:val="1"/>
    <w:next w:val="22"/>
    <w:qFormat/>
    <w:uiPriority w:val="0"/>
    <w:pPr>
      <w:tabs>
        <w:tab w:val="left" w:pos="562"/>
        <w:tab w:val="left" w:pos="3372"/>
        <w:tab w:val="left" w:pos="3653"/>
      </w:tabs>
      <w:autoSpaceDE/>
      <w:autoSpaceDN/>
      <w:adjustRightInd/>
      <w:jc w:val="both"/>
    </w:pPr>
    <w:rPr>
      <w:rFonts w:ascii="Arial Unicode MS" w:hAnsi="Arial Unicode MS"/>
    </w:rPr>
  </w:style>
  <w:style w:type="paragraph" w:customStyle="1" w:styleId="453">
    <w:name w:val="样式 目录 4 + 首行缩进:  2 字符"/>
    <w:basedOn w:val="43"/>
    <w:qFormat/>
    <w:uiPriority w:val="0"/>
    <w:pPr>
      <w:autoSpaceDE/>
      <w:autoSpaceDN/>
      <w:snapToGrid w:val="0"/>
      <w:ind w:firstLine="360" w:firstLineChars="400"/>
    </w:pPr>
    <w:rPr>
      <w:rFonts w:cs="等线 Light"/>
      <w:kern w:val="2"/>
      <w:szCs w:val="20"/>
    </w:rPr>
  </w:style>
  <w:style w:type="paragraph" w:customStyle="1" w:styleId="454">
    <w:name w:val="xl26"/>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455">
    <w:name w:val="Char Char Char Char Char Char Char Char Char Char Char Char Char"/>
    <w:basedOn w:val="17"/>
    <w:qFormat/>
    <w:uiPriority w:val="0"/>
    <w:pPr>
      <w:autoSpaceDE/>
      <w:autoSpaceDN/>
      <w:adjustRightInd/>
      <w:jc w:val="both"/>
    </w:pPr>
    <w:rPr>
      <w:rFonts w:ascii="Arial Unicode MS" w:hAnsi="Arial Unicode MS"/>
      <w:kern w:val="2"/>
      <w:sz w:val="21"/>
      <w:szCs w:val="20"/>
    </w:rPr>
  </w:style>
  <w:style w:type="paragraph" w:customStyle="1" w:styleId="456">
    <w:name w:val="样式3"/>
    <w:basedOn w:val="26"/>
    <w:qFormat/>
    <w:uiPriority w:val="0"/>
    <w:pPr>
      <w:autoSpaceDE/>
      <w:autoSpaceDN/>
      <w:adjustRightInd/>
      <w:spacing w:before="240" w:after="60" w:line="360" w:lineRule="auto"/>
      <w:ind w:left="0" w:firstLine="0" w:firstLineChars="0"/>
      <w:jc w:val="center"/>
    </w:pPr>
    <w:rPr>
      <w:rFonts w:ascii="幼圆" w:hAnsi="Arial Unicode MS" w:eastAsia="PMingLiU"/>
      <w:kern w:val="2"/>
      <w:szCs w:val="20"/>
    </w:rPr>
  </w:style>
  <w:style w:type="paragraph" w:customStyle="1" w:styleId="457">
    <w:name w:val="缺省文本"/>
    <w:basedOn w:val="1"/>
    <w:qFormat/>
    <w:uiPriority w:val="0"/>
    <w:rPr>
      <w:rFonts w:ascii="Arial Unicode MS" w:hAnsi="Arial Unicode MS"/>
    </w:rPr>
  </w:style>
  <w:style w:type="paragraph" w:customStyle="1" w:styleId="458">
    <w:name w:val="6.3.5.5"/>
    <w:basedOn w:val="1"/>
    <w:qFormat/>
    <w:uiPriority w:val="0"/>
    <w:pPr>
      <w:tabs>
        <w:tab w:val="left" w:pos="851"/>
      </w:tabs>
      <w:autoSpaceDE/>
      <w:autoSpaceDN/>
      <w:adjustRightInd/>
      <w:spacing w:before="120" w:after="120"/>
      <w:jc w:val="both"/>
    </w:pPr>
    <w:rPr>
      <w:rFonts w:ascii="Arial Unicode MS" w:hAnsi="Arial Unicode MS"/>
      <w:kern w:val="2"/>
      <w:szCs w:val="20"/>
    </w:rPr>
  </w:style>
  <w:style w:type="paragraph" w:customStyle="1" w:styleId="459">
    <w:name w:val="LED标题1"/>
    <w:basedOn w:val="1"/>
    <w:next w:val="1"/>
    <w:qFormat/>
    <w:uiPriority w:val="0"/>
    <w:pPr>
      <w:autoSpaceDE/>
      <w:autoSpaceDN/>
      <w:adjustRightInd/>
      <w:spacing w:before="156" w:beforeLines="50" w:after="156" w:afterLines="50"/>
      <w:ind w:firstLine="320" w:firstLineChars="100"/>
      <w:jc w:val="center"/>
      <w:outlineLvl w:val="0"/>
    </w:pPr>
    <w:rPr>
      <w:rFonts w:ascii="楷体_GB2312" w:hAnsi="楷体_GB2312" w:eastAsia="PMingLiU"/>
      <w:color w:val="FF0000"/>
      <w:kern w:val="2"/>
      <w:sz w:val="32"/>
      <w:szCs w:val="32"/>
    </w:rPr>
  </w:style>
  <w:style w:type="paragraph" w:customStyle="1" w:styleId="460">
    <w:name w:val="修订1"/>
    <w:unhideWhenUsed/>
    <w:qFormat/>
    <w:uiPriority w:val="0"/>
    <w:rPr>
      <w:rFonts w:ascii="Times New Roman" w:hAnsi="Times New Roman" w:eastAsia="宋体" w:cs="Times New Roman"/>
      <w:kern w:val="2"/>
      <w:sz w:val="21"/>
      <w:szCs w:val="22"/>
      <w:lang w:val="en-US" w:eastAsia="zh-CN" w:bidi="ar-SA"/>
    </w:rPr>
  </w:style>
  <w:style w:type="paragraph" w:customStyle="1" w:styleId="461">
    <w:name w:val=" Char Char Char Char Char Char Char Char Char Char Char Char Char"/>
    <w:basedOn w:val="17"/>
    <w:qFormat/>
    <w:uiPriority w:val="0"/>
    <w:pPr>
      <w:autoSpaceDE/>
      <w:autoSpaceDN/>
      <w:adjustRightInd/>
      <w:jc w:val="both"/>
    </w:pPr>
    <w:rPr>
      <w:rFonts w:ascii="Arial Unicode MS" w:hAnsi="Arial Unicode MS"/>
      <w:kern w:val="2"/>
      <w:sz w:val="21"/>
      <w:szCs w:val="20"/>
    </w:rPr>
  </w:style>
  <w:style w:type="paragraph" w:customStyle="1" w:styleId="462">
    <w:name w:val="Graphics"/>
    <w:basedOn w:val="1"/>
    <w:qFormat/>
    <w:uiPriority w:val="0"/>
    <w:pPr>
      <w:widowControl/>
      <w:autoSpaceDE/>
      <w:autoSpaceDN/>
      <w:adjustRightInd/>
      <w:spacing w:before="120"/>
    </w:pPr>
    <w:rPr>
      <w:rFonts w:ascii="Arial Unicode MS" w:hAnsi="Arial Unicode MS"/>
      <w:color w:val="000000"/>
      <w:sz w:val="20"/>
      <w:szCs w:val="20"/>
      <w:lang w:eastAsia="en-US"/>
    </w:rPr>
  </w:style>
  <w:style w:type="paragraph" w:customStyle="1" w:styleId="463">
    <w:name w:val="xl33"/>
    <w:basedOn w:val="1"/>
    <w:qFormat/>
    <w:uiPriority w:val="0"/>
    <w:pPr>
      <w:widowControl/>
      <w:autoSpaceDE/>
      <w:autoSpaceDN/>
      <w:adjustRightInd/>
      <w:spacing w:before="100" w:beforeAutospacing="1" w:after="100" w:afterAutospacing="1"/>
    </w:pPr>
    <w:rPr>
      <w:rFonts w:hint="eastAsia" w:hAnsi="等线 Light"/>
      <w:sz w:val="20"/>
      <w:szCs w:val="20"/>
    </w:rPr>
  </w:style>
  <w:style w:type="paragraph" w:customStyle="1" w:styleId="464">
    <w:name w:val="Char Char Char Char Char Char Char Char Char Char Char Char1 Char Char Char Char1"/>
    <w:basedOn w:val="1"/>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65">
    <w:name w:val="表内文"/>
    <w:qFormat/>
    <w:uiPriority w:val="0"/>
    <w:rPr>
      <w:rFonts w:ascii="Arial Unicode MS" w:hAnsi="Arial Unicode MS" w:eastAsia="宋体" w:cs="Times New Roman"/>
      <w:kern w:val="2"/>
      <w:sz w:val="21"/>
      <w:szCs w:val="22"/>
      <w:lang w:val="en-US" w:eastAsia="zh-CN" w:bidi="ar-SA"/>
    </w:rPr>
  </w:style>
  <w:style w:type="paragraph" w:customStyle="1" w:styleId="466">
    <w:name w:val="编号1"/>
    <w:basedOn w:val="1"/>
    <w:qFormat/>
    <w:uiPriority w:val="0"/>
    <w:pPr>
      <w:tabs>
        <w:tab w:val="left" w:pos="425"/>
        <w:tab w:val="left" w:pos="851"/>
      </w:tabs>
      <w:autoSpaceDE/>
      <w:autoSpaceDN/>
      <w:adjustRightInd/>
      <w:spacing w:line="360" w:lineRule="auto"/>
      <w:ind w:left="425" w:hanging="425"/>
    </w:pPr>
    <w:rPr>
      <w:rFonts w:hAnsi="等线 Light"/>
      <w:bCs/>
      <w:kern w:val="2"/>
      <w:szCs w:val="20"/>
    </w:rPr>
  </w:style>
  <w:style w:type="paragraph" w:customStyle="1" w:styleId="467">
    <w:name w:val="彩色底纹 - 着色 11"/>
    <w:qFormat/>
    <w:uiPriority w:val="0"/>
    <w:rPr>
      <w:rFonts w:ascii="等线 Light" w:hAnsi="Times New Roman" w:eastAsia="宋体" w:cs="Times New Roman"/>
      <w:sz w:val="24"/>
      <w:szCs w:val="24"/>
      <w:lang w:val="en-US" w:eastAsia="zh-CN" w:bidi="ar-SA"/>
    </w:rPr>
  </w:style>
  <w:style w:type="paragraph" w:customStyle="1" w:styleId="468">
    <w:name w:val="默认段落字体 Para Char Char Char Char Char Char Char Char Char1 Char Char Char Char Char Char Char"/>
    <w:basedOn w:val="17"/>
    <w:qFormat/>
    <w:uiPriority w:val="0"/>
    <w:pPr>
      <w:autoSpaceDE/>
      <w:autoSpaceDN/>
      <w:adjustRightInd/>
      <w:jc w:val="both"/>
    </w:pPr>
    <w:rPr>
      <w:rFonts w:ascii="Calibri" w:hAnsi="Calibri"/>
      <w:kern w:val="2"/>
    </w:rPr>
  </w:style>
  <w:style w:type="paragraph" w:customStyle="1" w:styleId="469">
    <w:name w:val="Char Char Char"/>
    <w:basedOn w:val="1"/>
    <w:qFormat/>
    <w:uiPriority w:val="0"/>
    <w:pPr>
      <w:autoSpaceDE/>
      <w:autoSpaceDN/>
      <w:adjustRightInd/>
      <w:jc w:val="both"/>
    </w:pPr>
    <w:rPr>
      <w:rFonts w:ascii="Calibri" w:hAnsi="Calibri"/>
      <w:kern w:val="2"/>
      <w:szCs w:val="20"/>
    </w:rPr>
  </w:style>
  <w:style w:type="paragraph" w:customStyle="1" w:styleId="470">
    <w:name w:val="Blockquote"/>
    <w:basedOn w:val="1"/>
    <w:qFormat/>
    <w:uiPriority w:val="0"/>
    <w:pPr>
      <w:spacing w:before="100" w:after="100"/>
      <w:ind w:left="360" w:right="360"/>
    </w:pPr>
    <w:rPr>
      <w:rFonts w:ascii="Arial Unicode MS" w:hAnsi="Arial Unicode MS"/>
      <w:szCs w:val="20"/>
    </w:rPr>
  </w:style>
  <w:style w:type="paragraph" w:customStyle="1" w:styleId="471">
    <w:name w:val="TOC 标题1"/>
    <w:basedOn w:val="2"/>
    <w:next w:val="1"/>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472">
    <w:name w:val="xl58"/>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textAlignment w:val="center"/>
    </w:pPr>
    <w:rPr>
      <w:rFonts w:hAnsi="等线 Light"/>
    </w:rPr>
  </w:style>
  <w:style w:type="paragraph" w:customStyle="1" w:styleId="473">
    <w:name w:val="_Style 3"/>
    <w:basedOn w:val="1"/>
    <w:qFormat/>
    <w:uiPriority w:val="34"/>
    <w:pPr>
      <w:ind w:firstLine="420" w:firstLineChars="200"/>
    </w:pPr>
    <w:rPr>
      <w:kern w:val="2"/>
      <w:sz w:val="21"/>
      <w:szCs w:val="24"/>
    </w:rPr>
  </w:style>
  <w:style w:type="paragraph" w:customStyle="1" w:styleId="474">
    <w:name w:val="xl22"/>
    <w:basedOn w:val="1"/>
    <w:qFormat/>
    <w:uiPriority w:val="0"/>
    <w:pPr>
      <w:widowControl/>
      <w:autoSpaceDE/>
      <w:autoSpaceDN/>
      <w:adjustRightInd/>
      <w:spacing w:before="100" w:beforeAutospacing="1" w:after="100" w:afterAutospacing="1"/>
    </w:pPr>
    <w:rPr>
      <w:rFonts w:ascii="微软雅黑" w:hAnsi="等线 Light" w:eastAsia="微软雅黑" w:cs="等线 Light"/>
    </w:rPr>
  </w:style>
  <w:style w:type="paragraph" w:customStyle="1" w:styleId="475">
    <w:name w:val="附录章标题"/>
    <w:next w:val="362"/>
    <w:qFormat/>
    <w:uiPriority w:val="0"/>
    <w:pPr>
      <w:numPr>
        <w:ilvl w:val="1"/>
        <w:numId w:val="4"/>
      </w:numPr>
      <w:tabs>
        <w:tab w:val="left" w:pos="1440"/>
      </w:tabs>
      <w:wordWrap w:val="0"/>
      <w:overflowPunct w:val="0"/>
      <w:autoSpaceDE w:val="0"/>
      <w:spacing w:beforeLines="50" w:afterLines="50"/>
      <w:jc w:val="both"/>
      <w:textAlignment w:val="baseline"/>
      <w:outlineLvl w:val="1"/>
    </w:pPr>
    <w:rPr>
      <w:rFonts w:ascii="PMingLiU" w:hAnsi="Arial Unicode MS" w:eastAsia="PMingLiU" w:cs="Times New Roman"/>
      <w:kern w:val="21"/>
      <w:sz w:val="21"/>
      <w:lang w:val="en-US" w:eastAsia="zh-CN" w:bidi="ar-SA"/>
    </w:rPr>
  </w:style>
  <w:style w:type="paragraph" w:customStyle="1" w:styleId="476">
    <w:name w:val=" Char Char Char Char Char Char Char Char Char Char Char Char Char Char Char Char Char Char Char Char Char Char"/>
    <w:basedOn w:val="1"/>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77">
    <w:name w:val="注×："/>
    <w:qFormat/>
    <w:uiPriority w:val="0"/>
    <w:pPr>
      <w:widowControl w:val="0"/>
      <w:numPr>
        <w:ilvl w:val="0"/>
        <w:numId w:val="5"/>
      </w:numPr>
      <w:tabs>
        <w:tab w:val="left" w:pos="630"/>
        <w:tab w:val="left" w:pos="3444"/>
      </w:tabs>
      <w:autoSpaceDE w:val="0"/>
      <w:autoSpaceDN w:val="0"/>
      <w:jc w:val="both"/>
    </w:pPr>
    <w:rPr>
      <w:rFonts w:ascii="等线 Light" w:hAnsi="Arial Unicode MS" w:eastAsia="宋体" w:cs="Times New Roman"/>
      <w:sz w:val="18"/>
      <w:lang w:val="en-US" w:eastAsia="zh-CN" w:bidi="ar-SA"/>
    </w:rPr>
  </w:style>
  <w:style w:type="paragraph" w:customStyle="1" w:styleId="478">
    <w:name w:val="Level2Bullet"/>
    <w:basedOn w:val="1"/>
    <w:qFormat/>
    <w:uiPriority w:val="0"/>
    <w:pPr>
      <w:widowControl/>
      <w:numPr>
        <w:ilvl w:val="8"/>
        <w:numId w:val="6"/>
      </w:numPr>
      <w:tabs>
        <w:tab w:val="left" w:pos="3969"/>
        <w:tab w:val="left" w:pos="5954"/>
        <w:tab w:val="left" w:pos="7938"/>
      </w:tabs>
      <w:autoSpaceDE/>
      <w:autoSpaceDN/>
      <w:adjustRightInd/>
      <w:ind w:left="2268" w:hanging="283"/>
    </w:pPr>
    <w:rPr>
      <w:rFonts w:ascii="Cambria" w:hAnsi="Cambria"/>
      <w:sz w:val="20"/>
      <w:szCs w:val="20"/>
      <w:lang w:val="en-GB"/>
    </w:rPr>
  </w:style>
  <w:style w:type="paragraph" w:customStyle="1" w:styleId="479">
    <w:name w:val="2册标题1"/>
    <w:basedOn w:val="1"/>
    <w:next w:val="1"/>
    <w:qFormat/>
    <w:uiPriority w:val="0"/>
    <w:pPr>
      <w:autoSpaceDE/>
      <w:autoSpaceDN/>
      <w:adjustRightInd/>
      <w:spacing w:before="156" w:beforeLines="50" w:after="156" w:afterLines="50"/>
      <w:jc w:val="center"/>
      <w:outlineLvl w:val="0"/>
    </w:pPr>
    <w:rPr>
      <w:rFonts w:ascii="楷体_GB2312" w:hAnsi="楷体_GB2312" w:eastAsia="PMingLiU"/>
      <w:kern w:val="2"/>
      <w:sz w:val="32"/>
      <w:szCs w:val="32"/>
    </w:rPr>
  </w:style>
  <w:style w:type="paragraph" w:customStyle="1" w:styleId="480">
    <w:name w:val="Char Char Char Char Char Char Char Char Char Char Char Char Char Char Char Char Char Char Char Char Char Char Char Char Char Char Char Char Char Char Char Char Char"/>
    <w:basedOn w:val="1"/>
    <w:qFormat/>
    <w:uiPriority w:val="0"/>
    <w:pPr>
      <w:widowControl/>
      <w:autoSpaceDE/>
      <w:autoSpaceDN/>
      <w:adjustRightInd/>
      <w:spacing w:after="160" w:line="240" w:lineRule="exact"/>
    </w:pPr>
    <w:rPr>
      <w:rFonts w:ascii="Arial Unicode MS" w:hAnsi="Arial Unicode MS"/>
      <w:kern w:val="2"/>
    </w:rPr>
  </w:style>
  <w:style w:type="paragraph" w:customStyle="1" w:styleId="481">
    <w:name w:val="批注文字1"/>
    <w:basedOn w:val="1"/>
    <w:next w:val="19"/>
    <w:qFormat/>
    <w:uiPriority w:val="0"/>
    <w:pPr>
      <w:autoSpaceDE/>
      <w:autoSpaceDN/>
      <w:spacing w:line="360" w:lineRule="atLeast"/>
      <w:ind w:firstLine="480" w:firstLineChars="200"/>
      <w:textAlignment w:val="baseline"/>
    </w:pPr>
    <w:rPr>
      <w:rFonts w:ascii="Arial Unicode MS" w:hAnsi="Arial Unicode MS"/>
      <w:kern w:val="2"/>
      <w:szCs w:val="22"/>
    </w:rPr>
  </w:style>
  <w:style w:type="paragraph" w:customStyle="1" w:styleId="482">
    <w:name w:val="Table Text"/>
    <w:qFormat/>
    <w:uiPriority w:val="0"/>
    <w:pPr>
      <w:snapToGrid w:val="0"/>
      <w:spacing w:before="80" w:after="80"/>
      <w:ind w:left="51"/>
    </w:pPr>
    <w:rPr>
      <w:rFonts w:ascii="楷体_GB2312" w:hAnsi="楷体_GB2312" w:eastAsia="宋体" w:cs="Times New Roman"/>
      <w:sz w:val="21"/>
      <w:lang w:val="en-US" w:eastAsia="zh-CN" w:bidi="ar-SA"/>
    </w:rPr>
  </w:style>
  <w:style w:type="paragraph" w:customStyle="1" w:styleId="483">
    <w:name w:val="样式 标题 3头小节标题Heading 3 - oldh33rd levelH3l3CTLevel 3 Hea...1"/>
    <w:basedOn w:val="4"/>
    <w:qFormat/>
    <w:uiPriority w:val="0"/>
    <w:pPr>
      <w:keepNext/>
      <w:keepLines/>
      <w:tabs>
        <w:tab w:val="left" w:pos="964"/>
      </w:tabs>
      <w:autoSpaceDE/>
      <w:autoSpaceDN/>
      <w:adjustRightInd/>
      <w:spacing w:line="360" w:lineRule="auto"/>
      <w:ind w:firstLine="482" w:firstLineChars="200"/>
      <w:jc w:val="both"/>
    </w:pPr>
    <w:rPr>
      <w:rFonts w:hAnsi="等线 Light" w:cs="等线 Light"/>
      <w:bCs/>
      <w:szCs w:val="20"/>
    </w:rPr>
  </w:style>
  <w:style w:type="paragraph" w:customStyle="1" w:styleId="484">
    <w:name w:val="表格文字居中"/>
    <w:basedOn w:val="137"/>
    <w:qFormat/>
    <w:uiPriority w:val="0"/>
    <w:pPr>
      <w:jc w:val="center"/>
    </w:pPr>
    <w:rPr>
      <w:rFonts w:cs="等线 Light"/>
      <w:szCs w:val="20"/>
    </w:rPr>
  </w:style>
  <w:style w:type="paragraph" w:customStyle="1" w:styleId="485">
    <w:name w:val="xl62"/>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hAnsi="等线 Light"/>
    </w:rPr>
  </w:style>
  <w:style w:type="paragraph" w:customStyle="1" w:styleId="486">
    <w:name w:val="TOC 标题2"/>
    <w:basedOn w:val="2"/>
    <w:next w:val="1"/>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487">
    <w:name w:val="xl35"/>
    <w:basedOn w:val="1"/>
    <w:qFormat/>
    <w:uiPriority w:val="0"/>
    <w:pPr>
      <w:widowControl/>
      <w:pBdr>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488">
    <w:name w:val="af0-TBL-BR-1-TBL-BR-1"/>
    <w:qFormat/>
    <w:uiPriority w:val="0"/>
    <w:pPr>
      <w:widowControl w:val="0"/>
      <w:ind w:left="100" w:leftChars="2500"/>
      <w:jc w:val="both"/>
    </w:pPr>
    <w:rPr>
      <w:rFonts w:ascii="Arial Unicode MS" w:hAnsi="Arial Unicode MS" w:eastAsia="Verdana" w:cs="Times New Roman"/>
      <w:kern w:val="2"/>
      <w:sz w:val="21"/>
      <w:szCs w:val="24"/>
      <w:lang w:val="en-US" w:eastAsia="zh-CN" w:bidi="ar-SA"/>
    </w:rPr>
  </w:style>
  <w:style w:type="paragraph" w:customStyle="1" w:styleId="489">
    <w:name w:val="Default Paragraph Font Para Char"/>
    <w:basedOn w:val="1"/>
    <w:qFormat/>
    <w:uiPriority w:val="0"/>
    <w:pPr>
      <w:widowControl/>
      <w:autoSpaceDE/>
      <w:autoSpaceDN/>
      <w:adjustRightInd/>
      <w:spacing w:after="160" w:line="240" w:lineRule="exact"/>
    </w:pPr>
    <w:rPr>
      <w:rFonts w:ascii="Arial Unicode MS" w:hAnsi="Arial Unicode MS"/>
      <w:kern w:val="2"/>
      <w:sz w:val="21"/>
    </w:rPr>
  </w:style>
  <w:style w:type="paragraph" w:customStyle="1" w:styleId="490">
    <w:name w:val="pa-3"/>
    <w:basedOn w:val="1"/>
    <w:qFormat/>
    <w:uiPriority w:val="0"/>
    <w:pPr>
      <w:widowControl/>
      <w:autoSpaceDE/>
      <w:autoSpaceDN/>
      <w:adjustRightInd/>
      <w:spacing w:line="360" w:lineRule="atLeast"/>
      <w:ind w:firstLine="640"/>
      <w:jc w:val="both"/>
    </w:pPr>
    <w:rPr>
      <w:rFonts w:hAnsi="等线 Light" w:cs="等线 Light"/>
    </w:rPr>
  </w:style>
  <w:style w:type="paragraph" w:customStyle="1" w:styleId="491">
    <w:name w:val="样式 左侧:  0 厘米 悬挂缩进: 2.5 字符"/>
    <w:basedOn w:val="1"/>
    <w:qFormat/>
    <w:uiPriority w:val="0"/>
    <w:pPr>
      <w:autoSpaceDE/>
      <w:autoSpaceDN/>
      <w:adjustRightInd/>
      <w:ind w:left="525" w:hanging="525" w:hangingChars="250"/>
      <w:jc w:val="both"/>
    </w:pPr>
    <w:rPr>
      <w:rFonts w:ascii="Arial Unicode MS" w:hAnsi="Arial Unicode MS"/>
      <w:kern w:val="2"/>
      <w:sz w:val="21"/>
      <w:szCs w:val="20"/>
    </w:rPr>
  </w:style>
  <w:style w:type="paragraph" w:customStyle="1" w:styleId="492">
    <w:name w:val="正文 + 仿宋_GB2312"/>
    <w:basedOn w:val="1"/>
    <w:qFormat/>
    <w:uiPriority w:val="99"/>
    <w:pPr>
      <w:tabs>
        <w:tab w:val="left" w:pos="-720"/>
      </w:tabs>
      <w:spacing w:line="360" w:lineRule="auto"/>
      <w:ind w:firstLine="620"/>
    </w:pPr>
    <w:rPr>
      <w:rFonts w:ascii="微软雅黑" w:hAnsi="等线 Light" w:cs="等线 Light"/>
      <w:bCs/>
      <w:sz w:val="31"/>
      <w:szCs w:val="31"/>
    </w:rPr>
  </w:style>
  <w:style w:type="paragraph" w:customStyle="1" w:styleId="493">
    <w:name w:val="默认段落字体 Para Char Char Char Char"/>
    <w:basedOn w:val="1"/>
    <w:qFormat/>
    <w:uiPriority w:val="0"/>
    <w:pPr>
      <w:keepNext/>
      <w:tabs>
        <w:tab w:val="left" w:pos="2940"/>
      </w:tabs>
      <w:ind w:hanging="420"/>
    </w:pPr>
    <w:rPr>
      <w:rFonts w:ascii="Arial Unicode MS" w:hAnsi="Arial Unicode MS"/>
      <w:sz w:val="20"/>
      <w:szCs w:val="20"/>
    </w:rPr>
  </w:style>
  <w:style w:type="paragraph" w:customStyle="1" w:styleId="494">
    <w:name w:val="xl56"/>
    <w:basedOn w:val="1"/>
    <w:qFormat/>
    <w:uiPriority w:val="0"/>
    <w:pPr>
      <w:widowControl/>
      <w:pBdr>
        <w:top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hAnsi="等线 Light"/>
    </w:rPr>
  </w:style>
  <w:style w:type="paragraph" w:customStyle="1" w:styleId="495">
    <w:name w:val="样式 标题 5 + 非加粗 自动设置"/>
    <w:basedOn w:val="6"/>
    <w:qFormat/>
    <w:uiPriority w:val="0"/>
    <w:pPr>
      <w:numPr>
        <w:ilvl w:val="4"/>
        <w:numId w:val="3"/>
      </w:numPr>
      <w:tabs>
        <w:tab w:val="left" w:pos="2100"/>
        <w:tab w:val="left" w:pos="2551"/>
      </w:tabs>
      <w:autoSpaceDE/>
      <w:autoSpaceDN/>
      <w:snapToGrid w:val="0"/>
      <w:spacing w:before="0" w:after="0" w:line="360" w:lineRule="auto"/>
      <w:jc w:val="both"/>
      <w:textAlignment w:val="baseline"/>
    </w:pPr>
    <w:rPr>
      <w:rFonts w:hAnsi="Arial Unicode MS"/>
      <w:b w:val="0"/>
      <w:bCs w:val="0"/>
      <w:kern w:val="2"/>
      <w:sz w:val="21"/>
      <w:szCs w:val="21"/>
    </w:rPr>
  </w:style>
  <w:style w:type="paragraph" w:customStyle="1" w:styleId="496">
    <w:name w:val="xl41"/>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Arial Unicode MS" w:hAnsi="Arial Unicode MS"/>
    </w:rPr>
  </w:style>
  <w:style w:type="paragraph" w:customStyle="1" w:styleId="497">
    <w:name w:val="xl46"/>
    <w:basedOn w:val="1"/>
    <w:qFormat/>
    <w:uiPriority w:val="0"/>
    <w:pPr>
      <w:widowControl/>
      <w:pBdr>
        <w:left w:val="single" w:color="auto" w:sz="4" w:space="0"/>
        <w:right w:val="single" w:color="auto" w:sz="4" w:space="0"/>
      </w:pBdr>
      <w:autoSpaceDE/>
      <w:autoSpaceDN/>
      <w:adjustRightInd/>
      <w:spacing w:before="100" w:beforeAutospacing="1" w:after="100" w:afterAutospacing="1"/>
      <w:jc w:val="center"/>
      <w:textAlignment w:val="top"/>
    </w:pPr>
    <w:rPr>
      <w:rFonts w:ascii="等线 Light" w:hAnsi="等线 Light" w:eastAsia="等线 Light" w:cs="等线 Light"/>
      <w:sz w:val="20"/>
      <w:szCs w:val="20"/>
    </w:rPr>
  </w:style>
  <w:style w:type="paragraph" w:customStyle="1" w:styleId="498">
    <w:name w:val="方案标题3"/>
    <w:basedOn w:val="1"/>
    <w:next w:val="1"/>
    <w:qFormat/>
    <w:uiPriority w:val="0"/>
    <w:pPr>
      <w:keepLines/>
      <w:numPr>
        <w:ilvl w:val="2"/>
        <w:numId w:val="7"/>
      </w:numPr>
      <w:tabs>
        <w:tab w:val="left" w:pos="360"/>
        <w:tab w:val="left" w:pos="1200"/>
        <w:tab w:val="left" w:pos="2160"/>
        <w:tab w:val="left" w:pos="3300"/>
      </w:tabs>
      <w:autoSpaceDE/>
      <w:autoSpaceDN/>
      <w:spacing w:before="200" w:after="40"/>
      <w:jc w:val="both"/>
      <w:outlineLvl w:val="2"/>
    </w:pPr>
    <w:rPr>
      <w:rFonts w:ascii="楷体_GB2312" w:hAnsi="楷体_GB2312" w:eastAsia="PMingLiU"/>
      <w:spacing w:val="14"/>
      <w:sz w:val="28"/>
      <w:szCs w:val="20"/>
    </w:rPr>
  </w:style>
  <w:style w:type="paragraph" w:customStyle="1" w:styleId="499">
    <w:name w:val="3"/>
    <w:basedOn w:val="1"/>
    <w:next w:val="500"/>
    <w:qFormat/>
    <w:uiPriority w:val="34"/>
    <w:pPr>
      <w:autoSpaceDE/>
      <w:autoSpaceDN/>
      <w:adjustRightInd/>
      <w:ind w:firstLine="420" w:firstLineChars="200"/>
      <w:jc w:val="both"/>
    </w:pPr>
    <w:rPr>
      <w:rFonts w:ascii="Arial Unicode MS" w:hAnsi="Arial Unicode MS"/>
      <w:kern w:val="2"/>
      <w:sz w:val="21"/>
      <w:szCs w:val="22"/>
    </w:rPr>
  </w:style>
  <w:style w:type="paragraph" w:styleId="500">
    <w:name w:val="List Paragraph"/>
    <w:basedOn w:val="1"/>
    <w:qFormat/>
    <w:uiPriority w:val="34"/>
    <w:pPr>
      <w:autoSpaceDE/>
      <w:autoSpaceDN/>
      <w:adjustRightInd/>
      <w:ind w:firstLine="420" w:firstLineChars="200"/>
      <w:jc w:val="both"/>
    </w:pPr>
    <w:rPr>
      <w:rFonts w:ascii="Arial Unicode MS" w:hAnsi="Arial Unicode MS"/>
      <w:kern w:val="2"/>
      <w:sz w:val="21"/>
      <w:szCs w:val="22"/>
    </w:rPr>
  </w:style>
  <w:style w:type="paragraph" w:customStyle="1" w:styleId="501">
    <w:name w:val="Char Char Char Char Char Char1 Char Char Char Char Char Char Char Char Char Char Char Char Char Char Char Char Char Char Char Char Char Char Char Char Char Char Char Char Char Char Char Char Char Char"/>
    <w:basedOn w:val="1"/>
    <w:qFormat/>
    <w:uiPriority w:val="0"/>
    <w:pPr>
      <w:widowControl/>
      <w:autoSpaceDE/>
      <w:autoSpaceDN/>
      <w:adjustRightInd/>
      <w:spacing w:after="160" w:line="240" w:lineRule="exact"/>
    </w:pPr>
    <w:rPr>
      <w:rFonts w:ascii="Lucida Grande" w:hAnsi="Lucida Grande" w:eastAsia="微软雅黑"/>
      <w:szCs w:val="20"/>
      <w:lang w:eastAsia="en-US"/>
    </w:rPr>
  </w:style>
  <w:style w:type="paragraph" w:customStyle="1" w:styleId="502">
    <w:name w:val="affa-TBL-BR-1"/>
    <w:qFormat/>
    <w:uiPriority w:val="0"/>
    <w:pPr>
      <w:spacing w:line="480" w:lineRule="auto"/>
    </w:pPr>
    <w:rPr>
      <w:rFonts w:ascii="等线 Light" w:hAnsi="等线 Light" w:eastAsia="Courier New" w:cs="Times New Roman"/>
      <w:sz w:val="24"/>
      <w:lang w:val="en-US" w:eastAsia="zh-CN" w:bidi="ar-SA"/>
    </w:rPr>
  </w:style>
  <w:style w:type="paragraph" w:customStyle="1" w:styleId="503">
    <w:name w:val="样式 四号 红色 行距: 1.5 倍行距"/>
    <w:basedOn w:val="1"/>
    <w:qFormat/>
    <w:uiPriority w:val="0"/>
    <w:pPr>
      <w:autoSpaceDE/>
      <w:autoSpaceDN/>
      <w:snapToGrid w:val="0"/>
      <w:spacing w:line="360" w:lineRule="auto"/>
      <w:jc w:val="both"/>
    </w:pPr>
    <w:rPr>
      <w:rFonts w:ascii="Arial Unicode MS" w:hAnsi="Arial Unicode MS" w:cs="等线 Light"/>
      <w:color w:val="FF0000"/>
      <w:kern w:val="2"/>
      <w:sz w:val="28"/>
      <w:szCs w:val="20"/>
    </w:rPr>
  </w:style>
  <w:style w:type="paragraph" w:customStyle="1" w:styleId="504">
    <w:name w:val="样式 标题 2节H2Heading 2 HiddenHeading 2 CCBSheading 2h2节名正文二...1"/>
    <w:basedOn w:val="3"/>
    <w:qFormat/>
    <w:uiPriority w:val="0"/>
    <w:pPr>
      <w:keepNext/>
      <w:keepLines/>
      <w:autoSpaceDE/>
      <w:autoSpaceDN/>
      <w:adjustRightInd/>
      <w:spacing w:line="360" w:lineRule="auto"/>
      <w:jc w:val="both"/>
    </w:pPr>
    <w:rPr>
      <w:rFonts w:hAnsi="等线 Light"/>
      <w:bCs/>
      <w:caps/>
      <w:kern w:val="2"/>
      <w:szCs w:val="32"/>
    </w:rPr>
  </w:style>
  <w:style w:type="paragraph" w:customStyle="1" w:styleId="505">
    <w:name w:val="样式 目录 2 + 首行缩进:  2 字符"/>
    <w:basedOn w:val="47"/>
    <w:qFormat/>
    <w:uiPriority w:val="0"/>
    <w:pPr>
      <w:tabs>
        <w:tab w:val="right" w:leader="dot" w:pos="9072"/>
      </w:tabs>
      <w:autoSpaceDE/>
      <w:autoSpaceDN/>
      <w:snapToGrid w:val="0"/>
      <w:spacing w:line="360" w:lineRule="auto"/>
      <w:ind w:left="238" w:right="281" w:rightChars="134" w:firstLine="200" w:firstLineChars="200"/>
    </w:pPr>
    <w:rPr>
      <w:rFonts w:cs="等线 Light"/>
      <w:kern w:val="2"/>
    </w:rPr>
  </w:style>
  <w:style w:type="paragraph" w:customStyle="1" w:styleId="506">
    <w:name w:val="Char"/>
    <w:basedOn w:val="1"/>
    <w:qFormat/>
    <w:uiPriority w:val="0"/>
    <w:pPr>
      <w:widowControl/>
      <w:autoSpaceDE/>
      <w:autoSpaceDN/>
      <w:adjustRightInd/>
      <w:spacing w:after="160" w:line="240" w:lineRule="exact"/>
    </w:pPr>
    <w:rPr>
      <w:rFonts w:ascii="Lucida Grande" w:hAnsi="Lucida Grande" w:eastAsia="微软雅黑"/>
      <w:szCs w:val="20"/>
      <w:lang w:eastAsia="en-US"/>
    </w:rPr>
  </w:style>
  <w:style w:type="paragraph" w:customStyle="1" w:styleId="507">
    <w:name w:val="xl42"/>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ascii="微软雅黑" w:hAnsi="等线 Light" w:eastAsia="微软雅黑"/>
      <w:sz w:val="32"/>
      <w:szCs w:val="32"/>
    </w:rPr>
  </w:style>
  <w:style w:type="paragraph" w:customStyle="1" w:styleId="508">
    <w:name w:val="基准标题"/>
    <w:basedOn w:val="22"/>
    <w:next w:val="22"/>
    <w:qFormat/>
    <w:uiPriority w:val="0"/>
    <w:pPr>
      <w:keepNext/>
      <w:keepLines/>
      <w:widowControl/>
      <w:autoSpaceDE/>
      <w:autoSpaceDN/>
      <w:adjustRightInd/>
      <w:spacing w:line="240" w:lineRule="atLeast"/>
      <w:ind w:right="0"/>
      <w:jc w:val="left"/>
    </w:pPr>
    <w:rPr>
      <w:rFonts w:ascii="仿宋_GB2312" w:hAnsi="仿宋_GB2312"/>
      <w:b w:val="0"/>
      <w:bCs w:val="0"/>
      <w:spacing w:val="-5"/>
      <w:kern w:val="20"/>
      <w:sz w:val="24"/>
      <w:szCs w:val="20"/>
      <w:lang w:val="en-US"/>
    </w:rPr>
  </w:style>
  <w:style w:type="paragraph" w:customStyle="1" w:styleId="509">
    <w:name w:val="a)"/>
    <w:basedOn w:val="1"/>
    <w:qFormat/>
    <w:uiPriority w:val="0"/>
    <w:pPr>
      <w:autoSpaceDE/>
      <w:autoSpaceDN/>
      <w:adjustRightInd/>
      <w:spacing w:line="264" w:lineRule="auto"/>
      <w:jc w:val="both"/>
    </w:pPr>
    <w:rPr>
      <w:rFonts w:ascii="Arial Unicode MS" w:hAnsi="Arial Unicode MS"/>
      <w:kern w:val="2"/>
    </w:rPr>
  </w:style>
  <w:style w:type="paragraph" w:customStyle="1" w:styleId="510">
    <w:name w:val="版本说明标题"/>
    <w:basedOn w:val="1"/>
    <w:qFormat/>
    <w:uiPriority w:val="0"/>
    <w:pPr>
      <w:autoSpaceDE/>
      <w:autoSpaceDN/>
      <w:snapToGrid w:val="0"/>
      <w:spacing w:beforeLines="50" w:afterLines="50"/>
      <w:ind w:firstLine="560"/>
      <w:jc w:val="center"/>
      <w:textAlignment w:val="baseline"/>
    </w:pPr>
    <w:rPr>
      <w:rFonts w:ascii="幼圆" w:eastAsia="微软雅黑"/>
      <w:b/>
      <w:color w:val="000000"/>
      <w:kern w:val="2"/>
      <w:sz w:val="28"/>
      <w:szCs w:val="28"/>
    </w:rPr>
  </w:style>
  <w:style w:type="paragraph" w:customStyle="1" w:styleId="511">
    <w:name w:val="1."/>
    <w:basedOn w:val="1"/>
    <w:qFormat/>
    <w:uiPriority w:val="0"/>
    <w:pPr>
      <w:widowControl/>
      <w:tabs>
        <w:tab w:val="left" w:pos="1134"/>
      </w:tabs>
      <w:autoSpaceDE/>
      <w:autoSpaceDN/>
      <w:adjustRightInd/>
      <w:spacing w:before="240" w:line="240" w:lineRule="atLeast"/>
      <w:ind w:left="1134" w:hanging="454"/>
      <w:jc w:val="both"/>
    </w:pPr>
    <w:rPr>
      <w:rFonts w:ascii="Arial Unicode MS" w:hAnsi="Arial Unicode MS"/>
      <w:kern w:val="2"/>
    </w:rPr>
  </w:style>
  <w:style w:type="paragraph" w:customStyle="1" w:styleId="512">
    <w:name w:val="样式 标题 2节H2Heading 2 HiddenHeading 2 CCBSheading 2h2节名正文二..."/>
    <w:basedOn w:val="3"/>
    <w:qFormat/>
    <w:uiPriority w:val="0"/>
    <w:pPr>
      <w:keepNext/>
      <w:keepLines/>
      <w:autoSpaceDE/>
      <w:autoSpaceDN/>
      <w:adjustRightInd/>
      <w:spacing w:line="360" w:lineRule="auto"/>
      <w:ind w:firstLine="200" w:firstLineChars="200"/>
      <w:jc w:val="both"/>
    </w:pPr>
    <w:rPr>
      <w:rFonts w:ascii="幼圆" w:cs="等线 Light"/>
      <w:bCs/>
      <w:caps/>
      <w:kern w:val="2"/>
      <w:sz w:val="28"/>
      <w:szCs w:val="20"/>
    </w:rPr>
  </w:style>
  <w:style w:type="paragraph" w:customStyle="1" w:styleId="513">
    <w:name w:val="xl51"/>
    <w:basedOn w:val="1"/>
    <w:qFormat/>
    <w:uiPriority w:val="0"/>
    <w:pPr>
      <w:widowControl/>
      <w:pBdr>
        <w:bottom w:val="single" w:color="auto" w:sz="4" w:space="0"/>
        <w:right w:val="single" w:color="auto" w:sz="4" w:space="0"/>
      </w:pBdr>
      <w:autoSpaceDE/>
      <w:autoSpaceDN/>
      <w:adjustRightInd/>
      <w:spacing w:before="100" w:beforeAutospacing="1" w:after="100" w:afterAutospacing="1"/>
      <w:jc w:val="both"/>
      <w:textAlignment w:val="center"/>
    </w:pPr>
    <w:rPr>
      <w:rFonts w:ascii="楷体_GB2312" w:hAnsi="楷体_GB2312" w:eastAsia="等线 Light" w:cs="楷体_GB2312"/>
      <w:sz w:val="21"/>
      <w:szCs w:val="21"/>
    </w:rPr>
  </w:style>
  <w:style w:type="paragraph" w:customStyle="1" w:styleId="514">
    <w:name w:val="样式 标题 3H3l3CTh33rd levelLevel 3 HeadHeading 3 - oldISO2..."/>
    <w:basedOn w:val="4"/>
    <w:qFormat/>
    <w:uiPriority w:val="0"/>
    <w:pPr>
      <w:autoSpaceDE/>
      <w:autoSpaceDN/>
      <w:adjustRightInd/>
      <w:spacing w:line="360" w:lineRule="auto"/>
      <w:ind w:left="737" w:hanging="539"/>
      <w:jc w:val="both"/>
    </w:pPr>
    <w:rPr>
      <w:rFonts w:hAnsi="等线 Light"/>
      <w:b/>
      <w:kern w:val="2"/>
      <w:szCs w:val="20"/>
    </w:rPr>
  </w:style>
  <w:style w:type="paragraph" w:customStyle="1" w:styleId="515">
    <w:name w:val="需求书2"/>
    <w:basedOn w:val="1"/>
    <w:qFormat/>
    <w:uiPriority w:val="0"/>
    <w:pPr>
      <w:tabs>
        <w:tab w:val="left" w:pos="630"/>
      </w:tabs>
      <w:autoSpaceDE/>
      <w:autoSpaceDN/>
      <w:adjustRightInd/>
      <w:spacing w:line="360" w:lineRule="auto"/>
      <w:jc w:val="both"/>
    </w:pPr>
    <w:rPr>
      <w:rFonts w:hAnsi="Arial Unicode MS"/>
      <w:b/>
      <w:kern w:val="2"/>
    </w:rPr>
  </w:style>
  <w:style w:type="paragraph" w:customStyle="1" w:styleId="516">
    <w:name w:val="r3"/>
    <w:basedOn w:val="1"/>
    <w:qFormat/>
    <w:uiPriority w:val="0"/>
    <w:pPr>
      <w:autoSpaceDE/>
      <w:autoSpaceDN/>
      <w:spacing w:line="360" w:lineRule="atLeast"/>
      <w:jc w:val="both"/>
      <w:textAlignment w:val="baseline"/>
    </w:pPr>
    <w:rPr>
      <w:rFonts w:hAnsi="楷体_GB2312"/>
      <w:sz w:val="28"/>
      <w:szCs w:val="20"/>
    </w:rPr>
  </w:style>
  <w:style w:type="paragraph" w:customStyle="1" w:styleId="517">
    <w:name w:val="ÆÕÍ¨"/>
    <w:basedOn w:val="1"/>
    <w:qFormat/>
    <w:uiPriority w:val="0"/>
    <w:pPr>
      <w:widowControl/>
      <w:tabs>
        <w:tab w:val="left" w:pos="1276"/>
      </w:tabs>
      <w:overflowPunct w:val="0"/>
      <w:ind w:left="851"/>
      <w:textAlignment w:val="baseline"/>
    </w:pPr>
    <w:rPr>
      <w:rFonts w:ascii="楷体_GB2312" w:hAnsi="楷体_GB2312"/>
      <w:b/>
      <w:kern w:val="16"/>
      <w:sz w:val="20"/>
      <w:szCs w:val="20"/>
      <w:lang w:val="fr-FR"/>
    </w:rPr>
  </w:style>
  <w:style w:type="paragraph" w:customStyle="1" w:styleId="518">
    <w:name w:val="Normal1"/>
    <w:qFormat/>
    <w:uiPriority w:val="0"/>
    <w:pPr>
      <w:widowControl w:val="0"/>
      <w:adjustRightInd w:val="0"/>
      <w:spacing w:line="315" w:lineRule="atLeast"/>
      <w:jc w:val="both"/>
      <w:textAlignment w:val="baseline"/>
    </w:pPr>
    <w:rPr>
      <w:rFonts w:ascii="等线 Light" w:hAnsi="Arial Unicode MS" w:eastAsia="宋体" w:cs="Times New Roman"/>
      <w:sz w:val="21"/>
      <w:lang w:val="en-US" w:eastAsia="zh-CN" w:bidi="ar-SA"/>
    </w:rPr>
  </w:style>
  <w:style w:type="paragraph" w:customStyle="1" w:styleId="519">
    <w:name w:val="样式 首行缩进:  1.02 厘米"/>
    <w:basedOn w:val="1"/>
    <w:qFormat/>
    <w:uiPriority w:val="0"/>
    <w:pPr>
      <w:autoSpaceDE/>
      <w:autoSpaceDN/>
      <w:snapToGrid w:val="0"/>
      <w:spacing w:line="360" w:lineRule="auto"/>
      <w:ind w:firstLine="576"/>
    </w:pPr>
    <w:rPr>
      <w:rFonts w:ascii="Arial Unicode MS" w:hAnsi="Arial Unicode MS" w:cs="等线 Light"/>
      <w:szCs w:val="20"/>
    </w:rPr>
  </w:style>
  <w:style w:type="paragraph" w:customStyle="1" w:styleId="520">
    <w:name w:val="m1"/>
    <w:basedOn w:val="1"/>
    <w:qFormat/>
    <w:uiPriority w:val="0"/>
    <w:pPr>
      <w:autoSpaceDE/>
      <w:autoSpaceDN/>
      <w:snapToGrid w:val="0"/>
      <w:spacing w:line="320" w:lineRule="atLeast"/>
      <w:textAlignment w:val="bottom"/>
    </w:pPr>
    <w:rPr>
      <w:rFonts w:ascii="Arial Unicode MS" w:hAnsi="Arial Unicode MS" w:eastAsia="_x001A_"/>
      <w:sz w:val="28"/>
      <w:szCs w:val="20"/>
    </w:rPr>
  </w:style>
  <w:style w:type="paragraph" w:customStyle="1" w:styleId="521">
    <w:name w:val="xl61"/>
    <w:basedOn w:val="1"/>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hint="eastAsia" w:hAnsi="等线 Light"/>
    </w:rPr>
  </w:style>
  <w:style w:type="paragraph" w:customStyle="1" w:styleId="522">
    <w:name w:val="正文(一卡通)"/>
    <w:qFormat/>
    <w:uiPriority w:val="0"/>
    <w:pPr>
      <w:spacing w:line="360" w:lineRule="auto"/>
      <w:ind w:left="108" w:firstLine="482"/>
      <w:jc w:val="both"/>
    </w:pPr>
    <w:rPr>
      <w:rFonts w:ascii="Arial Unicode MS" w:hAnsi="Arial Unicode MS" w:eastAsia="宋体" w:cs="Times New Roman"/>
      <w:kern w:val="2"/>
      <w:sz w:val="24"/>
      <w:lang w:val="en-US" w:eastAsia="zh-CN" w:bidi="ar-SA"/>
    </w:rPr>
  </w:style>
  <w:style w:type="paragraph" w:customStyle="1" w:styleId="523">
    <w:name w:val="规2"/>
    <w:basedOn w:val="1"/>
    <w:qFormat/>
    <w:uiPriority w:val="0"/>
    <w:pPr>
      <w:autoSpaceDE/>
      <w:autoSpaceDN/>
      <w:adjustRightInd/>
      <w:jc w:val="both"/>
      <w:outlineLvl w:val="1"/>
    </w:pPr>
    <w:rPr>
      <w:rFonts w:ascii="Arial Unicode MS" w:hAnsi="Arial Unicode MS" w:eastAsia="PMingLiU" w:cs="幼圆"/>
      <w:kern w:val="2"/>
      <w:sz w:val="28"/>
      <w:szCs w:val="28"/>
    </w:rPr>
  </w:style>
  <w:style w:type="paragraph" w:customStyle="1" w:styleId="524">
    <w:name w:val="招标文件－表格用正文"/>
    <w:basedOn w:val="1"/>
    <w:qFormat/>
    <w:uiPriority w:val="0"/>
    <w:pPr>
      <w:autoSpaceDE/>
      <w:autoSpaceDN/>
      <w:adjustRightInd/>
      <w:spacing w:before="156" w:beforeLines="50" w:after="156" w:afterLines="50"/>
      <w:jc w:val="both"/>
    </w:pPr>
    <w:rPr>
      <w:rFonts w:hAnsi="Helv"/>
      <w:snapToGrid w:val="0"/>
      <w:color w:val="000000"/>
      <w:kern w:val="2"/>
      <w:szCs w:val="20"/>
    </w:rPr>
  </w:style>
  <w:style w:type="paragraph" w:customStyle="1" w:styleId="525">
    <w:name w:val="项目编号1"/>
    <w:basedOn w:val="14"/>
    <w:qFormat/>
    <w:uiPriority w:val="0"/>
    <w:pPr>
      <w:widowControl w:val="0"/>
      <w:numPr>
        <w:ilvl w:val="0"/>
        <w:numId w:val="8"/>
      </w:numPr>
      <w:tabs>
        <w:tab w:val="left" w:pos="851"/>
        <w:tab w:val="left" w:pos="964"/>
      </w:tabs>
      <w:spacing w:line="360" w:lineRule="auto"/>
      <w:ind w:firstLine="0" w:firstLineChars="0"/>
    </w:pPr>
    <w:rPr>
      <w:rFonts w:ascii="Arial Unicode MS" w:hAnsi="Arial Unicode MS"/>
      <w:snapToGrid w:val="0"/>
      <w:kern w:val="21"/>
      <w:sz w:val="21"/>
      <w:szCs w:val="21"/>
    </w:rPr>
  </w:style>
  <w:style w:type="paragraph" w:customStyle="1" w:styleId="526">
    <w:name w:val="偶数页篇眉"/>
    <w:basedOn w:val="40"/>
    <w:qFormat/>
    <w:uiPriority w:val="0"/>
    <w:pPr>
      <w:keepLines/>
      <w:pBdr>
        <w:bottom w:val="none" w:color="auto" w:sz="0" w:space="0"/>
      </w:pBdr>
      <w:tabs>
        <w:tab w:val="right" w:pos="0"/>
        <w:tab w:val="center" w:pos="7200"/>
        <w:tab w:val="right" w:pos="14400"/>
        <w:tab w:val="clear" w:pos="4153"/>
        <w:tab w:val="clear" w:pos="8306"/>
      </w:tabs>
      <w:autoSpaceDE/>
      <w:autoSpaceDN/>
      <w:adjustRightInd/>
      <w:snapToGrid/>
      <w:jc w:val="right"/>
    </w:pPr>
    <w:rPr>
      <w:rFonts w:ascii="Arial Unicode MS" w:hAnsi="Arial Unicode MS"/>
      <w:spacing w:val="80"/>
      <w:kern w:val="2"/>
      <w:sz w:val="21"/>
      <w:szCs w:val="24"/>
    </w:rPr>
  </w:style>
  <w:style w:type="paragraph" w:customStyle="1" w:styleId="527">
    <w:name w:val="样式 正文缩进 + 首行缩进:  2 字符"/>
    <w:basedOn w:val="14"/>
    <w:qFormat/>
    <w:uiPriority w:val="0"/>
    <w:pPr>
      <w:widowControl w:val="0"/>
      <w:spacing w:line="360" w:lineRule="auto"/>
      <w:ind w:firstLine="480"/>
      <w:jc w:val="both"/>
    </w:pPr>
    <w:rPr>
      <w:rFonts w:ascii="Arial Unicode MS" w:hAnsi="Arial Unicode MS"/>
      <w:kern w:val="2"/>
      <w:sz w:val="24"/>
    </w:rPr>
  </w:style>
  <w:style w:type="paragraph" w:customStyle="1" w:styleId="528">
    <w:name w:val="Char Char Char Char Char Char Char Char Char Char Char Char Char Char Char Char Char Char Char Char Char Char"/>
    <w:basedOn w:val="1"/>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29">
    <w:name w:val="普通(Web)111"/>
    <w:basedOn w:val="1"/>
    <w:next w:val="51"/>
    <w:qFormat/>
    <w:uiPriority w:val="0"/>
    <w:pPr>
      <w:autoSpaceDE/>
      <w:autoSpaceDN/>
      <w:adjustRightInd/>
      <w:jc w:val="both"/>
    </w:pPr>
    <w:rPr>
      <w:rFonts w:ascii="Arial Unicode MS" w:hAnsi="Arial Unicode MS"/>
      <w:kern w:val="2"/>
    </w:rPr>
  </w:style>
  <w:style w:type="paragraph" w:customStyle="1" w:styleId="530">
    <w:name w:val="A- Arial.9 Normal"/>
    <w:qFormat/>
    <w:uiPriority w:val="0"/>
    <w:pPr>
      <w:widowControl w:val="0"/>
      <w:spacing w:line="220" w:lineRule="exact"/>
      <w:ind w:left="3572"/>
    </w:pPr>
    <w:rPr>
      <w:rFonts w:ascii="楷体_GB2312" w:hAnsi="楷体_GB2312" w:eastAsia="宋体" w:cs="Times New Roman"/>
      <w:color w:val="000000"/>
      <w:sz w:val="18"/>
      <w:lang w:val="fr-FR" w:eastAsia="zh-CN" w:bidi="ar-SA"/>
    </w:rPr>
  </w:style>
  <w:style w:type="paragraph" w:customStyle="1" w:styleId="531">
    <w:name w:val="Char Char"/>
    <w:basedOn w:val="1"/>
    <w:qFormat/>
    <w:uiPriority w:val="0"/>
    <w:pPr>
      <w:autoSpaceDE/>
      <w:autoSpaceDN/>
      <w:adjustRightInd/>
      <w:jc w:val="both"/>
    </w:pPr>
    <w:rPr>
      <w:rFonts w:ascii="Calibri" w:hAnsi="Calibri"/>
      <w:kern w:val="2"/>
      <w:szCs w:val="20"/>
    </w:rPr>
  </w:style>
  <w:style w:type="paragraph" w:customStyle="1" w:styleId="532">
    <w:name w:val="(1)"/>
    <w:basedOn w:val="1"/>
    <w:qFormat/>
    <w:uiPriority w:val="0"/>
    <w:pPr>
      <w:widowControl/>
      <w:tabs>
        <w:tab w:val="left" w:pos="2608"/>
      </w:tabs>
      <w:overflowPunct w:val="0"/>
      <w:spacing w:before="120" w:after="120" w:line="264" w:lineRule="auto"/>
      <w:ind w:left="2608" w:hanging="567"/>
      <w:jc w:val="both"/>
      <w:textAlignment w:val="baseline"/>
    </w:pPr>
    <w:rPr>
      <w:rFonts w:ascii="Arial Unicode MS" w:hAnsi="Arial Unicode MS"/>
      <w:sz w:val="22"/>
      <w:szCs w:val="22"/>
    </w:rPr>
  </w:style>
  <w:style w:type="paragraph" w:customStyle="1" w:styleId="533">
    <w:name w:val="2册标题2"/>
    <w:basedOn w:val="1"/>
    <w:next w:val="1"/>
    <w:qFormat/>
    <w:uiPriority w:val="0"/>
    <w:pPr>
      <w:tabs>
        <w:tab w:val="left" w:pos="900"/>
        <w:tab w:val="left" w:pos="1410"/>
      </w:tabs>
      <w:autoSpaceDE/>
      <w:autoSpaceDN/>
      <w:adjustRightInd/>
      <w:spacing w:before="156" w:beforeLines="50" w:after="156" w:afterLines="50"/>
      <w:ind w:left="1410" w:hanging="510"/>
      <w:jc w:val="both"/>
      <w:outlineLvl w:val="1"/>
    </w:pPr>
    <w:rPr>
      <w:rFonts w:ascii="楷体_GB2312" w:hAnsi="楷体_GB2312" w:eastAsia="PMingLiU"/>
      <w:kern w:val="2"/>
      <w:sz w:val="30"/>
      <w:szCs w:val="30"/>
    </w:rPr>
  </w:style>
  <w:style w:type="paragraph" w:customStyle="1" w:styleId="534">
    <w:name w:val="WPSOffice手动目录 1"/>
    <w:qFormat/>
    <w:uiPriority w:val="0"/>
    <w:rPr>
      <w:rFonts w:ascii="Times New Roman" w:hAnsi="Times New Roman" w:eastAsia="宋体" w:cs="Times New Roman"/>
      <w:lang w:val="en-US" w:eastAsia="zh-CN" w:bidi="ar-SA"/>
    </w:rPr>
  </w:style>
  <w:style w:type="paragraph" w:customStyle="1" w:styleId="535">
    <w:name w:val="_Style 349"/>
    <w:next w:val="1"/>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536">
    <w:name w:val="F00"/>
    <w:basedOn w:val="1"/>
    <w:qFormat/>
    <w:uiPriority w:val="0"/>
    <w:pPr>
      <w:autoSpaceDE/>
      <w:autoSpaceDN/>
      <w:adjustRightInd/>
      <w:spacing w:before="50" w:after="50" w:line="0" w:lineRule="atLeast"/>
      <w:ind w:firstLine="200"/>
      <w:jc w:val="both"/>
    </w:pPr>
    <w:rPr>
      <w:rFonts w:ascii="Arial Unicode MS" w:hAnsi="Arial Unicode MS" w:eastAsia="微软雅黑"/>
      <w:kern w:val="24"/>
      <w:sz w:val="28"/>
    </w:rPr>
  </w:style>
  <w:style w:type="paragraph" w:customStyle="1" w:styleId="537">
    <w:name w:val="默认段落字体 Para Char Char Char Char Char Char Char Char Char Char"/>
    <w:basedOn w:val="1"/>
    <w:qFormat/>
    <w:uiPriority w:val="0"/>
    <w:pPr>
      <w:autoSpaceDE/>
      <w:autoSpaceDN/>
      <w:adjustRightInd/>
      <w:jc w:val="both"/>
    </w:pPr>
    <w:rPr>
      <w:rFonts w:ascii="Calibri" w:hAnsi="Calibri"/>
      <w:kern w:val="2"/>
      <w:szCs w:val="20"/>
    </w:rPr>
  </w:style>
  <w:style w:type="paragraph" w:customStyle="1" w:styleId="538">
    <w:name w:val="font5"/>
    <w:basedOn w:val="1"/>
    <w:qFormat/>
    <w:uiPriority w:val="0"/>
    <w:pPr>
      <w:widowControl/>
      <w:autoSpaceDE/>
      <w:autoSpaceDN/>
      <w:adjustRightInd/>
      <w:spacing w:before="100" w:beforeAutospacing="1" w:after="100" w:afterAutospacing="1"/>
    </w:pPr>
    <w:rPr>
      <w:rFonts w:hint="eastAsia" w:hAnsi="等线 Light"/>
      <w:sz w:val="18"/>
      <w:szCs w:val="18"/>
    </w:rPr>
  </w:style>
  <w:style w:type="paragraph" w:customStyle="1" w:styleId="539">
    <w:name w:val="xl32"/>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540">
    <w:name w:val="font0"/>
    <w:basedOn w:val="1"/>
    <w:qFormat/>
    <w:uiPriority w:val="0"/>
    <w:pPr>
      <w:widowControl/>
      <w:autoSpaceDE/>
      <w:autoSpaceDN/>
      <w:adjustRightInd/>
      <w:spacing w:before="100" w:beforeAutospacing="1" w:after="100" w:afterAutospacing="1"/>
    </w:pPr>
    <w:rPr>
      <w:rFonts w:hint="eastAsia" w:hAnsi="等线 Light"/>
    </w:rPr>
  </w:style>
  <w:style w:type="paragraph" w:customStyle="1" w:styleId="541">
    <w:name w:val="l_text"/>
    <w:basedOn w:val="1"/>
    <w:qFormat/>
    <w:uiPriority w:val="0"/>
    <w:pPr>
      <w:widowControl/>
      <w:overflowPunct w:val="0"/>
      <w:spacing w:before="120" w:after="120" w:line="360" w:lineRule="auto"/>
      <w:ind w:firstLine="561"/>
      <w:jc w:val="both"/>
      <w:textAlignment w:val="baseline"/>
    </w:pPr>
    <w:rPr>
      <w:rFonts w:ascii="Arial Unicode MS" w:hAnsi="Arial Unicode MS"/>
      <w:kern w:val="28"/>
      <w:sz w:val="28"/>
    </w:rPr>
  </w:style>
  <w:style w:type="paragraph" w:customStyle="1" w:styleId="542">
    <w:name w:val="xl44"/>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hint="eastAsia" w:ascii="等线 Light" w:hAnsi="等线 Light"/>
      <w:kern w:val="0"/>
      <w:sz w:val="24"/>
    </w:rPr>
  </w:style>
  <w:style w:type="paragraph" w:customStyle="1" w:styleId="543">
    <w:name w:val="af0-TBL-BR-1"/>
    <w:qFormat/>
    <w:uiPriority w:val="0"/>
    <w:pPr>
      <w:widowControl w:val="0"/>
      <w:ind w:left="100" w:leftChars="2500"/>
      <w:jc w:val="both"/>
    </w:pPr>
    <w:rPr>
      <w:rFonts w:ascii="Arial Unicode MS" w:hAnsi="Arial Unicode MS" w:eastAsia="Courier New" w:cs="Times New Roman"/>
      <w:kern w:val="2"/>
      <w:sz w:val="21"/>
      <w:szCs w:val="24"/>
      <w:lang w:val="en-US" w:eastAsia="zh-CN" w:bidi="ar-SA"/>
    </w:rPr>
  </w:style>
  <w:style w:type="paragraph" w:customStyle="1" w:styleId="544">
    <w:name w:val="首航缩进 Char"/>
    <w:basedOn w:val="1"/>
    <w:qFormat/>
    <w:uiPriority w:val="0"/>
    <w:pPr>
      <w:autoSpaceDE/>
      <w:autoSpaceDN/>
      <w:adjustRightInd/>
      <w:spacing w:line="300" w:lineRule="auto"/>
      <w:ind w:firstLine="480" w:firstLineChars="200"/>
      <w:jc w:val="both"/>
    </w:pPr>
    <w:rPr>
      <w:rFonts w:ascii="Arial Unicode MS" w:hAnsi="Arial Unicode MS" w:eastAsia="微软雅黑"/>
      <w:color w:val="000000"/>
      <w:kern w:val="2"/>
    </w:rPr>
  </w:style>
  <w:style w:type="paragraph" w:customStyle="1" w:styleId="545">
    <w:name w:val="xl102"/>
    <w:basedOn w:val="1"/>
    <w:qFormat/>
    <w:uiPriority w:val="0"/>
    <w:pPr>
      <w:widowControl/>
      <w:autoSpaceDE/>
      <w:autoSpaceDN/>
      <w:adjustRightInd/>
      <w:spacing w:before="100" w:beforeAutospacing="1" w:after="100" w:afterAutospacing="1"/>
      <w:jc w:val="center"/>
    </w:pPr>
    <w:rPr>
      <w:rFonts w:hAnsi="等线 Light" w:cs="等线 Light"/>
      <w:b/>
      <w:bCs/>
      <w:sz w:val="32"/>
      <w:szCs w:val="32"/>
    </w:rPr>
  </w:style>
  <w:style w:type="paragraph" w:customStyle="1" w:styleId="546">
    <w:name w:val="正文文本缩进1"/>
    <w:basedOn w:val="1"/>
    <w:next w:val="24"/>
    <w:qFormat/>
    <w:uiPriority w:val="0"/>
    <w:pPr>
      <w:autoSpaceDE/>
      <w:autoSpaceDN/>
      <w:adjustRightInd/>
      <w:spacing w:line="400" w:lineRule="atLeast"/>
      <w:ind w:firstLine="432"/>
      <w:jc w:val="both"/>
    </w:pPr>
    <w:rPr>
      <w:rFonts w:ascii="Arial Unicode MS" w:hAnsi="Arial Unicode MS" w:eastAsia="ˎ̥"/>
      <w:kern w:val="2"/>
    </w:rPr>
  </w:style>
  <w:style w:type="paragraph" w:styleId="547">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8">
    <w:name w:val="通用2"/>
    <w:basedOn w:val="1"/>
    <w:qFormat/>
    <w:uiPriority w:val="0"/>
    <w:pPr>
      <w:tabs>
        <w:tab w:val="left" w:pos="1391"/>
      </w:tabs>
      <w:autoSpaceDE/>
      <w:autoSpaceDN/>
      <w:adjustRightInd/>
      <w:spacing w:beforeLines="50" w:line="360" w:lineRule="auto"/>
      <w:ind w:left="1391" w:hanging="851"/>
      <w:jc w:val="both"/>
    </w:pPr>
    <w:rPr>
      <w:rFonts w:hAnsi="Arial Unicode MS"/>
      <w:kern w:val="2"/>
      <w:sz w:val="21"/>
      <w:szCs w:val="20"/>
    </w:rPr>
  </w:style>
  <w:style w:type="paragraph" w:customStyle="1" w:styleId="549">
    <w:name w:val="xl37"/>
    <w:basedOn w:val="1"/>
    <w:qFormat/>
    <w:uiPriority w:val="0"/>
    <w:pPr>
      <w:widowControl/>
      <w:autoSpaceDE/>
      <w:autoSpaceDN/>
      <w:adjustRightInd/>
      <w:spacing w:before="100" w:beforeAutospacing="1" w:after="100" w:afterAutospacing="1"/>
      <w:jc w:val="center"/>
    </w:pPr>
    <w:rPr>
      <w:rFonts w:hint="eastAsia" w:ascii="微软雅黑" w:hAnsi="等线 Light" w:eastAsia="微软雅黑"/>
    </w:rPr>
  </w:style>
  <w:style w:type="paragraph" w:customStyle="1" w:styleId="550">
    <w:name w:val="列表段落1"/>
    <w:basedOn w:val="1"/>
    <w:qFormat/>
    <w:uiPriority w:val="0"/>
    <w:pPr>
      <w:autoSpaceDE/>
      <w:autoSpaceDN/>
      <w:adjustRightInd/>
      <w:ind w:firstLine="420" w:firstLineChars="200"/>
      <w:jc w:val="both"/>
    </w:pPr>
    <w:rPr>
      <w:rFonts w:ascii="Arial Unicode MS" w:hAnsi="Arial Unicode MS"/>
      <w:kern w:val="2"/>
      <w:sz w:val="21"/>
      <w:szCs w:val="20"/>
    </w:rPr>
  </w:style>
  <w:style w:type="paragraph" w:customStyle="1" w:styleId="551">
    <w:name w:val="样式1"/>
    <w:basedOn w:val="1"/>
    <w:qFormat/>
    <w:uiPriority w:val="0"/>
    <w:pPr>
      <w:autoSpaceDE/>
      <w:autoSpaceDN/>
      <w:adjustRightInd/>
      <w:spacing w:before="120" w:after="120" w:line="300" w:lineRule="auto"/>
      <w:jc w:val="both"/>
    </w:pPr>
    <w:rPr>
      <w:rFonts w:hAnsi="等线 Light"/>
      <w:b/>
      <w:kern w:val="2"/>
      <w:szCs w:val="20"/>
    </w:rPr>
  </w:style>
  <w:style w:type="paragraph" w:customStyle="1" w:styleId="552">
    <w:name w:val="a0-TBL-BR-1"/>
    <w:qFormat/>
    <w:uiPriority w:val="0"/>
    <w:pPr>
      <w:widowControl w:val="0"/>
      <w:jc w:val="both"/>
    </w:pPr>
    <w:rPr>
      <w:rFonts w:ascii="Arial Unicode MS" w:hAnsi="Arial Unicode MS" w:eastAsia="Verdana" w:cs="Times New Roman"/>
      <w:kern w:val="2"/>
      <w:sz w:val="21"/>
      <w:szCs w:val="24"/>
      <w:lang w:val="en-US" w:eastAsia="zh-CN" w:bidi="ar-SA"/>
    </w:rPr>
  </w:style>
  <w:style w:type="paragraph" w:customStyle="1" w:styleId="553">
    <w:name w:val="6.4.2"/>
    <w:basedOn w:val="4"/>
    <w:qFormat/>
    <w:uiPriority w:val="0"/>
    <w:pPr>
      <w:tabs>
        <w:tab w:val="left" w:pos="425"/>
        <w:tab w:val="left" w:pos="960"/>
        <w:tab w:val="left" w:pos="1440"/>
        <w:tab w:val="left" w:leader="dot" w:pos="8160"/>
      </w:tabs>
      <w:overflowPunct w:val="0"/>
      <w:adjustRightInd/>
      <w:spacing w:before="260" w:beforeLines="60"/>
      <w:ind w:left="425" w:hanging="425" w:firstLineChars="196"/>
      <w:jc w:val="both"/>
      <w:outlineLvl w:val="9"/>
    </w:pPr>
    <w:rPr>
      <w:rFonts w:hAnsi="等线 Light"/>
      <w:bCs/>
      <w:snapToGrid w:val="0"/>
      <w:sz w:val="28"/>
      <w:szCs w:val="28"/>
    </w:rPr>
  </w:style>
  <w:style w:type="paragraph" w:customStyle="1" w:styleId="554">
    <w:name w:val="SINOPEC-0"/>
    <w:basedOn w:val="1"/>
    <w:qFormat/>
    <w:uiPriority w:val="0"/>
    <w:pPr>
      <w:autoSpaceDE/>
      <w:autoSpaceDN/>
      <w:adjustRightInd/>
      <w:spacing w:line="360" w:lineRule="auto"/>
      <w:ind w:firstLine="480" w:firstLineChars="200"/>
      <w:jc w:val="both"/>
    </w:pPr>
    <w:rPr>
      <w:rFonts w:ascii="楷体_GB2312" w:hAnsi="楷体_GB2312"/>
      <w:color w:val="0000FF"/>
      <w:kern w:val="2"/>
      <w:szCs w:val="20"/>
    </w:rPr>
  </w:style>
  <w:style w:type="paragraph" w:customStyle="1" w:styleId="555">
    <w:name w:val="xl54"/>
    <w:basedOn w:val="1"/>
    <w:qFormat/>
    <w:uiPriority w:val="0"/>
    <w:pPr>
      <w:widowControl/>
      <w:pBdr>
        <w:top w:val="single" w:color="auto" w:sz="4" w:space="0"/>
        <w:left w:val="single" w:color="auto" w:sz="4" w:space="0"/>
        <w:bottom w:val="single" w:color="auto" w:sz="4" w:space="0"/>
      </w:pBdr>
      <w:autoSpaceDE/>
      <w:autoSpaceDN/>
      <w:adjustRightInd/>
      <w:spacing w:before="100" w:beforeAutospacing="1" w:after="100" w:afterAutospacing="1"/>
      <w:jc w:val="center"/>
    </w:pPr>
    <w:rPr>
      <w:rFonts w:hint="eastAsia" w:hAnsi="等线 Light"/>
    </w:rPr>
  </w:style>
  <w:style w:type="paragraph" w:customStyle="1" w:styleId="556">
    <w:name w:val="yyn"/>
    <w:basedOn w:val="1"/>
    <w:qFormat/>
    <w:uiPriority w:val="0"/>
    <w:pPr>
      <w:keepNext/>
      <w:widowControl/>
      <w:overflowPunct w:val="0"/>
      <w:spacing w:line="360" w:lineRule="auto"/>
      <w:ind w:right="562" w:firstLine="576"/>
      <w:jc w:val="both"/>
      <w:textAlignment w:val="baseline"/>
    </w:pPr>
    <w:rPr>
      <w:rFonts w:hAnsi="Arial Unicode MS"/>
      <w:kern w:val="16"/>
      <w:sz w:val="28"/>
      <w:szCs w:val="20"/>
    </w:rPr>
  </w:style>
  <w:style w:type="paragraph" w:customStyle="1" w:styleId="557">
    <w:name w:val="_Style 6"/>
    <w:basedOn w:val="1"/>
    <w:qFormat/>
    <w:uiPriority w:val="34"/>
    <w:pPr>
      <w:autoSpaceDE/>
      <w:autoSpaceDN/>
      <w:adjustRightInd/>
      <w:ind w:firstLine="420" w:firstLineChars="200"/>
      <w:jc w:val="both"/>
    </w:pPr>
    <w:rPr>
      <w:rFonts w:ascii="Arial Unicode MS" w:hAnsi="Arial Unicode MS"/>
      <w:kern w:val="2"/>
      <w:sz w:val="21"/>
      <w:szCs w:val="22"/>
    </w:rPr>
  </w:style>
  <w:style w:type="paragraph" w:customStyle="1" w:styleId="558">
    <w:name w:val="正文2"/>
    <w:basedOn w:val="1"/>
    <w:qFormat/>
    <w:uiPriority w:val="0"/>
    <w:pPr>
      <w:widowControl/>
      <w:autoSpaceDE/>
      <w:autoSpaceDN/>
      <w:adjustRightInd/>
      <w:spacing w:after="160"/>
      <w:ind w:left="-85" w:firstLine="420" w:firstLineChars="200"/>
      <w:jc w:val="center"/>
    </w:pPr>
    <w:rPr>
      <w:rFonts w:ascii="Lucida Grande" w:hAnsi="Lucida Grande" w:eastAsia="PMingLiU"/>
      <w:sz w:val="21"/>
      <w:szCs w:val="21"/>
    </w:rPr>
  </w:style>
  <w:style w:type="paragraph" w:customStyle="1" w:styleId="55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60">
    <w:name w:val="xl60"/>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hAnsi="等线 Light"/>
    </w:rPr>
  </w:style>
  <w:style w:type="paragraph" w:customStyle="1" w:styleId="561">
    <w:name w:val="样式 标题 3头小节标题Heading 3 - oldh33rd levelH3l3CTLevel 3 Hea...2"/>
    <w:basedOn w:val="4"/>
    <w:qFormat/>
    <w:uiPriority w:val="0"/>
    <w:pPr>
      <w:keepNext/>
      <w:keepLines/>
      <w:tabs>
        <w:tab w:val="left" w:pos="964"/>
      </w:tabs>
      <w:autoSpaceDE/>
      <w:autoSpaceDN/>
      <w:adjustRightInd/>
      <w:spacing w:line="360" w:lineRule="auto"/>
      <w:ind w:firstLine="482" w:firstLineChars="200"/>
      <w:jc w:val="both"/>
    </w:pPr>
    <w:rPr>
      <w:rFonts w:hAnsi="等线 Light" w:cs="等线 Light"/>
      <w:bCs/>
      <w:kern w:val="2"/>
      <w:szCs w:val="20"/>
    </w:rPr>
  </w:style>
  <w:style w:type="paragraph" w:customStyle="1" w:styleId="562">
    <w:name w:val="xl30"/>
    <w:basedOn w:val="1"/>
    <w:qFormat/>
    <w:uiPriority w:val="0"/>
    <w:pPr>
      <w:widowControl/>
      <w:pBdr>
        <w:lef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563">
    <w:name w:val="表内容"/>
    <w:basedOn w:val="1"/>
    <w:qFormat/>
    <w:uiPriority w:val="0"/>
    <w:pPr>
      <w:spacing w:before="60" w:after="60" w:line="288" w:lineRule="auto"/>
      <w:jc w:val="center"/>
      <w:textAlignment w:val="baseline"/>
    </w:pPr>
    <w:rPr>
      <w:rFonts w:ascii="楷体_GB2312" w:hAnsi="楷体_GB2312"/>
      <w:sz w:val="21"/>
      <w:szCs w:val="20"/>
    </w:rPr>
  </w:style>
  <w:style w:type="paragraph" w:customStyle="1" w:styleId="564">
    <w:name w:val="xl23"/>
    <w:basedOn w:val="1"/>
    <w:qFormat/>
    <w:uiPriority w:val="0"/>
    <w:pPr>
      <w:widowControl/>
      <w:autoSpaceDE/>
      <w:autoSpaceDN/>
      <w:adjustRightInd/>
      <w:spacing w:before="100" w:beforeAutospacing="1" w:after="100" w:afterAutospacing="1"/>
      <w:jc w:val="center"/>
    </w:pPr>
    <w:rPr>
      <w:rFonts w:ascii="微软雅黑" w:hAnsi="等线 Light" w:eastAsia="微软雅黑" w:cs="等线 Light"/>
    </w:rPr>
  </w:style>
  <w:style w:type="paragraph" w:customStyle="1" w:styleId="565">
    <w:name w:val="样式2"/>
    <w:basedOn w:val="6"/>
    <w:qFormat/>
    <w:uiPriority w:val="0"/>
    <w:pPr>
      <w:tabs>
        <w:tab w:val="left" w:pos="360"/>
        <w:tab w:val="left" w:pos="1931"/>
      </w:tabs>
      <w:autoSpaceDE/>
      <w:autoSpaceDN/>
      <w:snapToGrid w:val="0"/>
      <w:spacing w:before="240" w:after="120" w:line="300" w:lineRule="auto"/>
      <w:ind w:left="360" w:hanging="360" w:hangingChars="200"/>
      <w:jc w:val="both"/>
    </w:pPr>
    <w:rPr>
      <w:rFonts w:ascii="楷体_GB2312" w:hAnsi="楷体_GB2312"/>
      <w:bCs w:val="0"/>
      <w:kern w:val="2"/>
      <w:sz w:val="24"/>
      <w:szCs w:val="20"/>
    </w:rPr>
  </w:style>
  <w:style w:type="paragraph" w:customStyle="1" w:styleId="566">
    <w:name w:val="第12册用标题"/>
    <w:basedOn w:val="1"/>
    <w:next w:val="1"/>
    <w:qFormat/>
    <w:uiPriority w:val="0"/>
    <w:pPr>
      <w:autoSpaceDE/>
      <w:autoSpaceDN/>
      <w:adjustRightInd/>
      <w:spacing w:before="156" w:beforeLines="50" w:after="156" w:afterLines="50"/>
      <w:jc w:val="center"/>
      <w:outlineLvl w:val="0"/>
    </w:pPr>
    <w:rPr>
      <w:rFonts w:ascii="楷体_GB2312" w:hAnsi="楷体_GB2312" w:eastAsia="PMingLiU"/>
      <w:kern w:val="2"/>
      <w:sz w:val="44"/>
      <w:szCs w:val="20"/>
    </w:rPr>
  </w:style>
  <w:style w:type="paragraph" w:customStyle="1" w:styleId="567">
    <w:name w:val="正文段"/>
    <w:basedOn w:val="1"/>
    <w:qFormat/>
    <w:uiPriority w:val="0"/>
    <w:pPr>
      <w:widowControl/>
      <w:autoSpaceDE/>
      <w:autoSpaceDN/>
      <w:spacing w:after="240" w:line="360" w:lineRule="atLeast"/>
      <w:ind w:firstLine="454"/>
      <w:jc w:val="both"/>
      <w:textAlignment w:val="bottom"/>
    </w:pPr>
    <w:rPr>
      <w:rFonts w:hAnsi="Arial Unicode MS"/>
      <w:szCs w:val="20"/>
    </w:rPr>
  </w:style>
  <w:style w:type="paragraph" w:customStyle="1" w:styleId="568">
    <w:name w:val="xl36"/>
    <w:basedOn w:val="1"/>
    <w:qFormat/>
    <w:uiPriority w:val="0"/>
    <w:pPr>
      <w:widowControl/>
      <w:pBdr>
        <w:bottom w:val="single" w:color="auto" w:sz="4" w:space="0"/>
        <w:right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569">
    <w:name w:val="_Style 568"/>
    <w:basedOn w:val="2"/>
    <w:next w:val="1"/>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570">
    <w:name w:val="black1"/>
    <w:basedOn w:val="1"/>
    <w:qFormat/>
    <w:uiPriority w:val="0"/>
    <w:pPr>
      <w:widowControl/>
      <w:autoSpaceDE/>
      <w:autoSpaceDN/>
      <w:adjustRightInd/>
      <w:spacing w:before="100" w:beforeAutospacing="1" w:after="100" w:afterAutospacing="1" w:line="280" w:lineRule="atLeast"/>
    </w:pPr>
    <w:rPr>
      <w:rFonts w:ascii="Arial Unicode MS" w:hAnsi="Arial Unicode MS"/>
      <w:color w:val="000000"/>
      <w:sz w:val="18"/>
      <w:szCs w:val="18"/>
    </w:rPr>
  </w:style>
  <w:style w:type="paragraph" w:customStyle="1" w:styleId="571">
    <w:name w:val="_Style 2"/>
    <w:basedOn w:val="1"/>
    <w:qFormat/>
    <w:uiPriority w:val="34"/>
    <w:pPr>
      <w:autoSpaceDE/>
      <w:autoSpaceDN/>
      <w:adjustRightInd/>
      <w:ind w:firstLine="420" w:firstLineChars="200"/>
      <w:jc w:val="both"/>
    </w:pPr>
    <w:rPr>
      <w:rFonts w:ascii="Arial Unicode MS" w:hAnsi="Arial Unicode MS"/>
      <w:kern w:val="2"/>
      <w:sz w:val="21"/>
      <w:szCs w:val="22"/>
    </w:rPr>
  </w:style>
  <w:style w:type="paragraph" w:customStyle="1" w:styleId="572">
    <w:name w:val="+标题1"/>
    <w:basedOn w:val="2"/>
    <w:qFormat/>
    <w:uiPriority w:val="0"/>
    <w:pPr>
      <w:keepNext/>
      <w:keepLines/>
      <w:pageBreakBefore/>
      <w:numPr>
        <w:ilvl w:val="0"/>
        <w:numId w:val="9"/>
      </w:numPr>
      <w:autoSpaceDE/>
      <w:autoSpaceDN/>
      <w:adjustRightInd/>
      <w:spacing w:before="240" w:after="240" w:line="360" w:lineRule="auto"/>
      <w:jc w:val="both"/>
    </w:pPr>
    <w:rPr>
      <w:rFonts w:ascii="Arial Unicode MS" w:hAnsi="Arial Unicode MS" w:eastAsia="PMingLiU"/>
      <w:b/>
      <w:bCs/>
      <w:kern w:val="32"/>
      <w:sz w:val="28"/>
      <w:szCs w:val="28"/>
    </w:rPr>
  </w:style>
  <w:style w:type="paragraph" w:customStyle="1" w:styleId="573">
    <w:name w:val="目录"/>
    <w:basedOn w:val="1"/>
    <w:qFormat/>
    <w:uiPriority w:val="0"/>
    <w:pPr>
      <w:widowControl/>
      <w:autoSpaceDE/>
      <w:autoSpaceDN/>
      <w:adjustRightInd/>
      <w:jc w:val="center"/>
    </w:pPr>
    <w:rPr>
      <w:rFonts w:hAnsi="Arial Unicode MS"/>
      <w:b/>
      <w:sz w:val="36"/>
      <w:szCs w:val="20"/>
    </w:rPr>
  </w:style>
  <w:style w:type="paragraph" w:customStyle="1" w:styleId="574">
    <w:name w:val="纯文本1"/>
    <w:basedOn w:val="1"/>
    <w:qFormat/>
    <w:uiPriority w:val="0"/>
    <w:pPr>
      <w:autoSpaceDE/>
      <w:autoSpaceDN/>
      <w:jc w:val="both"/>
      <w:textAlignment w:val="baseline"/>
    </w:pPr>
    <w:rPr>
      <w:rFonts w:hAnsi="Helv" w:eastAsia="Cambria Math"/>
      <w:kern w:val="2"/>
      <w:sz w:val="26"/>
      <w:szCs w:val="20"/>
    </w:rPr>
  </w:style>
  <w:style w:type="paragraph" w:customStyle="1" w:styleId="575">
    <w:name w:val="彩色底纹 - 强调文字颜色 11"/>
    <w:semiHidden/>
    <w:qFormat/>
    <w:uiPriority w:val="99"/>
    <w:rPr>
      <w:rFonts w:ascii="等线 Light" w:hAnsi="Times New Roman" w:eastAsia="宋体" w:cs="Times New Roman"/>
      <w:sz w:val="24"/>
      <w:szCs w:val="24"/>
      <w:lang w:val="en-US" w:eastAsia="zh-CN" w:bidi="ar-SA"/>
    </w:rPr>
  </w:style>
  <w:style w:type="paragraph" w:customStyle="1" w:styleId="576">
    <w:name w:val="列出段落11"/>
    <w:basedOn w:val="1"/>
    <w:qFormat/>
    <w:uiPriority w:val="34"/>
    <w:pPr>
      <w:ind w:firstLine="420" w:firstLineChars="200"/>
    </w:pPr>
  </w:style>
  <w:style w:type="paragraph" w:customStyle="1" w:styleId="577">
    <w:name w:val="_Style 166"/>
    <w:next w:val="1"/>
    <w:qFormat/>
    <w:uiPriority w:val="0"/>
    <w:pPr>
      <w:widowControl w:val="0"/>
      <w:jc w:val="both"/>
    </w:pPr>
    <w:rPr>
      <w:rFonts w:ascii="Arial Unicode MS" w:hAnsi="Arial Unicode MS" w:eastAsia="宋体" w:cs="Times New Roman"/>
      <w:kern w:val="2"/>
      <w:sz w:val="21"/>
      <w:szCs w:val="24"/>
      <w:lang w:val="en-US" w:eastAsia="zh-CN" w:bidi="ar-SA"/>
    </w:rPr>
  </w:style>
  <w:style w:type="paragraph" w:customStyle="1" w:styleId="57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Helv" w:hAnsi="Helv"/>
      <w:sz w:val="20"/>
      <w:szCs w:val="20"/>
    </w:rPr>
  </w:style>
  <w:style w:type="paragraph" w:customStyle="1" w:styleId="579">
    <w:name w:val="网格表 32"/>
    <w:basedOn w:val="2"/>
    <w:next w:val="1"/>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580">
    <w:name w:val=" Char1 Char Char Char"/>
    <w:basedOn w:val="1"/>
    <w:qFormat/>
    <w:uiPriority w:val="0"/>
    <w:pPr>
      <w:autoSpaceDE/>
      <w:autoSpaceDN/>
      <w:adjustRightInd/>
      <w:jc w:val="both"/>
    </w:pPr>
    <w:rPr>
      <w:rFonts w:ascii="Arial Unicode MS" w:hAnsi="Arial Unicode MS"/>
      <w:kern w:val="2"/>
      <w:sz w:val="21"/>
    </w:rPr>
  </w:style>
  <w:style w:type="paragraph" w:customStyle="1" w:styleId="581">
    <w:name w:val="+标题3"/>
    <w:basedOn w:val="4"/>
    <w:qFormat/>
    <w:uiPriority w:val="0"/>
    <w:pPr>
      <w:autoSpaceDE/>
      <w:autoSpaceDN/>
      <w:snapToGrid w:val="0"/>
      <w:spacing w:line="360" w:lineRule="auto"/>
      <w:ind w:left="-2" w:leftChars="-1" w:firstLine="420"/>
      <w:jc w:val="both"/>
    </w:pPr>
    <w:rPr>
      <w:rFonts w:hAnsi="等线 Light"/>
      <w:b/>
      <w:sz w:val="32"/>
      <w:szCs w:val="21"/>
    </w:rPr>
  </w:style>
  <w:style w:type="paragraph" w:customStyle="1" w:styleId="582">
    <w:name w:val="2"/>
    <w:basedOn w:val="1"/>
    <w:next w:val="32"/>
    <w:qFormat/>
    <w:uiPriority w:val="0"/>
    <w:pPr>
      <w:autoSpaceDE/>
      <w:autoSpaceDN/>
      <w:adjustRightInd/>
      <w:jc w:val="both"/>
    </w:pPr>
    <w:rPr>
      <w:rFonts w:hAnsi="Helv"/>
      <w:kern w:val="2"/>
      <w:sz w:val="21"/>
      <w:szCs w:val="20"/>
    </w:rPr>
  </w:style>
  <w:style w:type="paragraph" w:customStyle="1" w:styleId="583">
    <w:name w:val="_Style 582"/>
    <w:qFormat/>
    <w:uiPriority w:val="99"/>
    <w:rPr>
      <w:rFonts w:ascii="等线 Light" w:hAnsi="Times New Roman" w:eastAsia="宋体" w:cs="Times New Roman"/>
      <w:sz w:val="24"/>
      <w:szCs w:val="24"/>
      <w:lang w:val="en-US" w:eastAsia="zh-CN" w:bidi="ar-SA"/>
    </w:rPr>
  </w:style>
  <w:style w:type="paragraph" w:customStyle="1" w:styleId="584">
    <w:name w:val="编号"/>
    <w:basedOn w:val="1"/>
    <w:qFormat/>
    <w:uiPriority w:val="0"/>
    <w:pPr>
      <w:numPr>
        <w:ilvl w:val="0"/>
        <w:numId w:val="10"/>
      </w:numPr>
      <w:autoSpaceDE/>
      <w:autoSpaceDN/>
      <w:adjustRightInd/>
      <w:snapToGrid w:val="0"/>
      <w:spacing w:line="300" w:lineRule="auto"/>
      <w:jc w:val="both"/>
    </w:pPr>
    <w:rPr>
      <w:rFonts w:hAnsi="等线 Light"/>
      <w:color w:val="000000"/>
      <w:kern w:val="2"/>
    </w:rPr>
  </w:style>
  <w:style w:type="paragraph" w:customStyle="1" w:styleId="585">
    <w:name w:val="a0-TBL-BR-1-TBL-BR-1"/>
    <w:qFormat/>
    <w:uiPriority w:val="0"/>
    <w:pPr>
      <w:widowControl w:val="0"/>
      <w:jc w:val="both"/>
    </w:pPr>
    <w:rPr>
      <w:rFonts w:ascii="Arial Unicode MS" w:hAnsi="Arial Unicode MS" w:eastAsia="Verdana" w:cs="Times New Roman"/>
      <w:kern w:val="2"/>
      <w:sz w:val="21"/>
      <w:szCs w:val="24"/>
      <w:lang w:val="en-US" w:eastAsia="zh-CN" w:bidi="ar-SA"/>
    </w:rPr>
  </w:style>
  <w:style w:type="paragraph" w:customStyle="1" w:styleId="586">
    <w:name w:val="head4"/>
    <w:basedOn w:val="411"/>
    <w:qFormat/>
    <w:uiPriority w:val="0"/>
    <w:pPr>
      <w:jc w:val="both"/>
    </w:pPr>
    <w:rPr>
      <w:b w:val="0"/>
    </w:rPr>
  </w:style>
  <w:style w:type="paragraph" w:customStyle="1" w:styleId="587">
    <w:name w:val="xl34"/>
    <w:basedOn w:val="1"/>
    <w:qFormat/>
    <w:uiPriority w:val="0"/>
    <w:pPr>
      <w:widowControl/>
      <w:pBdr>
        <w:top w:val="single" w:color="auto" w:sz="4" w:space="0"/>
        <w:right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588">
    <w:name w:val="xl48"/>
    <w:basedOn w:val="1"/>
    <w:qFormat/>
    <w:uiPriority w:val="0"/>
    <w:pPr>
      <w:widowControl/>
      <w:pBdr>
        <w:left w:val="single" w:color="auto" w:sz="4" w:space="0"/>
        <w:bottom w:val="single" w:color="auto" w:sz="4" w:space="0"/>
      </w:pBdr>
      <w:autoSpaceDE/>
      <w:autoSpaceDN/>
      <w:adjustRightInd/>
      <w:spacing w:before="100" w:beforeAutospacing="1" w:after="100" w:afterAutospacing="1"/>
    </w:pPr>
    <w:rPr>
      <w:rFonts w:hAnsi="等线 Light" w:cs="等线 Light"/>
    </w:rPr>
  </w:style>
  <w:style w:type="paragraph" w:customStyle="1" w:styleId="589">
    <w:name w:val="_Style 66"/>
    <w:next w:val="1"/>
    <w:qFormat/>
    <w:uiPriority w:val="99"/>
    <w:pPr>
      <w:widowControl w:val="0"/>
      <w:autoSpaceDE w:val="0"/>
      <w:autoSpaceDN w:val="0"/>
      <w:adjustRightInd w:val="0"/>
    </w:pPr>
    <w:rPr>
      <w:rFonts w:ascii="等线 Light" w:hAnsi="Times New Roman" w:eastAsia="宋体" w:cs="Times New Roman"/>
      <w:sz w:val="24"/>
      <w:szCs w:val="24"/>
      <w:lang w:val="en-US" w:eastAsia="zh-CN" w:bidi="ar-SA"/>
    </w:rPr>
  </w:style>
  <w:style w:type="paragraph" w:customStyle="1" w:styleId="590">
    <w:name w:val=" Char1 Char Char Char1 Char Char Char Char Char Char Char Char Char"/>
    <w:basedOn w:val="1"/>
    <w:qFormat/>
    <w:uiPriority w:val="0"/>
    <w:pPr>
      <w:widowControl/>
      <w:autoSpaceDE/>
      <w:autoSpaceDN/>
      <w:adjustRightInd/>
      <w:spacing w:after="160" w:line="240" w:lineRule="exact"/>
    </w:pPr>
    <w:rPr>
      <w:rFonts w:ascii="Lucida Grande" w:hAnsi="Lucida Grande" w:eastAsia="Cambria Math"/>
      <w:b/>
      <w:i/>
      <w:iCs/>
      <w:color w:val="000000"/>
      <w:sz w:val="20"/>
      <w:szCs w:val="20"/>
      <w:lang w:eastAsia="en-US"/>
    </w:rPr>
  </w:style>
  <w:style w:type="paragraph" w:customStyle="1" w:styleId="591">
    <w:name w:val=" Char Char Char Char Char Char Char Char Char Char Char Char Char Char Char Char Char Char Char"/>
    <w:basedOn w:val="1"/>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92">
    <w:name w:val="样式 宋体 行距: 固定值 18 磅"/>
    <w:basedOn w:val="1"/>
    <w:qFormat/>
    <w:uiPriority w:val="0"/>
    <w:pPr>
      <w:autoSpaceDE/>
      <w:autoSpaceDN/>
      <w:adjustRightInd/>
      <w:spacing w:before="30" w:beforeLines="30" w:line="360" w:lineRule="exact"/>
      <w:jc w:val="both"/>
    </w:pPr>
    <w:rPr>
      <w:rFonts w:hAnsi="等线 Light"/>
      <w:kern w:val="2"/>
      <w:sz w:val="21"/>
      <w:szCs w:val="20"/>
    </w:rPr>
  </w:style>
  <w:style w:type="paragraph" w:customStyle="1" w:styleId="593">
    <w:name w:val="Default Text"/>
    <w:basedOn w:val="1"/>
    <w:qFormat/>
    <w:uiPriority w:val="0"/>
    <w:rPr>
      <w:rFonts w:ascii="Arial Unicode MS" w:hAnsi="Arial Unicode MS"/>
    </w:rPr>
  </w:style>
  <w:style w:type="paragraph" w:customStyle="1" w:styleId="594">
    <w:name w:val="项目"/>
    <w:basedOn w:val="1"/>
    <w:qFormat/>
    <w:uiPriority w:val="0"/>
    <w:pPr>
      <w:widowControl/>
      <w:tabs>
        <w:tab w:val="left" w:pos="300"/>
        <w:tab w:val="left" w:pos="840"/>
        <w:tab w:val="left" w:pos="993"/>
      </w:tabs>
      <w:overflowPunct w:val="0"/>
      <w:autoSpaceDE/>
      <w:autoSpaceDN/>
      <w:spacing w:line="336" w:lineRule="auto"/>
      <w:ind w:left="840" w:hanging="420"/>
      <w:jc w:val="both"/>
    </w:pPr>
    <w:rPr>
      <w:rFonts w:ascii="楷体_GB2312" w:hAnsi="Arial Unicode MS"/>
      <w:kern w:val="24"/>
      <w:szCs w:val="20"/>
    </w:rPr>
  </w:style>
  <w:style w:type="paragraph" w:customStyle="1" w:styleId="595">
    <w:name w:val="xl43"/>
    <w:basedOn w:val="1"/>
    <w:qFormat/>
    <w:uiPriority w:val="0"/>
    <w:pPr>
      <w:widowControl/>
      <w:autoSpaceDE/>
      <w:autoSpaceDN/>
      <w:adjustRightInd/>
      <w:spacing w:before="100" w:beforeAutospacing="1" w:after="100" w:afterAutospacing="1"/>
      <w:jc w:val="center"/>
    </w:pPr>
    <w:rPr>
      <w:rFonts w:hint="eastAsia" w:ascii="微软雅黑" w:hAnsi="等线 Light" w:eastAsia="微软雅黑"/>
    </w:rPr>
  </w:style>
  <w:style w:type="paragraph" w:customStyle="1" w:styleId="596">
    <w:name w:val="Char Char Char Char Char"/>
    <w:basedOn w:val="1"/>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97">
    <w:name w:val="Char Char Char Char1"/>
    <w:basedOn w:val="1"/>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98">
    <w:name w:val="样式 标题 3头小节标题Heading 3 - oldh33rd levelH3l3CTLevel 3 Hea...3"/>
    <w:basedOn w:val="4"/>
    <w:qFormat/>
    <w:uiPriority w:val="0"/>
    <w:pPr>
      <w:keepNext/>
      <w:keepLines/>
      <w:tabs>
        <w:tab w:val="left" w:pos="964"/>
      </w:tabs>
      <w:autoSpaceDE/>
      <w:autoSpaceDN/>
      <w:adjustRightInd/>
      <w:spacing w:line="360" w:lineRule="auto"/>
      <w:jc w:val="both"/>
    </w:pPr>
    <w:rPr>
      <w:rFonts w:hAnsi="等线 Light"/>
      <w:kern w:val="2"/>
      <w:szCs w:val="32"/>
    </w:rPr>
  </w:style>
  <w:style w:type="paragraph" w:customStyle="1" w:styleId="599">
    <w:name w:val="Char Char Char Char Char Char Char Char Char Char"/>
    <w:basedOn w:val="1"/>
    <w:qFormat/>
    <w:uiPriority w:val="0"/>
    <w:pPr>
      <w:widowControl/>
      <w:autoSpaceDE/>
      <w:autoSpaceDN/>
      <w:adjustRightInd/>
      <w:spacing w:after="160" w:line="240" w:lineRule="exact"/>
    </w:pPr>
    <w:rPr>
      <w:rFonts w:ascii="Lucida Grande" w:hAnsi="Lucida Grande" w:cs="Lucida Grande"/>
      <w:sz w:val="20"/>
      <w:szCs w:val="20"/>
      <w:lang w:eastAsia="en-US"/>
    </w:rPr>
  </w:style>
  <w:style w:type="paragraph" w:customStyle="1" w:styleId="600">
    <w:name w:val="affa-TBL-BR-1-TBL-BR-1"/>
    <w:qFormat/>
    <w:uiPriority w:val="0"/>
    <w:pPr>
      <w:spacing w:line="480" w:lineRule="auto"/>
    </w:pPr>
    <w:rPr>
      <w:rFonts w:ascii="等线 Light" w:hAnsi="等线 Light" w:eastAsia="Verdana" w:cs="Times New Roman"/>
      <w:sz w:val="24"/>
      <w:lang w:val="en-US" w:eastAsia="zh-CN" w:bidi="ar-SA"/>
    </w:rPr>
  </w:style>
  <w:style w:type="paragraph" w:customStyle="1" w:styleId="601">
    <w:name w:val="样式 标题 3头小节标题Heading 3 - oldh33rd levelH3l3CTLevel 3 Hea...5"/>
    <w:basedOn w:val="4"/>
    <w:qFormat/>
    <w:uiPriority w:val="0"/>
    <w:pPr>
      <w:keepNext/>
      <w:keepLines/>
      <w:tabs>
        <w:tab w:val="left" w:pos="964"/>
      </w:tabs>
      <w:autoSpaceDE/>
      <w:autoSpaceDN/>
      <w:adjustRightInd/>
      <w:spacing w:line="360" w:lineRule="auto"/>
      <w:ind w:firstLine="200" w:firstLineChars="200"/>
      <w:jc w:val="both"/>
    </w:pPr>
    <w:rPr>
      <w:rFonts w:ascii="Arial Unicode MS" w:hAnsi="Arial Unicode MS" w:cs="等线 Light"/>
      <w:kern w:val="2"/>
      <w:szCs w:val="20"/>
    </w:rPr>
  </w:style>
  <w:style w:type="paragraph" w:customStyle="1" w:styleId="602">
    <w:name w:val="样式 标题 3头小节标题Heading 3 - oldh33rd levelH3l3CTLevel 3 Hea...7"/>
    <w:basedOn w:val="4"/>
    <w:qFormat/>
    <w:uiPriority w:val="0"/>
    <w:pPr>
      <w:keepNext/>
      <w:keepLines/>
      <w:tabs>
        <w:tab w:val="left" w:pos="964"/>
      </w:tabs>
      <w:autoSpaceDE/>
      <w:autoSpaceDN/>
      <w:adjustRightInd/>
      <w:spacing w:line="360" w:lineRule="auto"/>
      <w:ind w:firstLine="482" w:firstLineChars="200"/>
      <w:jc w:val="both"/>
    </w:pPr>
    <w:rPr>
      <w:rFonts w:hAnsi="等线 Light" w:cs="等线 Light"/>
      <w:bCs/>
      <w:szCs w:val="20"/>
    </w:rPr>
  </w:style>
  <w:style w:type="paragraph" w:customStyle="1" w:styleId="603">
    <w:name w:val="正文首缩"/>
    <w:basedOn w:val="1"/>
    <w:next w:val="5"/>
    <w:qFormat/>
    <w:uiPriority w:val="0"/>
    <w:pPr>
      <w:autoSpaceDE/>
      <w:autoSpaceDN/>
      <w:spacing w:line="324" w:lineRule="auto"/>
      <w:ind w:firstLine="425"/>
      <w:jc w:val="both"/>
      <w:textAlignment w:val="baseline"/>
    </w:pPr>
    <w:rPr>
      <w:rFonts w:ascii="Arial Unicode MS" w:hAnsi="Arial Unicode MS"/>
      <w:sz w:val="28"/>
      <w:szCs w:val="20"/>
    </w:rPr>
  </w:style>
  <w:style w:type="paragraph" w:customStyle="1" w:styleId="604">
    <w:name w:val="默认段落字体 Para Char"/>
    <w:basedOn w:val="1"/>
    <w:qFormat/>
    <w:uiPriority w:val="0"/>
    <w:pPr>
      <w:autoSpaceDE/>
      <w:autoSpaceDN/>
      <w:spacing w:line="360" w:lineRule="auto"/>
      <w:jc w:val="both"/>
    </w:pPr>
    <w:rPr>
      <w:rFonts w:ascii="Arial Unicode MS" w:hAnsi="Arial Unicode MS"/>
      <w:szCs w:val="20"/>
    </w:rPr>
  </w:style>
  <w:style w:type="paragraph" w:customStyle="1" w:styleId="605">
    <w:name w:val="xl50"/>
    <w:basedOn w:val="1"/>
    <w:qFormat/>
    <w:uiPriority w:val="0"/>
    <w:pPr>
      <w:widowControl/>
      <w:autoSpaceDE/>
      <w:autoSpaceDN/>
      <w:adjustRightInd/>
      <w:spacing w:before="100" w:beforeAutospacing="1" w:after="100" w:afterAutospacing="1"/>
      <w:jc w:val="center"/>
    </w:pPr>
    <w:rPr>
      <w:rFonts w:hint="eastAsia" w:hAnsi="等线 Light"/>
    </w:rPr>
  </w:style>
  <w:style w:type="paragraph" w:customStyle="1" w:styleId="606">
    <w:name w:val="样式 标题 3头小节标题Heading 3 - oldh33rd levelH3l3CTLevel 3 Hea...8"/>
    <w:basedOn w:val="4"/>
    <w:qFormat/>
    <w:uiPriority w:val="0"/>
    <w:pPr>
      <w:keepNext/>
      <w:keepLines/>
      <w:tabs>
        <w:tab w:val="left" w:pos="964"/>
      </w:tabs>
      <w:autoSpaceDE/>
      <w:autoSpaceDN/>
      <w:adjustRightInd/>
      <w:spacing w:line="360" w:lineRule="auto"/>
      <w:ind w:firstLine="200" w:firstLineChars="200"/>
      <w:jc w:val="both"/>
    </w:pPr>
    <w:rPr>
      <w:rFonts w:ascii="Arial Unicode MS" w:hAnsi="Arial Unicode MS" w:cs="等线 Light"/>
      <w:kern w:val="2"/>
      <w:szCs w:val="20"/>
    </w:rPr>
  </w:style>
  <w:style w:type="paragraph" w:customStyle="1" w:styleId="607">
    <w:name w:val="正文表标题"/>
    <w:next w:val="1"/>
    <w:qFormat/>
    <w:uiPriority w:val="0"/>
    <w:pPr>
      <w:numPr>
        <w:ilvl w:val="0"/>
        <w:numId w:val="11"/>
      </w:numPr>
      <w:jc w:val="center"/>
    </w:pPr>
    <w:rPr>
      <w:rFonts w:ascii="PMingLiU" w:hAnsi="Arial Unicode MS" w:eastAsia="PMingLiU" w:cs="Times New Roman"/>
      <w:sz w:val="21"/>
      <w:lang w:val="en-US" w:eastAsia="zh-CN" w:bidi="ar-SA"/>
    </w:rPr>
  </w:style>
  <w:style w:type="paragraph" w:customStyle="1" w:styleId="608">
    <w:name w:val="font7"/>
    <w:basedOn w:val="1"/>
    <w:qFormat/>
    <w:uiPriority w:val="0"/>
    <w:pPr>
      <w:widowControl/>
      <w:autoSpaceDE/>
      <w:autoSpaceDN/>
      <w:adjustRightInd/>
      <w:spacing w:before="100" w:beforeAutospacing="1" w:after="100" w:afterAutospacing="1"/>
    </w:pPr>
    <w:rPr>
      <w:rFonts w:hint="eastAsia" w:ascii="微软雅黑" w:hAnsi="等线 Light" w:eastAsia="微软雅黑"/>
      <w:sz w:val="32"/>
      <w:szCs w:val="32"/>
    </w:rPr>
  </w:style>
  <w:style w:type="paragraph" w:customStyle="1" w:styleId="609">
    <w:name w:val="xl100"/>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Ansi="等线 Light" w:cs="等线 Light"/>
    </w:rPr>
  </w:style>
  <w:style w:type="paragraph" w:customStyle="1" w:styleId="610">
    <w:name w:val="1"/>
    <w:basedOn w:val="1"/>
    <w:next w:val="27"/>
    <w:qFormat/>
    <w:uiPriority w:val="0"/>
    <w:pPr>
      <w:autoSpaceDE/>
      <w:autoSpaceDN/>
      <w:ind w:left="420" w:right="33"/>
      <w:textAlignment w:val="baseline"/>
    </w:pPr>
    <w:rPr>
      <w:rFonts w:ascii="Arial Unicode MS" w:hAnsi="Arial Unicode MS"/>
      <w:szCs w:val="20"/>
    </w:rPr>
  </w:style>
  <w:style w:type="paragraph" w:customStyle="1" w:styleId="611">
    <w:name w:val="文字"/>
    <w:basedOn w:val="1"/>
    <w:qFormat/>
    <w:uiPriority w:val="0"/>
    <w:pPr>
      <w:tabs>
        <w:tab w:val="left" w:pos="8520"/>
      </w:tabs>
      <w:autoSpaceDE/>
      <w:autoSpaceDN/>
      <w:adjustRightInd/>
      <w:spacing w:line="312" w:lineRule="auto"/>
      <w:ind w:right="-210" w:firstLine="556"/>
      <w:jc w:val="both"/>
    </w:pPr>
    <w:rPr>
      <w:rFonts w:ascii="Cambria Math" w:hAnsi="Arial Unicode MS" w:eastAsia="Cambria Math"/>
      <w:kern w:val="2"/>
      <w:sz w:val="28"/>
      <w:szCs w:val="20"/>
    </w:rPr>
  </w:style>
  <w:style w:type="paragraph" w:customStyle="1" w:styleId="612">
    <w:name w:val="font6"/>
    <w:basedOn w:val="1"/>
    <w:qFormat/>
    <w:uiPriority w:val="0"/>
    <w:pPr>
      <w:widowControl/>
      <w:autoSpaceDE/>
      <w:autoSpaceDN/>
      <w:adjustRightInd/>
      <w:spacing w:before="100" w:beforeAutospacing="1" w:after="100" w:afterAutospacing="1"/>
    </w:pPr>
    <w:rPr>
      <w:rFonts w:hint="eastAsia" w:hAnsi="等线 Light"/>
      <w:sz w:val="18"/>
      <w:szCs w:val="18"/>
    </w:rPr>
  </w:style>
  <w:style w:type="paragraph" w:customStyle="1" w:styleId="613">
    <w:name w:val="默认段落字体 Para Char Char Char Char Char Char Char Char Char1 Char Char Char Char Char Char Char Char Char Char"/>
    <w:basedOn w:val="17"/>
    <w:qFormat/>
    <w:uiPriority w:val="0"/>
    <w:pPr>
      <w:autoSpaceDE/>
      <w:autoSpaceDN/>
      <w:adjustRightInd/>
      <w:ind w:firstLine="540" w:firstLineChars="225"/>
      <w:jc w:val="both"/>
    </w:pPr>
    <w:rPr>
      <w:rFonts w:ascii="Calibri" w:hAnsi="Calibri"/>
      <w:kern w:val="2"/>
      <w:szCs w:val="20"/>
    </w:rPr>
  </w:style>
  <w:style w:type="paragraph" w:customStyle="1" w:styleId="614">
    <w:name w:val="2册标题3"/>
    <w:basedOn w:val="1"/>
    <w:next w:val="1"/>
    <w:qFormat/>
    <w:uiPriority w:val="0"/>
    <w:pPr>
      <w:autoSpaceDE/>
      <w:autoSpaceDN/>
      <w:adjustRightInd/>
      <w:spacing w:before="156" w:beforeLines="50" w:after="156" w:afterLines="50"/>
      <w:ind w:left="100" w:leftChars="100"/>
      <w:jc w:val="both"/>
      <w:outlineLvl w:val="2"/>
    </w:pPr>
    <w:rPr>
      <w:rFonts w:ascii="楷体_GB2312" w:hAnsi="楷体_GB2312" w:eastAsia="PMingLiU"/>
      <w:kern w:val="2"/>
      <w:sz w:val="28"/>
      <w:szCs w:val="28"/>
    </w:rPr>
  </w:style>
  <w:style w:type="paragraph" w:customStyle="1" w:styleId="615">
    <w:name w:val="样式4"/>
    <w:basedOn w:val="42"/>
    <w:qFormat/>
    <w:uiPriority w:val="0"/>
    <w:pPr>
      <w:tabs>
        <w:tab w:val="right" w:leader="dot" w:pos="9458"/>
      </w:tabs>
      <w:autoSpaceDE/>
      <w:autoSpaceDN/>
      <w:adjustRightInd/>
    </w:pPr>
    <w:rPr>
      <w:rFonts w:cs="幼圆"/>
      <w:b w:val="0"/>
      <w:kern w:val="2"/>
      <w:sz w:val="21"/>
      <w:szCs w:val="24"/>
    </w:rPr>
  </w:style>
  <w:style w:type="paragraph" w:customStyle="1" w:styleId="616">
    <w:name w:val="xl52"/>
    <w:basedOn w:val="1"/>
    <w:qFormat/>
    <w:uiPriority w:val="0"/>
    <w:pPr>
      <w:widowControl/>
      <w:pBdr>
        <w:top w:val="single" w:color="auto" w:sz="4" w:space="0"/>
        <w:bottom w:val="single" w:color="auto" w:sz="4" w:space="0"/>
      </w:pBdr>
      <w:autoSpaceDE/>
      <w:autoSpaceDN/>
      <w:adjustRightInd/>
      <w:spacing w:before="100" w:beforeAutospacing="1" w:after="100" w:afterAutospacing="1"/>
      <w:jc w:val="center"/>
    </w:pPr>
    <w:rPr>
      <w:rFonts w:hint="eastAsia" w:hAnsi="等线 Light"/>
    </w:rPr>
  </w:style>
  <w:style w:type="paragraph" w:customStyle="1" w:styleId="617">
    <w:name w:val="标题44"/>
    <w:basedOn w:val="5"/>
    <w:qFormat/>
    <w:uiPriority w:val="0"/>
    <w:pPr>
      <w:autoSpaceDE/>
      <w:autoSpaceDN/>
      <w:adjustRightInd/>
      <w:spacing w:before="0" w:after="0" w:line="300" w:lineRule="auto"/>
      <w:jc w:val="both"/>
    </w:pPr>
    <w:rPr>
      <w:rFonts w:ascii="幼圆" w:hAnsi="幼圆"/>
      <w:b w:val="0"/>
      <w:kern w:val="2"/>
      <w:sz w:val="24"/>
      <w:szCs w:val="24"/>
    </w:rPr>
  </w:style>
  <w:style w:type="paragraph" w:customStyle="1" w:styleId="618">
    <w:name w:val="xl29"/>
    <w:basedOn w:val="1"/>
    <w:qFormat/>
    <w:uiPriority w:val="0"/>
    <w:pPr>
      <w:widowControl/>
      <w:pBdr>
        <w:left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619">
    <w:name w:val="首行缩进"/>
    <w:basedOn w:val="1"/>
    <w:qFormat/>
    <w:uiPriority w:val="0"/>
    <w:pPr>
      <w:ind w:firstLine="480" w:firstLineChars="200"/>
    </w:pPr>
    <w:rPr>
      <w:lang w:val="zh-CN"/>
    </w:rPr>
  </w:style>
  <w:style w:type="paragraph" w:customStyle="1" w:styleId="620">
    <w:name w:val="xl99"/>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Ansi="等线 Light" w:cs="等线 Light"/>
    </w:rPr>
  </w:style>
  <w:style w:type="paragraph" w:customStyle="1" w:styleId="621">
    <w:name w:val=" Char Char Char"/>
    <w:basedOn w:val="1"/>
    <w:qFormat/>
    <w:uiPriority w:val="0"/>
    <w:pPr>
      <w:autoSpaceDE/>
      <w:autoSpaceDN/>
      <w:adjustRightInd/>
      <w:jc w:val="both"/>
    </w:pPr>
    <w:rPr>
      <w:rFonts w:ascii="Calibri" w:hAnsi="Calibri"/>
      <w:kern w:val="2"/>
      <w:szCs w:val="20"/>
    </w:rPr>
  </w:style>
  <w:style w:type="paragraph" w:customStyle="1" w:styleId="622">
    <w:name w:val="font10"/>
    <w:basedOn w:val="1"/>
    <w:qFormat/>
    <w:uiPriority w:val="0"/>
    <w:pPr>
      <w:widowControl/>
      <w:autoSpaceDE/>
      <w:autoSpaceDN/>
      <w:adjustRightInd/>
      <w:spacing w:before="100" w:beforeAutospacing="1" w:after="100" w:afterAutospacing="1"/>
    </w:pPr>
    <w:rPr>
      <w:rFonts w:ascii="Arial Unicode MS" w:hAnsi="Arial Unicode MS"/>
      <w:sz w:val="20"/>
      <w:szCs w:val="20"/>
    </w:rPr>
  </w:style>
  <w:style w:type="paragraph" w:customStyle="1" w:styleId="623">
    <w:name w:val="6.3.5.4"/>
    <w:basedOn w:val="1"/>
    <w:qFormat/>
    <w:uiPriority w:val="0"/>
    <w:pPr>
      <w:tabs>
        <w:tab w:val="left" w:pos="360"/>
        <w:tab w:val="left" w:pos="851"/>
      </w:tabs>
      <w:autoSpaceDE/>
      <w:autoSpaceDN/>
      <w:adjustRightInd/>
      <w:spacing w:before="120" w:after="120"/>
      <w:ind w:left="288" w:hanging="288"/>
      <w:jc w:val="both"/>
    </w:pPr>
    <w:rPr>
      <w:rFonts w:ascii="Arial Unicode MS" w:hAnsi="Arial Unicode MS"/>
      <w:kern w:val="2"/>
      <w:szCs w:val="20"/>
    </w:rPr>
  </w:style>
  <w:style w:type="paragraph" w:customStyle="1" w:styleId="624">
    <w:name w:val="样式 SINOPEC-0"/>
    <w:basedOn w:val="1"/>
    <w:qFormat/>
    <w:uiPriority w:val="0"/>
    <w:pPr>
      <w:autoSpaceDE/>
      <w:autoSpaceDN/>
      <w:adjustRightInd/>
      <w:spacing w:line="360" w:lineRule="auto"/>
      <w:ind w:firstLine="200" w:firstLineChars="200"/>
      <w:jc w:val="both"/>
    </w:pPr>
    <w:rPr>
      <w:rFonts w:ascii="楷体_GB2312" w:hAnsi="楷体_GB2312"/>
      <w:kern w:val="2"/>
      <w:szCs w:val="20"/>
    </w:rPr>
  </w:style>
  <w:style w:type="paragraph" w:customStyle="1" w:styleId="625">
    <w:name w:val="xl27"/>
    <w:basedOn w:val="1"/>
    <w:qFormat/>
    <w:uiPriority w:val="0"/>
    <w:pPr>
      <w:widowControl/>
      <w:pBdr>
        <w:top w:val="single" w:color="auto" w:sz="4" w:space="0"/>
        <w:left w:val="single" w:color="auto" w:sz="4" w:space="0"/>
      </w:pBdr>
      <w:autoSpaceDE/>
      <w:autoSpaceDN/>
      <w:adjustRightInd/>
      <w:spacing w:before="100" w:beforeAutospacing="1" w:after="100" w:afterAutospacing="1"/>
    </w:pPr>
    <w:rPr>
      <w:rFonts w:hint="eastAsia" w:hAnsi="等线 Light"/>
      <w:sz w:val="20"/>
      <w:szCs w:val="20"/>
    </w:rPr>
  </w:style>
  <w:style w:type="table" w:customStyle="1" w:styleId="626">
    <w:name w:val="网格型2"/>
    <w:basedOn w:val="55"/>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网格型1"/>
    <w:basedOn w:val="55"/>
    <w:qFormat/>
    <w:uiPriority w:val="59"/>
    <w:rPr>
      <w:rFonts w:ascii="Arial Unicode MS" w:hAnsi="Arial Unicode MS" w:eastAsia="等线 Light" w:cs="幼圆"/>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8">
    <w:name w:val="正文_0"/>
    <w:qFormat/>
    <w:uiPriority w:val="0"/>
    <w:pPr>
      <w:adjustRightInd w:val="0"/>
      <w:snapToGrid w:val="0"/>
      <w:spacing w:after="200"/>
    </w:pPr>
    <w:rPr>
      <w:rFonts w:ascii="Tahoma" w:hAnsi="Tahoma" w:eastAsia="宋体" w:cs="Times New Roman"/>
      <w:sz w:val="22"/>
      <w:szCs w:val="22"/>
      <w:lang w:val="en-US" w:eastAsia="zh-CN" w:bidi="ar-SA"/>
    </w:rPr>
  </w:style>
  <w:style w:type="character" w:customStyle="1" w:styleId="629">
    <w:name w:val="cf01"/>
    <w:qFormat/>
    <w:uiPriority w:val="0"/>
    <w:rPr>
      <w:rFonts w:hint="eastAsia" w:ascii="Microsoft YaHei UI" w:hAnsi="Microsoft YaHei UI" w:eastAsia="Microsoft YaHei UI"/>
      <w:sz w:val="18"/>
      <w:szCs w:val="18"/>
    </w:rPr>
  </w:style>
  <w:style w:type="paragraph" w:customStyle="1" w:styleId="630">
    <w:name w:val="Table Paragraph"/>
    <w:basedOn w:val="1"/>
    <w:qFormat/>
    <w:uiPriority w:val="1"/>
    <w:pPr>
      <w:autoSpaceDE w:val="0"/>
      <w:autoSpaceDN w:val="0"/>
      <w:ind w:firstLine="0" w:firstLineChars="0"/>
      <w:jc w:val="left"/>
    </w:pPr>
    <w:rPr>
      <w:rFonts w:cs="宋体"/>
      <w:snapToGrid/>
      <w:sz w:val="22"/>
      <w:szCs w:val="22"/>
      <w:lang w:eastAsia="en-US"/>
    </w:rPr>
  </w:style>
  <w:style w:type="paragraph" w:customStyle="1" w:styleId="631">
    <w:name w:val="图表内容格式"/>
    <w:basedOn w:val="1"/>
    <w:qFormat/>
    <w:uiPriority w:val="0"/>
    <w:pPr>
      <w:ind w:firstLine="0" w:firstLineChars="0"/>
      <w:jc w:val="center"/>
    </w:pPr>
    <w:rPr>
      <w:rFonts w:eastAsia="等线"/>
    </w:rPr>
  </w:style>
  <w:style w:type="paragraph" w:customStyle="1" w:styleId="632">
    <w:name w:val="正文文本缩进 21"/>
    <w:basedOn w:val="1"/>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43574</Words>
  <Characters>45560</Characters>
  <Lines>383</Lines>
  <Paragraphs>107</Paragraphs>
  <TotalTime>6</TotalTime>
  <ScaleCrop>false</ScaleCrop>
  <LinksUpToDate>false</LinksUpToDate>
  <CharactersWithSpaces>47561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2021-07-26T01:01:00Z</dcterms:created>
  <dc:creator>采联（燕）</dc:creator>
  <cp:lastModifiedBy>三方诚信-陈工</cp:lastModifiedBy>
  <cp:lastPrinted>2025-05-21T01:46:00Z</cp:lastPrinted>
  <dcterms:modified xsi:type="dcterms:W3CDTF">2025-08-13T00:25:51Z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EC0A1D0654EE48A8AE75AAE57C8E6428_13</vt:lpwstr>
  </property>
  <property fmtid="{D5CDD505-2E9C-101B-9397-08002B2CF9AE}" pid="4" name="KSOTemplateDocerSaveRecord">
    <vt:lpwstr>eyJoZGlkIjoiOTVjMGEyOTZkNjk5MTkzNDI0NGVjZDJhMzI1NTRmYmUiLCJ1c2VySWQiOiIxNjAyNjcwNjAxIn0=</vt:lpwstr>
  </property>
</Properties>
</file>