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102CF">
      <w:pPr>
        <w:spacing w:line="360" w:lineRule="auto"/>
        <w:ind w:right="-26"/>
        <w:jc w:val="center"/>
        <w:rPr>
          <w:rFonts w:hAnsi="宋体" w:cs="宋体"/>
          <w:b/>
          <w:bCs/>
          <w:color w:val="auto"/>
          <w:kern w:val="2"/>
          <w:sz w:val="48"/>
          <w:szCs w:val="48"/>
          <w:highlight w:val="none"/>
          <w:lang w:val="zh-CN"/>
        </w:rPr>
      </w:pPr>
    </w:p>
    <w:p w14:paraId="2C9B79FE">
      <w:pPr>
        <w:spacing w:line="360" w:lineRule="auto"/>
        <w:ind w:right="-26"/>
        <w:jc w:val="center"/>
        <w:rPr>
          <w:rFonts w:hAnsi="宋体" w:cs="宋体"/>
          <w:b/>
          <w:bCs/>
          <w:color w:val="auto"/>
          <w:kern w:val="2"/>
          <w:sz w:val="48"/>
          <w:szCs w:val="48"/>
          <w:highlight w:val="none"/>
          <w:lang w:val="zh-CN"/>
        </w:rPr>
      </w:pPr>
    </w:p>
    <w:p w14:paraId="4605AA6C">
      <w:pPr>
        <w:spacing w:line="360" w:lineRule="auto"/>
        <w:ind w:right="-26"/>
        <w:jc w:val="center"/>
        <w:rPr>
          <w:rFonts w:hAnsi="宋体" w:cs="宋体"/>
          <w:b/>
          <w:bCs/>
          <w:color w:val="auto"/>
          <w:kern w:val="2"/>
          <w:sz w:val="48"/>
          <w:szCs w:val="48"/>
          <w:highlight w:val="none"/>
          <w:lang w:val="zh-CN"/>
        </w:rPr>
      </w:pPr>
    </w:p>
    <w:p w14:paraId="44DE534A">
      <w:pPr>
        <w:spacing w:line="360" w:lineRule="auto"/>
        <w:ind w:right="-26"/>
        <w:jc w:val="center"/>
        <w:rPr>
          <w:rFonts w:hAnsi="宋体" w:cs="宋体"/>
          <w:b/>
          <w:bCs/>
          <w:color w:val="auto"/>
          <w:kern w:val="2"/>
          <w:sz w:val="48"/>
          <w:szCs w:val="48"/>
          <w:highlight w:val="none"/>
          <w:lang w:val="zh-CN"/>
        </w:rPr>
      </w:pPr>
    </w:p>
    <w:p w14:paraId="795AD643">
      <w:pPr>
        <w:spacing w:line="360" w:lineRule="auto"/>
        <w:ind w:right="-26"/>
        <w:jc w:val="center"/>
        <w:rPr>
          <w:rFonts w:hAnsi="宋体" w:cs="宋体"/>
          <w:b/>
          <w:bCs/>
          <w:color w:val="auto"/>
          <w:kern w:val="2"/>
          <w:sz w:val="48"/>
          <w:szCs w:val="48"/>
          <w:highlight w:val="none"/>
          <w:lang w:val="zh-CN"/>
        </w:rPr>
      </w:pPr>
    </w:p>
    <w:p w14:paraId="55ADE880">
      <w:pPr>
        <w:spacing w:line="360" w:lineRule="auto"/>
        <w:ind w:right="-26"/>
        <w:jc w:val="center"/>
        <w:rPr>
          <w:rFonts w:hAnsi="宋体" w:cs="宋体"/>
          <w:b/>
          <w:bCs/>
          <w:color w:val="auto"/>
          <w:kern w:val="2"/>
          <w:sz w:val="48"/>
          <w:szCs w:val="48"/>
          <w:highlight w:val="none"/>
          <w:lang w:val="zh-CN"/>
        </w:rPr>
      </w:pPr>
      <w:r>
        <w:rPr>
          <w:rFonts w:hint="eastAsia" w:hAnsi="宋体" w:cs="宋体"/>
          <w:b/>
          <w:bCs/>
          <w:color w:val="auto"/>
          <w:kern w:val="2"/>
          <w:sz w:val="48"/>
          <w:szCs w:val="48"/>
          <w:highlight w:val="none"/>
          <w:lang w:eastAsia="zh-CN"/>
        </w:rPr>
        <w:t>东莞市水务环境投资控股集团有限公司</w:t>
      </w:r>
      <w:r>
        <w:rPr>
          <w:rFonts w:hint="eastAsia" w:hAnsi="宋体" w:cs="宋体"/>
          <w:b/>
          <w:bCs/>
          <w:color w:val="auto"/>
          <w:kern w:val="2"/>
          <w:sz w:val="48"/>
          <w:szCs w:val="48"/>
          <w:highlight w:val="none"/>
          <w:lang w:val="en-US" w:eastAsia="zh-CN"/>
        </w:rPr>
        <w:t>终端电脑管理软件服务续保及扩容项目</w:t>
      </w:r>
    </w:p>
    <w:p w14:paraId="0B174682">
      <w:pPr>
        <w:spacing w:line="360" w:lineRule="auto"/>
        <w:ind w:right="-26"/>
        <w:jc w:val="center"/>
        <w:rPr>
          <w:rFonts w:hAnsi="宋体" w:cs="宋体"/>
          <w:b/>
          <w:bCs/>
          <w:color w:val="auto"/>
          <w:kern w:val="2"/>
          <w:sz w:val="48"/>
          <w:szCs w:val="48"/>
          <w:highlight w:val="none"/>
          <w:lang w:val="zh-CN"/>
        </w:rPr>
      </w:pPr>
    </w:p>
    <w:p w14:paraId="64373151">
      <w:pPr>
        <w:spacing w:line="360" w:lineRule="auto"/>
        <w:ind w:right="-26"/>
        <w:jc w:val="center"/>
        <w:rPr>
          <w:rFonts w:hAnsi="宋体" w:cs="宋体"/>
          <w:b/>
          <w:bCs/>
          <w:color w:val="auto"/>
          <w:kern w:val="2"/>
          <w:sz w:val="48"/>
          <w:szCs w:val="48"/>
          <w:highlight w:val="none"/>
          <w:lang w:val="zh-CN"/>
        </w:rPr>
      </w:pPr>
      <w:r>
        <w:rPr>
          <w:rFonts w:hint="eastAsia" w:hAnsi="宋体" w:cs="宋体"/>
          <w:b/>
          <w:bCs/>
          <w:color w:val="auto"/>
          <w:kern w:val="2"/>
          <w:sz w:val="48"/>
          <w:szCs w:val="48"/>
          <w:highlight w:val="none"/>
          <w:lang w:val="zh-CN"/>
        </w:rPr>
        <w:t>询价文件</w:t>
      </w:r>
    </w:p>
    <w:p w14:paraId="7B7F04E2">
      <w:pPr>
        <w:spacing w:line="360" w:lineRule="auto"/>
        <w:ind w:right="-26"/>
        <w:jc w:val="center"/>
        <w:rPr>
          <w:rFonts w:hAnsi="宋体" w:cs="宋体"/>
          <w:b/>
          <w:bCs/>
          <w:color w:val="auto"/>
          <w:kern w:val="2"/>
          <w:sz w:val="48"/>
          <w:szCs w:val="48"/>
          <w:highlight w:val="none"/>
          <w:lang w:val="zh-CN"/>
        </w:rPr>
      </w:pPr>
    </w:p>
    <w:p w14:paraId="4910E7D6">
      <w:pPr>
        <w:spacing w:line="360" w:lineRule="auto"/>
        <w:ind w:right="-26"/>
        <w:jc w:val="center"/>
        <w:rPr>
          <w:rFonts w:hAnsi="宋体" w:cs="宋体"/>
          <w:b/>
          <w:bCs/>
          <w:color w:val="auto"/>
          <w:kern w:val="2"/>
          <w:sz w:val="48"/>
          <w:szCs w:val="48"/>
          <w:highlight w:val="none"/>
          <w:lang w:val="zh-CN"/>
        </w:rPr>
      </w:pPr>
    </w:p>
    <w:p w14:paraId="504AF6D0">
      <w:pPr>
        <w:spacing w:line="360" w:lineRule="auto"/>
        <w:ind w:right="-26"/>
        <w:jc w:val="center"/>
        <w:rPr>
          <w:rFonts w:hAnsi="宋体" w:cs="宋体"/>
          <w:b/>
          <w:bCs/>
          <w:color w:val="auto"/>
          <w:kern w:val="2"/>
          <w:sz w:val="48"/>
          <w:szCs w:val="48"/>
          <w:highlight w:val="none"/>
          <w:lang w:val="zh-CN"/>
        </w:rPr>
      </w:pPr>
    </w:p>
    <w:p w14:paraId="3519BEE1">
      <w:pPr>
        <w:spacing w:line="360" w:lineRule="auto"/>
        <w:ind w:right="-26"/>
        <w:jc w:val="center"/>
        <w:rPr>
          <w:rFonts w:hAnsi="宋体" w:cs="宋体"/>
          <w:b/>
          <w:bCs/>
          <w:color w:val="auto"/>
          <w:kern w:val="2"/>
          <w:sz w:val="48"/>
          <w:szCs w:val="48"/>
          <w:highlight w:val="none"/>
          <w:lang w:val="zh-CN"/>
        </w:rPr>
      </w:pPr>
    </w:p>
    <w:p w14:paraId="77D7527C">
      <w:pPr>
        <w:spacing w:line="360" w:lineRule="auto"/>
        <w:ind w:right="-26"/>
        <w:jc w:val="center"/>
        <w:rPr>
          <w:rFonts w:hAnsi="宋体" w:cs="宋体"/>
          <w:b/>
          <w:bCs/>
          <w:color w:val="auto"/>
          <w:kern w:val="2"/>
          <w:sz w:val="48"/>
          <w:szCs w:val="48"/>
          <w:highlight w:val="none"/>
          <w:lang w:val="zh-CN"/>
        </w:rPr>
      </w:pPr>
    </w:p>
    <w:p w14:paraId="4933A53F">
      <w:pPr>
        <w:spacing w:line="360" w:lineRule="auto"/>
        <w:ind w:right="-26"/>
        <w:jc w:val="center"/>
        <w:rPr>
          <w:rFonts w:hAnsi="宋体" w:cs="宋体"/>
          <w:b/>
          <w:bCs/>
          <w:color w:val="auto"/>
          <w:kern w:val="2"/>
          <w:sz w:val="48"/>
          <w:szCs w:val="48"/>
          <w:highlight w:val="none"/>
          <w:lang w:val="zh-CN"/>
        </w:rPr>
      </w:pPr>
    </w:p>
    <w:p w14:paraId="5394F0B4">
      <w:pPr>
        <w:spacing w:line="360" w:lineRule="auto"/>
        <w:ind w:right="-26"/>
        <w:jc w:val="center"/>
        <w:rPr>
          <w:rFonts w:hAnsi="宋体" w:cs="宋体"/>
          <w:b/>
          <w:bCs/>
          <w:color w:val="auto"/>
          <w:kern w:val="2"/>
          <w:sz w:val="48"/>
          <w:szCs w:val="48"/>
          <w:highlight w:val="none"/>
          <w:lang w:val="zh-CN"/>
        </w:rPr>
      </w:pPr>
    </w:p>
    <w:p w14:paraId="79AF9FCD">
      <w:pPr>
        <w:spacing w:line="360" w:lineRule="auto"/>
        <w:jc w:val="center"/>
        <w:rPr>
          <w:rFonts w:hint="eastAsia" w:hAnsi="宋体" w:eastAsia="宋体" w:cs="宋体"/>
          <w:b/>
          <w:bCs/>
          <w:color w:val="auto"/>
          <w:sz w:val="32"/>
          <w:szCs w:val="32"/>
          <w:highlight w:val="none"/>
          <w:lang w:eastAsia="zh-CN"/>
        </w:rPr>
      </w:pPr>
      <w:bookmarkStart w:id="0" w:name="_Hlk26971294"/>
      <w:r>
        <w:rPr>
          <w:rFonts w:hint="eastAsia" w:hAnsi="宋体" w:cs="宋体"/>
          <w:b/>
          <w:bCs/>
          <w:color w:val="auto"/>
          <w:spacing w:val="28"/>
          <w:sz w:val="32"/>
          <w:szCs w:val="32"/>
          <w:highlight w:val="none"/>
          <w:lang w:eastAsia="zh-CN"/>
        </w:rPr>
        <w:t>东莞市水务环境投资控股集团有限公司</w:t>
      </w:r>
    </w:p>
    <w:bookmarkEnd w:id="0"/>
    <w:p w14:paraId="652BE6B8">
      <w:pPr>
        <w:spacing w:after="156" w:line="360" w:lineRule="auto"/>
        <w:jc w:val="center"/>
        <w:rPr>
          <w:rFonts w:hAnsi="宋体" w:cs="宋体"/>
          <w:b/>
          <w:bCs/>
          <w:color w:val="auto"/>
          <w:kern w:val="2"/>
          <w:sz w:val="32"/>
          <w:szCs w:val="32"/>
          <w:highlight w:val="none"/>
          <w:lang w:val="zh-CN"/>
        </w:rPr>
        <w:sectPr>
          <w:footerReference r:id="rId3" w:type="default"/>
          <w:pgSz w:w="11906" w:h="16838"/>
          <w:pgMar w:top="1440" w:right="1800" w:bottom="1440" w:left="1800" w:header="851" w:footer="992" w:gutter="0"/>
          <w:cols w:space="0" w:num="1"/>
          <w:docGrid w:type="lines" w:linePitch="332" w:charSpace="0"/>
        </w:sectPr>
      </w:pPr>
      <w:r>
        <w:rPr>
          <w:rFonts w:hint="eastAsia" w:hAnsi="宋体" w:cs="宋体"/>
          <w:b/>
          <w:bCs/>
          <w:color w:val="auto"/>
          <w:kern w:val="2"/>
          <w:sz w:val="32"/>
          <w:szCs w:val="32"/>
          <w:highlight w:val="none"/>
          <w:lang w:val="zh-CN"/>
        </w:rPr>
        <w:t>202</w:t>
      </w:r>
      <w:r>
        <w:rPr>
          <w:rFonts w:hint="eastAsia" w:hAnsi="宋体" w:cs="宋体"/>
          <w:b/>
          <w:bCs/>
          <w:color w:val="auto"/>
          <w:kern w:val="2"/>
          <w:sz w:val="32"/>
          <w:szCs w:val="32"/>
          <w:highlight w:val="none"/>
          <w:lang w:val="en-US" w:eastAsia="zh-CN"/>
        </w:rPr>
        <w:t xml:space="preserve">5 </w:t>
      </w:r>
      <w:r>
        <w:rPr>
          <w:rFonts w:hint="eastAsia" w:hAnsi="宋体" w:cs="宋体"/>
          <w:b/>
          <w:bCs/>
          <w:color w:val="auto"/>
          <w:kern w:val="2"/>
          <w:sz w:val="32"/>
          <w:szCs w:val="32"/>
          <w:highlight w:val="none"/>
          <w:lang w:val="zh-CN"/>
        </w:rPr>
        <w:t>年</w:t>
      </w:r>
      <w:r>
        <w:rPr>
          <w:rFonts w:hint="eastAsia" w:hAnsi="宋体" w:cs="宋体"/>
          <w:b/>
          <w:bCs/>
          <w:color w:val="auto"/>
          <w:kern w:val="2"/>
          <w:sz w:val="32"/>
          <w:szCs w:val="32"/>
          <w:highlight w:val="none"/>
        </w:rPr>
        <w:t xml:space="preserve"> </w:t>
      </w:r>
      <w:r>
        <w:rPr>
          <w:rFonts w:hint="eastAsia" w:hAnsi="宋体" w:cs="宋体"/>
          <w:b/>
          <w:bCs/>
          <w:color w:val="auto"/>
          <w:kern w:val="2"/>
          <w:sz w:val="32"/>
          <w:szCs w:val="32"/>
          <w:highlight w:val="none"/>
          <w:lang w:val="en-US" w:eastAsia="zh-CN"/>
        </w:rPr>
        <w:t>8</w:t>
      </w:r>
      <w:r>
        <w:rPr>
          <w:rFonts w:hint="eastAsia" w:hAnsi="宋体" w:cs="宋体"/>
          <w:b/>
          <w:bCs/>
          <w:color w:val="auto"/>
          <w:kern w:val="2"/>
          <w:sz w:val="32"/>
          <w:szCs w:val="32"/>
          <w:highlight w:val="none"/>
        </w:rPr>
        <w:t xml:space="preserve"> </w:t>
      </w:r>
      <w:r>
        <w:rPr>
          <w:rFonts w:hint="eastAsia" w:hAnsi="宋体" w:cs="宋体"/>
          <w:b/>
          <w:bCs/>
          <w:color w:val="auto"/>
          <w:kern w:val="2"/>
          <w:sz w:val="32"/>
          <w:szCs w:val="32"/>
          <w:highlight w:val="none"/>
          <w:lang w:val="zh-CN"/>
        </w:rPr>
        <w:t>月</w:t>
      </w:r>
      <w:r>
        <w:rPr>
          <w:rFonts w:hint="eastAsia" w:hAnsi="宋体" w:cs="宋体"/>
          <w:b/>
          <w:bCs/>
          <w:color w:val="auto"/>
          <w:kern w:val="2"/>
          <w:sz w:val="32"/>
          <w:szCs w:val="32"/>
          <w:highlight w:val="none"/>
        </w:rPr>
        <w:t xml:space="preserve">  </w:t>
      </w:r>
      <w:r>
        <w:rPr>
          <w:rFonts w:hint="eastAsia" w:hAnsi="宋体" w:cs="宋体"/>
          <w:b/>
          <w:bCs/>
          <w:color w:val="auto"/>
          <w:kern w:val="2"/>
          <w:sz w:val="32"/>
          <w:szCs w:val="32"/>
          <w:highlight w:val="none"/>
          <w:lang w:val="zh-CN"/>
        </w:rPr>
        <w:t>日</w:t>
      </w: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eastAsia" w:ascii="宋体" w:hAnsi="宋体" w:eastAsia="宋体" w:cs="宋体"/>
          <w:b/>
          <w:bCs/>
          <w:color w:val="auto"/>
          <w:sz w:val="24"/>
          <w:szCs w:val="24"/>
          <w:highlight w:val="none"/>
          <w:lang w:val="zh-CN"/>
        </w:rPr>
      </w:sdtEndPr>
      <w:sdtContent>
        <w:p w14:paraId="55EF6B6D">
          <w:pPr>
            <w:pStyle w:val="26"/>
            <w:spacing w:before="0"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lang w:val="zh-CN"/>
            </w:rPr>
            <w:t>目   录</w:t>
          </w:r>
        </w:p>
        <w:p w14:paraId="071D0CF3">
          <w:pPr>
            <w:pStyle w:val="13"/>
            <w:rPr>
              <w:rFonts w:hAnsi="宋体" w:cs="宋体"/>
              <w:color w:val="auto"/>
              <w:kern w:val="2"/>
              <w:sz w:val="22"/>
              <w:highlight w:val="none"/>
            </w:rPr>
          </w:pPr>
          <w:r>
            <w:rPr>
              <w:rFonts w:hint="eastAsia" w:hAnsi="宋体" w:cs="宋体"/>
              <w:color w:val="auto"/>
              <w:sz w:val="40"/>
              <w:szCs w:val="40"/>
              <w:highlight w:val="none"/>
            </w:rPr>
            <w:fldChar w:fldCharType="begin"/>
          </w:r>
          <w:r>
            <w:rPr>
              <w:rFonts w:hint="eastAsia" w:hAnsi="宋体" w:cs="宋体"/>
              <w:color w:val="auto"/>
              <w:sz w:val="40"/>
              <w:szCs w:val="40"/>
              <w:highlight w:val="none"/>
            </w:rPr>
            <w:instrText xml:space="preserve"> TOC \o "1-3" \h \z \u </w:instrText>
          </w:r>
          <w:r>
            <w:rPr>
              <w:rFonts w:hint="eastAsia" w:hAnsi="宋体" w:cs="宋体"/>
              <w:color w:val="auto"/>
              <w:sz w:val="40"/>
              <w:szCs w:val="40"/>
              <w:highlight w:val="none"/>
            </w:rPr>
            <w:fldChar w:fldCharType="separate"/>
          </w:r>
          <w:r>
            <w:rPr>
              <w:color w:val="auto"/>
              <w:highlight w:val="none"/>
            </w:rPr>
            <w:fldChar w:fldCharType="begin"/>
          </w:r>
          <w:r>
            <w:rPr>
              <w:color w:val="auto"/>
              <w:highlight w:val="none"/>
            </w:rPr>
            <w:instrText xml:space="preserve"> HYPERLINK \l "_Toc29476690" </w:instrText>
          </w:r>
          <w:r>
            <w:rPr>
              <w:color w:val="auto"/>
              <w:highlight w:val="none"/>
            </w:rPr>
            <w:fldChar w:fldCharType="separate"/>
          </w:r>
          <w:r>
            <w:rPr>
              <w:rStyle w:val="23"/>
              <w:rFonts w:hint="eastAsia" w:hAnsi="宋体" w:cs="宋体"/>
              <w:color w:val="auto"/>
              <w:sz w:val="28"/>
              <w:szCs w:val="28"/>
              <w:highlight w:val="none"/>
            </w:rPr>
            <w:t>第一章 询价邀请函</w:t>
          </w:r>
          <w:r>
            <w:rPr>
              <w:rFonts w:hint="eastAsia" w:hAnsi="宋体" w:cs="宋体"/>
              <w:color w:val="auto"/>
              <w:sz w:val="28"/>
              <w:szCs w:val="28"/>
              <w:highlight w:val="none"/>
            </w:rPr>
            <w:tab/>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PAGEREF _Toc29476690 \h </w:instrText>
          </w:r>
          <w:r>
            <w:rPr>
              <w:rFonts w:hint="eastAsia" w:hAnsi="宋体" w:cs="宋体"/>
              <w:color w:val="auto"/>
              <w:sz w:val="28"/>
              <w:szCs w:val="28"/>
              <w:highlight w:val="none"/>
            </w:rPr>
            <w:fldChar w:fldCharType="separate"/>
          </w:r>
          <w:r>
            <w:rPr>
              <w:rFonts w:hint="eastAsia" w:hAnsi="宋体" w:cs="宋体"/>
              <w:color w:val="auto"/>
              <w:sz w:val="28"/>
              <w:szCs w:val="28"/>
              <w:highlight w:val="none"/>
            </w:rPr>
            <w:t>3</w:t>
          </w:r>
          <w:r>
            <w:rPr>
              <w:rFonts w:hint="eastAsia" w:hAnsi="宋体" w:cs="宋体"/>
              <w:color w:val="auto"/>
              <w:sz w:val="28"/>
              <w:szCs w:val="28"/>
              <w:highlight w:val="none"/>
            </w:rPr>
            <w:fldChar w:fldCharType="end"/>
          </w:r>
          <w:r>
            <w:rPr>
              <w:rFonts w:hint="eastAsia" w:hAnsi="宋体" w:cs="宋体"/>
              <w:color w:val="auto"/>
              <w:sz w:val="28"/>
              <w:szCs w:val="28"/>
              <w:highlight w:val="none"/>
            </w:rPr>
            <w:fldChar w:fldCharType="end"/>
          </w:r>
        </w:p>
        <w:p w14:paraId="2832A65C">
          <w:pPr>
            <w:pStyle w:val="13"/>
            <w:rPr>
              <w:rFonts w:hAnsi="宋体" w:cs="宋体"/>
              <w:color w:val="auto"/>
              <w:kern w:val="2"/>
              <w:sz w:val="22"/>
              <w:highlight w:val="none"/>
            </w:rPr>
          </w:pPr>
          <w:r>
            <w:rPr>
              <w:color w:val="auto"/>
              <w:highlight w:val="none"/>
            </w:rPr>
            <w:fldChar w:fldCharType="begin"/>
          </w:r>
          <w:r>
            <w:rPr>
              <w:color w:val="auto"/>
              <w:highlight w:val="none"/>
            </w:rPr>
            <w:instrText xml:space="preserve"> HYPERLINK \l "_Toc29476691" </w:instrText>
          </w:r>
          <w:r>
            <w:rPr>
              <w:color w:val="auto"/>
              <w:highlight w:val="none"/>
            </w:rPr>
            <w:fldChar w:fldCharType="separate"/>
          </w:r>
          <w:r>
            <w:rPr>
              <w:rStyle w:val="23"/>
              <w:rFonts w:hint="eastAsia" w:hAnsi="宋体" w:cs="宋体"/>
              <w:color w:val="auto"/>
              <w:sz w:val="28"/>
              <w:szCs w:val="28"/>
              <w:highlight w:val="none"/>
            </w:rPr>
            <w:t>第二章 用户需求</w:t>
          </w:r>
          <w:r>
            <w:rPr>
              <w:rFonts w:hint="eastAsia" w:hAnsi="宋体" w:cs="宋体"/>
              <w:color w:val="auto"/>
              <w:sz w:val="28"/>
              <w:szCs w:val="28"/>
              <w:highlight w:val="none"/>
            </w:rPr>
            <w:tab/>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PAGEREF _Toc29476691 \h </w:instrText>
          </w:r>
          <w:r>
            <w:rPr>
              <w:rFonts w:hint="eastAsia" w:hAnsi="宋体" w:cs="宋体"/>
              <w:color w:val="auto"/>
              <w:sz w:val="28"/>
              <w:szCs w:val="28"/>
              <w:highlight w:val="none"/>
            </w:rPr>
            <w:fldChar w:fldCharType="separate"/>
          </w:r>
          <w:r>
            <w:rPr>
              <w:rFonts w:hint="eastAsia" w:hAnsi="宋体" w:cs="宋体"/>
              <w:color w:val="auto"/>
              <w:sz w:val="28"/>
              <w:szCs w:val="28"/>
              <w:highlight w:val="none"/>
            </w:rPr>
            <w:t>4</w:t>
          </w:r>
          <w:r>
            <w:rPr>
              <w:rFonts w:hint="eastAsia" w:hAnsi="宋体" w:cs="宋体"/>
              <w:color w:val="auto"/>
              <w:sz w:val="28"/>
              <w:szCs w:val="28"/>
              <w:highlight w:val="none"/>
            </w:rPr>
            <w:fldChar w:fldCharType="end"/>
          </w:r>
          <w:r>
            <w:rPr>
              <w:rFonts w:hint="eastAsia" w:hAnsi="宋体" w:cs="宋体"/>
              <w:color w:val="auto"/>
              <w:sz w:val="28"/>
              <w:szCs w:val="28"/>
              <w:highlight w:val="none"/>
            </w:rPr>
            <w:fldChar w:fldCharType="end"/>
          </w:r>
        </w:p>
        <w:p w14:paraId="140CA145">
          <w:pPr>
            <w:pStyle w:val="13"/>
            <w:rPr>
              <w:rFonts w:hAnsi="宋体" w:cs="宋体"/>
              <w:color w:val="auto"/>
              <w:kern w:val="2"/>
              <w:sz w:val="22"/>
              <w:highlight w:val="none"/>
            </w:rPr>
          </w:pPr>
          <w:r>
            <w:rPr>
              <w:color w:val="auto"/>
              <w:highlight w:val="none"/>
            </w:rPr>
            <w:fldChar w:fldCharType="begin"/>
          </w:r>
          <w:r>
            <w:rPr>
              <w:color w:val="auto"/>
              <w:highlight w:val="none"/>
            </w:rPr>
            <w:instrText xml:space="preserve"> HYPERLINK \l "_Toc29476692" </w:instrText>
          </w:r>
          <w:r>
            <w:rPr>
              <w:color w:val="auto"/>
              <w:highlight w:val="none"/>
            </w:rPr>
            <w:fldChar w:fldCharType="separate"/>
          </w:r>
          <w:r>
            <w:rPr>
              <w:rStyle w:val="23"/>
              <w:rFonts w:hint="eastAsia" w:hAnsi="宋体" w:cs="宋体"/>
              <w:color w:val="auto"/>
              <w:sz w:val="28"/>
              <w:szCs w:val="28"/>
              <w:highlight w:val="none"/>
            </w:rPr>
            <w:t>第三章 合同条款</w:t>
          </w:r>
          <w:r>
            <w:rPr>
              <w:rFonts w:hint="eastAsia" w:hAnsi="宋体" w:cs="宋体"/>
              <w:color w:val="auto"/>
              <w:sz w:val="28"/>
              <w:szCs w:val="28"/>
              <w:highlight w:val="none"/>
            </w:rPr>
            <w:tab/>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PAGEREF _Toc29476692 \h </w:instrText>
          </w:r>
          <w:r>
            <w:rPr>
              <w:rFonts w:hint="eastAsia" w:hAnsi="宋体" w:cs="宋体"/>
              <w:color w:val="auto"/>
              <w:sz w:val="28"/>
              <w:szCs w:val="28"/>
              <w:highlight w:val="none"/>
            </w:rPr>
            <w:fldChar w:fldCharType="separate"/>
          </w:r>
          <w:r>
            <w:rPr>
              <w:rFonts w:hint="eastAsia" w:hAnsi="宋体" w:cs="宋体"/>
              <w:color w:val="auto"/>
              <w:sz w:val="28"/>
              <w:szCs w:val="28"/>
              <w:highlight w:val="none"/>
            </w:rPr>
            <w:t>5</w:t>
          </w:r>
          <w:r>
            <w:rPr>
              <w:rFonts w:hint="eastAsia" w:hAnsi="宋体" w:cs="宋体"/>
              <w:color w:val="auto"/>
              <w:sz w:val="28"/>
              <w:szCs w:val="28"/>
              <w:highlight w:val="none"/>
            </w:rPr>
            <w:fldChar w:fldCharType="end"/>
          </w:r>
          <w:r>
            <w:rPr>
              <w:rFonts w:hint="eastAsia" w:hAnsi="宋体" w:cs="宋体"/>
              <w:color w:val="auto"/>
              <w:sz w:val="28"/>
              <w:szCs w:val="28"/>
              <w:highlight w:val="none"/>
            </w:rPr>
            <w:fldChar w:fldCharType="end"/>
          </w:r>
        </w:p>
        <w:p w14:paraId="7BA59CAE">
          <w:pPr>
            <w:pStyle w:val="13"/>
            <w:rPr>
              <w:rFonts w:hAnsi="宋体" w:cs="宋体"/>
              <w:color w:val="auto"/>
              <w:kern w:val="2"/>
              <w:sz w:val="22"/>
              <w:highlight w:val="none"/>
            </w:rPr>
          </w:pPr>
          <w:r>
            <w:rPr>
              <w:color w:val="auto"/>
              <w:highlight w:val="none"/>
            </w:rPr>
            <w:fldChar w:fldCharType="begin"/>
          </w:r>
          <w:r>
            <w:rPr>
              <w:color w:val="auto"/>
              <w:highlight w:val="none"/>
            </w:rPr>
            <w:instrText xml:space="preserve"> HYPERLINK \l "_Toc29476707" </w:instrText>
          </w:r>
          <w:r>
            <w:rPr>
              <w:color w:val="auto"/>
              <w:highlight w:val="none"/>
            </w:rPr>
            <w:fldChar w:fldCharType="separate"/>
          </w:r>
          <w:r>
            <w:rPr>
              <w:rStyle w:val="23"/>
              <w:rFonts w:hint="eastAsia" w:hAnsi="宋体" w:cs="宋体"/>
              <w:color w:val="auto"/>
              <w:sz w:val="28"/>
              <w:szCs w:val="28"/>
              <w:highlight w:val="none"/>
            </w:rPr>
            <w:t>第四章 报价须知</w:t>
          </w:r>
          <w:r>
            <w:rPr>
              <w:rFonts w:hint="eastAsia" w:hAnsi="宋体" w:cs="宋体"/>
              <w:color w:val="auto"/>
              <w:sz w:val="28"/>
              <w:szCs w:val="28"/>
              <w:highlight w:val="none"/>
            </w:rPr>
            <w:tab/>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PAGEREF _Toc29476707 \h </w:instrText>
          </w:r>
          <w:r>
            <w:rPr>
              <w:rFonts w:hint="eastAsia" w:hAnsi="宋体" w:cs="宋体"/>
              <w:color w:val="auto"/>
              <w:sz w:val="28"/>
              <w:szCs w:val="28"/>
              <w:highlight w:val="none"/>
            </w:rPr>
            <w:fldChar w:fldCharType="separate"/>
          </w:r>
          <w:r>
            <w:rPr>
              <w:rFonts w:hint="eastAsia" w:hAnsi="宋体" w:cs="宋体"/>
              <w:color w:val="auto"/>
              <w:sz w:val="28"/>
              <w:szCs w:val="28"/>
              <w:highlight w:val="none"/>
            </w:rPr>
            <w:t>6</w:t>
          </w:r>
          <w:r>
            <w:rPr>
              <w:rFonts w:hint="eastAsia" w:hAnsi="宋体" w:cs="宋体"/>
              <w:color w:val="auto"/>
              <w:sz w:val="28"/>
              <w:szCs w:val="28"/>
              <w:highlight w:val="none"/>
            </w:rPr>
            <w:fldChar w:fldCharType="end"/>
          </w:r>
          <w:r>
            <w:rPr>
              <w:rFonts w:hint="eastAsia" w:hAnsi="宋体" w:cs="宋体"/>
              <w:color w:val="auto"/>
              <w:sz w:val="28"/>
              <w:szCs w:val="28"/>
              <w:highlight w:val="none"/>
            </w:rPr>
            <w:fldChar w:fldCharType="end"/>
          </w:r>
        </w:p>
        <w:p w14:paraId="37007A33">
          <w:pPr>
            <w:pStyle w:val="13"/>
            <w:rPr>
              <w:rFonts w:hAnsi="宋体" w:cs="宋体"/>
              <w:color w:val="auto"/>
              <w:kern w:val="2"/>
              <w:sz w:val="22"/>
              <w:highlight w:val="none"/>
            </w:rPr>
          </w:pPr>
          <w:r>
            <w:rPr>
              <w:color w:val="auto"/>
              <w:highlight w:val="none"/>
            </w:rPr>
            <w:fldChar w:fldCharType="begin"/>
          </w:r>
          <w:r>
            <w:rPr>
              <w:color w:val="auto"/>
              <w:highlight w:val="none"/>
            </w:rPr>
            <w:instrText xml:space="preserve"> HYPERLINK \l "_Toc29476708" </w:instrText>
          </w:r>
          <w:r>
            <w:rPr>
              <w:color w:val="auto"/>
              <w:highlight w:val="none"/>
            </w:rPr>
            <w:fldChar w:fldCharType="separate"/>
          </w:r>
          <w:r>
            <w:rPr>
              <w:rStyle w:val="23"/>
              <w:rFonts w:hint="eastAsia" w:hAnsi="宋体" w:cs="宋体"/>
              <w:color w:val="auto"/>
              <w:sz w:val="28"/>
              <w:szCs w:val="28"/>
              <w:highlight w:val="none"/>
            </w:rPr>
            <w:t>第五章 报价文件（格式）</w:t>
          </w:r>
          <w:r>
            <w:rPr>
              <w:rFonts w:hint="eastAsia" w:hAnsi="宋体" w:cs="宋体"/>
              <w:color w:val="auto"/>
              <w:sz w:val="28"/>
              <w:szCs w:val="28"/>
              <w:highlight w:val="none"/>
            </w:rPr>
            <w:tab/>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PAGEREF _Toc29476708 \h </w:instrText>
          </w:r>
          <w:r>
            <w:rPr>
              <w:rFonts w:hint="eastAsia" w:hAnsi="宋体" w:cs="宋体"/>
              <w:color w:val="auto"/>
              <w:sz w:val="28"/>
              <w:szCs w:val="28"/>
              <w:highlight w:val="none"/>
            </w:rPr>
            <w:fldChar w:fldCharType="separate"/>
          </w:r>
          <w:r>
            <w:rPr>
              <w:rFonts w:hint="eastAsia" w:hAnsi="宋体" w:cs="宋体"/>
              <w:color w:val="auto"/>
              <w:sz w:val="28"/>
              <w:szCs w:val="28"/>
              <w:highlight w:val="none"/>
            </w:rPr>
            <w:t>8</w:t>
          </w:r>
          <w:r>
            <w:rPr>
              <w:rFonts w:hint="eastAsia" w:hAnsi="宋体" w:cs="宋体"/>
              <w:color w:val="auto"/>
              <w:sz w:val="28"/>
              <w:szCs w:val="28"/>
              <w:highlight w:val="none"/>
            </w:rPr>
            <w:fldChar w:fldCharType="end"/>
          </w:r>
          <w:r>
            <w:rPr>
              <w:rFonts w:hint="eastAsia" w:hAnsi="宋体" w:cs="宋体"/>
              <w:color w:val="auto"/>
              <w:sz w:val="28"/>
              <w:szCs w:val="28"/>
              <w:highlight w:val="none"/>
            </w:rPr>
            <w:fldChar w:fldCharType="end"/>
          </w:r>
        </w:p>
        <w:p w14:paraId="6F501DDF">
          <w:pPr>
            <w:spacing w:line="360" w:lineRule="auto"/>
            <w:rPr>
              <w:rFonts w:hAnsi="宋体" w:cs="宋体"/>
              <w:color w:val="auto"/>
              <w:sz w:val="32"/>
              <w:szCs w:val="32"/>
              <w:highlight w:val="none"/>
            </w:rPr>
          </w:pPr>
          <w:r>
            <w:rPr>
              <w:rFonts w:hint="eastAsia" w:hAnsi="宋体" w:cs="宋体"/>
              <w:color w:val="auto"/>
              <w:sz w:val="40"/>
              <w:szCs w:val="40"/>
              <w:highlight w:val="none"/>
              <w:lang w:val="zh-CN"/>
            </w:rPr>
            <w:fldChar w:fldCharType="end"/>
          </w:r>
        </w:p>
      </w:sdtContent>
    </w:sdt>
    <w:p w14:paraId="72A324FE">
      <w:pPr>
        <w:spacing w:after="156" w:line="360" w:lineRule="auto"/>
        <w:jc w:val="center"/>
        <w:rPr>
          <w:rFonts w:hAnsi="宋体" w:cs="宋体"/>
          <w:b/>
          <w:bCs/>
          <w:color w:val="auto"/>
          <w:spacing w:val="28"/>
          <w:sz w:val="32"/>
          <w:szCs w:val="32"/>
          <w:highlight w:val="none"/>
        </w:rPr>
      </w:pPr>
    </w:p>
    <w:p w14:paraId="74D43ACB">
      <w:pPr>
        <w:spacing w:line="360" w:lineRule="auto"/>
        <w:rPr>
          <w:rFonts w:hAnsi="宋体" w:cs="宋体"/>
          <w:color w:val="auto"/>
          <w:highlight w:val="none"/>
        </w:rPr>
        <w:sectPr>
          <w:pgSz w:w="11906" w:h="16838"/>
          <w:pgMar w:top="1440" w:right="1803" w:bottom="1440" w:left="1803" w:header="851" w:footer="992" w:gutter="0"/>
          <w:cols w:space="0" w:num="1"/>
          <w:docGrid w:type="lines" w:linePitch="332" w:charSpace="0"/>
        </w:sectPr>
      </w:pPr>
    </w:p>
    <w:p w14:paraId="0BB604A7">
      <w:pPr>
        <w:pStyle w:val="2"/>
        <w:spacing w:before="0" w:after="0"/>
        <w:jc w:val="center"/>
        <w:rPr>
          <w:rFonts w:hAnsi="宋体" w:cs="宋体"/>
          <w:b w:val="0"/>
          <w:bCs w:val="0"/>
          <w:color w:val="auto"/>
          <w:sz w:val="24"/>
          <w:szCs w:val="24"/>
          <w:highlight w:val="none"/>
        </w:rPr>
      </w:pPr>
      <w:bookmarkStart w:id="1" w:name="_Toc29476690"/>
      <w:r>
        <w:rPr>
          <w:rFonts w:hint="eastAsia" w:hAnsi="宋体" w:cs="宋体"/>
          <w:color w:val="auto"/>
          <w:sz w:val="24"/>
          <w:szCs w:val="24"/>
          <w:highlight w:val="none"/>
        </w:rPr>
        <w:t>第一章 询价邀请函</w:t>
      </w:r>
      <w:bookmarkEnd w:id="1"/>
    </w:p>
    <w:p w14:paraId="07927A3A">
      <w:p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各供应商：</w:t>
      </w:r>
    </w:p>
    <w:p w14:paraId="766A6463">
      <w:pPr>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我公司的</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终端电脑管理软件服务续保及扩容项目</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rPr>
        <w:t>正式开展，现邀请贵司参与本项目的询价采购。具体采购信息如下：</w:t>
      </w:r>
    </w:p>
    <w:p w14:paraId="1C7A847F">
      <w:pPr>
        <w:numPr>
          <w:ilvl w:val="0"/>
          <w:numId w:val="3"/>
        </w:num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采购项目名称：</w:t>
      </w:r>
      <w:r>
        <w:rPr>
          <w:rFonts w:hint="eastAsia" w:ascii="仿宋_GB2312" w:hAnsi="仿宋_GB2312" w:eastAsia="仿宋_GB2312" w:cs="仿宋_GB2312"/>
          <w:color w:val="auto"/>
          <w:sz w:val="24"/>
          <w:szCs w:val="24"/>
          <w:highlight w:val="none"/>
          <w:lang w:eastAsia="zh-CN"/>
        </w:rPr>
        <w:t>东莞市水务环境投资控股集团有限公司</w:t>
      </w:r>
      <w:r>
        <w:rPr>
          <w:rFonts w:hint="eastAsia" w:ascii="仿宋_GB2312" w:hAnsi="仿宋_GB2312" w:eastAsia="仿宋_GB2312" w:cs="仿宋_GB2312"/>
          <w:color w:val="auto"/>
          <w:sz w:val="24"/>
          <w:szCs w:val="24"/>
          <w:highlight w:val="none"/>
          <w:lang w:val="en-US" w:eastAsia="zh-CN"/>
        </w:rPr>
        <w:t>终端电脑管理软件服务续保及扩容项目。</w:t>
      </w:r>
    </w:p>
    <w:p w14:paraId="35B3A06B">
      <w:pPr>
        <w:numPr>
          <w:ilvl w:val="0"/>
          <w:numId w:val="3"/>
        </w:num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采购预算：含税最高限价为</w:t>
      </w:r>
      <w:r>
        <w:rPr>
          <w:rFonts w:hint="eastAsia" w:ascii="仿宋_GB2312" w:hAnsi="仿宋_GB2312" w:eastAsia="仿宋_GB2312" w:cs="仿宋_GB2312"/>
          <w:color w:val="auto"/>
          <w:sz w:val="24"/>
          <w:szCs w:val="24"/>
          <w:highlight w:val="none"/>
          <w:lang w:val="en-US" w:eastAsia="zh-CN"/>
        </w:rPr>
        <w:t>68380</w:t>
      </w:r>
      <w:r>
        <w:rPr>
          <w:rFonts w:hint="eastAsia" w:ascii="仿宋_GB2312" w:hAnsi="仿宋_GB2312" w:eastAsia="仿宋_GB2312" w:cs="仿宋_GB2312"/>
          <w:color w:val="auto"/>
          <w:sz w:val="24"/>
          <w:szCs w:val="24"/>
          <w:highlight w:val="none"/>
        </w:rPr>
        <w:t>元</w:t>
      </w:r>
      <w:r>
        <w:rPr>
          <w:rFonts w:hint="eastAsia" w:ascii="仿宋_GB2312" w:hAnsi="仿宋_GB2312" w:eastAsia="仿宋_GB2312" w:cs="仿宋_GB2312"/>
          <w:color w:val="auto"/>
          <w:sz w:val="24"/>
          <w:szCs w:val="24"/>
          <w:highlight w:val="none"/>
          <w:lang w:eastAsia="zh-CN"/>
        </w:rPr>
        <w:t>。</w:t>
      </w:r>
    </w:p>
    <w:p w14:paraId="7B14A13C">
      <w:pPr>
        <w:numPr>
          <w:ilvl w:val="0"/>
          <w:numId w:val="3"/>
        </w:num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采购内容：</w:t>
      </w:r>
      <w:r>
        <w:rPr>
          <w:rFonts w:hint="eastAsia" w:ascii="仿宋_GB2312" w:hAnsi="仿宋_GB2312" w:eastAsia="仿宋_GB2312" w:cs="仿宋_GB2312"/>
          <w:color w:val="auto"/>
          <w:sz w:val="24"/>
          <w:szCs w:val="24"/>
          <w:highlight w:val="none"/>
          <w:lang w:eastAsia="zh-CN"/>
        </w:rPr>
        <w:t>东莞市水务环境投资控股集团有限公司</w:t>
      </w:r>
      <w:r>
        <w:rPr>
          <w:rFonts w:hint="eastAsia" w:ascii="仿宋_GB2312" w:hAnsi="仿宋_GB2312" w:eastAsia="仿宋_GB2312" w:cs="仿宋_GB2312"/>
          <w:color w:val="auto"/>
          <w:sz w:val="24"/>
          <w:szCs w:val="24"/>
          <w:highlight w:val="none"/>
          <w:lang w:val="en-US" w:eastAsia="zh-CN"/>
        </w:rPr>
        <w:t>终端电脑管理软件服务续保及扩容项目</w:t>
      </w:r>
      <w:r>
        <w:rPr>
          <w:rFonts w:hint="eastAsia" w:ascii="仿宋_GB2312" w:hAnsi="仿宋_GB2312" w:eastAsia="仿宋_GB2312" w:cs="仿宋_GB2312"/>
          <w:color w:val="auto"/>
          <w:sz w:val="24"/>
          <w:szCs w:val="24"/>
          <w:highlight w:val="none"/>
        </w:rPr>
        <w:t>（具体详见用户需求书）</w:t>
      </w:r>
      <w:r>
        <w:rPr>
          <w:rFonts w:hint="eastAsia" w:ascii="仿宋_GB2312" w:hAnsi="仿宋_GB2312" w:eastAsia="仿宋_GB2312" w:cs="仿宋_GB2312"/>
          <w:color w:val="auto"/>
          <w:sz w:val="24"/>
          <w:szCs w:val="24"/>
          <w:highlight w:val="none"/>
          <w:lang w:eastAsia="zh-CN"/>
        </w:rPr>
        <w:t>。</w:t>
      </w:r>
    </w:p>
    <w:p w14:paraId="734377AE">
      <w:pPr>
        <w:numPr>
          <w:ilvl w:val="0"/>
          <w:numId w:val="3"/>
        </w:num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资质要求</w:t>
      </w:r>
    </w:p>
    <w:p w14:paraId="705DE176">
      <w:pPr>
        <w:spacing w:line="460" w:lineRule="exact"/>
        <w:ind w:firstLine="424" w:firstLineChars="17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w:t>
      </w:r>
      <w:r>
        <w:rPr>
          <w:rFonts w:hint="eastAsia" w:ascii="仿宋_GB2312" w:hAnsi="仿宋_GB2312" w:eastAsia="仿宋_GB2312" w:cs="仿宋_GB2312"/>
          <w:color w:val="auto"/>
          <w:sz w:val="24"/>
          <w:szCs w:val="24"/>
          <w:highlight w:val="none"/>
          <w:lang w:eastAsia="zh-CN"/>
        </w:rPr>
        <w:t>中华人民共和国境内登记注册、合法存续、正常经营且具有独立承担民事责任能力的法人或其他组织。</w:t>
      </w:r>
    </w:p>
    <w:p w14:paraId="44B68077">
      <w:pPr>
        <w:spacing w:line="460" w:lineRule="exact"/>
        <w:ind w:firstLine="424" w:firstLineChars="17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2.报价人应具备</w:t>
      </w:r>
      <w:r>
        <w:rPr>
          <w:rFonts w:hint="eastAsia" w:ascii="仿宋_GB2312" w:hAnsi="仿宋_GB2312" w:eastAsia="仿宋_GB2312" w:cs="仿宋_GB2312"/>
          <w:color w:val="auto"/>
          <w:sz w:val="24"/>
          <w:szCs w:val="24"/>
          <w:highlight w:val="none"/>
          <w:lang w:val="en-US" w:eastAsia="zh-CN"/>
        </w:rPr>
        <w:t>深信服科</w:t>
      </w:r>
      <w:r>
        <w:rPr>
          <w:rFonts w:hint="eastAsia" w:ascii="仿宋_GB2312" w:hAnsi="仿宋_GB2312" w:eastAsia="仿宋_GB2312" w:cs="仿宋_GB2312"/>
          <w:color w:val="auto"/>
          <w:sz w:val="24"/>
          <w:szCs w:val="24"/>
          <w:lang w:val="en-US" w:eastAsia="zh-CN"/>
        </w:rPr>
        <w:t>技股份有限公司的经销授权书或其他证明文件</w:t>
      </w:r>
      <w:r>
        <w:rPr>
          <w:rFonts w:hint="eastAsia" w:ascii="仿宋_GB2312" w:hAnsi="仿宋_GB2312" w:eastAsia="仿宋_GB2312" w:cs="仿宋_GB2312"/>
          <w:color w:val="auto"/>
          <w:sz w:val="24"/>
          <w:szCs w:val="24"/>
          <w:highlight w:val="none"/>
        </w:rPr>
        <w:t>。</w:t>
      </w:r>
    </w:p>
    <w:p w14:paraId="38D77BAC">
      <w:pPr>
        <w:numPr>
          <w:ilvl w:val="0"/>
          <w:numId w:val="3"/>
        </w:num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成交原则：从实质性满足采购需求的供应商中，按含税价最低成交原则确定成交供应商。</w:t>
      </w:r>
    </w:p>
    <w:p w14:paraId="2F74EB35">
      <w:pPr>
        <w:numPr>
          <w:ilvl w:val="0"/>
          <w:numId w:val="3"/>
        </w:num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报价文件递交截止时间：</w:t>
      </w:r>
      <w:bookmarkStart w:id="2" w:name="_Hlk27138379"/>
      <w:r>
        <w:rPr>
          <w:rFonts w:hint="eastAsia" w:ascii="仿宋_GB2312" w:hAnsi="仿宋_GB2312" w:eastAsia="仿宋_GB2312" w:cs="仿宋_GB2312"/>
          <w:color w:val="auto"/>
          <w:sz w:val="24"/>
          <w:szCs w:val="24"/>
          <w:highlight w:val="none"/>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 xml:space="preserve">年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月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日10时00分</w:t>
      </w:r>
      <w:bookmarkEnd w:id="2"/>
      <w:r>
        <w:rPr>
          <w:rFonts w:hint="eastAsia" w:ascii="仿宋_GB2312" w:hAnsi="仿宋_GB2312" w:eastAsia="仿宋_GB2312" w:cs="仿宋_GB2312"/>
          <w:color w:val="auto"/>
          <w:sz w:val="24"/>
          <w:szCs w:val="24"/>
          <w:highlight w:val="none"/>
        </w:rPr>
        <w:t>。</w:t>
      </w:r>
    </w:p>
    <w:p w14:paraId="74E0F2B2">
      <w:pPr>
        <w:numPr>
          <w:ilvl w:val="0"/>
          <w:numId w:val="3"/>
        </w:num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报价文件递交地点：东莞市东城街道育华路1号</w:t>
      </w:r>
      <w:r>
        <w:rPr>
          <w:rFonts w:hint="eastAsia" w:ascii="仿宋_GB2312" w:hAnsi="仿宋_GB2312" w:eastAsia="仿宋_GB2312" w:cs="仿宋_GB2312"/>
          <w:color w:val="auto"/>
          <w:sz w:val="24"/>
          <w:szCs w:val="24"/>
          <w:highlight w:val="none"/>
          <w:lang w:eastAsia="zh-CN"/>
        </w:rPr>
        <w:t>东莞市水务环境投资控股集团有限公司</w:t>
      </w:r>
      <w:r>
        <w:rPr>
          <w:rFonts w:hint="eastAsia" w:ascii="仿宋_GB2312" w:hAnsi="仿宋_GB2312" w:eastAsia="仿宋_GB2312" w:cs="仿宋_GB2312"/>
          <w:color w:val="auto"/>
          <w:sz w:val="24"/>
          <w:szCs w:val="24"/>
          <w:highlight w:val="none"/>
        </w:rPr>
        <w:t>。</w:t>
      </w:r>
    </w:p>
    <w:p w14:paraId="1D0A3930">
      <w:pPr>
        <w:numPr>
          <w:ilvl w:val="0"/>
          <w:numId w:val="3"/>
        </w:num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报价文件开封时间：202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 xml:space="preserve">年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月</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时00分。</w:t>
      </w:r>
    </w:p>
    <w:p w14:paraId="3CF7D375">
      <w:pPr>
        <w:numPr>
          <w:ilvl w:val="0"/>
          <w:numId w:val="3"/>
        </w:num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开封地点：</w:t>
      </w:r>
      <w:r>
        <w:rPr>
          <w:rFonts w:hint="eastAsia" w:ascii="仿宋_GB2312" w:hAnsi="仿宋_GB2312" w:eastAsia="仿宋_GB2312" w:cs="仿宋_GB2312"/>
          <w:color w:val="auto"/>
          <w:sz w:val="24"/>
          <w:szCs w:val="24"/>
          <w:highlight w:val="none"/>
          <w:lang w:eastAsia="zh-CN"/>
        </w:rPr>
        <w:t>东莞市水务环境投资控股集团有限公司</w:t>
      </w:r>
      <w:r>
        <w:rPr>
          <w:rFonts w:hint="eastAsia" w:ascii="仿宋_GB2312" w:hAnsi="仿宋_GB2312" w:eastAsia="仿宋_GB2312" w:cs="仿宋_GB2312"/>
          <w:color w:val="auto"/>
          <w:sz w:val="24"/>
          <w:szCs w:val="24"/>
          <w:highlight w:val="none"/>
        </w:rPr>
        <w:t>会议室。</w:t>
      </w:r>
    </w:p>
    <w:p w14:paraId="3579D6E3">
      <w:pPr>
        <w:numPr>
          <w:ilvl w:val="0"/>
          <w:numId w:val="3"/>
        </w:num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采购人联系方式：</w:t>
      </w:r>
    </w:p>
    <w:p w14:paraId="1823BF06">
      <w:pPr>
        <w:spacing w:line="460" w:lineRule="exact"/>
        <w:ind w:left="566" w:leftChars="236" w:firstLine="285"/>
        <w:rPr>
          <w:rFonts w:hint="eastAsia" w:ascii="仿宋_GB2312" w:hAnsi="仿宋_GB2312" w:eastAsia="仿宋_GB2312" w:cs="仿宋_GB2312"/>
          <w:color w:val="auto"/>
          <w:sz w:val="24"/>
          <w:szCs w:val="24"/>
          <w:highlight w:val="none"/>
        </w:rPr>
      </w:pPr>
      <w:bookmarkStart w:id="3" w:name="_Hlk27138405"/>
      <w:r>
        <w:rPr>
          <w:rFonts w:hint="eastAsia" w:ascii="仿宋_GB2312" w:hAnsi="仿宋_GB2312" w:eastAsia="仿宋_GB2312" w:cs="仿宋_GB2312"/>
          <w:color w:val="auto"/>
          <w:sz w:val="24"/>
          <w:szCs w:val="24"/>
          <w:highlight w:val="none"/>
        </w:rPr>
        <w:t>采购联系人：</w:t>
      </w:r>
      <w:r>
        <w:rPr>
          <w:rFonts w:hint="eastAsia" w:ascii="仿宋_GB2312" w:hAnsi="仿宋_GB2312" w:eastAsia="仿宋_GB2312" w:cs="仿宋_GB2312"/>
          <w:color w:val="auto"/>
          <w:sz w:val="24"/>
          <w:szCs w:val="24"/>
          <w:highlight w:val="none"/>
          <w:lang w:val="en-US" w:eastAsia="zh-CN"/>
        </w:rPr>
        <w:t>莫</w:t>
      </w:r>
      <w:r>
        <w:rPr>
          <w:rFonts w:hint="eastAsia" w:ascii="仿宋_GB2312" w:hAnsi="仿宋_GB2312" w:eastAsia="仿宋_GB2312" w:cs="仿宋_GB2312"/>
          <w:color w:val="auto"/>
          <w:sz w:val="24"/>
          <w:szCs w:val="24"/>
          <w:highlight w:val="none"/>
        </w:rPr>
        <w:t>先生</w:t>
      </w:r>
    </w:p>
    <w:p w14:paraId="34705D1C">
      <w:pPr>
        <w:spacing w:line="460" w:lineRule="exact"/>
        <w:ind w:left="566" w:leftChars="236" w:firstLine="285"/>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联系电话：</w:t>
      </w:r>
      <w:r>
        <w:rPr>
          <w:rFonts w:hint="eastAsia" w:ascii="仿宋_GB2312" w:hAnsi="仿宋_GB2312" w:eastAsia="仿宋_GB2312" w:cs="仿宋_GB2312"/>
          <w:color w:val="auto"/>
          <w:sz w:val="24"/>
          <w:szCs w:val="24"/>
          <w:highlight w:val="none"/>
          <w:lang w:val="en-US" w:eastAsia="zh-CN"/>
        </w:rPr>
        <w:t>13922516936</w:t>
      </w:r>
    </w:p>
    <w:p w14:paraId="1AF84605">
      <w:pPr>
        <w:spacing w:line="460" w:lineRule="exact"/>
        <w:ind w:left="566" w:leftChars="236" w:firstLine="28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联系地址：广东省东莞市东城街道育华路1号</w:t>
      </w:r>
    </w:p>
    <w:bookmarkEnd w:id="3"/>
    <w:p w14:paraId="00E1CDCB">
      <w:pPr>
        <w:spacing w:line="460" w:lineRule="exact"/>
        <w:rPr>
          <w:rFonts w:hint="eastAsia" w:ascii="仿宋_GB2312" w:hAnsi="仿宋_GB2312" w:eastAsia="仿宋_GB2312" w:cs="仿宋_GB2312"/>
          <w:color w:val="auto"/>
          <w:sz w:val="24"/>
          <w:szCs w:val="24"/>
          <w:highlight w:val="none"/>
        </w:rPr>
      </w:pPr>
    </w:p>
    <w:p w14:paraId="3460F58E">
      <w:pPr>
        <w:tabs>
          <w:tab w:val="left" w:pos="10103"/>
        </w:tabs>
        <w:spacing w:line="460" w:lineRule="exact"/>
        <w:ind w:right="139" w:rightChars="58"/>
        <w:jc w:val="right"/>
        <w:rPr>
          <w:rFonts w:hint="eastAsia" w:ascii="仿宋_GB2312" w:hAnsi="仿宋_GB2312" w:eastAsia="仿宋_GB2312" w:cs="仿宋_GB2312"/>
          <w:color w:val="auto"/>
          <w:sz w:val="24"/>
          <w:szCs w:val="24"/>
          <w:highlight w:val="none"/>
          <w:lang w:eastAsia="zh-CN"/>
        </w:rPr>
      </w:pPr>
      <w:bookmarkStart w:id="4" w:name="_Hlk27138410"/>
      <w:r>
        <w:rPr>
          <w:rFonts w:hint="eastAsia" w:ascii="仿宋_GB2312" w:hAnsi="仿宋_GB2312" w:eastAsia="仿宋_GB2312" w:cs="仿宋_GB2312"/>
          <w:color w:val="auto"/>
          <w:sz w:val="24"/>
          <w:szCs w:val="24"/>
          <w:highlight w:val="none"/>
          <w:lang w:eastAsia="zh-CN"/>
        </w:rPr>
        <w:t>东莞市水务环境投资控股集团有限公司</w:t>
      </w:r>
    </w:p>
    <w:p w14:paraId="598FC509">
      <w:pPr>
        <w:wordWrap w:val="0"/>
        <w:spacing w:line="460" w:lineRule="exact"/>
        <w:jc w:val="right"/>
        <w:rPr>
          <w:rFonts w:hAnsi="宋体" w:cs="宋体"/>
          <w:color w:val="auto"/>
          <w:sz w:val="32"/>
          <w:szCs w:val="32"/>
          <w:highlight w:val="none"/>
        </w:rPr>
      </w:pPr>
      <w:r>
        <w:rPr>
          <w:rFonts w:hint="eastAsia" w:ascii="仿宋_GB2312" w:hAnsi="仿宋_GB2312" w:eastAsia="仿宋_GB2312" w:cs="仿宋_GB2312"/>
          <w:color w:val="auto"/>
          <w:sz w:val="24"/>
          <w:szCs w:val="24"/>
          <w:highlight w:val="none"/>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 xml:space="preserve">年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月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日    </w:t>
      </w:r>
      <w:r>
        <w:rPr>
          <w:rFonts w:hint="eastAsia" w:hAnsi="宋体" w:cs="宋体"/>
          <w:color w:val="auto"/>
          <w:sz w:val="24"/>
          <w:szCs w:val="24"/>
          <w:highlight w:val="none"/>
        </w:rPr>
        <w:t xml:space="preserve"> </w:t>
      </w:r>
    </w:p>
    <w:bookmarkEnd w:id="4"/>
    <w:p w14:paraId="14FABAD4">
      <w:pPr>
        <w:spacing w:line="360" w:lineRule="auto"/>
        <w:ind w:firstLine="5822" w:firstLineChars="2426"/>
        <w:rPr>
          <w:rFonts w:hAnsi="宋体" w:cs="宋体"/>
          <w:color w:val="auto"/>
          <w:sz w:val="24"/>
          <w:szCs w:val="24"/>
          <w:highlight w:val="none"/>
        </w:rPr>
      </w:pPr>
    </w:p>
    <w:p w14:paraId="71BE368A">
      <w:pPr>
        <w:spacing w:line="360" w:lineRule="auto"/>
        <w:rPr>
          <w:rFonts w:hAnsi="宋体" w:cs="宋体"/>
          <w:color w:val="auto"/>
          <w:sz w:val="24"/>
          <w:szCs w:val="24"/>
          <w:highlight w:val="none"/>
        </w:rPr>
        <w:sectPr>
          <w:pgSz w:w="11906" w:h="16838"/>
          <w:pgMar w:top="1440" w:right="1803" w:bottom="1440" w:left="1803" w:header="851" w:footer="992" w:gutter="0"/>
          <w:cols w:space="0" w:num="1"/>
          <w:docGrid w:type="lines" w:linePitch="332" w:charSpace="0"/>
        </w:sectPr>
      </w:pPr>
    </w:p>
    <w:p w14:paraId="2110C9D2">
      <w:pPr>
        <w:pStyle w:val="2"/>
        <w:spacing w:before="0" w:after="0"/>
        <w:jc w:val="center"/>
        <w:rPr>
          <w:rFonts w:hint="eastAsia" w:hAnsi="宋体" w:eastAsia="宋体" w:cs="宋体"/>
          <w:b w:val="0"/>
          <w:bCs w:val="0"/>
          <w:color w:val="auto"/>
          <w:sz w:val="24"/>
          <w:szCs w:val="24"/>
          <w:highlight w:val="none"/>
          <w:lang w:val="en-US" w:eastAsia="zh-CN"/>
        </w:rPr>
      </w:pPr>
      <w:bookmarkStart w:id="5" w:name="_Toc29476692"/>
      <w:bookmarkStart w:id="6" w:name="_Toc27990830"/>
      <w:r>
        <w:rPr>
          <w:rFonts w:hint="eastAsia" w:hAnsi="宋体" w:cs="宋体"/>
          <w:color w:val="auto"/>
          <w:sz w:val="24"/>
          <w:szCs w:val="24"/>
          <w:highlight w:val="none"/>
        </w:rPr>
        <w:t>第</w:t>
      </w:r>
      <w:r>
        <w:rPr>
          <w:rFonts w:hint="eastAsia" w:hAnsi="宋体" w:cs="宋体"/>
          <w:color w:val="auto"/>
          <w:sz w:val="24"/>
          <w:szCs w:val="24"/>
          <w:highlight w:val="none"/>
          <w:lang w:val="en-US" w:eastAsia="zh-CN"/>
        </w:rPr>
        <w:t>二</w:t>
      </w:r>
      <w:r>
        <w:rPr>
          <w:rFonts w:hint="eastAsia" w:hAnsi="宋体" w:cs="宋体"/>
          <w:color w:val="auto"/>
          <w:sz w:val="24"/>
          <w:szCs w:val="24"/>
          <w:highlight w:val="none"/>
        </w:rPr>
        <w:t xml:space="preserve">章 </w:t>
      </w:r>
      <w:r>
        <w:rPr>
          <w:rFonts w:hint="eastAsia" w:hAnsi="宋体" w:cs="宋体"/>
          <w:color w:val="auto"/>
          <w:sz w:val="24"/>
          <w:szCs w:val="24"/>
          <w:highlight w:val="none"/>
          <w:lang w:val="en-US" w:eastAsia="zh-CN"/>
        </w:rPr>
        <w:t>用户需求</w:t>
      </w:r>
    </w:p>
    <w:p w14:paraId="424775C4">
      <w:pPr>
        <w:pStyle w:val="17"/>
        <w:pageBreakBefore w:val="0"/>
        <w:kinsoku/>
        <w:overflowPunct/>
        <w:topLinePunct w:val="0"/>
        <w:bidi w:val="0"/>
        <w:snapToGrid/>
        <w:ind w:left="0" w:leftChars="0" w:firstLine="480" w:firstLineChars="200"/>
        <w:jc w:val="both"/>
        <w:textAlignment w:val="auto"/>
        <w:rPr>
          <w:rFonts w:hint="default" w:ascii="Times New Roman" w:hAnsi="Times New Roman" w:cs="Times New Roman"/>
          <w:color w:val="auto"/>
          <w:sz w:val="24"/>
          <w:szCs w:val="24"/>
          <w:lang w:val="en-US" w:eastAsia="zh-CN"/>
        </w:rPr>
      </w:pPr>
    </w:p>
    <w:p w14:paraId="7A554A6B">
      <w:pPr>
        <w:keepNext w:val="0"/>
        <w:keepLines w:val="0"/>
        <w:pageBreakBefore w:val="0"/>
        <w:widowControl w:val="0"/>
        <w:numPr>
          <w:ilvl w:val="0"/>
          <w:numId w:val="4"/>
        </w:numPr>
        <w:kinsoku/>
        <w:wordWrap/>
        <w:overflowPunct/>
        <w:topLinePunct w:val="0"/>
        <w:autoSpaceDE w:val="0"/>
        <w:autoSpaceDN w:val="0"/>
        <w:bidi w:val="0"/>
        <w:adjustRightInd w:val="0"/>
        <w:snapToGrid/>
        <w:spacing w:line="600" w:lineRule="exact"/>
        <w:ind w:left="425" w:leftChars="0" w:hanging="425" w:firstLineChars="0"/>
        <w:textAlignment w:val="auto"/>
        <w:rPr>
          <w:rFonts w:hint="eastAsia" w:ascii="黑体" w:hAnsi="黑体" w:eastAsia="黑体" w:cs="黑体"/>
          <w:sz w:val="24"/>
          <w:szCs w:val="24"/>
          <w:lang w:val="en-US" w:eastAsia="zh-CN"/>
        </w:rPr>
      </w:pPr>
      <w:bookmarkStart w:id="7" w:name="_Toc4351"/>
      <w:bookmarkStart w:id="8" w:name="_Toc11278"/>
      <w:bookmarkStart w:id="9" w:name="_Toc447045087"/>
      <w:bookmarkStart w:id="10" w:name="_Toc447044600"/>
      <w:bookmarkStart w:id="11" w:name="_Toc447044476"/>
      <w:r>
        <w:rPr>
          <w:rFonts w:hint="eastAsia" w:ascii="黑体" w:hAnsi="黑体" w:eastAsia="黑体" w:cs="黑体"/>
          <w:sz w:val="24"/>
          <w:szCs w:val="24"/>
          <w:lang w:val="en-US" w:eastAsia="zh-CN"/>
        </w:rPr>
        <w:t>项目概况</w:t>
      </w:r>
    </w:p>
    <w:bookmarkEnd w:id="7"/>
    <w:bookmarkEnd w:id="8"/>
    <w:p w14:paraId="7D907A49">
      <w:pPr>
        <w:keepNext w:val="0"/>
        <w:keepLines w:val="0"/>
        <w:pageBreakBefore w:val="0"/>
        <w:widowControl w:val="0"/>
        <w:numPr>
          <w:ilvl w:val="1"/>
          <w:numId w:val="5"/>
        </w:numPr>
        <w:kinsoku/>
        <w:wordWrap/>
        <w:overflowPunct/>
        <w:topLinePunct w:val="0"/>
        <w:autoSpaceDE w:val="0"/>
        <w:autoSpaceDN w:val="0"/>
        <w:bidi w:val="0"/>
        <w:adjustRightInd w:val="0"/>
        <w:snapToGrid/>
        <w:spacing w:line="600" w:lineRule="exact"/>
        <w:ind w:left="0" w:leftChars="0" w:firstLine="680" w:firstLineChars="0"/>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采购单位：</w:t>
      </w:r>
      <w:bookmarkStart w:id="12" w:name="_Toc23514"/>
      <w:r>
        <w:rPr>
          <w:rFonts w:hint="eastAsia" w:ascii="仿宋_GB2312" w:hAnsi="仿宋_GB2312" w:eastAsia="仿宋_GB2312" w:cs="仿宋_GB2312"/>
          <w:bCs/>
          <w:kern w:val="0"/>
          <w:sz w:val="24"/>
          <w:szCs w:val="24"/>
          <w:lang w:val="en-US" w:eastAsia="zh-CN"/>
        </w:rPr>
        <w:t>东莞市水务环境投资控股集团有限公司</w:t>
      </w:r>
    </w:p>
    <w:p w14:paraId="6113449D">
      <w:pPr>
        <w:keepNext w:val="0"/>
        <w:keepLines w:val="0"/>
        <w:pageBreakBefore w:val="0"/>
        <w:widowControl w:val="0"/>
        <w:numPr>
          <w:ilvl w:val="1"/>
          <w:numId w:val="5"/>
        </w:numPr>
        <w:kinsoku/>
        <w:wordWrap/>
        <w:overflowPunct/>
        <w:topLinePunct w:val="0"/>
        <w:autoSpaceDE w:val="0"/>
        <w:autoSpaceDN w:val="0"/>
        <w:bidi w:val="0"/>
        <w:adjustRightInd w:val="0"/>
        <w:snapToGrid/>
        <w:spacing w:line="600" w:lineRule="exact"/>
        <w:ind w:left="0" w:leftChars="0" w:firstLine="680" w:firstLineChars="0"/>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项目名称：终端电脑管理软件服务续保及扩容</w:t>
      </w:r>
      <w:bookmarkEnd w:id="12"/>
    </w:p>
    <w:p w14:paraId="3399D40F">
      <w:pPr>
        <w:keepNext w:val="0"/>
        <w:keepLines w:val="0"/>
        <w:pageBreakBefore w:val="0"/>
        <w:widowControl w:val="0"/>
        <w:numPr>
          <w:ilvl w:val="1"/>
          <w:numId w:val="5"/>
        </w:numPr>
        <w:kinsoku/>
        <w:wordWrap/>
        <w:overflowPunct/>
        <w:topLinePunct w:val="0"/>
        <w:autoSpaceDE w:val="0"/>
        <w:autoSpaceDN w:val="0"/>
        <w:bidi w:val="0"/>
        <w:adjustRightInd w:val="0"/>
        <w:snapToGrid/>
        <w:spacing w:line="600" w:lineRule="exact"/>
        <w:ind w:left="0" w:leftChars="0" w:firstLine="680" w:firstLineChars="0"/>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基本情况：</w:t>
      </w:r>
    </w:p>
    <w:p w14:paraId="551D0272">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480" w:firstLineChars="200"/>
        <w:textAlignment w:val="auto"/>
        <w:rPr>
          <w:rFonts w:hint="eastAsia" w:ascii="Times New Roman" w:eastAsia="仿宋_GB2312" w:cs="Times New Roman"/>
          <w:bCs/>
          <w:kern w:val="0"/>
          <w:sz w:val="24"/>
          <w:szCs w:val="24"/>
          <w:lang w:val="en-US" w:eastAsia="zh-CN"/>
        </w:rPr>
      </w:pPr>
      <w:r>
        <w:rPr>
          <w:rFonts w:hint="eastAsia" w:ascii="仿宋_GB2312" w:hAnsi="仿宋_GB2312" w:eastAsia="仿宋_GB2312" w:cs="仿宋_GB2312"/>
          <w:bCs/>
          <w:kern w:val="0"/>
          <w:sz w:val="24"/>
          <w:szCs w:val="24"/>
          <w:lang w:val="en-US" w:eastAsia="zh-CN"/>
        </w:rPr>
        <w:t>我司于2022年采购部署了深信服EDR终端管理软件（含服务器版授权16个以及PC版授权140个）。目前已过质保期，病毒特征库无法继续获得官方更新服务，系统防护能力存在滞后风险。同时，随着业务扩展，现有授权数量已无法满足集团公司日益增长的服务器和办公终端使用需求。经统计，目前集团公司实际运行的业务服务器操作系统数量共有27套，缺口11套，办公终端190台，缺口50套。为加强集团公司办公电脑及服务器安全管理，保障网络安全，集团公司EDR终端管理软件续保及扩容迫在眉睫。</w:t>
      </w:r>
    </w:p>
    <w:p w14:paraId="093193B1">
      <w:pPr>
        <w:keepNext w:val="0"/>
        <w:keepLines w:val="0"/>
        <w:pageBreakBefore w:val="0"/>
        <w:widowControl w:val="0"/>
        <w:numPr>
          <w:ilvl w:val="0"/>
          <w:numId w:val="5"/>
        </w:numPr>
        <w:kinsoku/>
        <w:wordWrap/>
        <w:overflowPunct/>
        <w:topLinePunct w:val="0"/>
        <w:autoSpaceDE w:val="0"/>
        <w:autoSpaceDN w:val="0"/>
        <w:bidi w:val="0"/>
        <w:adjustRightInd w:val="0"/>
        <w:snapToGrid/>
        <w:spacing w:line="600" w:lineRule="exact"/>
        <w:ind w:left="425" w:leftChars="0" w:hanging="425"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项目目的</w:t>
      </w:r>
    </w:p>
    <w:p w14:paraId="59AD5421">
      <w:pPr>
        <w:keepNext w:val="0"/>
        <w:keepLines w:val="0"/>
        <w:pageBreakBefore w:val="0"/>
        <w:widowControl w:val="0"/>
        <w:numPr>
          <w:ilvl w:val="1"/>
          <w:numId w:val="5"/>
        </w:numPr>
        <w:kinsoku/>
        <w:wordWrap/>
        <w:overflowPunct/>
        <w:topLinePunct w:val="0"/>
        <w:autoSpaceDE w:val="0"/>
        <w:autoSpaceDN w:val="0"/>
        <w:bidi w:val="0"/>
        <w:adjustRightInd w:val="0"/>
        <w:snapToGrid/>
        <w:spacing w:line="600" w:lineRule="exact"/>
        <w:ind w:left="0" w:leftChars="0" w:firstLine="680" w:firstLineChars="0"/>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实现集团公司办公电脑及服务器信息精准管理，通过系统自动收集并整合硬件配置、软件安装等信息，形成统一数据源，方便随时查询、统计与管理，提升设备管控效率。</w:t>
      </w:r>
    </w:p>
    <w:p w14:paraId="48DD8509">
      <w:pPr>
        <w:keepNext w:val="0"/>
        <w:keepLines w:val="0"/>
        <w:pageBreakBefore w:val="0"/>
        <w:widowControl w:val="0"/>
        <w:numPr>
          <w:ilvl w:val="1"/>
          <w:numId w:val="5"/>
        </w:numPr>
        <w:kinsoku/>
        <w:wordWrap/>
        <w:overflowPunct/>
        <w:topLinePunct w:val="0"/>
        <w:autoSpaceDE w:val="0"/>
        <w:autoSpaceDN w:val="0"/>
        <w:bidi w:val="0"/>
        <w:adjustRightInd w:val="0"/>
        <w:snapToGrid/>
        <w:spacing w:line="600" w:lineRule="exact"/>
        <w:ind w:left="0" w:leftChars="0" w:firstLine="680" w:firstLineChars="0"/>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强化防病毒与安全防护能力，系统可实时监测并主动防御病毒、木马等恶意软件，同时管控网络行为与操作权限，降低数据泄漏风险，保障企业信息安全。</w:t>
      </w:r>
    </w:p>
    <w:p w14:paraId="4D3E2038">
      <w:pPr>
        <w:keepNext w:val="0"/>
        <w:keepLines w:val="0"/>
        <w:pageBreakBefore w:val="0"/>
        <w:widowControl w:val="0"/>
        <w:numPr>
          <w:ilvl w:val="1"/>
          <w:numId w:val="5"/>
        </w:numPr>
        <w:kinsoku/>
        <w:wordWrap/>
        <w:overflowPunct/>
        <w:topLinePunct w:val="0"/>
        <w:autoSpaceDE w:val="0"/>
        <w:autoSpaceDN w:val="0"/>
        <w:bidi w:val="0"/>
        <w:adjustRightInd w:val="0"/>
        <w:snapToGrid/>
        <w:spacing w:line="600" w:lineRule="exact"/>
        <w:ind w:left="0" w:leftChars="0" w:firstLine="680" w:firstLineChars="0"/>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提升运维管理效率，远程协助功能使 IT 人员能快速诊断并修复终端故障，减少现场维修时间；同时，自动化任务部署功能可简化运维流程，提高工作效率。</w:t>
      </w:r>
    </w:p>
    <w:p w14:paraId="4612B6EF">
      <w:pPr>
        <w:keepNext w:val="0"/>
        <w:keepLines w:val="0"/>
        <w:pageBreakBefore w:val="0"/>
        <w:widowControl w:val="0"/>
        <w:numPr>
          <w:ilvl w:val="1"/>
          <w:numId w:val="5"/>
        </w:numPr>
        <w:kinsoku/>
        <w:wordWrap/>
        <w:overflowPunct/>
        <w:topLinePunct w:val="0"/>
        <w:autoSpaceDE w:val="0"/>
        <w:autoSpaceDN w:val="0"/>
        <w:bidi w:val="0"/>
        <w:adjustRightInd w:val="0"/>
        <w:snapToGrid/>
        <w:spacing w:line="600" w:lineRule="exact"/>
        <w:ind w:left="0" w:leftChars="0" w:firstLine="680" w:firstLineChars="0"/>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推进正版化软件工作，系统严格管控软件安装与使用，防止未经授权的软件进入，确保软件使用的合规性与安全性，助力企业合法合规运营。</w:t>
      </w:r>
    </w:p>
    <w:p w14:paraId="2B817140">
      <w:pPr>
        <w:keepNext w:val="0"/>
        <w:keepLines w:val="0"/>
        <w:pageBreakBefore w:val="0"/>
        <w:widowControl w:val="0"/>
        <w:numPr>
          <w:ilvl w:val="0"/>
          <w:numId w:val="5"/>
        </w:numPr>
        <w:kinsoku/>
        <w:wordWrap/>
        <w:overflowPunct/>
        <w:topLinePunct w:val="0"/>
        <w:autoSpaceDE w:val="0"/>
        <w:autoSpaceDN w:val="0"/>
        <w:bidi w:val="0"/>
        <w:adjustRightInd w:val="0"/>
        <w:snapToGrid/>
        <w:spacing w:line="600" w:lineRule="exact"/>
        <w:ind w:left="425" w:leftChars="0" w:hanging="425" w:firstLineChars="0"/>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项目内容</w:t>
      </w:r>
    </w:p>
    <w:p w14:paraId="28BD2AE5">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right="0" w:rightChars="0" w:firstLine="480" w:firstLineChars="200"/>
        <w:jc w:val="left"/>
        <w:textAlignment w:val="auto"/>
        <w:rPr>
          <w:rFonts w:hint="default"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结合集团公司实际情况，</w:t>
      </w:r>
      <w:r>
        <w:rPr>
          <w:rFonts w:hint="default" w:ascii="仿宋_GB2312" w:hAnsi="仿宋_GB2312" w:eastAsia="仿宋_GB2312" w:cs="仿宋_GB2312"/>
          <w:b w:val="0"/>
          <w:bCs w:val="0"/>
          <w:color w:val="auto"/>
          <w:sz w:val="24"/>
          <w:szCs w:val="24"/>
          <w:highlight w:val="none"/>
          <w:lang w:val="en-US" w:eastAsia="zh-CN" w:bidi="ar-SA"/>
        </w:rPr>
        <w:t>EDR终端管理</w:t>
      </w:r>
      <w:r>
        <w:rPr>
          <w:rFonts w:hint="eastAsia" w:ascii="仿宋_GB2312" w:hAnsi="仿宋_GB2312" w:eastAsia="仿宋_GB2312" w:cs="仿宋_GB2312"/>
          <w:b w:val="0"/>
          <w:bCs w:val="0"/>
          <w:color w:val="auto"/>
          <w:sz w:val="24"/>
          <w:szCs w:val="24"/>
          <w:highlight w:val="none"/>
          <w:lang w:val="en-US" w:eastAsia="zh-CN" w:bidi="ar-SA"/>
        </w:rPr>
        <w:t>软件</w:t>
      </w:r>
      <w:r>
        <w:rPr>
          <w:rFonts w:hint="default" w:ascii="仿宋_GB2312" w:hAnsi="仿宋_GB2312" w:eastAsia="仿宋_GB2312" w:cs="仿宋_GB2312"/>
          <w:b w:val="0"/>
          <w:bCs w:val="0"/>
          <w:color w:val="auto"/>
          <w:sz w:val="24"/>
          <w:szCs w:val="24"/>
          <w:highlight w:val="none"/>
          <w:lang w:val="en-US" w:eastAsia="zh-CN" w:bidi="ar-SA"/>
        </w:rPr>
        <w:t>续保及扩容</w:t>
      </w:r>
      <w:r>
        <w:rPr>
          <w:rFonts w:hint="eastAsia" w:ascii="仿宋_GB2312" w:hAnsi="仿宋_GB2312" w:eastAsia="仿宋_GB2312" w:cs="仿宋_GB2312"/>
          <w:b w:val="0"/>
          <w:bCs w:val="0"/>
          <w:color w:val="auto"/>
          <w:sz w:val="24"/>
          <w:szCs w:val="24"/>
          <w:highlight w:val="none"/>
          <w:lang w:val="en-US" w:eastAsia="zh-CN" w:bidi="ar-SA"/>
        </w:rPr>
        <w:t>清单如下：</w:t>
      </w:r>
    </w:p>
    <w:tbl>
      <w:tblPr>
        <w:tblStyle w:val="20"/>
        <w:tblW w:w="859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5"/>
        <w:gridCol w:w="3375"/>
        <w:gridCol w:w="1995"/>
      </w:tblGrid>
      <w:tr w14:paraId="01DD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25" w:type="dxa"/>
            <w:shd w:val="clear" w:color="auto" w:fill="auto"/>
            <w:vAlign w:val="center"/>
          </w:tcPr>
          <w:p w14:paraId="28EB3278">
            <w:pPr>
              <w:numPr>
                <w:ilvl w:val="0"/>
                <w:numId w:val="0"/>
              </w:numPr>
              <w:bidi w:val="0"/>
              <w:jc w:val="center"/>
              <w:rPr>
                <w:rFonts w:hint="eastAsia" w:ascii="Times New Roman" w:eastAsia="仿宋_GB2312" w:cs="Times New Roman"/>
                <w:b/>
                <w:bCs w:val="0"/>
                <w:kern w:val="0"/>
                <w:sz w:val="24"/>
                <w:szCs w:val="24"/>
                <w:lang w:val="en-US" w:eastAsia="zh-CN"/>
              </w:rPr>
            </w:pPr>
            <w:r>
              <w:rPr>
                <w:rFonts w:hint="eastAsia" w:ascii="Times New Roman" w:eastAsia="仿宋_GB2312" w:cs="Times New Roman"/>
                <w:b/>
                <w:bCs w:val="0"/>
                <w:kern w:val="0"/>
                <w:sz w:val="24"/>
                <w:szCs w:val="24"/>
                <w:lang w:val="en-US" w:eastAsia="zh-CN"/>
              </w:rPr>
              <w:t>采购内容</w:t>
            </w:r>
          </w:p>
        </w:tc>
        <w:tc>
          <w:tcPr>
            <w:tcW w:w="3375" w:type="dxa"/>
            <w:shd w:val="clear" w:color="auto" w:fill="auto"/>
            <w:vAlign w:val="center"/>
          </w:tcPr>
          <w:p w14:paraId="096452C1">
            <w:pPr>
              <w:numPr>
                <w:ilvl w:val="0"/>
                <w:numId w:val="0"/>
              </w:numPr>
              <w:bidi w:val="0"/>
              <w:jc w:val="center"/>
              <w:rPr>
                <w:rFonts w:hint="eastAsia" w:ascii="Times New Roman" w:eastAsia="仿宋_GB2312" w:cs="Times New Roman"/>
                <w:b/>
                <w:bCs w:val="0"/>
                <w:kern w:val="0"/>
                <w:sz w:val="24"/>
                <w:szCs w:val="24"/>
                <w:lang w:val="en-US" w:eastAsia="zh-CN"/>
              </w:rPr>
            </w:pPr>
            <w:r>
              <w:rPr>
                <w:rFonts w:hint="eastAsia" w:ascii="Times New Roman" w:eastAsia="仿宋_GB2312" w:cs="Times New Roman"/>
                <w:b/>
                <w:bCs w:val="0"/>
                <w:kern w:val="0"/>
                <w:sz w:val="24"/>
                <w:szCs w:val="24"/>
                <w:lang w:val="en-US" w:eastAsia="zh-CN"/>
              </w:rPr>
              <w:t>版本</w:t>
            </w:r>
          </w:p>
        </w:tc>
        <w:tc>
          <w:tcPr>
            <w:tcW w:w="1995" w:type="dxa"/>
            <w:shd w:val="clear" w:color="auto" w:fill="auto"/>
            <w:vAlign w:val="center"/>
          </w:tcPr>
          <w:p w14:paraId="2CC2197D">
            <w:pPr>
              <w:numPr>
                <w:ilvl w:val="0"/>
                <w:numId w:val="0"/>
              </w:numPr>
              <w:bidi w:val="0"/>
              <w:jc w:val="center"/>
              <w:rPr>
                <w:rFonts w:hint="eastAsia" w:ascii="Times New Roman" w:eastAsia="仿宋_GB2312" w:cs="Times New Roman"/>
                <w:b/>
                <w:bCs w:val="0"/>
                <w:kern w:val="0"/>
                <w:sz w:val="24"/>
                <w:szCs w:val="24"/>
                <w:lang w:val="en-US" w:eastAsia="zh-CN"/>
              </w:rPr>
            </w:pPr>
            <w:r>
              <w:rPr>
                <w:rFonts w:hint="eastAsia" w:ascii="Times New Roman" w:eastAsia="仿宋_GB2312" w:cs="Times New Roman"/>
                <w:b/>
                <w:bCs w:val="0"/>
                <w:kern w:val="0"/>
                <w:sz w:val="24"/>
                <w:szCs w:val="24"/>
                <w:lang w:val="en-US" w:eastAsia="zh-CN"/>
              </w:rPr>
              <w:t>数量（个）</w:t>
            </w:r>
          </w:p>
        </w:tc>
      </w:tr>
      <w:tr w14:paraId="7482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225" w:type="dxa"/>
            <w:vMerge w:val="restart"/>
          </w:tcPr>
          <w:p w14:paraId="45E2C56C">
            <w:pPr>
              <w:numPr>
                <w:ilvl w:val="0"/>
                <w:numId w:val="0"/>
              </w:numPr>
              <w:bidi w:val="0"/>
              <w:jc w:val="center"/>
              <w:rPr>
                <w:rFonts w:hint="default"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续保服务3年</w:t>
            </w:r>
          </w:p>
          <w:p w14:paraId="03F0E290">
            <w:pPr>
              <w:numPr>
                <w:ilvl w:val="0"/>
                <w:numId w:val="0"/>
              </w:numPr>
              <w:bidi w:val="0"/>
              <w:jc w:val="center"/>
              <w:rPr>
                <w:rFonts w:hint="eastAsia"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（原有授权）</w:t>
            </w:r>
          </w:p>
        </w:tc>
        <w:tc>
          <w:tcPr>
            <w:tcW w:w="3375" w:type="dxa"/>
          </w:tcPr>
          <w:p w14:paraId="2B912266">
            <w:pPr>
              <w:numPr>
                <w:ilvl w:val="0"/>
                <w:numId w:val="0"/>
              </w:numPr>
              <w:bidi w:val="0"/>
              <w:jc w:val="center"/>
              <w:rPr>
                <w:rFonts w:hint="eastAsia"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服务器Windows版</w:t>
            </w:r>
          </w:p>
        </w:tc>
        <w:tc>
          <w:tcPr>
            <w:tcW w:w="1995" w:type="dxa"/>
          </w:tcPr>
          <w:p w14:paraId="02543CA4">
            <w:pPr>
              <w:numPr>
                <w:ilvl w:val="0"/>
                <w:numId w:val="0"/>
              </w:numPr>
              <w:bidi w:val="0"/>
              <w:ind w:leftChars="0" w:firstLine="480" w:firstLineChars="200"/>
              <w:rPr>
                <w:rFonts w:hint="default"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16</w:t>
            </w:r>
          </w:p>
        </w:tc>
      </w:tr>
      <w:tr w14:paraId="67D4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225" w:type="dxa"/>
            <w:vMerge w:val="continue"/>
          </w:tcPr>
          <w:p w14:paraId="504FAE19">
            <w:pPr>
              <w:numPr>
                <w:ilvl w:val="0"/>
                <w:numId w:val="0"/>
              </w:numPr>
              <w:bidi w:val="0"/>
              <w:ind w:leftChars="0" w:firstLine="480" w:firstLineChars="200"/>
              <w:rPr>
                <w:rFonts w:hint="eastAsia" w:ascii="Times New Roman" w:eastAsia="仿宋_GB2312" w:cs="Times New Roman"/>
                <w:bCs/>
                <w:kern w:val="0"/>
                <w:sz w:val="24"/>
                <w:szCs w:val="24"/>
                <w:lang w:val="en-US" w:eastAsia="zh-CN"/>
              </w:rPr>
            </w:pPr>
          </w:p>
        </w:tc>
        <w:tc>
          <w:tcPr>
            <w:tcW w:w="3375" w:type="dxa"/>
          </w:tcPr>
          <w:p w14:paraId="11F49FBA">
            <w:pPr>
              <w:numPr>
                <w:ilvl w:val="0"/>
                <w:numId w:val="0"/>
              </w:numPr>
              <w:bidi w:val="0"/>
              <w:ind w:leftChars="0" w:firstLine="480" w:firstLineChars="200"/>
              <w:rPr>
                <w:rFonts w:hint="eastAsia"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PC Windows版</w:t>
            </w:r>
          </w:p>
        </w:tc>
        <w:tc>
          <w:tcPr>
            <w:tcW w:w="1995" w:type="dxa"/>
          </w:tcPr>
          <w:p w14:paraId="72C9E228">
            <w:pPr>
              <w:numPr>
                <w:ilvl w:val="0"/>
                <w:numId w:val="0"/>
              </w:numPr>
              <w:bidi w:val="0"/>
              <w:ind w:leftChars="0" w:firstLine="480" w:firstLineChars="200"/>
              <w:rPr>
                <w:rFonts w:hint="default"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140</w:t>
            </w:r>
          </w:p>
        </w:tc>
      </w:tr>
      <w:tr w14:paraId="2F0E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225" w:type="dxa"/>
            <w:vMerge w:val="restart"/>
          </w:tcPr>
          <w:p w14:paraId="259C3DA0">
            <w:pPr>
              <w:numPr>
                <w:ilvl w:val="0"/>
                <w:numId w:val="0"/>
              </w:numPr>
              <w:bidi w:val="0"/>
              <w:jc w:val="center"/>
              <w:rPr>
                <w:rFonts w:hint="eastAsia"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新增授权</w:t>
            </w:r>
          </w:p>
          <w:p w14:paraId="7BD85B05">
            <w:pPr>
              <w:numPr>
                <w:ilvl w:val="0"/>
                <w:numId w:val="0"/>
              </w:numPr>
              <w:bidi w:val="0"/>
              <w:jc w:val="center"/>
              <w:rPr>
                <w:rFonts w:hint="eastAsia"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（含3年质保服务）</w:t>
            </w:r>
          </w:p>
        </w:tc>
        <w:tc>
          <w:tcPr>
            <w:tcW w:w="3375" w:type="dxa"/>
            <w:shd w:val="clear" w:color="auto" w:fill="auto"/>
            <w:vAlign w:val="top"/>
          </w:tcPr>
          <w:p w14:paraId="55F6C2F2">
            <w:pPr>
              <w:numPr>
                <w:ilvl w:val="0"/>
                <w:numId w:val="0"/>
              </w:numPr>
              <w:bidi w:val="0"/>
              <w:jc w:val="center"/>
              <w:rPr>
                <w:rFonts w:hint="eastAsia"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服务器Windows版</w:t>
            </w:r>
          </w:p>
        </w:tc>
        <w:tc>
          <w:tcPr>
            <w:tcW w:w="1995" w:type="dxa"/>
          </w:tcPr>
          <w:p w14:paraId="40A554D8">
            <w:pPr>
              <w:numPr>
                <w:ilvl w:val="0"/>
                <w:numId w:val="0"/>
              </w:numPr>
              <w:bidi w:val="0"/>
              <w:ind w:leftChars="0" w:firstLine="480" w:firstLineChars="200"/>
              <w:rPr>
                <w:rFonts w:hint="default"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11</w:t>
            </w:r>
          </w:p>
        </w:tc>
      </w:tr>
      <w:tr w14:paraId="4173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225" w:type="dxa"/>
            <w:vMerge w:val="continue"/>
          </w:tcPr>
          <w:p w14:paraId="7108B8B0">
            <w:pPr>
              <w:numPr>
                <w:ilvl w:val="0"/>
                <w:numId w:val="0"/>
              </w:numPr>
              <w:bidi w:val="0"/>
              <w:ind w:leftChars="0" w:firstLine="480" w:firstLineChars="200"/>
              <w:rPr>
                <w:rFonts w:hint="eastAsia" w:ascii="Times New Roman" w:eastAsia="仿宋_GB2312" w:cs="Times New Roman"/>
                <w:bCs/>
                <w:kern w:val="0"/>
                <w:sz w:val="24"/>
                <w:szCs w:val="24"/>
                <w:lang w:val="en-US" w:eastAsia="zh-CN"/>
              </w:rPr>
            </w:pPr>
          </w:p>
        </w:tc>
        <w:tc>
          <w:tcPr>
            <w:tcW w:w="3375" w:type="dxa"/>
            <w:shd w:val="clear" w:color="auto" w:fill="auto"/>
            <w:vAlign w:val="top"/>
          </w:tcPr>
          <w:p w14:paraId="3227EE7A">
            <w:pPr>
              <w:numPr>
                <w:ilvl w:val="0"/>
                <w:numId w:val="0"/>
              </w:numPr>
              <w:bidi w:val="0"/>
              <w:ind w:leftChars="0" w:firstLine="480" w:firstLineChars="200"/>
              <w:rPr>
                <w:rFonts w:hint="eastAsia"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PC Windows版</w:t>
            </w:r>
          </w:p>
        </w:tc>
        <w:tc>
          <w:tcPr>
            <w:tcW w:w="1995" w:type="dxa"/>
          </w:tcPr>
          <w:p w14:paraId="6F549F64">
            <w:pPr>
              <w:numPr>
                <w:ilvl w:val="0"/>
                <w:numId w:val="0"/>
              </w:numPr>
              <w:bidi w:val="0"/>
              <w:ind w:leftChars="0" w:firstLine="480" w:firstLineChars="200"/>
              <w:rPr>
                <w:rFonts w:hint="default"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50</w:t>
            </w:r>
          </w:p>
        </w:tc>
      </w:tr>
    </w:tbl>
    <w:p w14:paraId="34D7E2E8">
      <w:pPr>
        <w:keepNext w:val="0"/>
        <w:keepLines w:val="0"/>
        <w:pageBreakBefore w:val="0"/>
        <w:widowControl w:val="0"/>
        <w:numPr>
          <w:ilvl w:val="1"/>
          <w:numId w:val="5"/>
        </w:numPr>
        <w:kinsoku/>
        <w:wordWrap/>
        <w:overflowPunct/>
        <w:topLinePunct w:val="0"/>
        <w:autoSpaceDE w:val="0"/>
        <w:autoSpaceDN w:val="0"/>
        <w:bidi w:val="0"/>
        <w:adjustRightInd w:val="0"/>
        <w:snapToGrid/>
        <w:spacing w:line="600" w:lineRule="exact"/>
        <w:ind w:left="0" w:leftChars="0" w:firstLine="680" w:firstLineChars="0"/>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功能需求如下：</w:t>
      </w:r>
    </w:p>
    <w:p w14:paraId="4852FC7D">
      <w:pPr>
        <w:pStyle w:val="17"/>
        <w:keepNext w:val="0"/>
        <w:keepLines w:val="0"/>
        <w:pageBreakBefore w:val="0"/>
        <w:widowControl w:val="0"/>
        <w:numPr>
          <w:ilvl w:val="2"/>
          <w:numId w:val="5"/>
        </w:numPr>
        <w:kinsoku/>
        <w:wordWrap/>
        <w:overflowPunct/>
        <w:topLinePunct w:val="0"/>
        <w:autoSpaceDE w:val="0"/>
        <w:autoSpaceDN w:val="0"/>
        <w:bidi w:val="0"/>
        <w:adjustRightInd w:val="0"/>
        <w:snapToGrid/>
        <w:spacing w:after="0" w:line="600" w:lineRule="exact"/>
        <w:ind w:left="0" w:leftChars="0" w:right="0" w:rightChars="0" w:firstLine="680" w:firstLineChars="0"/>
        <w:jc w:val="left"/>
        <w:textAlignment w:val="auto"/>
        <w:rPr>
          <w:rFonts w:hint="default" w:ascii="仿宋_GB2312" w:hAnsi="仿宋_GB2312" w:eastAsia="仿宋_GB2312" w:cs="仿宋_GB2312"/>
          <w:b w:val="0"/>
          <w:bCs w:val="0"/>
          <w:color w:val="auto"/>
          <w:sz w:val="24"/>
          <w:szCs w:val="24"/>
          <w:highlight w:val="none"/>
          <w:lang w:val="en-US" w:eastAsia="zh-CN" w:bidi="ar-SA"/>
        </w:rPr>
      </w:pPr>
      <w:r>
        <w:rPr>
          <w:rFonts w:hint="default" w:ascii="仿宋_GB2312" w:hAnsi="仿宋_GB2312" w:eastAsia="仿宋_GB2312" w:cs="仿宋_GB2312"/>
          <w:b w:val="0"/>
          <w:bCs w:val="0"/>
          <w:color w:val="auto"/>
          <w:sz w:val="24"/>
          <w:szCs w:val="24"/>
          <w:highlight w:val="none"/>
          <w:lang w:val="en-US" w:eastAsia="zh-CN" w:bidi="ar-SA"/>
        </w:rPr>
        <w:t>周密预防：系统漏洞扫描，补丁修复管理、终端基线检查，资产盘点，资产主动发现，轻补丁漏洞免疫；</w:t>
      </w:r>
    </w:p>
    <w:p w14:paraId="49DAA690">
      <w:pPr>
        <w:pStyle w:val="17"/>
        <w:keepNext w:val="0"/>
        <w:keepLines w:val="0"/>
        <w:pageBreakBefore w:val="0"/>
        <w:widowControl w:val="0"/>
        <w:numPr>
          <w:ilvl w:val="2"/>
          <w:numId w:val="5"/>
        </w:numPr>
        <w:kinsoku/>
        <w:wordWrap/>
        <w:overflowPunct/>
        <w:topLinePunct w:val="0"/>
        <w:autoSpaceDE w:val="0"/>
        <w:autoSpaceDN w:val="0"/>
        <w:bidi w:val="0"/>
        <w:adjustRightInd w:val="0"/>
        <w:snapToGrid/>
        <w:spacing w:after="0" w:line="600" w:lineRule="exact"/>
        <w:ind w:left="0" w:leftChars="0" w:right="0" w:rightChars="0" w:firstLine="680" w:firstLineChars="0"/>
        <w:jc w:val="left"/>
        <w:textAlignment w:val="auto"/>
        <w:rPr>
          <w:rFonts w:hint="default" w:ascii="仿宋_GB2312" w:hAnsi="仿宋_GB2312" w:eastAsia="仿宋_GB2312" w:cs="仿宋_GB2312"/>
          <w:b w:val="0"/>
          <w:bCs w:val="0"/>
          <w:color w:val="auto"/>
          <w:sz w:val="24"/>
          <w:szCs w:val="24"/>
          <w:highlight w:val="none"/>
          <w:lang w:val="en-US" w:eastAsia="zh-CN" w:bidi="ar-SA"/>
        </w:rPr>
      </w:pPr>
      <w:r>
        <w:rPr>
          <w:rFonts w:hint="default" w:ascii="仿宋_GB2312" w:hAnsi="仿宋_GB2312" w:eastAsia="仿宋_GB2312" w:cs="仿宋_GB2312"/>
          <w:b w:val="0"/>
          <w:bCs w:val="0"/>
          <w:color w:val="auto"/>
          <w:sz w:val="24"/>
          <w:szCs w:val="24"/>
          <w:highlight w:val="none"/>
          <w:lang w:val="en-US" w:eastAsia="zh-CN" w:bidi="ar-SA"/>
        </w:rPr>
        <w:t>全面防护：文件实时监控，勒索诱饵防护，勒索攻击对抗，无文件攻击防护，</w:t>
      </w:r>
      <w:r>
        <w:rPr>
          <w:rFonts w:hint="eastAsia" w:ascii="仿宋_GB2312" w:hAnsi="仿宋_GB2312" w:eastAsia="仿宋_GB2312" w:cs="仿宋_GB2312"/>
          <w:b w:val="0"/>
          <w:bCs w:val="0"/>
          <w:color w:val="auto"/>
          <w:sz w:val="24"/>
          <w:szCs w:val="24"/>
          <w:highlight w:val="none"/>
          <w:lang w:val="en-US" w:eastAsia="zh-CN" w:bidi="ar-SA"/>
        </w:rPr>
        <w:t>RDP二次认证，可信进程防护，关键目录加固；服务器端还应包括Webshell防护；</w:t>
      </w:r>
    </w:p>
    <w:p w14:paraId="6D987CF6">
      <w:pPr>
        <w:pStyle w:val="17"/>
        <w:keepNext w:val="0"/>
        <w:keepLines w:val="0"/>
        <w:pageBreakBefore w:val="0"/>
        <w:widowControl w:val="0"/>
        <w:numPr>
          <w:ilvl w:val="2"/>
          <w:numId w:val="5"/>
        </w:numPr>
        <w:kinsoku/>
        <w:wordWrap/>
        <w:overflowPunct/>
        <w:topLinePunct w:val="0"/>
        <w:autoSpaceDE w:val="0"/>
        <w:autoSpaceDN w:val="0"/>
        <w:bidi w:val="0"/>
        <w:adjustRightInd w:val="0"/>
        <w:snapToGrid/>
        <w:spacing w:after="0" w:line="600" w:lineRule="exact"/>
        <w:ind w:left="0" w:leftChars="0" w:right="0" w:rightChars="0" w:firstLine="680" w:firstLineChars="0"/>
        <w:jc w:val="left"/>
        <w:textAlignment w:val="auto"/>
        <w:rPr>
          <w:rFonts w:hint="default" w:ascii="仿宋_GB2312" w:hAnsi="仿宋_GB2312" w:eastAsia="仿宋_GB2312" w:cs="仿宋_GB2312"/>
          <w:b w:val="0"/>
          <w:bCs w:val="0"/>
          <w:color w:val="auto"/>
          <w:sz w:val="24"/>
          <w:szCs w:val="24"/>
          <w:highlight w:val="none"/>
          <w:lang w:val="en-US" w:eastAsia="zh-CN" w:bidi="ar-SA"/>
        </w:rPr>
      </w:pPr>
      <w:r>
        <w:rPr>
          <w:rFonts w:hint="default" w:ascii="仿宋_GB2312" w:hAnsi="仿宋_GB2312" w:eastAsia="仿宋_GB2312" w:cs="仿宋_GB2312"/>
          <w:b w:val="0"/>
          <w:bCs w:val="0"/>
          <w:color w:val="auto"/>
          <w:sz w:val="24"/>
          <w:szCs w:val="24"/>
          <w:highlight w:val="none"/>
          <w:lang w:val="en-US" w:eastAsia="zh-CN" w:bidi="ar-SA"/>
        </w:rPr>
        <w:t>深度</w:t>
      </w:r>
      <w:r>
        <w:rPr>
          <w:rFonts w:hint="eastAsia" w:ascii="仿宋_GB2312" w:hAnsi="仿宋_GB2312" w:eastAsia="仿宋_GB2312" w:cs="仿宋_GB2312"/>
          <w:b w:val="0"/>
          <w:bCs w:val="0"/>
          <w:color w:val="auto"/>
          <w:sz w:val="24"/>
          <w:szCs w:val="24"/>
          <w:highlight w:val="none"/>
          <w:lang w:val="en-US" w:eastAsia="zh-CN" w:bidi="ar-SA"/>
        </w:rPr>
        <w:t>检测</w:t>
      </w:r>
      <w:r>
        <w:rPr>
          <w:rFonts w:hint="default" w:ascii="仿宋_GB2312" w:hAnsi="仿宋_GB2312" w:eastAsia="仿宋_GB2312" w:cs="仿宋_GB2312"/>
          <w:b w:val="0"/>
          <w:bCs w:val="0"/>
          <w:color w:val="auto"/>
          <w:sz w:val="24"/>
          <w:szCs w:val="24"/>
          <w:highlight w:val="none"/>
          <w:lang w:val="en-US" w:eastAsia="zh-CN" w:bidi="ar-SA"/>
        </w:rPr>
        <w:t>：终端行为数据采集</w:t>
      </w:r>
      <w:r>
        <w:rPr>
          <w:rFonts w:hint="eastAsia" w:ascii="仿宋_GB2312" w:hAnsi="仿宋_GB2312" w:eastAsia="仿宋_GB2312" w:cs="仿宋_GB2312"/>
          <w:b w:val="0"/>
          <w:bCs w:val="0"/>
          <w:color w:val="auto"/>
          <w:sz w:val="24"/>
          <w:szCs w:val="24"/>
          <w:highlight w:val="none"/>
          <w:lang w:val="en-US" w:eastAsia="zh-CN" w:bidi="ar-SA"/>
        </w:rPr>
        <w:t>，</w:t>
      </w:r>
      <w:r>
        <w:rPr>
          <w:rFonts w:hint="default" w:ascii="仿宋_GB2312" w:hAnsi="仿宋_GB2312" w:eastAsia="仿宋_GB2312" w:cs="仿宋_GB2312"/>
          <w:b w:val="0"/>
          <w:bCs w:val="0"/>
          <w:color w:val="auto"/>
          <w:sz w:val="24"/>
          <w:szCs w:val="24"/>
          <w:highlight w:val="none"/>
          <w:lang w:val="en-US" w:eastAsia="zh-CN" w:bidi="ar-SA"/>
        </w:rPr>
        <w:t>（单品）高级威胁行为检测（IOA）</w:t>
      </w:r>
      <w:r>
        <w:rPr>
          <w:rFonts w:hint="eastAsia" w:ascii="仿宋_GB2312" w:hAnsi="仿宋_GB2312" w:eastAsia="仿宋_GB2312" w:cs="仿宋_GB2312"/>
          <w:b w:val="0"/>
          <w:bCs w:val="0"/>
          <w:color w:val="auto"/>
          <w:sz w:val="24"/>
          <w:szCs w:val="24"/>
          <w:highlight w:val="none"/>
          <w:lang w:val="en-US" w:eastAsia="zh-CN" w:bidi="ar-SA"/>
        </w:rPr>
        <w:t>，</w:t>
      </w:r>
      <w:r>
        <w:rPr>
          <w:rFonts w:hint="default" w:ascii="仿宋_GB2312" w:hAnsi="仿宋_GB2312" w:eastAsia="仿宋_GB2312" w:cs="仿宋_GB2312"/>
          <w:b w:val="0"/>
          <w:bCs w:val="0"/>
          <w:color w:val="auto"/>
          <w:sz w:val="24"/>
          <w:szCs w:val="24"/>
          <w:highlight w:val="none"/>
          <w:lang w:val="en-US" w:eastAsia="zh-CN" w:bidi="ar-SA"/>
        </w:rPr>
        <w:t>（单品）攻击进程链可视化展示（单品）威胁狩猎</w:t>
      </w:r>
      <w:r>
        <w:rPr>
          <w:rFonts w:hint="eastAsia" w:ascii="仿宋_GB2312" w:hAnsi="仿宋_GB2312" w:eastAsia="仿宋_GB2312" w:cs="仿宋_GB2312"/>
          <w:b w:val="0"/>
          <w:bCs w:val="0"/>
          <w:color w:val="auto"/>
          <w:sz w:val="24"/>
          <w:szCs w:val="24"/>
          <w:highlight w:val="none"/>
          <w:lang w:val="en-US" w:eastAsia="zh-CN" w:bidi="ar-SA"/>
        </w:rPr>
        <w:t>，</w:t>
      </w:r>
      <w:r>
        <w:rPr>
          <w:rFonts w:hint="default" w:ascii="仿宋_GB2312" w:hAnsi="仿宋_GB2312" w:eastAsia="仿宋_GB2312" w:cs="仿宋_GB2312"/>
          <w:b w:val="0"/>
          <w:bCs w:val="0"/>
          <w:color w:val="auto"/>
          <w:sz w:val="24"/>
          <w:szCs w:val="24"/>
          <w:highlight w:val="none"/>
          <w:lang w:val="en-US" w:eastAsia="zh-CN" w:bidi="ar-SA"/>
        </w:rPr>
        <w:t>内存马检测等；</w:t>
      </w:r>
    </w:p>
    <w:p w14:paraId="543FFB83">
      <w:pPr>
        <w:pStyle w:val="17"/>
        <w:keepNext w:val="0"/>
        <w:keepLines w:val="0"/>
        <w:pageBreakBefore w:val="0"/>
        <w:widowControl w:val="0"/>
        <w:numPr>
          <w:ilvl w:val="2"/>
          <w:numId w:val="5"/>
        </w:numPr>
        <w:kinsoku/>
        <w:wordWrap/>
        <w:overflowPunct/>
        <w:topLinePunct w:val="0"/>
        <w:autoSpaceDE w:val="0"/>
        <w:autoSpaceDN w:val="0"/>
        <w:bidi w:val="0"/>
        <w:adjustRightInd w:val="0"/>
        <w:snapToGrid/>
        <w:spacing w:after="0" w:line="600" w:lineRule="exact"/>
        <w:ind w:left="0" w:leftChars="0" w:right="0" w:rightChars="0" w:firstLine="680" w:firstLineChars="0"/>
        <w:jc w:val="left"/>
        <w:textAlignment w:val="auto"/>
        <w:rPr>
          <w:rFonts w:hint="default" w:ascii="仿宋_GB2312" w:hAnsi="仿宋_GB2312" w:eastAsia="仿宋_GB2312" w:cs="仿宋_GB2312"/>
          <w:b w:val="0"/>
          <w:bCs w:val="0"/>
          <w:color w:val="auto"/>
          <w:sz w:val="24"/>
          <w:szCs w:val="24"/>
          <w:highlight w:val="none"/>
          <w:lang w:val="en-US" w:eastAsia="zh-CN" w:bidi="ar-SA"/>
        </w:rPr>
      </w:pPr>
      <w:r>
        <w:rPr>
          <w:rFonts w:hint="default" w:ascii="仿宋_GB2312" w:hAnsi="仿宋_GB2312" w:eastAsia="仿宋_GB2312" w:cs="仿宋_GB2312"/>
          <w:b w:val="0"/>
          <w:bCs w:val="0"/>
          <w:color w:val="auto"/>
          <w:sz w:val="24"/>
          <w:szCs w:val="24"/>
          <w:highlight w:val="none"/>
          <w:lang w:val="en-US" w:eastAsia="zh-CN" w:bidi="ar-SA"/>
        </w:rPr>
        <w:t>灵敏检测：恶意文件检测，暴力破解检测，网端联动杀毒；</w:t>
      </w:r>
    </w:p>
    <w:p w14:paraId="0E92EA4B">
      <w:pPr>
        <w:pStyle w:val="17"/>
        <w:keepNext w:val="0"/>
        <w:keepLines w:val="0"/>
        <w:pageBreakBefore w:val="0"/>
        <w:widowControl w:val="0"/>
        <w:numPr>
          <w:ilvl w:val="2"/>
          <w:numId w:val="5"/>
        </w:numPr>
        <w:kinsoku/>
        <w:wordWrap/>
        <w:overflowPunct/>
        <w:topLinePunct w:val="0"/>
        <w:autoSpaceDE w:val="0"/>
        <w:autoSpaceDN w:val="0"/>
        <w:bidi w:val="0"/>
        <w:adjustRightInd w:val="0"/>
        <w:snapToGrid/>
        <w:spacing w:after="0" w:line="600" w:lineRule="exact"/>
        <w:ind w:left="0" w:leftChars="0" w:right="0" w:rightChars="0" w:firstLine="680" w:firstLineChars="0"/>
        <w:jc w:val="left"/>
        <w:textAlignment w:val="auto"/>
        <w:rPr>
          <w:rFonts w:hint="default" w:ascii="仿宋_GB2312" w:hAnsi="仿宋_GB2312" w:eastAsia="仿宋_GB2312" w:cs="仿宋_GB2312"/>
          <w:b w:val="0"/>
          <w:bCs w:val="0"/>
          <w:color w:val="auto"/>
          <w:sz w:val="24"/>
          <w:szCs w:val="24"/>
          <w:highlight w:val="none"/>
          <w:lang w:val="en-US" w:eastAsia="zh-CN" w:bidi="ar-SA"/>
        </w:rPr>
      </w:pPr>
      <w:r>
        <w:rPr>
          <w:rFonts w:hint="default" w:ascii="仿宋_GB2312" w:hAnsi="仿宋_GB2312" w:eastAsia="仿宋_GB2312" w:cs="仿宋_GB2312"/>
          <w:b w:val="0"/>
          <w:bCs w:val="0"/>
          <w:color w:val="auto"/>
          <w:sz w:val="24"/>
          <w:szCs w:val="24"/>
          <w:highlight w:val="none"/>
          <w:lang w:val="en-US" w:eastAsia="zh-CN" w:bidi="ar-SA"/>
        </w:rPr>
        <w:t>快速响应：文件急速隔离，终端一键隔离，感染文件修复，病毒处置响应，网端深度联动</w:t>
      </w:r>
      <w:r>
        <w:rPr>
          <w:rFonts w:hint="eastAsia" w:ascii="仿宋_GB2312" w:hAnsi="仿宋_GB2312" w:eastAsia="仿宋_GB2312" w:cs="仿宋_GB2312"/>
          <w:b w:val="0"/>
          <w:bCs w:val="0"/>
          <w:color w:val="auto"/>
          <w:sz w:val="24"/>
          <w:szCs w:val="24"/>
          <w:highlight w:val="none"/>
          <w:lang w:val="en-US" w:eastAsia="zh-CN" w:bidi="ar-SA"/>
        </w:rPr>
        <w:t>（</w:t>
      </w:r>
      <w:r>
        <w:rPr>
          <w:rFonts w:hint="default" w:ascii="仿宋_GB2312" w:hAnsi="仿宋_GB2312" w:eastAsia="仿宋_GB2312" w:cs="仿宋_GB2312"/>
          <w:b w:val="0"/>
          <w:bCs w:val="0"/>
          <w:color w:val="auto"/>
          <w:sz w:val="24"/>
          <w:szCs w:val="24"/>
          <w:highlight w:val="none"/>
          <w:lang w:val="en-US" w:eastAsia="zh-CN" w:bidi="ar-SA"/>
        </w:rPr>
        <w:t>与SIP、AC、AF、XDR</w:t>
      </w:r>
      <w:r>
        <w:rPr>
          <w:rFonts w:hint="eastAsia" w:ascii="仿宋_GB2312" w:hAnsi="仿宋_GB2312" w:eastAsia="仿宋_GB2312" w:cs="仿宋_GB2312"/>
          <w:b w:val="0"/>
          <w:bCs w:val="0"/>
          <w:color w:val="auto"/>
          <w:sz w:val="24"/>
          <w:szCs w:val="24"/>
          <w:highlight w:val="none"/>
          <w:lang w:val="en-US" w:eastAsia="zh-CN" w:bidi="ar-SA"/>
        </w:rPr>
        <w:t>），</w:t>
      </w:r>
      <w:r>
        <w:rPr>
          <w:rFonts w:hint="default" w:ascii="仿宋_GB2312" w:hAnsi="仿宋_GB2312" w:eastAsia="仿宋_GB2312" w:cs="仿宋_GB2312"/>
          <w:b w:val="0"/>
          <w:bCs w:val="0"/>
          <w:color w:val="auto"/>
          <w:sz w:val="24"/>
          <w:szCs w:val="24"/>
          <w:highlight w:val="none"/>
          <w:lang w:val="en-US" w:eastAsia="zh-CN" w:bidi="ar-SA"/>
        </w:rPr>
        <w:t>全网威胁定位；</w:t>
      </w:r>
    </w:p>
    <w:p w14:paraId="10C592EB">
      <w:pPr>
        <w:pStyle w:val="17"/>
        <w:keepNext w:val="0"/>
        <w:keepLines w:val="0"/>
        <w:pageBreakBefore w:val="0"/>
        <w:widowControl w:val="0"/>
        <w:numPr>
          <w:ilvl w:val="2"/>
          <w:numId w:val="5"/>
        </w:numPr>
        <w:kinsoku/>
        <w:wordWrap/>
        <w:overflowPunct/>
        <w:topLinePunct w:val="0"/>
        <w:autoSpaceDE w:val="0"/>
        <w:autoSpaceDN w:val="0"/>
        <w:bidi w:val="0"/>
        <w:adjustRightInd w:val="0"/>
        <w:snapToGrid/>
        <w:spacing w:after="0" w:line="600" w:lineRule="exact"/>
        <w:ind w:left="0" w:leftChars="0" w:right="0" w:rightChars="0" w:firstLine="680" w:firstLineChars="0"/>
        <w:jc w:val="left"/>
        <w:textAlignment w:val="auto"/>
        <w:rPr>
          <w:rFonts w:hint="default" w:ascii="仿宋_GB2312" w:hAnsi="仿宋_GB2312" w:eastAsia="仿宋_GB2312" w:cs="仿宋_GB2312"/>
          <w:b w:val="0"/>
          <w:bCs w:val="0"/>
          <w:color w:val="auto"/>
          <w:sz w:val="24"/>
          <w:szCs w:val="24"/>
          <w:highlight w:val="none"/>
          <w:lang w:val="en-US" w:eastAsia="zh-CN" w:bidi="ar-SA"/>
        </w:rPr>
      </w:pPr>
      <w:r>
        <w:rPr>
          <w:rFonts w:hint="default" w:ascii="仿宋_GB2312" w:hAnsi="仿宋_GB2312" w:eastAsia="仿宋_GB2312" w:cs="仿宋_GB2312"/>
          <w:b w:val="0"/>
          <w:bCs w:val="0"/>
          <w:color w:val="auto"/>
          <w:sz w:val="24"/>
          <w:szCs w:val="24"/>
          <w:highlight w:val="none"/>
          <w:lang w:val="en-US" w:eastAsia="zh-CN" w:bidi="ar-SA"/>
        </w:rPr>
        <w:t>简便运维：外设管控，违规外联检测；PC终端还应包括远程</w:t>
      </w:r>
      <w:r>
        <w:rPr>
          <w:rFonts w:hint="eastAsia" w:ascii="仿宋_GB2312" w:hAnsi="仿宋_GB2312" w:eastAsia="仿宋_GB2312" w:cs="仿宋_GB2312"/>
          <w:b w:val="0"/>
          <w:bCs w:val="0"/>
          <w:color w:val="auto"/>
          <w:sz w:val="24"/>
          <w:szCs w:val="24"/>
          <w:highlight w:val="none"/>
          <w:lang w:val="en-US" w:eastAsia="zh-CN" w:bidi="ar-SA"/>
        </w:rPr>
        <w:t>协助功能</w:t>
      </w:r>
      <w:r>
        <w:rPr>
          <w:rFonts w:hint="default" w:ascii="仿宋_GB2312" w:hAnsi="仿宋_GB2312" w:eastAsia="仿宋_GB2312" w:cs="仿宋_GB2312"/>
          <w:b w:val="0"/>
          <w:bCs w:val="0"/>
          <w:color w:val="auto"/>
          <w:sz w:val="24"/>
          <w:szCs w:val="24"/>
          <w:highlight w:val="none"/>
          <w:lang w:val="en-US" w:eastAsia="zh-CN" w:bidi="ar-SA"/>
        </w:rPr>
        <w:t>，广告弹窗拦截。</w:t>
      </w:r>
    </w:p>
    <w:p w14:paraId="41824D83">
      <w:pPr>
        <w:keepNext w:val="0"/>
        <w:keepLines w:val="0"/>
        <w:pageBreakBefore w:val="0"/>
        <w:widowControl w:val="0"/>
        <w:numPr>
          <w:ilvl w:val="1"/>
          <w:numId w:val="5"/>
        </w:numPr>
        <w:kinsoku/>
        <w:wordWrap/>
        <w:overflowPunct/>
        <w:topLinePunct w:val="0"/>
        <w:autoSpaceDE w:val="0"/>
        <w:autoSpaceDN w:val="0"/>
        <w:bidi w:val="0"/>
        <w:adjustRightInd w:val="0"/>
        <w:snapToGrid/>
        <w:spacing w:line="600" w:lineRule="exact"/>
        <w:ind w:left="0" w:leftChars="0" w:firstLine="68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非功能需求</w:t>
      </w:r>
      <w:bookmarkEnd w:id="9"/>
      <w:bookmarkEnd w:id="10"/>
      <w:bookmarkEnd w:id="11"/>
    </w:p>
    <w:p w14:paraId="3CE8979F">
      <w:pPr>
        <w:pStyle w:val="17"/>
        <w:keepNext w:val="0"/>
        <w:keepLines w:val="0"/>
        <w:pageBreakBefore w:val="0"/>
        <w:widowControl w:val="0"/>
        <w:numPr>
          <w:ilvl w:val="2"/>
          <w:numId w:val="5"/>
        </w:numPr>
        <w:kinsoku/>
        <w:wordWrap/>
        <w:overflowPunct/>
        <w:topLinePunct w:val="0"/>
        <w:autoSpaceDE w:val="0"/>
        <w:autoSpaceDN w:val="0"/>
        <w:bidi w:val="0"/>
        <w:adjustRightInd w:val="0"/>
        <w:snapToGrid/>
        <w:spacing w:after="0" w:line="600" w:lineRule="exact"/>
        <w:ind w:left="0" w:leftChars="0" w:right="0" w:rightChars="0" w:firstLine="680" w:firstLineChars="0"/>
        <w:textAlignment w:val="auto"/>
        <w:rPr>
          <w:rFonts w:hint="eastAsia"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支持私有化部署</w:t>
      </w:r>
    </w:p>
    <w:p w14:paraId="3DE482FE">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left="720" w:leftChars="0" w:right="0" w:rightChars="0"/>
        <w:textAlignment w:val="auto"/>
        <w:rPr>
          <w:rFonts w:hint="eastAsia"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服务端部署在本地，并提供部署实施服务。</w:t>
      </w:r>
    </w:p>
    <w:p w14:paraId="2EC25B16">
      <w:pPr>
        <w:pStyle w:val="17"/>
        <w:keepNext w:val="0"/>
        <w:keepLines w:val="0"/>
        <w:pageBreakBefore w:val="0"/>
        <w:widowControl w:val="0"/>
        <w:numPr>
          <w:ilvl w:val="2"/>
          <w:numId w:val="5"/>
        </w:numPr>
        <w:kinsoku/>
        <w:wordWrap/>
        <w:overflowPunct/>
        <w:topLinePunct w:val="0"/>
        <w:autoSpaceDE w:val="0"/>
        <w:autoSpaceDN w:val="0"/>
        <w:bidi w:val="0"/>
        <w:adjustRightInd w:val="0"/>
        <w:snapToGrid/>
        <w:spacing w:after="0" w:line="600" w:lineRule="exact"/>
        <w:ind w:left="0" w:leftChars="0" w:right="0" w:rightChars="0" w:firstLine="680" w:firstLineChars="0"/>
        <w:textAlignment w:val="auto"/>
        <w:rPr>
          <w:rFonts w:hint="eastAsia"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服务端</w:t>
      </w:r>
      <w:bookmarkStart w:id="13" w:name="OLE_LINK6"/>
    </w:p>
    <w:p w14:paraId="602B2908">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right="0" w:righ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需全面支持主流服务器操作系统</w:t>
      </w:r>
      <w:bookmarkEnd w:id="13"/>
      <w:r>
        <w:rPr>
          <w:rFonts w:hint="eastAsia" w:ascii="仿宋_GB2312" w:hAnsi="仿宋_GB2312" w:eastAsia="仿宋_GB2312" w:cs="仿宋_GB2312"/>
          <w:b w:val="0"/>
          <w:bCs w:val="0"/>
          <w:color w:val="auto"/>
          <w:sz w:val="24"/>
          <w:szCs w:val="24"/>
          <w:highlight w:val="none"/>
          <w:lang w:val="en-US" w:eastAsia="zh-CN" w:bidi="ar-SA"/>
        </w:rPr>
        <w:t>，包括但不限于Windows Server系列、各类Linux发行版（如Ubuntu、CentOS等）、国产操作系统（如统信、麒麟等）。</w:t>
      </w:r>
    </w:p>
    <w:p w14:paraId="0EB0F99B">
      <w:pPr>
        <w:pStyle w:val="17"/>
        <w:keepNext w:val="0"/>
        <w:keepLines w:val="0"/>
        <w:pageBreakBefore w:val="0"/>
        <w:widowControl w:val="0"/>
        <w:numPr>
          <w:ilvl w:val="2"/>
          <w:numId w:val="5"/>
        </w:numPr>
        <w:kinsoku/>
        <w:wordWrap/>
        <w:overflowPunct/>
        <w:topLinePunct w:val="0"/>
        <w:autoSpaceDE w:val="0"/>
        <w:autoSpaceDN w:val="0"/>
        <w:bidi w:val="0"/>
        <w:adjustRightInd w:val="0"/>
        <w:snapToGrid/>
        <w:spacing w:after="0" w:line="600" w:lineRule="exact"/>
        <w:ind w:left="0" w:leftChars="0" w:right="0" w:rightChars="0" w:firstLine="680" w:firstLineChars="0"/>
        <w:textAlignment w:val="auto"/>
        <w:rPr>
          <w:rFonts w:hint="eastAsia"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客户端</w:t>
      </w:r>
    </w:p>
    <w:p w14:paraId="13226349">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right="0" w:rightChars="0" w:firstLine="480" w:firstLineChars="200"/>
        <w:jc w:val="left"/>
        <w:textAlignment w:val="auto"/>
        <w:rPr>
          <w:rFonts w:hint="eastAsia"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需全面支持主流操作系统，包括Windows操作系统（包括但不限于Windows 7、Windows 8、Windows 10、Windows 11、Windows Server系列等）、Linux操作系统、国产操作系统（如方德操作系统、麒麟操作系统、统信操作系统等）。</w:t>
      </w:r>
    </w:p>
    <w:p w14:paraId="255F8DD6">
      <w:pPr>
        <w:pStyle w:val="17"/>
        <w:keepNext w:val="0"/>
        <w:keepLines w:val="0"/>
        <w:pageBreakBefore w:val="0"/>
        <w:widowControl w:val="0"/>
        <w:numPr>
          <w:ilvl w:val="2"/>
          <w:numId w:val="5"/>
        </w:numPr>
        <w:kinsoku/>
        <w:wordWrap/>
        <w:overflowPunct/>
        <w:topLinePunct w:val="0"/>
        <w:autoSpaceDE w:val="0"/>
        <w:autoSpaceDN w:val="0"/>
        <w:bidi w:val="0"/>
        <w:adjustRightInd w:val="0"/>
        <w:snapToGrid/>
        <w:spacing w:after="0" w:line="600" w:lineRule="exact"/>
        <w:ind w:left="0" w:leftChars="0" w:right="0" w:rightChars="0" w:firstLine="680" w:firstLineChars="0"/>
        <w:jc w:val="left"/>
        <w:textAlignment w:val="auto"/>
        <w:rPr>
          <w:rFonts w:hint="default"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授权版本转换</w:t>
      </w:r>
    </w:p>
    <w:p w14:paraId="16F6CE66">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right="0" w:rightChars="0" w:firstLine="480" w:firstLineChars="200"/>
        <w:jc w:val="left"/>
        <w:textAlignment w:val="auto"/>
        <w:rPr>
          <w:rFonts w:hint="default"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Windows版授权在合同期内可免费转换为国产操作系统版的授权。</w:t>
      </w:r>
    </w:p>
    <w:p w14:paraId="0725D5E5">
      <w:pPr>
        <w:pStyle w:val="17"/>
        <w:keepNext w:val="0"/>
        <w:keepLines w:val="0"/>
        <w:pageBreakBefore w:val="0"/>
        <w:widowControl w:val="0"/>
        <w:numPr>
          <w:ilvl w:val="2"/>
          <w:numId w:val="5"/>
        </w:numPr>
        <w:kinsoku/>
        <w:wordWrap/>
        <w:overflowPunct/>
        <w:topLinePunct w:val="0"/>
        <w:autoSpaceDE w:val="0"/>
        <w:autoSpaceDN w:val="0"/>
        <w:bidi w:val="0"/>
        <w:adjustRightInd w:val="0"/>
        <w:snapToGrid/>
        <w:spacing w:after="0" w:line="600" w:lineRule="exact"/>
        <w:ind w:left="0" w:leftChars="0" w:right="0" w:rightChars="0" w:firstLine="680" w:firstLineChars="0"/>
        <w:jc w:val="left"/>
        <w:textAlignment w:val="auto"/>
        <w:rPr>
          <w:rFonts w:hint="eastAsia"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新增授权与续保价格</w:t>
      </w:r>
    </w:p>
    <w:p w14:paraId="777CCA8A">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right="0" w:rightChars="0" w:firstLine="480" w:firstLineChars="200"/>
        <w:jc w:val="left"/>
        <w:textAlignment w:val="auto"/>
        <w:rPr>
          <w:rFonts w:hint="default"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后续新增授权的价格不得超过本次采购所约定的单个新增授权的价格。</w:t>
      </w:r>
    </w:p>
    <w:p w14:paraId="7F7CF538">
      <w:pPr>
        <w:pStyle w:val="17"/>
        <w:keepNext w:val="0"/>
        <w:keepLines w:val="0"/>
        <w:pageBreakBefore w:val="0"/>
        <w:widowControl w:val="0"/>
        <w:numPr>
          <w:ilvl w:val="2"/>
          <w:numId w:val="5"/>
        </w:numPr>
        <w:kinsoku/>
        <w:wordWrap/>
        <w:overflowPunct/>
        <w:topLinePunct w:val="0"/>
        <w:autoSpaceDE w:val="0"/>
        <w:autoSpaceDN w:val="0"/>
        <w:bidi w:val="0"/>
        <w:adjustRightInd w:val="0"/>
        <w:snapToGrid/>
        <w:spacing w:after="0" w:line="600" w:lineRule="exact"/>
        <w:ind w:left="0" w:leftChars="0" w:right="0" w:rightChars="0" w:firstLine="680" w:firstLineChars="0"/>
        <w:jc w:val="left"/>
        <w:textAlignment w:val="auto"/>
        <w:rPr>
          <w:rFonts w:hint="default" w:ascii="仿宋_GB2312" w:hAnsi="仿宋_GB2312" w:eastAsia="仿宋_GB2312" w:cs="仿宋_GB2312"/>
          <w:b w:val="0"/>
          <w:bCs w:val="0"/>
          <w:color w:val="auto"/>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资质要求</w:t>
      </w:r>
    </w:p>
    <w:p w14:paraId="747C8AD0">
      <w:pPr>
        <w:pStyle w:val="18"/>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480" w:firstLineChars="200"/>
        <w:textAlignment w:val="auto"/>
        <w:rPr>
          <w:rFonts w:hint="default"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bidi="ar-SA"/>
        </w:rPr>
        <w:t>报</w:t>
      </w:r>
      <w:r>
        <w:rPr>
          <w:rFonts w:hint="eastAsia" w:ascii="仿宋_GB2312" w:hAnsi="仿宋_GB2312" w:eastAsia="仿宋_GB2312" w:cs="仿宋_GB2312"/>
          <w:b w:val="0"/>
          <w:bCs w:val="0"/>
          <w:color w:val="auto"/>
          <w:kern w:val="2"/>
          <w:sz w:val="24"/>
          <w:szCs w:val="24"/>
          <w:highlight w:val="none"/>
          <w:lang w:val="en-US" w:eastAsia="zh-CN" w:bidi="ar-SA"/>
        </w:rPr>
        <w:t>价人需具有深信服厂家的经销授权书或其他证明文件。</w:t>
      </w:r>
    </w:p>
    <w:bookmarkEnd w:id="5"/>
    <w:bookmarkEnd w:id="6"/>
    <w:p w14:paraId="278454AE">
      <w:pPr>
        <w:rPr>
          <w:rFonts w:hint="eastAsia" w:hAnsi="宋体" w:cs="宋体"/>
          <w:color w:val="auto"/>
          <w:szCs w:val="32"/>
          <w:highlight w:val="none"/>
        </w:rPr>
      </w:pPr>
    </w:p>
    <w:p w14:paraId="5F67BD76">
      <w:pPr>
        <w:pStyle w:val="18"/>
        <w:rPr>
          <w:rFonts w:hint="eastAsia"/>
          <w:color w:val="auto"/>
        </w:rPr>
      </w:pPr>
    </w:p>
    <w:p w14:paraId="41870BC3">
      <w:pPr>
        <w:pStyle w:val="17"/>
        <w:rPr>
          <w:rFonts w:hint="eastAsia"/>
          <w:color w:val="auto"/>
        </w:rPr>
      </w:pPr>
    </w:p>
    <w:p w14:paraId="3E7EE78E">
      <w:pPr>
        <w:pStyle w:val="17"/>
        <w:rPr>
          <w:rFonts w:hint="eastAsia"/>
          <w:color w:val="auto"/>
        </w:rPr>
      </w:pPr>
    </w:p>
    <w:p w14:paraId="3A4DCEDF">
      <w:pPr>
        <w:pStyle w:val="18"/>
        <w:rPr>
          <w:rFonts w:hint="eastAsia" w:hAnsi="宋体" w:cs="宋体"/>
          <w:color w:val="auto"/>
          <w:szCs w:val="32"/>
          <w:highlight w:val="none"/>
        </w:rPr>
      </w:pPr>
    </w:p>
    <w:p w14:paraId="42999C8E">
      <w:pPr>
        <w:pStyle w:val="17"/>
        <w:rPr>
          <w:rFonts w:hint="eastAsia" w:hAnsi="宋体" w:cs="宋体"/>
          <w:color w:val="auto"/>
          <w:szCs w:val="32"/>
          <w:highlight w:val="none"/>
        </w:rPr>
      </w:pPr>
    </w:p>
    <w:p w14:paraId="2F9BD6D3">
      <w:pPr>
        <w:pStyle w:val="17"/>
        <w:rPr>
          <w:rFonts w:hint="eastAsia" w:hAnsi="宋体" w:cs="宋体"/>
          <w:color w:val="auto"/>
          <w:szCs w:val="32"/>
          <w:highlight w:val="none"/>
        </w:rPr>
      </w:pPr>
    </w:p>
    <w:p w14:paraId="177C7B0A">
      <w:pPr>
        <w:pStyle w:val="17"/>
        <w:rPr>
          <w:rFonts w:hint="eastAsia" w:hAnsi="宋体" w:cs="宋体"/>
          <w:color w:val="auto"/>
          <w:szCs w:val="32"/>
          <w:highlight w:val="none"/>
        </w:rPr>
      </w:pPr>
    </w:p>
    <w:p w14:paraId="3CB52704">
      <w:pPr>
        <w:pStyle w:val="18"/>
        <w:rPr>
          <w:rFonts w:hint="eastAsia" w:hAnsi="宋体" w:cs="宋体"/>
          <w:color w:val="auto"/>
          <w:szCs w:val="32"/>
          <w:highlight w:val="none"/>
        </w:rPr>
      </w:pPr>
    </w:p>
    <w:p w14:paraId="03AEBE37">
      <w:pPr>
        <w:pStyle w:val="17"/>
        <w:rPr>
          <w:rFonts w:hint="eastAsia" w:hAnsi="宋体" w:cs="宋体"/>
          <w:color w:val="auto"/>
          <w:szCs w:val="32"/>
          <w:highlight w:val="none"/>
        </w:rPr>
      </w:pPr>
    </w:p>
    <w:p w14:paraId="048697CF">
      <w:pPr>
        <w:pStyle w:val="18"/>
        <w:rPr>
          <w:rFonts w:hint="eastAsia" w:hAnsi="宋体" w:cs="宋体"/>
          <w:color w:val="auto"/>
          <w:szCs w:val="32"/>
          <w:highlight w:val="none"/>
        </w:rPr>
      </w:pPr>
    </w:p>
    <w:p w14:paraId="1A1E9641">
      <w:pPr>
        <w:pStyle w:val="17"/>
        <w:rPr>
          <w:rFonts w:hint="eastAsia"/>
        </w:rPr>
      </w:pPr>
    </w:p>
    <w:p w14:paraId="6E924D53">
      <w:pPr>
        <w:pStyle w:val="17"/>
        <w:rPr>
          <w:rFonts w:hint="eastAsia"/>
          <w:color w:val="auto"/>
        </w:rPr>
      </w:pPr>
    </w:p>
    <w:p w14:paraId="58F42831">
      <w:pPr>
        <w:pStyle w:val="2"/>
        <w:spacing w:before="0" w:after="0"/>
        <w:jc w:val="center"/>
        <w:rPr>
          <w:rFonts w:hint="default" w:hAnsi="宋体" w:eastAsia="宋体" w:cs="宋体"/>
          <w:b w:val="0"/>
          <w:bCs w:val="0"/>
          <w:color w:val="auto"/>
          <w:szCs w:val="32"/>
          <w:highlight w:val="none"/>
          <w:lang w:val="en-US" w:eastAsia="zh-CN"/>
        </w:rPr>
      </w:pPr>
      <w:r>
        <w:rPr>
          <w:rFonts w:hint="eastAsia" w:hAnsi="宋体" w:cs="宋体"/>
          <w:color w:val="auto"/>
          <w:szCs w:val="32"/>
          <w:highlight w:val="none"/>
        </w:rPr>
        <w:t>第</w:t>
      </w:r>
      <w:r>
        <w:rPr>
          <w:rFonts w:hint="eastAsia" w:hAnsi="宋体" w:cs="宋体"/>
          <w:color w:val="auto"/>
          <w:szCs w:val="32"/>
          <w:highlight w:val="none"/>
          <w:lang w:val="en-US" w:eastAsia="zh-CN"/>
        </w:rPr>
        <w:t>三</w:t>
      </w:r>
      <w:r>
        <w:rPr>
          <w:rFonts w:hint="eastAsia" w:hAnsi="宋体" w:cs="宋体"/>
          <w:color w:val="auto"/>
          <w:szCs w:val="32"/>
          <w:highlight w:val="none"/>
        </w:rPr>
        <w:t xml:space="preserve">章 </w:t>
      </w:r>
      <w:r>
        <w:rPr>
          <w:rFonts w:hint="eastAsia" w:hAnsi="宋体" w:cs="宋体"/>
          <w:color w:val="auto"/>
          <w:szCs w:val="32"/>
          <w:highlight w:val="none"/>
          <w:lang w:val="en-US" w:eastAsia="zh-CN"/>
        </w:rPr>
        <w:t>合同模板</w:t>
      </w:r>
    </w:p>
    <w:p w14:paraId="75050C1B">
      <w:pPr>
        <w:pageBreakBefore w:val="0"/>
        <w:kinsoku/>
        <w:wordWrap w:val="0"/>
        <w:overflowPunct/>
        <w:topLinePunct w:val="0"/>
        <w:bidi w:val="0"/>
        <w:adjustRightInd w:val="0"/>
        <w:snapToGrid w:val="0"/>
        <w:spacing w:line="360" w:lineRule="auto"/>
        <w:ind w:left="0" w:leftChars="0" w:right="0"/>
        <w:jc w:val="right"/>
        <w:rPr>
          <w:rFonts w:hint="default" w:ascii="Times New Roman" w:hAnsi="Times New Roman" w:eastAsia="宋体" w:cs="Times New Roman"/>
          <w:color w:val="auto"/>
          <w:lang w:val="en-US" w:eastAsia="zh-CN"/>
        </w:rPr>
      </w:pPr>
      <w:bookmarkStart w:id="14" w:name="_Toc523567019"/>
      <w:r>
        <w:rPr>
          <w:rFonts w:hint="default" w:ascii="Times New Roman" w:hAnsi="Times New Roman" w:cs="Times New Roman"/>
          <w:color w:val="auto"/>
        </w:rPr>
        <w:t>合同编号：</w:t>
      </w:r>
      <w:r>
        <w:rPr>
          <w:rFonts w:hint="default" w:ascii="Times New Roman" w:hAnsi="Times New Roman" w:cs="Times New Roman"/>
          <w:color w:val="auto"/>
          <w:lang w:val="en-US" w:eastAsia="zh-CN"/>
        </w:rPr>
        <w:t xml:space="preserve">         </w:t>
      </w:r>
    </w:p>
    <w:p w14:paraId="46863657">
      <w:pPr>
        <w:pStyle w:val="6"/>
        <w:pageBreakBefore w:val="0"/>
        <w:kinsoku/>
        <w:overflowPunct/>
        <w:topLinePunct w:val="0"/>
        <w:bidi w:val="0"/>
        <w:adjustRightInd w:val="0"/>
        <w:snapToGrid w:val="0"/>
        <w:ind w:left="0" w:leftChars="0" w:right="0"/>
        <w:rPr>
          <w:rFonts w:hint="default" w:ascii="Times New Roman" w:hAnsi="Times New Roman" w:eastAsia="方正公文小标宋" w:cs="Times New Roman"/>
          <w:b w:val="0"/>
          <w:bCs w:val="0"/>
          <w:color w:val="auto"/>
          <w:sz w:val="36"/>
          <w:szCs w:val="36"/>
        </w:rPr>
      </w:pPr>
      <w:r>
        <w:rPr>
          <w:rFonts w:hint="eastAsia" w:ascii="Times New Roman" w:cs="Times New Roman"/>
          <w:color w:val="auto"/>
          <w:lang w:val="en-US" w:eastAsia="zh-CN"/>
        </w:rPr>
        <w:t xml:space="preserve">                                                                                                                                                                                                                                                                                                                                                                                                                                                                                                                                                                                                                                                                                                                                                                                                                                                                                                                                                                                                                                                                                                                                                                                                                                                                                                                   </w:t>
      </w:r>
      <w:r>
        <w:rPr>
          <w:rFonts w:hint="default" w:ascii="Times New Roman" w:hAnsi="Times New Roman" w:eastAsia="方正公文小标宋" w:cs="Times New Roman"/>
          <w:b w:val="0"/>
          <w:bCs w:val="0"/>
          <w:color w:val="auto"/>
          <w:sz w:val="52"/>
          <w:lang w:val="en-US" w:eastAsia="zh-CN"/>
        </w:rPr>
        <w:t>终端管理软件服务续保及扩容</w:t>
      </w:r>
      <w:r>
        <w:rPr>
          <w:rFonts w:hint="default" w:ascii="Times New Roman" w:hAnsi="Times New Roman" w:eastAsia="方正公文小标宋" w:cs="Times New Roman"/>
          <w:b w:val="0"/>
          <w:bCs w:val="0"/>
          <w:color w:val="auto"/>
          <w:sz w:val="52"/>
        </w:rPr>
        <w:t>合同</w:t>
      </w:r>
    </w:p>
    <w:p w14:paraId="7667163C">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51E1D40E">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5AF8C0BA">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300D969A">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69FB3059">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3BA016DA">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6E1F4226">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6ADF1DA6">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71C3A87E">
      <w:pPr>
        <w:pageBreakBefore w:val="0"/>
        <w:kinsoku/>
        <w:overflowPunct/>
        <w:topLinePunct w:val="0"/>
        <w:bidi w:val="0"/>
        <w:adjustRightInd w:val="0"/>
        <w:snapToGrid w:val="0"/>
        <w:spacing w:line="360" w:lineRule="auto"/>
        <w:ind w:left="0" w:leftChars="0" w:right="0" w:firstLine="420" w:firstLineChars="200"/>
        <w:rPr>
          <w:rFonts w:hint="default" w:ascii="Times New Roman" w:hAnsi="Times New Roman" w:cs="Times New Roman"/>
          <w:color w:val="auto"/>
          <w:kern w:val="2"/>
          <w:sz w:val="21"/>
          <w:szCs w:val="21"/>
        </w:rPr>
      </w:pPr>
    </w:p>
    <w:p w14:paraId="0220798F">
      <w:pPr>
        <w:pageBreakBefore w:val="0"/>
        <w:kinsoku/>
        <w:overflowPunct/>
        <w:topLinePunct w:val="0"/>
        <w:bidi w:val="0"/>
        <w:adjustRightInd w:val="0"/>
        <w:snapToGrid w:val="0"/>
        <w:spacing w:line="360" w:lineRule="auto"/>
        <w:ind w:left="0" w:leftChars="0" w:right="0" w:firstLine="1600" w:firstLineChars="500"/>
        <w:rPr>
          <w:rFonts w:hint="default" w:ascii="Times New Roman" w:hAnsi="Times New Roman" w:cs="Times New Roman"/>
          <w:color w:val="auto"/>
          <w:sz w:val="32"/>
          <w:szCs w:val="32"/>
        </w:rPr>
      </w:pPr>
    </w:p>
    <w:p w14:paraId="5EDFEC5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2240" w:firstLineChars="700"/>
        <w:textAlignment w:val="auto"/>
        <w:rPr>
          <w:rFonts w:hint="default" w:ascii="Times New Roman" w:hAnsi="Times New Roman" w:cs="Times New Roman"/>
          <w:color w:val="auto"/>
          <w:sz w:val="32"/>
          <w:szCs w:val="32"/>
        </w:rPr>
      </w:pPr>
    </w:p>
    <w:p w14:paraId="1B83EF7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2240" w:firstLineChars="700"/>
        <w:jc w:val="left"/>
        <w:textAlignment w:val="auto"/>
        <w:rPr>
          <w:rFonts w:hint="eastAsia" w:ascii="Times New Roman" w:hAnsi="Times New Roman" w:eastAsia="方正公文小标宋" w:cs="Times New Roman"/>
          <w:color w:val="auto"/>
          <w:sz w:val="32"/>
          <w:szCs w:val="32"/>
          <w:u w:val="none"/>
          <w:lang w:eastAsia="zh-CN"/>
        </w:rPr>
      </w:pPr>
      <w:r>
        <w:rPr>
          <w:rFonts w:hint="default" w:ascii="Times New Roman" w:hAnsi="Times New Roman" w:eastAsia="方正公文小标宋" w:cs="Times New Roman"/>
          <w:color w:val="auto"/>
          <w:sz w:val="32"/>
          <w:szCs w:val="32"/>
          <w:u w:val="none"/>
        </w:rPr>
        <w:t>甲方：</w:t>
      </w:r>
      <w:r>
        <w:rPr>
          <w:rFonts w:hint="eastAsia" w:ascii="Times New Roman" w:eastAsia="方正公文小标宋" w:cs="Times New Roman"/>
          <w:color w:val="auto"/>
          <w:sz w:val="32"/>
          <w:szCs w:val="32"/>
          <w:u w:val="none"/>
          <w:lang w:eastAsia="zh-CN"/>
        </w:rPr>
        <w:t>东莞市水务环境投资控股集团有限公司</w:t>
      </w:r>
    </w:p>
    <w:p w14:paraId="3284C79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2240" w:firstLineChars="700"/>
        <w:jc w:val="left"/>
        <w:textAlignment w:val="auto"/>
        <w:rPr>
          <w:rFonts w:hint="default" w:ascii="Times New Roman" w:hAnsi="Times New Roman" w:eastAsia="方正公文小标宋" w:cs="Times New Roman"/>
          <w:color w:val="auto"/>
          <w:kern w:val="2"/>
          <w:sz w:val="32"/>
          <w:szCs w:val="32"/>
          <w:u w:val="none"/>
          <w:lang w:val="en-US" w:eastAsia="zh-CN"/>
        </w:rPr>
      </w:pPr>
      <w:r>
        <w:rPr>
          <w:rFonts w:hint="default" w:ascii="Times New Roman" w:hAnsi="Times New Roman" w:eastAsia="方正公文小标宋" w:cs="Times New Roman"/>
          <w:color w:val="auto"/>
          <w:sz w:val="32"/>
          <w:szCs w:val="32"/>
          <w:u w:val="none"/>
        </w:rPr>
        <w:t>乙方：</w:t>
      </w:r>
    </w:p>
    <w:p w14:paraId="55AF924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0" w:firstLineChars="0"/>
        <w:jc w:val="center"/>
        <w:textAlignment w:val="auto"/>
        <w:rPr>
          <w:rFonts w:hint="default" w:ascii="Times New Roman" w:hAnsi="Times New Roman" w:eastAsia="方正公文小标宋" w:cs="Times New Roman"/>
          <w:b/>
          <w:bCs/>
          <w:color w:val="auto"/>
          <w:kern w:val="2"/>
          <w:sz w:val="32"/>
          <w:szCs w:val="32"/>
        </w:rPr>
      </w:pPr>
      <w:r>
        <w:rPr>
          <w:rFonts w:hint="default" w:ascii="Times New Roman" w:hAnsi="Times New Roman" w:eastAsia="方正公文小标宋" w:cs="Times New Roman"/>
          <w:b/>
          <w:bCs/>
          <w:color w:val="auto"/>
          <w:kern w:val="2"/>
          <w:sz w:val="32"/>
          <w:szCs w:val="32"/>
        </w:rPr>
        <w:t>年   月   日</w:t>
      </w:r>
    </w:p>
    <w:p w14:paraId="2ECF43C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0" w:firstLineChars="0"/>
        <w:jc w:val="center"/>
        <w:textAlignment w:val="auto"/>
        <w:rPr>
          <w:rFonts w:hint="default" w:ascii="Times New Roman" w:hAnsi="Times New Roman" w:eastAsia="方正公文小标宋" w:cs="Times New Roman"/>
          <w:b/>
          <w:bCs/>
          <w:color w:val="auto"/>
          <w:sz w:val="32"/>
          <w:szCs w:val="32"/>
          <w:u w:val="single"/>
        </w:rPr>
        <w:sectPr>
          <w:headerReference r:id="rId4" w:type="even"/>
          <w:footerReference r:id="rId5" w:type="even"/>
          <w:pgSz w:w="11907" w:h="16840"/>
          <w:pgMar w:top="1474" w:right="1418" w:bottom="1418" w:left="1418" w:header="851" w:footer="1021" w:gutter="454"/>
          <w:pgNumType w:start="1"/>
          <w:cols w:space="720" w:num="1"/>
          <w:titlePg/>
          <w:docGrid w:linePitch="326" w:charSpace="0"/>
        </w:sectPr>
      </w:pPr>
    </w:p>
    <w:p w14:paraId="45547D56">
      <w:pPr>
        <w:spacing w:line="360" w:lineRule="auto"/>
        <w:ind w:firstLine="0" w:firstLineChars="0"/>
        <w:rPr>
          <w:rFonts w:ascii="Times New Roman"/>
          <w:color w:val="auto"/>
        </w:rPr>
      </w:pPr>
      <w:r>
        <w:rPr>
          <w:rFonts w:hint="eastAsia" w:ascii="Times New Roman"/>
          <w:b/>
          <w:bCs/>
          <w:color w:val="auto"/>
          <w:lang w:val="en-US" w:eastAsia="zh-CN"/>
        </w:rPr>
        <w:t>甲</w:t>
      </w:r>
      <w:r>
        <w:rPr>
          <w:rFonts w:hint="eastAsia" w:ascii="Times New Roman"/>
          <w:b/>
          <w:color w:val="auto"/>
        </w:rPr>
        <w:t>方：</w:t>
      </w:r>
      <w:r>
        <w:rPr>
          <w:rFonts w:hint="eastAsia" w:ascii="Times New Roman"/>
          <w:color w:val="auto"/>
          <w:u w:val="single"/>
          <w:lang w:val="en-US" w:eastAsia="zh-CN"/>
        </w:rPr>
        <w:t>东莞市水务环境投资控股集团有限公司</w:t>
      </w:r>
    </w:p>
    <w:p w14:paraId="1C5E30A1">
      <w:pPr>
        <w:spacing w:line="360" w:lineRule="auto"/>
        <w:rPr>
          <w:rFonts w:hint="default" w:ascii="Times New Roman" w:eastAsia="宋体"/>
          <w:color w:val="auto"/>
          <w:lang w:val="en-US" w:eastAsia="zh-CN"/>
        </w:rPr>
      </w:pPr>
      <w:r>
        <w:rPr>
          <w:rFonts w:hint="eastAsia" w:ascii="Times New Roman"/>
          <w:color w:val="auto"/>
        </w:rPr>
        <w:t>地址：</w:t>
      </w:r>
      <w:r>
        <w:rPr>
          <w:rFonts w:hint="eastAsia" w:ascii="Times New Roman"/>
          <w:color w:val="auto"/>
          <w:u w:val="single"/>
        </w:rPr>
        <w:t>东莞市东城街道育华路1号</w:t>
      </w:r>
    </w:p>
    <w:p w14:paraId="0D41631E">
      <w:pPr>
        <w:spacing w:line="360" w:lineRule="auto"/>
        <w:rPr>
          <w:rFonts w:hint="eastAsia" w:ascii="Times New Roman" w:eastAsia="宋体"/>
          <w:color w:val="auto"/>
          <w:lang w:eastAsia="zh-CN"/>
        </w:rPr>
      </w:pPr>
      <w:r>
        <w:rPr>
          <w:rFonts w:hint="eastAsia" w:ascii="Times New Roman"/>
          <w:b/>
          <w:color w:val="auto"/>
          <w:lang w:val="en-US" w:eastAsia="zh-CN"/>
        </w:rPr>
        <w:t>乙</w:t>
      </w:r>
      <w:r>
        <w:rPr>
          <w:rFonts w:hint="eastAsia" w:ascii="Times New Roman"/>
          <w:b/>
          <w:color w:val="auto"/>
        </w:rPr>
        <w:t>方：</w:t>
      </w:r>
    </w:p>
    <w:p w14:paraId="0C5E42BB">
      <w:pPr>
        <w:widowControl/>
        <w:spacing w:line="240" w:lineRule="auto"/>
        <w:rPr>
          <w:rFonts w:hint="default" w:ascii="Times New Roman" w:eastAsia="宋体"/>
          <w:color w:val="auto"/>
          <w:u w:val="single"/>
          <w:lang w:val="en-US" w:eastAsia="zh-CN"/>
        </w:rPr>
      </w:pPr>
      <w:r>
        <w:rPr>
          <w:rFonts w:hint="eastAsia" w:ascii="Times New Roman"/>
          <w:color w:val="auto"/>
        </w:rPr>
        <w:t>地址：</w:t>
      </w:r>
    </w:p>
    <w:p w14:paraId="4FBBCDEB">
      <w:pPr>
        <w:spacing w:line="360" w:lineRule="auto"/>
        <w:ind w:firstLine="480" w:firstLineChars="200"/>
        <w:rPr>
          <w:rFonts w:hint="eastAsia" w:ascii="Times New Roman"/>
          <w:color w:val="auto"/>
        </w:rPr>
      </w:pPr>
    </w:p>
    <w:p w14:paraId="580663D6">
      <w:pPr>
        <w:spacing w:line="360" w:lineRule="auto"/>
        <w:ind w:firstLine="480" w:firstLineChars="200"/>
        <w:rPr>
          <w:rFonts w:ascii="Times New Roman"/>
          <w:color w:val="auto"/>
        </w:rPr>
      </w:pPr>
      <w:r>
        <w:rPr>
          <w:rFonts w:hint="eastAsia" w:ascii="Times New Roman"/>
          <w:color w:val="auto"/>
        </w:rPr>
        <w:t>经甲方询价采购，现确定甲方向乙方</w:t>
      </w:r>
      <w:r>
        <w:rPr>
          <w:rFonts w:hint="eastAsia" w:ascii="Times New Roman"/>
        </w:rPr>
        <w:t>采购</w:t>
      </w:r>
      <w:r>
        <w:rPr>
          <w:rFonts w:hint="eastAsia" w:ascii="Times New Roman"/>
          <w:lang w:val="en-US" w:eastAsia="zh-CN"/>
        </w:rPr>
        <w:t>深信</w:t>
      </w:r>
      <w:r>
        <w:rPr>
          <w:rFonts w:hint="eastAsia" w:ascii="Times New Roman" w:hAnsi="Times New Roman" w:eastAsia="宋体" w:cs="Times New Roman"/>
          <w:lang w:val="en-US" w:eastAsia="zh-CN"/>
        </w:rPr>
        <w:t>服EDR终端管理软件服务续保及扩容</w:t>
      </w:r>
      <w:r>
        <w:rPr>
          <w:rFonts w:hint="eastAsia" w:ascii="Times New Roman"/>
          <w:color w:val="auto"/>
        </w:rPr>
        <w:t>。根据《中华人民共和国民法典》等法律</w:t>
      </w:r>
      <w:r>
        <w:rPr>
          <w:rFonts w:hint="eastAsia" w:ascii="Times New Roman"/>
          <w:color w:val="auto"/>
          <w:lang w:eastAsia="zh-CN"/>
        </w:rPr>
        <w:t>、</w:t>
      </w:r>
      <w:r>
        <w:rPr>
          <w:rFonts w:hint="eastAsia" w:ascii="Times New Roman"/>
          <w:color w:val="auto"/>
        </w:rPr>
        <w:t>法规的规定，经双方平等协商，双方</w:t>
      </w:r>
      <w:r>
        <w:rPr>
          <w:rFonts w:hint="eastAsia" w:ascii="Times New Roman"/>
        </w:rPr>
        <w:t>就</w:t>
      </w:r>
      <w:r>
        <w:rPr>
          <w:rFonts w:hint="eastAsia" w:ascii="Times New Roman"/>
          <w:lang w:val="en-US" w:eastAsia="zh-CN"/>
        </w:rPr>
        <w:t>深信</w:t>
      </w:r>
      <w:r>
        <w:rPr>
          <w:rFonts w:hint="eastAsia" w:ascii="Times New Roman" w:hAnsi="Times New Roman" w:eastAsia="宋体" w:cs="Times New Roman"/>
          <w:lang w:val="en-US" w:eastAsia="zh-CN"/>
        </w:rPr>
        <w:t>服EDR终端管理软件服务续保及扩容</w:t>
      </w:r>
      <w:r>
        <w:rPr>
          <w:rFonts w:hint="eastAsia" w:ascii="Times New Roman"/>
        </w:rPr>
        <w:t>采购事宜</w:t>
      </w:r>
      <w:r>
        <w:rPr>
          <w:rFonts w:hint="eastAsia" w:ascii="Times New Roman"/>
          <w:color w:val="auto"/>
        </w:rPr>
        <w:t>，签订本合同。</w:t>
      </w:r>
    </w:p>
    <w:p w14:paraId="066A9A8E">
      <w:pPr>
        <w:spacing w:line="360" w:lineRule="auto"/>
        <w:ind w:firstLine="480" w:firstLineChars="200"/>
        <w:rPr>
          <w:rFonts w:ascii="Times New Roman"/>
          <w:color w:val="auto"/>
        </w:rPr>
      </w:pPr>
    </w:p>
    <w:p w14:paraId="0C8C9C41">
      <w:pPr>
        <w:autoSpaceDE/>
        <w:autoSpaceDN/>
        <w:adjustRightInd/>
        <w:spacing w:line="360" w:lineRule="auto"/>
        <w:ind w:left="-2" w:leftChars="-1" w:firstLine="2"/>
        <w:jc w:val="both"/>
        <w:outlineLvl w:val="1"/>
        <w:rPr>
          <w:rFonts w:hint="default" w:ascii="Times New Roman"/>
          <w:b/>
          <w:color w:val="auto"/>
          <w:lang w:val="en-US"/>
        </w:rPr>
      </w:pPr>
      <w:bookmarkStart w:id="15" w:name="_Toc27495478"/>
      <w:r>
        <w:rPr>
          <w:rFonts w:hint="eastAsia" w:ascii="Times New Roman"/>
          <w:b/>
          <w:color w:val="auto"/>
        </w:rPr>
        <w:t xml:space="preserve">第一条 </w:t>
      </w:r>
      <w:bookmarkEnd w:id="15"/>
      <w:r>
        <w:rPr>
          <w:rFonts w:hint="eastAsia" w:ascii="Times New Roman"/>
          <w:b/>
          <w:color w:val="auto"/>
          <w:lang w:val="en-US" w:eastAsia="zh-CN"/>
        </w:rPr>
        <w:t>服务内容及服务要求</w:t>
      </w:r>
    </w:p>
    <w:p w14:paraId="33288AF8">
      <w:pPr>
        <w:spacing w:line="360" w:lineRule="auto"/>
        <w:ind w:firstLine="482" w:firstLineChars="200"/>
        <w:rPr>
          <w:rFonts w:hint="default" w:ascii="Times New Roman" w:cs="Times New Roman"/>
          <w:b/>
          <w:bCs/>
          <w:color w:val="auto"/>
          <w:lang w:val="en-US" w:eastAsia="zh-CN"/>
        </w:rPr>
      </w:pPr>
      <w:r>
        <w:rPr>
          <w:rFonts w:hint="eastAsia" w:ascii="Times New Roman" w:cs="Times New Roman"/>
          <w:b/>
          <w:bCs/>
          <w:color w:val="auto"/>
          <w:lang w:val="en-US" w:eastAsia="zh-CN"/>
        </w:rPr>
        <w:t>（一）服务内容</w:t>
      </w:r>
    </w:p>
    <w:p w14:paraId="7059125B">
      <w:pPr>
        <w:spacing w:line="360" w:lineRule="auto"/>
        <w:ind w:firstLine="480" w:firstLineChars="200"/>
        <w:rPr>
          <w:rFonts w:hint="default" w:ascii="Times New Roman"/>
          <w:color w:val="auto"/>
          <w:lang w:val="en-US" w:eastAsia="zh-CN"/>
        </w:rPr>
      </w:pPr>
      <w:r>
        <w:rPr>
          <w:rFonts w:hint="eastAsia" w:ascii="Times New Roman"/>
          <w:color w:val="auto"/>
          <w:lang w:val="en-US" w:eastAsia="zh-CN"/>
        </w:rPr>
        <w:t>由乙方提供</w:t>
      </w:r>
      <w:r>
        <w:rPr>
          <w:rFonts w:hint="eastAsia" w:ascii="Times New Roman"/>
          <w:lang w:val="en-US" w:eastAsia="zh-CN"/>
        </w:rPr>
        <w:t>深信</w:t>
      </w:r>
      <w:r>
        <w:rPr>
          <w:rFonts w:hint="eastAsia" w:ascii="Times New Roman" w:hAnsi="Times New Roman" w:eastAsia="宋体" w:cs="Times New Roman"/>
          <w:lang w:val="en-US" w:eastAsia="zh-CN"/>
        </w:rPr>
        <w:t>服EDR终端管理软件服务续保及扩容清单</w:t>
      </w:r>
      <w:r>
        <w:rPr>
          <w:rFonts w:hint="eastAsia" w:ascii="Times New Roman" w:cs="Times New Roman"/>
          <w:lang w:val="en-US" w:eastAsia="zh-CN"/>
        </w:rPr>
        <w:t>如下</w:t>
      </w:r>
      <w:r>
        <w:rPr>
          <w:rFonts w:hint="eastAsia" w:ascii="Times New Roman"/>
          <w:color w:val="auto"/>
          <w:lang w:val="en-US" w:eastAsia="zh-CN"/>
        </w:rPr>
        <w:t>（详细要求见附件3《采购需求书》）：</w:t>
      </w:r>
    </w:p>
    <w:tbl>
      <w:tblPr>
        <w:tblStyle w:val="20"/>
        <w:tblW w:w="844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465"/>
        <w:gridCol w:w="1597"/>
        <w:gridCol w:w="2160"/>
      </w:tblGrid>
      <w:tr w14:paraId="79C2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23" w:type="dxa"/>
            <w:shd w:val="clear" w:color="auto" w:fill="auto"/>
            <w:vAlign w:val="center"/>
          </w:tcPr>
          <w:p w14:paraId="0BF2A0B8">
            <w:pPr>
              <w:numPr>
                <w:ilvl w:val="0"/>
                <w:numId w:val="0"/>
              </w:numPr>
              <w:bidi w:val="0"/>
              <w:jc w:val="center"/>
              <w:rPr>
                <w:rFonts w:hint="eastAsia" w:ascii="Times New Roman" w:eastAsia="仿宋_GB2312" w:cs="Times New Roman"/>
                <w:b/>
                <w:bCs w:val="0"/>
                <w:kern w:val="0"/>
                <w:sz w:val="24"/>
                <w:szCs w:val="24"/>
                <w:lang w:val="en-US" w:eastAsia="zh-CN"/>
              </w:rPr>
            </w:pPr>
            <w:bookmarkStart w:id="16" w:name="_Toc16239"/>
            <w:bookmarkStart w:id="17" w:name="_Toc18464"/>
            <w:bookmarkStart w:id="18" w:name="_Toc24420"/>
            <w:bookmarkStart w:id="19" w:name="_Toc15930"/>
            <w:bookmarkStart w:id="20" w:name="_Toc1693"/>
            <w:r>
              <w:rPr>
                <w:rFonts w:hint="eastAsia" w:ascii="Times New Roman" w:eastAsia="仿宋_GB2312" w:cs="Times New Roman"/>
                <w:b/>
                <w:bCs w:val="0"/>
                <w:kern w:val="0"/>
                <w:sz w:val="24"/>
                <w:szCs w:val="24"/>
                <w:lang w:val="en-US" w:eastAsia="zh-CN"/>
              </w:rPr>
              <w:t>采购内容</w:t>
            </w:r>
          </w:p>
        </w:tc>
        <w:tc>
          <w:tcPr>
            <w:tcW w:w="2465" w:type="dxa"/>
            <w:shd w:val="clear" w:color="auto" w:fill="auto"/>
            <w:vAlign w:val="center"/>
          </w:tcPr>
          <w:p w14:paraId="2D0DCBA9">
            <w:pPr>
              <w:numPr>
                <w:ilvl w:val="0"/>
                <w:numId w:val="0"/>
              </w:numPr>
              <w:bidi w:val="0"/>
              <w:jc w:val="center"/>
              <w:rPr>
                <w:rFonts w:hint="eastAsia" w:ascii="Times New Roman" w:eastAsia="仿宋_GB2312" w:cs="Times New Roman"/>
                <w:b/>
                <w:bCs w:val="0"/>
                <w:kern w:val="0"/>
                <w:sz w:val="24"/>
                <w:szCs w:val="24"/>
                <w:lang w:val="en-US" w:eastAsia="zh-CN"/>
              </w:rPr>
            </w:pPr>
            <w:r>
              <w:rPr>
                <w:rFonts w:hint="eastAsia" w:ascii="Times New Roman" w:eastAsia="仿宋_GB2312" w:cs="Times New Roman"/>
                <w:b/>
                <w:bCs w:val="0"/>
                <w:kern w:val="0"/>
                <w:sz w:val="24"/>
                <w:szCs w:val="24"/>
                <w:lang w:val="en-US" w:eastAsia="zh-CN"/>
              </w:rPr>
              <w:t>版本</w:t>
            </w:r>
          </w:p>
        </w:tc>
        <w:tc>
          <w:tcPr>
            <w:tcW w:w="1597" w:type="dxa"/>
            <w:shd w:val="clear" w:color="auto" w:fill="auto"/>
            <w:vAlign w:val="center"/>
          </w:tcPr>
          <w:p w14:paraId="54DAAF4C">
            <w:pPr>
              <w:numPr>
                <w:ilvl w:val="0"/>
                <w:numId w:val="0"/>
              </w:numPr>
              <w:bidi w:val="0"/>
              <w:jc w:val="center"/>
              <w:rPr>
                <w:rFonts w:hint="eastAsia" w:ascii="Times New Roman" w:eastAsia="仿宋_GB2312" w:cs="Times New Roman"/>
                <w:b/>
                <w:bCs w:val="0"/>
                <w:kern w:val="0"/>
                <w:sz w:val="24"/>
                <w:szCs w:val="24"/>
                <w:lang w:val="en-US" w:eastAsia="zh-CN"/>
              </w:rPr>
            </w:pPr>
            <w:r>
              <w:rPr>
                <w:rFonts w:hint="eastAsia" w:ascii="Times New Roman" w:eastAsia="仿宋_GB2312" w:cs="Times New Roman"/>
                <w:b/>
                <w:bCs w:val="0"/>
                <w:kern w:val="0"/>
                <w:sz w:val="24"/>
                <w:szCs w:val="24"/>
                <w:lang w:val="en-US" w:eastAsia="zh-CN"/>
              </w:rPr>
              <w:t>数量（个）</w:t>
            </w:r>
          </w:p>
        </w:tc>
        <w:tc>
          <w:tcPr>
            <w:tcW w:w="2160" w:type="dxa"/>
            <w:shd w:val="clear" w:color="auto" w:fill="auto"/>
            <w:vAlign w:val="center"/>
          </w:tcPr>
          <w:p w14:paraId="574EA9F9">
            <w:pPr>
              <w:numPr>
                <w:ilvl w:val="0"/>
                <w:numId w:val="0"/>
              </w:numPr>
              <w:bidi w:val="0"/>
              <w:jc w:val="center"/>
              <w:rPr>
                <w:rFonts w:hint="default" w:ascii="Times New Roman" w:eastAsia="仿宋_GB2312" w:cs="Times New Roman"/>
                <w:b/>
                <w:bCs w:val="0"/>
                <w:kern w:val="0"/>
                <w:sz w:val="24"/>
                <w:szCs w:val="24"/>
                <w:lang w:val="en-US" w:eastAsia="zh-CN"/>
              </w:rPr>
            </w:pPr>
            <w:r>
              <w:rPr>
                <w:rFonts w:hint="eastAsia" w:ascii="Times New Roman" w:eastAsia="仿宋_GB2312" w:cs="Times New Roman"/>
                <w:b/>
                <w:bCs w:val="0"/>
                <w:kern w:val="0"/>
                <w:sz w:val="24"/>
                <w:szCs w:val="24"/>
                <w:lang w:val="en-US" w:eastAsia="zh-CN"/>
              </w:rPr>
              <w:t>单价（元，不含税）</w:t>
            </w:r>
          </w:p>
        </w:tc>
      </w:tr>
      <w:tr w14:paraId="45FD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23" w:type="dxa"/>
            <w:vMerge w:val="restart"/>
          </w:tcPr>
          <w:p w14:paraId="37A31838">
            <w:pPr>
              <w:numPr>
                <w:ilvl w:val="0"/>
                <w:numId w:val="0"/>
              </w:numPr>
              <w:bidi w:val="0"/>
              <w:jc w:val="center"/>
              <w:rPr>
                <w:rFonts w:hint="eastAsia" w:ascii="Times New Roman" w:eastAsia="仿宋_GB2312" w:cs="Times New Roman"/>
                <w:bCs/>
                <w:kern w:val="0"/>
                <w:sz w:val="24"/>
                <w:szCs w:val="24"/>
                <w:lang w:val="en-US" w:eastAsia="zh-CN"/>
              </w:rPr>
            </w:pPr>
          </w:p>
          <w:p w14:paraId="120A3329">
            <w:pPr>
              <w:numPr>
                <w:ilvl w:val="0"/>
                <w:numId w:val="0"/>
              </w:numPr>
              <w:bidi w:val="0"/>
              <w:jc w:val="center"/>
              <w:rPr>
                <w:rFonts w:hint="eastAsia"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续保服务3年</w:t>
            </w:r>
          </w:p>
        </w:tc>
        <w:tc>
          <w:tcPr>
            <w:tcW w:w="2465" w:type="dxa"/>
          </w:tcPr>
          <w:p w14:paraId="73C1EE13">
            <w:pPr>
              <w:numPr>
                <w:ilvl w:val="0"/>
                <w:numId w:val="0"/>
              </w:numPr>
              <w:bidi w:val="0"/>
              <w:jc w:val="center"/>
              <w:rPr>
                <w:rFonts w:hint="eastAsia"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服务器Windows版</w:t>
            </w:r>
          </w:p>
        </w:tc>
        <w:tc>
          <w:tcPr>
            <w:tcW w:w="1597" w:type="dxa"/>
          </w:tcPr>
          <w:p w14:paraId="381A29ED">
            <w:pPr>
              <w:numPr>
                <w:ilvl w:val="0"/>
                <w:numId w:val="0"/>
              </w:numPr>
              <w:bidi w:val="0"/>
              <w:ind w:leftChars="0" w:firstLine="480" w:firstLineChars="200"/>
              <w:rPr>
                <w:rFonts w:hint="default"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16</w:t>
            </w:r>
          </w:p>
        </w:tc>
        <w:tc>
          <w:tcPr>
            <w:tcW w:w="2160" w:type="dxa"/>
          </w:tcPr>
          <w:p w14:paraId="7047024B">
            <w:pPr>
              <w:numPr>
                <w:ilvl w:val="0"/>
                <w:numId w:val="0"/>
              </w:numPr>
              <w:bidi w:val="0"/>
              <w:ind w:leftChars="0" w:firstLine="480" w:firstLineChars="200"/>
              <w:rPr>
                <w:rFonts w:hint="eastAsia" w:ascii="Times New Roman" w:eastAsia="仿宋_GB2312" w:cs="Times New Roman"/>
                <w:bCs/>
                <w:kern w:val="0"/>
                <w:sz w:val="24"/>
                <w:szCs w:val="24"/>
                <w:lang w:val="en-US" w:eastAsia="zh-CN"/>
              </w:rPr>
            </w:pPr>
          </w:p>
        </w:tc>
      </w:tr>
      <w:tr w14:paraId="40E2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23" w:type="dxa"/>
            <w:vMerge w:val="continue"/>
          </w:tcPr>
          <w:p w14:paraId="75D44ADE">
            <w:pPr>
              <w:numPr>
                <w:ilvl w:val="0"/>
                <w:numId w:val="0"/>
              </w:numPr>
              <w:bidi w:val="0"/>
              <w:ind w:leftChars="0" w:firstLine="480" w:firstLineChars="200"/>
              <w:rPr>
                <w:rFonts w:hint="eastAsia" w:ascii="Times New Roman" w:eastAsia="仿宋_GB2312" w:cs="Times New Roman"/>
                <w:bCs/>
                <w:kern w:val="0"/>
                <w:sz w:val="24"/>
                <w:szCs w:val="24"/>
                <w:lang w:val="en-US" w:eastAsia="zh-CN"/>
              </w:rPr>
            </w:pPr>
          </w:p>
        </w:tc>
        <w:tc>
          <w:tcPr>
            <w:tcW w:w="2465" w:type="dxa"/>
          </w:tcPr>
          <w:p w14:paraId="6968D335">
            <w:pPr>
              <w:numPr>
                <w:ilvl w:val="0"/>
                <w:numId w:val="0"/>
              </w:numPr>
              <w:bidi w:val="0"/>
              <w:ind w:leftChars="0" w:firstLine="480" w:firstLineChars="200"/>
              <w:rPr>
                <w:rFonts w:hint="eastAsia"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PC Windows版</w:t>
            </w:r>
          </w:p>
        </w:tc>
        <w:tc>
          <w:tcPr>
            <w:tcW w:w="1597" w:type="dxa"/>
          </w:tcPr>
          <w:p w14:paraId="55C84DED">
            <w:pPr>
              <w:numPr>
                <w:ilvl w:val="0"/>
                <w:numId w:val="0"/>
              </w:numPr>
              <w:bidi w:val="0"/>
              <w:ind w:leftChars="0" w:firstLine="480" w:firstLineChars="200"/>
              <w:rPr>
                <w:rFonts w:hint="default"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140</w:t>
            </w:r>
          </w:p>
        </w:tc>
        <w:tc>
          <w:tcPr>
            <w:tcW w:w="2160" w:type="dxa"/>
          </w:tcPr>
          <w:p w14:paraId="31EA7066">
            <w:pPr>
              <w:numPr>
                <w:ilvl w:val="0"/>
                <w:numId w:val="0"/>
              </w:numPr>
              <w:bidi w:val="0"/>
              <w:ind w:leftChars="0" w:firstLine="480" w:firstLineChars="200"/>
              <w:rPr>
                <w:rFonts w:hint="eastAsia" w:ascii="Times New Roman" w:eastAsia="仿宋_GB2312" w:cs="Times New Roman"/>
                <w:bCs/>
                <w:kern w:val="0"/>
                <w:sz w:val="24"/>
                <w:szCs w:val="24"/>
                <w:lang w:val="en-US" w:eastAsia="zh-CN"/>
              </w:rPr>
            </w:pPr>
          </w:p>
        </w:tc>
      </w:tr>
      <w:tr w14:paraId="23F6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23" w:type="dxa"/>
            <w:vMerge w:val="restart"/>
          </w:tcPr>
          <w:p w14:paraId="41FA6179">
            <w:pPr>
              <w:numPr>
                <w:ilvl w:val="0"/>
                <w:numId w:val="0"/>
              </w:numPr>
              <w:bidi w:val="0"/>
              <w:jc w:val="center"/>
              <w:rPr>
                <w:rFonts w:hint="eastAsia"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新增授权</w:t>
            </w:r>
          </w:p>
          <w:p w14:paraId="16621FD8">
            <w:pPr>
              <w:numPr>
                <w:ilvl w:val="0"/>
                <w:numId w:val="0"/>
              </w:numPr>
              <w:bidi w:val="0"/>
              <w:jc w:val="center"/>
              <w:rPr>
                <w:rFonts w:hint="eastAsia"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（含3年质保服务）</w:t>
            </w:r>
          </w:p>
        </w:tc>
        <w:tc>
          <w:tcPr>
            <w:tcW w:w="2465" w:type="dxa"/>
            <w:shd w:val="clear" w:color="auto" w:fill="auto"/>
            <w:vAlign w:val="top"/>
          </w:tcPr>
          <w:p w14:paraId="78F1EF9C">
            <w:pPr>
              <w:numPr>
                <w:ilvl w:val="0"/>
                <w:numId w:val="0"/>
              </w:numPr>
              <w:bidi w:val="0"/>
              <w:jc w:val="center"/>
              <w:rPr>
                <w:rFonts w:hint="eastAsia"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服务器Windows版</w:t>
            </w:r>
          </w:p>
        </w:tc>
        <w:tc>
          <w:tcPr>
            <w:tcW w:w="1597" w:type="dxa"/>
          </w:tcPr>
          <w:p w14:paraId="2B8F84EB">
            <w:pPr>
              <w:numPr>
                <w:ilvl w:val="0"/>
                <w:numId w:val="0"/>
              </w:numPr>
              <w:bidi w:val="0"/>
              <w:ind w:leftChars="0" w:firstLine="480" w:firstLineChars="200"/>
              <w:rPr>
                <w:rFonts w:hint="default"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11</w:t>
            </w:r>
          </w:p>
        </w:tc>
        <w:tc>
          <w:tcPr>
            <w:tcW w:w="2160" w:type="dxa"/>
          </w:tcPr>
          <w:p w14:paraId="6638C240">
            <w:pPr>
              <w:numPr>
                <w:ilvl w:val="0"/>
                <w:numId w:val="0"/>
              </w:numPr>
              <w:bidi w:val="0"/>
              <w:ind w:leftChars="0" w:firstLine="480" w:firstLineChars="200"/>
              <w:rPr>
                <w:rFonts w:hint="eastAsia" w:ascii="Times New Roman" w:eastAsia="仿宋_GB2312" w:cs="Times New Roman"/>
                <w:bCs/>
                <w:kern w:val="0"/>
                <w:sz w:val="24"/>
                <w:szCs w:val="24"/>
                <w:lang w:val="en-US" w:eastAsia="zh-CN"/>
              </w:rPr>
            </w:pPr>
          </w:p>
        </w:tc>
      </w:tr>
      <w:tr w14:paraId="6747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23" w:type="dxa"/>
            <w:vMerge w:val="continue"/>
          </w:tcPr>
          <w:p w14:paraId="4DA5B5AA">
            <w:pPr>
              <w:numPr>
                <w:ilvl w:val="0"/>
                <w:numId w:val="0"/>
              </w:numPr>
              <w:bidi w:val="0"/>
              <w:ind w:leftChars="0" w:firstLine="480" w:firstLineChars="200"/>
              <w:rPr>
                <w:rFonts w:hint="eastAsia" w:ascii="Times New Roman" w:eastAsia="仿宋_GB2312" w:cs="Times New Roman"/>
                <w:bCs/>
                <w:kern w:val="0"/>
                <w:sz w:val="24"/>
                <w:szCs w:val="24"/>
                <w:lang w:val="en-US" w:eastAsia="zh-CN"/>
              </w:rPr>
            </w:pPr>
          </w:p>
        </w:tc>
        <w:tc>
          <w:tcPr>
            <w:tcW w:w="2465" w:type="dxa"/>
            <w:shd w:val="clear" w:color="auto" w:fill="auto"/>
            <w:vAlign w:val="top"/>
          </w:tcPr>
          <w:p w14:paraId="46212131">
            <w:pPr>
              <w:numPr>
                <w:ilvl w:val="0"/>
                <w:numId w:val="0"/>
              </w:numPr>
              <w:bidi w:val="0"/>
              <w:ind w:leftChars="0" w:firstLine="480" w:firstLineChars="200"/>
              <w:rPr>
                <w:rFonts w:hint="eastAsia"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PC Windows版</w:t>
            </w:r>
          </w:p>
        </w:tc>
        <w:tc>
          <w:tcPr>
            <w:tcW w:w="1597" w:type="dxa"/>
          </w:tcPr>
          <w:p w14:paraId="06065F69">
            <w:pPr>
              <w:numPr>
                <w:ilvl w:val="0"/>
                <w:numId w:val="0"/>
              </w:numPr>
              <w:bidi w:val="0"/>
              <w:ind w:leftChars="0" w:firstLine="480" w:firstLineChars="200"/>
              <w:rPr>
                <w:rFonts w:hint="default" w:ascii="Times New Roman" w:eastAsia="仿宋_GB2312" w:cs="Times New Roman"/>
                <w:bCs/>
                <w:kern w:val="0"/>
                <w:sz w:val="24"/>
                <w:szCs w:val="24"/>
                <w:lang w:val="en-US" w:eastAsia="zh-CN"/>
              </w:rPr>
            </w:pPr>
            <w:r>
              <w:rPr>
                <w:rFonts w:hint="eastAsia" w:ascii="Times New Roman" w:eastAsia="仿宋_GB2312" w:cs="Times New Roman"/>
                <w:bCs/>
                <w:kern w:val="0"/>
                <w:sz w:val="24"/>
                <w:szCs w:val="24"/>
                <w:lang w:val="en-US" w:eastAsia="zh-CN"/>
              </w:rPr>
              <w:t>50</w:t>
            </w:r>
          </w:p>
        </w:tc>
        <w:tc>
          <w:tcPr>
            <w:tcW w:w="2160" w:type="dxa"/>
          </w:tcPr>
          <w:p w14:paraId="62C8950E">
            <w:pPr>
              <w:numPr>
                <w:ilvl w:val="0"/>
                <w:numId w:val="0"/>
              </w:numPr>
              <w:bidi w:val="0"/>
              <w:ind w:leftChars="0" w:firstLine="480" w:firstLineChars="200"/>
              <w:rPr>
                <w:rFonts w:hint="eastAsia" w:ascii="Times New Roman" w:eastAsia="仿宋_GB2312" w:cs="Times New Roman"/>
                <w:bCs/>
                <w:kern w:val="0"/>
                <w:sz w:val="24"/>
                <w:szCs w:val="24"/>
                <w:lang w:val="en-US" w:eastAsia="zh-CN"/>
              </w:rPr>
            </w:pPr>
          </w:p>
        </w:tc>
      </w:tr>
      <w:tr w14:paraId="5EE4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688" w:type="dxa"/>
            <w:gridSpan w:val="2"/>
          </w:tcPr>
          <w:p w14:paraId="2C171379">
            <w:pPr>
              <w:numPr>
                <w:ilvl w:val="0"/>
                <w:numId w:val="0"/>
              </w:numPr>
              <w:tabs>
                <w:tab w:val="left" w:pos="2494"/>
              </w:tabs>
              <w:bidi w:val="0"/>
              <w:ind w:leftChars="0" w:firstLine="480" w:firstLineChars="200"/>
              <w:jc w:val="center"/>
              <w:rPr>
                <w:rFonts w:hint="default" w:ascii="Times New Roman" w:eastAsia="仿宋_GB2312" w:cs="Times New Roman"/>
                <w:bCs/>
                <w:kern w:val="0"/>
                <w:sz w:val="24"/>
                <w:szCs w:val="24"/>
                <w:lang w:val="en-US" w:eastAsia="zh-CN"/>
              </w:rPr>
            </w:pPr>
            <w:bookmarkStart w:id="21" w:name="_Toc24756"/>
            <w:bookmarkStart w:id="22" w:name="_Toc20917"/>
            <w:bookmarkStart w:id="23" w:name="_Toc6166"/>
            <w:bookmarkStart w:id="24" w:name="_Toc15884"/>
            <w:bookmarkStart w:id="25" w:name="_Toc2875"/>
            <w:r>
              <w:rPr>
                <w:rFonts w:hint="eastAsia" w:ascii="Times New Roman" w:eastAsia="仿宋_GB2312" w:cs="Times New Roman"/>
                <w:bCs/>
                <w:kern w:val="0"/>
                <w:sz w:val="24"/>
                <w:szCs w:val="24"/>
                <w:lang w:val="en-US" w:eastAsia="zh-CN"/>
              </w:rPr>
              <w:t>（小写合计）</w:t>
            </w:r>
          </w:p>
        </w:tc>
        <w:tc>
          <w:tcPr>
            <w:tcW w:w="3757" w:type="dxa"/>
            <w:gridSpan w:val="2"/>
          </w:tcPr>
          <w:p w14:paraId="73C1ED86">
            <w:pPr>
              <w:numPr>
                <w:ilvl w:val="0"/>
                <w:numId w:val="0"/>
              </w:numPr>
              <w:bidi w:val="0"/>
              <w:ind w:leftChars="0" w:firstLine="480" w:firstLineChars="200"/>
              <w:jc w:val="center"/>
              <w:rPr>
                <w:rFonts w:hint="default" w:ascii="Times New Roman" w:eastAsia="仿宋_GB2312" w:cs="Times New Roman"/>
                <w:bCs/>
                <w:kern w:val="0"/>
                <w:sz w:val="24"/>
                <w:szCs w:val="24"/>
                <w:lang w:val="en-US" w:eastAsia="zh-CN"/>
              </w:rPr>
            </w:pPr>
          </w:p>
        </w:tc>
      </w:tr>
      <w:bookmarkEnd w:id="16"/>
      <w:bookmarkEnd w:id="17"/>
      <w:bookmarkEnd w:id="18"/>
      <w:bookmarkEnd w:id="19"/>
      <w:bookmarkEnd w:id="20"/>
    </w:tbl>
    <w:p w14:paraId="738AC5C1">
      <w:pPr>
        <w:spacing w:line="360" w:lineRule="auto"/>
        <w:ind w:firstLine="480" w:firstLineChars="200"/>
        <w:rPr>
          <w:rFonts w:hint="default" w:ascii="Times New Roman"/>
          <w:color w:val="auto"/>
          <w:lang w:val="en-US" w:eastAsia="zh-CN"/>
        </w:rPr>
      </w:pPr>
      <w:r>
        <w:rPr>
          <w:rFonts w:hint="eastAsia" w:ascii="Times New Roman"/>
          <w:color w:val="auto"/>
          <w:lang w:val="en-US" w:eastAsia="zh-CN"/>
        </w:rPr>
        <w:t>质保期为交付使用之日起3年。</w:t>
      </w:r>
    </w:p>
    <w:p w14:paraId="0DF79DEF">
      <w:pPr>
        <w:numPr>
          <w:ilvl w:val="0"/>
          <w:numId w:val="6"/>
        </w:numPr>
        <w:spacing w:line="360" w:lineRule="auto"/>
        <w:ind w:firstLine="482" w:firstLineChars="200"/>
        <w:rPr>
          <w:rFonts w:hint="eastAsia" w:ascii="Times New Roman" w:cs="Times New Roman"/>
          <w:b/>
          <w:bCs/>
          <w:color w:val="auto"/>
          <w:lang w:val="en-US" w:eastAsia="zh-CN"/>
        </w:rPr>
      </w:pPr>
      <w:r>
        <w:rPr>
          <w:rFonts w:hint="eastAsia" w:ascii="Times New Roman" w:cs="Times New Roman"/>
          <w:b/>
          <w:bCs/>
          <w:color w:val="auto"/>
          <w:lang w:val="en-US" w:eastAsia="zh-CN"/>
        </w:rPr>
        <w:t>功能要求</w:t>
      </w:r>
    </w:p>
    <w:p w14:paraId="748546FC">
      <w:pPr>
        <w:spacing w:line="360" w:lineRule="auto"/>
        <w:ind w:firstLine="48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周密预防：系统漏洞扫描，补丁修复管理、终端基线检查，资产盘点，资产主动发现，轻补丁漏洞免疫；</w:t>
      </w:r>
    </w:p>
    <w:p w14:paraId="64BD0989">
      <w:pPr>
        <w:spacing w:line="360" w:lineRule="auto"/>
        <w:ind w:firstLine="48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全面防护：文件实时监控，勒索诱饵防护，勒索攻击对抗，无文件攻击防护，</w:t>
      </w:r>
      <w:r>
        <w:rPr>
          <w:rFonts w:hint="eastAsia" w:ascii="Times New Roman" w:hAnsi="Times New Roman" w:eastAsia="宋体" w:cs="Times New Roman"/>
          <w:lang w:val="en-US" w:eastAsia="zh-CN"/>
        </w:rPr>
        <w:t>RDP二次认证，可信进程防护，关键目录加固</w:t>
      </w:r>
      <w:r>
        <w:rPr>
          <w:rFonts w:hint="eastAsia" w:ascii="Times New Roman" w:cs="Times New Roman"/>
          <w:lang w:val="en-US" w:eastAsia="zh-CN"/>
        </w:rPr>
        <w:t>；</w:t>
      </w:r>
      <w:r>
        <w:rPr>
          <w:rFonts w:hint="eastAsia" w:ascii="Times New Roman" w:hAnsi="Times New Roman" w:eastAsia="宋体" w:cs="Times New Roman"/>
          <w:lang w:val="en-US" w:eastAsia="zh-CN"/>
        </w:rPr>
        <w:t>服务器端还应包括Webshell防护；</w:t>
      </w:r>
    </w:p>
    <w:p w14:paraId="164F18EA">
      <w:pPr>
        <w:spacing w:line="360" w:lineRule="auto"/>
        <w:ind w:firstLine="48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深度</w:t>
      </w:r>
      <w:r>
        <w:rPr>
          <w:rFonts w:hint="eastAsia" w:ascii="Times New Roman" w:hAnsi="Times New Roman" w:eastAsia="宋体" w:cs="Times New Roman"/>
          <w:lang w:val="en-US" w:eastAsia="zh-CN"/>
        </w:rPr>
        <w:t>检测</w:t>
      </w:r>
      <w:r>
        <w:rPr>
          <w:rFonts w:hint="default" w:ascii="Times New Roman" w:hAnsi="Times New Roman" w:eastAsia="宋体" w:cs="Times New Roman"/>
          <w:lang w:val="en-US" w:eastAsia="zh-CN"/>
        </w:rPr>
        <w:t>：终端行为数据采集</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（单品）高级威胁行为检测（IOA）</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（单品）攻击进程链可视化展示（单品）威胁狩猎</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内存马检测等；</w:t>
      </w:r>
    </w:p>
    <w:p w14:paraId="40973F72">
      <w:pPr>
        <w:spacing w:line="360" w:lineRule="auto"/>
        <w:ind w:firstLine="48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w:t>
      </w:r>
      <w:r>
        <w:rPr>
          <w:rFonts w:hint="default" w:ascii="Times New Roman" w:hAnsi="Times New Roman" w:eastAsia="宋体" w:cs="Times New Roman"/>
          <w:lang w:val="en-US" w:eastAsia="zh-CN"/>
        </w:rPr>
        <w:t>灵敏检测：恶意文件检测，暴力破解检测，网端联动杀毒；</w:t>
      </w:r>
    </w:p>
    <w:p w14:paraId="775C81D3">
      <w:pPr>
        <w:spacing w:line="360" w:lineRule="auto"/>
        <w:ind w:firstLine="48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快速响应：文件急速隔离，终端一键隔离，感染文件修复，病毒处置响应，网端深度联动</w:t>
      </w:r>
      <w:r>
        <w:rPr>
          <w:rFonts w:hint="eastAsia" w:ascii="Times New Roman" w:cs="Times New Roman"/>
          <w:lang w:val="en-US" w:eastAsia="zh-CN"/>
        </w:rPr>
        <w:t>（</w:t>
      </w:r>
      <w:r>
        <w:rPr>
          <w:rFonts w:hint="default" w:ascii="Times New Roman" w:hAnsi="Times New Roman" w:eastAsia="宋体" w:cs="Times New Roman"/>
          <w:lang w:val="en-US" w:eastAsia="zh-CN"/>
        </w:rPr>
        <w:t>与SIP、AC、AF、XDR</w:t>
      </w:r>
      <w:r>
        <w:rPr>
          <w:rFonts w:hint="eastAsia" w:ascii="Times New Roman" w:cs="Times New Roman"/>
          <w:lang w:val="en-US" w:eastAsia="zh-CN"/>
        </w:rPr>
        <w:t>），</w:t>
      </w:r>
      <w:r>
        <w:rPr>
          <w:rFonts w:hint="default" w:ascii="Times New Roman" w:hAnsi="Times New Roman" w:eastAsia="宋体" w:cs="Times New Roman"/>
          <w:lang w:val="en-US" w:eastAsia="zh-CN"/>
        </w:rPr>
        <w:t>全网威胁定位；</w:t>
      </w:r>
    </w:p>
    <w:p w14:paraId="14F8E163">
      <w:pPr>
        <w:spacing w:line="360" w:lineRule="auto"/>
        <w:ind w:firstLine="480" w:firstLineChars="200"/>
        <w:rPr>
          <w:rFonts w:hint="default" w:ascii="Times New Roman" w:eastAsia="仿宋_GB2312" w:cs="Times New Roman"/>
          <w:bCs/>
          <w:kern w:val="0"/>
          <w:sz w:val="32"/>
          <w:szCs w:val="32"/>
          <w:lang w:val="en-US" w:eastAsia="zh-CN"/>
        </w:rPr>
      </w:pPr>
      <w:r>
        <w:rPr>
          <w:rFonts w:hint="eastAsia" w:ascii="Times New Roman" w:hAnsi="Times New Roman" w:eastAsia="宋体" w:cs="Times New Roman"/>
          <w:lang w:val="en-US" w:eastAsia="zh-CN"/>
        </w:rPr>
        <w:t>6.</w:t>
      </w:r>
      <w:r>
        <w:rPr>
          <w:rFonts w:hint="default" w:ascii="Times New Roman" w:hAnsi="Times New Roman" w:eastAsia="宋体" w:cs="Times New Roman"/>
          <w:lang w:val="en-US" w:eastAsia="zh-CN"/>
        </w:rPr>
        <w:t>简便运维：外设管控，违规外联检测；PC终端还应包括远程</w:t>
      </w:r>
      <w:r>
        <w:rPr>
          <w:rFonts w:hint="eastAsia" w:ascii="Times New Roman" w:hAnsi="Times New Roman" w:eastAsia="宋体" w:cs="Times New Roman"/>
          <w:lang w:val="en-US" w:eastAsia="zh-CN"/>
        </w:rPr>
        <w:t>协助功能</w:t>
      </w:r>
      <w:r>
        <w:rPr>
          <w:rFonts w:hint="default" w:ascii="Times New Roman" w:hAnsi="Times New Roman" w:eastAsia="宋体" w:cs="Times New Roman"/>
          <w:lang w:val="en-US" w:eastAsia="zh-CN"/>
        </w:rPr>
        <w:t>，广告弹窗拦截。</w:t>
      </w:r>
    </w:p>
    <w:p w14:paraId="6A5F076F">
      <w:pPr>
        <w:spacing w:line="360" w:lineRule="auto"/>
        <w:ind w:firstLine="482" w:firstLineChars="200"/>
        <w:rPr>
          <w:rFonts w:hint="eastAsia" w:ascii="Times New Roman" w:hAnsi="Times New Roman" w:eastAsia="宋体" w:cs="Times New Roman"/>
          <w:b/>
          <w:bCs/>
          <w:color w:val="auto"/>
        </w:rPr>
      </w:pPr>
      <w:r>
        <w:rPr>
          <w:rFonts w:hint="eastAsia" w:ascii="Times New Roman" w:cs="Times New Roman"/>
          <w:b/>
          <w:bCs/>
          <w:color w:val="auto"/>
          <w:lang w:val="en-US" w:eastAsia="zh-CN"/>
        </w:rPr>
        <w:t>（三）服务</w:t>
      </w:r>
      <w:r>
        <w:rPr>
          <w:rFonts w:hint="eastAsia" w:ascii="Times New Roman" w:hAnsi="Times New Roman" w:cs="Times New Roman"/>
          <w:b/>
          <w:bCs/>
          <w:color w:val="auto"/>
          <w:lang w:val="en-US" w:eastAsia="zh-CN"/>
        </w:rPr>
        <w:t>要求</w:t>
      </w:r>
      <w:bookmarkEnd w:id="21"/>
      <w:bookmarkEnd w:id="22"/>
      <w:bookmarkEnd w:id="23"/>
      <w:bookmarkEnd w:id="24"/>
    </w:p>
    <w:p w14:paraId="505DDAFB">
      <w:pPr>
        <w:widowControl/>
        <w:numPr>
          <w:ilvl w:val="-1"/>
          <w:numId w:val="0"/>
        </w:numPr>
        <w:spacing w:beforeLines="-2147483648" w:line="360" w:lineRule="auto"/>
        <w:ind w:firstLine="480" w:firstLineChars="200"/>
        <w:jc w:val="left"/>
        <w:rPr>
          <w:rFonts w:hint="eastAsia" w:ascii="Times New Roman" w:hAnsi="Times New Roman" w:eastAsia="宋体" w:cs="Times New Roman"/>
          <w:color w:val="auto"/>
          <w:sz w:val="24"/>
          <w:szCs w:val="24"/>
          <w:u w:val="none"/>
          <w:lang w:val="en-US" w:eastAsia="zh-CN" w:bidi="ar"/>
        </w:rPr>
      </w:pPr>
      <w:r>
        <w:rPr>
          <w:rFonts w:hint="eastAsia" w:ascii="Times New Roman" w:cs="Times New Roman"/>
          <w:color w:val="auto"/>
          <w:sz w:val="24"/>
          <w:szCs w:val="24"/>
          <w:u w:val="none"/>
          <w:lang w:val="en-US" w:eastAsia="zh-CN" w:bidi="ar"/>
        </w:rPr>
        <w:t>1.支持私有化部署，服务端部署在本地，并提供部署实施服务。</w:t>
      </w:r>
    </w:p>
    <w:p w14:paraId="49BD99B4">
      <w:pPr>
        <w:widowControl/>
        <w:numPr>
          <w:ilvl w:val="-1"/>
          <w:numId w:val="0"/>
        </w:numPr>
        <w:spacing w:beforeLines="-2147483648" w:line="360" w:lineRule="auto"/>
        <w:ind w:firstLine="480" w:firstLineChars="200"/>
        <w:jc w:val="left"/>
        <w:rPr>
          <w:rFonts w:hint="default" w:ascii="Times New Roman" w:cs="Times New Roman"/>
          <w:color w:val="auto"/>
          <w:sz w:val="24"/>
          <w:szCs w:val="24"/>
          <w:u w:val="none"/>
          <w:lang w:val="en-US" w:eastAsia="zh-CN" w:bidi="ar"/>
        </w:rPr>
      </w:pPr>
      <w:r>
        <w:rPr>
          <w:rFonts w:hint="eastAsia" w:ascii="Times New Roman" w:cs="Times New Roman"/>
          <w:color w:val="auto"/>
          <w:sz w:val="24"/>
          <w:szCs w:val="24"/>
          <w:u w:val="none"/>
          <w:lang w:val="en-US" w:eastAsia="zh-CN" w:bidi="ar"/>
        </w:rPr>
        <w:t>2.服务端需全面支持主流服务器操作系统，包括但不限于Windows Server系列、各类Linux发行版（如Ubuntu、CentOS等）、国产操作系统（如统信、麒麟等）。</w:t>
      </w:r>
    </w:p>
    <w:p w14:paraId="4E368ECC">
      <w:pPr>
        <w:widowControl/>
        <w:numPr>
          <w:ilvl w:val="-1"/>
          <w:numId w:val="0"/>
        </w:numPr>
        <w:spacing w:beforeLines="-2147483648" w:line="360" w:lineRule="auto"/>
        <w:ind w:firstLine="480" w:firstLineChars="200"/>
        <w:jc w:val="left"/>
        <w:rPr>
          <w:rFonts w:hint="eastAsia" w:ascii="Times New Roman" w:cs="Times New Roman"/>
          <w:color w:val="auto"/>
          <w:sz w:val="24"/>
          <w:szCs w:val="24"/>
          <w:u w:val="none"/>
          <w:lang w:val="en-US" w:eastAsia="zh-CN" w:bidi="ar"/>
        </w:rPr>
      </w:pPr>
      <w:r>
        <w:rPr>
          <w:rFonts w:hint="eastAsia" w:ascii="Times New Roman" w:cs="Times New Roman"/>
          <w:color w:val="auto"/>
          <w:sz w:val="24"/>
          <w:szCs w:val="24"/>
          <w:u w:val="none"/>
          <w:lang w:val="en-US" w:eastAsia="zh-CN" w:bidi="ar"/>
        </w:rPr>
        <w:t>3.客户端需全面支持主流操作系统，包括Windows操作系统（包括但不限于Windows 7、Windows 8、Windows 10、Windows 11、Windows Server系列等）、Linux操作系统、国产操作系统（如方德操作系统、麒麟操作系统、统信操作系统等）。</w:t>
      </w:r>
      <w:bookmarkEnd w:id="25"/>
    </w:p>
    <w:p w14:paraId="6CFC3ECF">
      <w:pPr>
        <w:widowControl/>
        <w:numPr>
          <w:ilvl w:val="-1"/>
          <w:numId w:val="0"/>
        </w:numPr>
        <w:spacing w:beforeLines="-2147483648" w:line="360" w:lineRule="auto"/>
        <w:ind w:firstLine="480" w:firstLineChars="200"/>
        <w:jc w:val="left"/>
        <w:rPr>
          <w:rFonts w:hint="eastAsia" w:ascii="Times New Roman" w:cs="Times New Roman"/>
          <w:color w:val="auto"/>
          <w:sz w:val="24"/>
          <w:szCs w:val="24"/>
          <w:u w:val="none"/>
          <w:lang w:val="en-US" w:eastAsia="zh-CN" w:bidi="ar"/>
        </w:rPr>
      </w:pPr>
      <w:r>
        <w:rPr>
          <w:rFonts w:hint="eastAsia" w:ascii="Times New Roman" w:cs="Times New Roman"/>
          <w:color w:val="auto"/>
          <w:sz w:val="24"/>
          <w:szCs w:val="24"/>
          <w:u w:val="none"/>
          <w:lang w:val="en-US" w:eastAsia="zh-CN" w:bidi="ar"/>
        </w:rPr>
        <w:t>4.Windows版授权在合同期内可免费转换为国产操作系统版的授权。</w:t>
      </w:r>
    </w:p>
    <w:p w14:paraId="558067BC">
      <w:pPr>
        <w:widowControl/>
        <w:numPr>
          <w:ilvl w:val="-1"/>
          <w:numId w:val="0"/>
        </w:numPr>
        <w:spacing w:beforeLines="-2147483648" w:line="360" w:lineRule="auto"/>
        <w:ind w:firstLine="480" w:firstLineChars="200"/>
        <w:jc w:val="left"/>
        <w:rPr>
          <w:rFonts w:hint="default" w:ascii="Times New Roman" w:cs="Times New Roman"/>
          <w:color w:val="auto"/>
          <w:sz w:val="24"/>
          <w:szCs w:val="24"/>
          <w:u w:val="none"/>
          <w:lang w:val="en-US" w:eastAsia="zh-CN" w:bidi="ar"/>
        </w:rPr>
      </w:pPr>
      <w:r>
        <w:rPr>
          <w:rFonts w:hint="eastAsia" w:ascii="Times New Roman" w:cs="Times New Roman"/>
          <w:color w:val="auto"/>
          <w:sz w:val="24"/>
          <w:szCs w:val="24"/>
          <w:u w:val="none"/>
          <w:lang w:val="en-US" w:eastAsia="zh-CN" w:bidi="ar"/>
        </w:rPr>
        <w:t>5.</w:t>
      </w:r>
      <w:r>
        <w:rPr>
          <w:rFonts w:hint="eastAsia" w:ascii="Times New Roman"/>
          <w:color w:val="auto"/>
          <w:lang w:val="en-US" w:eastAsia="zh-CN"/>
        </w:rPr>
        <w:t>甲方需要新增许可的，价格不得高于本次采购所约定的单个新增授权的价格。</w:t>
      </w:r>
    </w:p>
    <w:p w14:paraId="71EA0D33">
      <w:pPr>
        <w:spacing w:line="360" w:lineRule="auto"/>
        <w:ind w:firstLine="482" w:firstLineChars="200"/>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w:t>
      </w:r>
      <w:r>
        <w:rPr>
          <w:rFonts w:hint="eastAsia" w:ascii="Times New Roman" w:cs="Times New Roman"/>
          <w:b/>
          <w:bCs/>
          <w:color w:val="auto"/>
          <w:lang w:val="en-US" w:eastAsia="zh-CN"/>
        </w:rPr>
        <w:t>四</w:t>
      </w:r>
      <w:r>
        <w:rPr>
          <w:rFonts w:hint="eastAsia" w:ascii="Times New Roman" w:hAnsi="Times New Roman" w:eastAsia="宋体" w:cs="Times New Roman"/>
          <w:b/>
          <w:bCs/>
          <w:color w:val="auto"/>
          <w:lang w:val="en-US" w:eastAsia="zh-CN"/>
        </w:rPr>
        <w:t>）交付要求</w:t>
      </w:r>
    </w:p>
    <w:p w14:paraId="03F263F4">
      <w:pPr>
        <w:widowControl/>
        <w:numPr>
          <w:ilvl w:val="-1"/>
          <w:numId w:val="0"/>
        </w:numPr>
        <w:autoSpaceDE/>
        <w:autoSpaceDN/>
        <w:adjustRightInd/>
        <w:spacing w:beforeLines="-2147483648" w:line="360" w:lineRule="auto"/>
        <w:ind w:firstLine="480" w:firstLineChars="200"/>
        <w:jc w:val="left"/>
        <w:rPr>
          <w:rFonts w:hint="eastAsia" w:ascii="Times New Roman" w:hAnsi="Times New Roman" w:eastAsia="宋体" w:cs="Times New Roman"/>
          <w:color w:val="auto"/>
          <w:sz w:val="24"/>
          <w:szCs w:val="24"/>
          <w:u w:val="none"/>
          <w:lang w:bidi="ar"/>
        </w:rPr>
      </w:pPr>
      <w:r>
        <w:rPr>
          <w:rFonts w:hint="eastAsia" w:ascii="Times New Roman" w:cs="Times New Roman"/>
          <w:color w:val="auto"/>
          <w:sz w:val="24"/>
          <w:szCs w:val="24"/>
          <w:u w:val="none"/>
          <w:lang w:val="en-US" w:eastAsia="zh-CN" w:bidi="ar"/>
        </w:rPr>
        <w:t>1.</w:t>
      </w:r>
      <w:r>
        <w:rPr>
          <w:rFonts w:hint="eastAsia" w:ascii="Times New Roman" w:hAnsi="Times New Roman" w:eastAsia="宋体" w:cs="Times New Roman"/>
          <w:color w:val="auto"/>
          <w:sz w:val="24"/>
          <w:szCs w:val="24"/>
          <w:u w:val="none"/>
          <w:lang w:bidi="ar"/>
        </w:rPr>
        <w:t>自合同签订之日起</w:t>
      </w:r>
      <w:r>
        <w:rPr>
          <w:rFonts w:hint="eastAsia" w:ascii="Times New Roman" w:hAnsi="Times New Roman" w:eastAsia="宋体" w:cs="Times New Roman"/>
          <w:color w:val="auto"/>
          <w:sz w:val="24"/>
          <w:szCs w:val="24"/>
          <w:u w:val="none"/>
          <w:lang w:val="en-US" w:eastAsia="zh-CN" w:bidi="ar"/>
        </w:rPr>
        <w:t>14个工作日</w:t>
      </w:r>
      <w:r>
        <w:rPr>
          <w:rFonts w:hint="eastAsia" w:ascii="Times New Roman" w:hAnsi="Times New Roman" w:eastAsia="宋体" w:cs="Times New Roman"/>
          <w:color w:val="auto"/>
          <w:sz w:val="24"/>
          <w:szCs w:val="24"/>
          <w:u w:val="none"/>
          <w:lang w:bidi="ar"/>
        </w:rPr>
        <w:t>内</w:t>
      </w:r>
      <w:r>
        <w:rPr>
          <w:rFonts w:hint="eastAsia" w:ascii="Times New Roman" w:hAnsi="Times New Roman" w:eastAsia="宋体" w:cs="Times New Roman"/>
          <w:color w:val="auto"/>
          <w:sz w:val="24"/>
          <w:szCs w:val="24"/>
          <w:u w:val="none"/>
          <w:lang w:val="en-US" w:eastAsia="zh-CN" w:bidi="ar"/>
        </w:rPr>
        <w:t>完成软件</w:t>
      </w:r>
      <w:r>
        <w:rPr>
          <w:rFonts w:hint="eastAsia" w:ascii="Times New Roman" w:cs="Times New Roman"/>
          <w:color w:val="auto"/>
          <w:sz w:val="24"/>
          <w:szCs w:val="24"/>
          <w:u w:val="none"/>
          <w:lang w:val="en-US" w:eastAsia="zh-CN" w:bidi="ar"/>
        </w:rPr>
        <w:t>交付使用</w:t>
      </w:r>
      <w:r>
        <w:rPr>
          <w:rFonts w:hint="eastAsia" w:ascii="Times New Roman" w:hAnsi="Times New Roman" w:eastAsia="宋体" w:cs="Times New Roman"/>
          <w:color w:val="auto"/>
          <w:sz w:val="24"/>
          <w:szCs w:val="24"/>
          <w:u w:val="none"/>
          <w:lang w:eastAsia="zh-CN" w:bidi="ar"/>
        </w:rPr>
        <w:t>。</w:t>
      </w:r>
    </w:p>
    <w:p w14:paraId="711A7C14">
      <w:pPr>
        <w:widowControl/>
        <w:numPr>
          <w:ilvl w:val="0"/>
          <w:numId w:val="0"/>
        </w:numPr>
        <w:autoSpaceDE/>
        <w:autoSpaceDN/>
        <w:adjustRightInd/>
        <w:spacing w:line="360" w:lineRule="auto"/>
        <w:ind w:firstLine="480" w:firstLineChars="200"/>
        <w:rPr>
          <w:rFonts w:hint="eastAsia" w:ascii="Times New Roman" w:hAnsi="Times New Roman" w:eastAsia="宋体" w:cs="Times New Roman"/>
          <w:color w:val="auto"/>
          <w:sz w:val="24"/>
          <w:szCs w:val="24"/>
          <w:u w:val="none"/>
          <w:lang w:bidi="ar"/>
        </w:rPr>
      </w:pPr>
      <w:r>
        <w:rPr>
          <w:rFonts w:hint="eastAsia" w:ascii="Times New Roman" w:cs="Times New Roman"/>
          <w:color w:val="auto"/>
          <w:sz w:val="24"/>
          <w:szCs w:val="24"/>
          <w:u w:val="none"/>
          <w:lang w:val="en-US" w:eastAsia="zh-CN" w:bidi="ar"/>
        </w:rPr>
        <w:t>2.</w:t>
      </w:r>
      <w:r>
        <w:rPr>
          <w:rFonts w:hint="eastAsia" w:ascii="Times New Roman" w:hAnsi="Times New Roman" w:eastAsia="宋体" w:cs="Times New Roman"/>
          <w:color w:val="auto"/>
          <w:sz w:val="24"/>
          <w:szCs w:val="24"/>
          <w:u w:val="none"/>
          <w:lang w:bidi="ar"/>
        </w:rPr>
        <w:t>提供</w:t>
      </w:r>
      <w:r>
        <w:rPr>
          <w:rFonts w:hint="eastAsia" w:ascii="Times New Roman" w:cs="Times New Roman"/>
          <w:color w:val="auto"/>
          <w:sz w:val="24"/>
          <w:szCs w:val="24"/>
          <w:u w:val="none"/>
          <w:lang w:val="en-US" w:eastAsia="zh-CN" w:bidi="ar"/>
        </w:rPr>
        <w:t>质保</w:t>
      </w:r>
      <w:r>
        <w:rPr>
          <w:rFonts w:hint="eastAsia" w:ascii="Times New Roman" w:hAnsi="Times New Roman" w:eastAsia="宋体" w:cs="Times New Roman"/>
          <w:color w:val="auto"/>
          <w:sz w:val="24"/>
          <w:szCs w:val="24"/>
          <w:u w:val="none"/>
          <w:lang w:bidi="ar"/>
        </w:rPr>
        <w:t>支持团队的联系方式，确保甲方在遇到问题时</w:t>
      </w:r>
      <w:r>
        <w:rPr>
          <w:rFonts w:hint="eastAsia" w:ascii="Times New Roman" w:cs="Times New Roman"/>
          <w:color w:val="auto"/>
          <w:sz w:val="24"/>
          <w:szCs w:val="24"/>
          <w:u w:val="none"/>
          <w:lang w:val="en-US" w:eastAsia="zh-CN" w:bidi="ar"/>
        </w:rPr>
        <w:t>24小时内</w:t>
      </w:r>
      <w:r>
        <w:rPr>
          <w:rFonts w:hint="eastAsia" w:ascii="Times New Roman" w:hAnsi="Times New Roman" w:eastAsia="宋体" w:cs="Times New Roman"/>
          <w:color w:val="auto"/>
          <w:sz w:val="24"/>
          <w:szCs w:val="24"/>
          <w:u w:val="none"/>
          <w:lang w:bidi="ar"/>
        </w:rPr>
        <w:t>获得帮助。</w:t>
      </w:r>
    </w:p>
    <w:p w14:paraId="70E70B7E">
      <w:pPr>
        <w:autoSpaceDE/>
        <w:autoSpaceDN/>
        <w:adjustRightInd/>
        <w:spacing w:line="360" w:lineRule="auto"/>
        <w:jc w:val="both"/>
        <w:outlineLvl w:val="1"/>
        <w:rPr>
          <w:rFonts w:hint="eastAsia" w:ascii="Times New Roman"/>
          <w:b/>
          <w:color w:val="auto"/>
        </w:rPr>
      </w:pPr>
      <w:bookmarkStart w:id="26" w:name="_Toc27495483"/>
    </w:p>
    <w:p w14:paraId="7F505DBD">
      <w:pPr>
        <w:autoSpaceDE/>
        <w:autoSpaceDN/>
        <w:adjustRightInd/>
        <w:spacing w:line="360" w:lineRule="auto"/>
        <w:jc w:val="both"/>
        <w:outlineLvl w:val="1"/>
        <w:rPr>
          <w:rFonts w:ascii="Times New Roman"/>
          <w:b/>
          <w:color w:val="auto"/>
        </w:rPr>
      </w:pPr>
      <w:r>
        <w:rPr>
          <w:rFonts w:hint="eastAsia" w:ascii="Times New Roman"/>
          <w:b/>
          <w:color w:val="auto"/>
        </w:rPr>
        <w:t>第</w:t>
      </w:r>
      <w:r>
        <w:rPr>
          <w:rFonts w:hint="eastAsia" w:ascii="Times New Roman"/>
          <w:b/>
          <w:color w:val="auto"/>
          <w:lang w:val="en-US" w:eastAsia="zh-CN"/>
        </w:rPr>
        <w:t>二</w:t>
      </w:r>
      <w:r>
        <w:rPr>
          <w:rFonts w:hint="eastAsia" w:ascii="Times New Roman"/>
          <w:b/>
          <w:color w:val="auto"/>
        </w:rPr>
        <w:t>条 项目费用和付款方式</w:t>
      </w:r>
      <w:bookmarkEnd w:id="26"/>
    </w:p>
    <w:p w14:paraId="6DF81623">
      <w:pPr>
        <w:pStyle w:val="42"/>
        <w:spacing w:line="360" w:lineRule="auto"/>
        <w:ind w:firstLine="480"/>
        <w:rPr>
          <w:rFonts w:ascii="Times New Roman"/>
          <w:color w:val="auto"/>
        </w:rPr>
      </w:pPr>
      <w:r>
        <w:rPr>
          <w:rFonts w:hint="eastAsia" w:ascii="Times New Roman"/>
          <w:color w:val="auto"/>
          <w:lang w:eastAsia="zh-CN"/>
        </w:rPr>
        <w:t>1.</w:t>
      </w:r>
      <w:r>
        <w:rPr>
          <w:rFonts w:hint="eastAsia" w:ascii="Times New Roman"/>
          <w:color w:val="auto"/>
          <w:highlight w:val="none"/>
        </w:rPr>
        <w:t>本项目合同</w:t>
      </w:r>
      <w:r>
        <w:rPr>
          <w:rFonts w:hint="eastAsia" w:ascii="Times New Roman"/>
          <w:color w:val="auto"/>
          <w:highlight w:val="none"/>
          <w:lang w:val="en-US" w:eastAsia="zh-CN"/>
        </w:rPr>
        <w:t>总</w:t>
      </w:r>
      <w:r>
        <w:rPr>
          <w:rFonts w:hint="eastAsia" w:ascii="Times New Roman"/>
          <w:color w:val="auto"/>
          <w:highlight w:val="none"/>
        </w:rPr>
        <w:t>价（即销售额，不含乙方销项税）为：</w:t>
      </w:r>
      <w:r>
        <w:rPr>
          <w:rFonts w:hint="eastAsia" w:ascii="Times New Roman"/>
          <w:color w:val="auto"/>
          <w:highlight w:val="none"/>
          <w:lang w:val="en-US" w:eastAsia="zh-CN"/>
        </w:rPr>
        <w:t>________</w:t>
      </w:r>
      <w:r>
        <w:rPr>
          <w:rFonts w:hint="eastAsia" w:ascii="Times New Roman"/>
          <w:color w:val="auto"/>
          <w:highlight w:val="none"/>
        </w:rPr>
        <w:t>元（大写：人民币</w:t>
      </w:r>
      <w:r>
        <w:rPr>
          <w:rFonts w:hint="eastAsia" w:ascii="Times New Roman"/>
          <w:color w:val="auto"/>
          <w:highlight w:val="none"/>
          <w:lang w:val="en-US" w:eastAsia="zh-CN"/>
        </w:rPr>
        <w:t>________</w:t>
      </w:r>
      <w:r>
        <w:rPr>
          <w:rFonts w:hint="eastAsia" w:ascii="Times New Roman"/>
          <w:color w:val="auto"/>
          <w:highlight w:val="none"/>
        </w:rPr>
        <w:t>）</w:t>
      </w:r>
      <w:r>
        <w:rPr>
          <w:rFonts w:hint="eastAsia" w:ascii="Times New Roman"/>
          <w:color w:val="auto"/>
        </w:rPr>
        <w:t>。以上合同价（即销售额，不含乙方销项税额）包括但不限于合理利润、安装调试费，第三方商业软件费、培训费、电子设备费、人工费、驻点办公食宿及水电等费用、管理费、交通费、通讯费、加班费以及供应商销项税额以外的税费等服务范围内所有应预见和不可预见费用及完成服务内容所需的一切费用。</w:t>
      </w:r>
      <w:r>
        <w:rPr>
          <w:rFonts w:hint="eastAsia" w:ascii="Times New Roman"/>
          <w:color w:val="auto"/>
          <w:lang w:val="en-US" w:eastAsia="zh-CN"/>
        </w:rPr>
        <w:t>乙方</w:t>
      </w:r>
      <w:r>
        <w:rPr>
          <w:rFonts w:hint="eastAsia" w:ascii="Times New Roman"/>
          <w:color w:val="auto"/>
        </w:rPr>
        <w:t>须了解项目情况、各类费用以及风险情况，合同签订后，不再另行增加任何费用。</w:t>
      </w:r>
    </w:p>
    <w:p w14:paraId="4DB241C4">
      <w:pPr>
        <w:pStyle w:val="42"/>
        <w:spacing w:line="360" w:lineRule="auto"/>
        <w:ind w:firstLine="480"/>
        <w:rPr>
          <w:rFonts w:ascii="Times New Roman"/>
          <w:color w:val="auto"/>
        </w:rPr>
      </w:pPr>
      <w:r>
        <w:rPr>
          <w:rFonts w:hint="eastAsia" w:ascii="Times New Roman"/>
          <w:color w:val="auto"/>
          <w:lang w:eastAsia="zh-CN"/>
        </w:rPr>
        <w:t>2.</w:t>
      </w:r>
      <w:r>
        <w:rPr>
          <w:rFonts w:hint="eastAsia" w:ascii="Times New Roman"/>
          <w:color w:val="auto"/>
        </w:rPr>
        <w:t>依法计得并根据本合同约定确定的销项税额由甲方承担。根据《中华人民共和国增值税暂行条例》（国务院令第691号修订版）及当前税务部门的相关规定，</w:t>
      </w:r>
      <w:r>
        <w:rPr>
          <w:rFonts w:hint="eastAsia" w:ascii="Times New Roman"/>
          <w:color w:val="auto"/>
          <w:lang w:eastAsia="zh-CN"/>
        </w:rPr>
        <w:t>本合同</w:t>
      </w:r>
      <w:r>
        <w:rPr>
          <w:rFonts w:hint="eastAsia" w:ascii="Times New Roman"/>
          <w:color w:val="auto"/>
        </w:rPr>
        <w:t>的增值税税率为</w:t>
      </w:r>
      <w:r>
        <w:rPr>
          <w:rFonts w:hint="eastAsia" w:ascii="Times New Roman"/>
          <w:color w:val="auto"/>
          <w:u w:val="single"/>
          <w:lang w:val="en-US" w:eastAsia="zh-CN"/>
        </w:rPr>
        <w:t xml:space="preserve">  </w:t>
      </w:r>
      <w:r>
        <w:rPr>
          <w:rFonts w:hint="eastAsia" w:ascii="Times New Roman"/>
          <w:color w:val="auto"/>
          <w:u w:val="single"/>
        </w:rPr>
        <w:t>%</w:t>
      </w:r>
      <w:r>
        <w:rPr>
          <w:rFonts w:hint="eastAsia" w:ascii="Times New Roman"/>
          <w:color w:val="auto"/>
        </w:rPr>
        <w:t>，对应的销项税额为</w:t>
      </w:r>
      <w:r>
        <w:rPr>
          <w:rFonts w:ascii="Times New Roman"/>
          <w:color w:val="auto"/>
          <w:u w:val="single"/>
        </w:rPr>
        <w:t>¥</w:t>
      </w:r>
      <w:r>
        <w:rPr>
          <w:rFonts w:hint="eastAsia" w:ascii="Times New Roman"/>
          <w:color w:val="auto"/>
          <w:highlight w:val="none"/>
          <w:lang w:val="en-US" w:eastAsia="zh-CN"/>
        </w:rPr>
        <w:t>________</w:t>
      </w:r>
      <w:r>
        <w:rPr>
          <w:rFonts w:hint="eastAsia" w:ascii="Times New Roman"/>
          <w:color w:val="auto"/>
          <w:u w:val="single"/>
        </w:rPr>
        <w:t>元</w:t>
      </w:r>
      <w:r>
        <w:rPr>
          <w:rFonts w:hint="eastAsia" w:ascii="Times New Roman"/>
          <w:color w:val="auto"/>
        </w:rPr>
        <w:t>（大写人民币</w:t>
      </w:r>
      <w:r>
        <w:rPr>
          <w:rFonts w:hint="eastAsia" w:ascii="Times New Roman"/>
          <w:color w:val="auto"/>
          <w:highlight w:val="none"/>
          <w:lang w:val="en-US" w:eastAsia="zh-CN"/>
        </w:rPr>
        <w:t>_____________</w:t>
      </w:r>
      <w:r>
        <w:rPr>
          <w:rFonts w:hint="eastAsia" w:ascii="Times New Roman"/>
          <w:color w:val="auto"/>
        </w:rPr>
        <w:t>）。在本合同履行过程中，税收政策变动导致增值税税率调整，依法应调整销项税额的，依法调整；但因乙方未按合同约定提供服务，未根据合同约定提供合法、完整的请款资料，服务验收不合格导致的返工，项目验收合格前的非正常损耗等原因导致销项税额增加的，相应损失由乙方承担。</w:t>
      </w:r>
    </w:p>
    <w:p w14:paraId="2635B751">
      <w:pPr>
        <w:pStyle w:val="42"/>
        <w:spacing w:line="360" w:lineRule="auto"/>
        <w:ind w:firstLine="480"/>
        <w:rPr>
          <w:rFonts w:ascii="Times New Roman"/>
          <w:color w:val="auto"/>
        </w:rPr>
      </w:pPr>
      <w:r>
        <w:rPr>
          <w:rFonts w:hint="eastAsia" w:ascii="Times New Roman"/>
          <w:color w:val="auto"/>
        </w:rPr>
        <w:t>因乙方未按法定税率计算税额或未根据本合同约定出具对应税额的增值税专用发票等原因导致甲方多支付税额的，乙方必须退还甲方，给甲方造成损失的，乙方须向甲方赔偿相应损失。</w:t>
      </w:r>
    </w:p>
    <w:p w14:paraId="229DB71C">
      <w:pPr>
        <w:pStyle w:val="42"/>
        <w:spacing w:line="360" w:lineRule="auto"/>
        <w:ind w:firstLine="480"/>
        <w:rPr>
          <w:rFonts w:ascii="Times New Roman"/>
          <w:color w:val="auto"/>
        </w:rPr>
      </w:pPr>
      <w:r>
        <w:rPr>
          <w:rFonts w:hint="eastAsia" w:ascii="Times New Roman"/>
          <w:color w:val="auto"/>
          <w:lang w:eastAsia="zh-CN"/>
        </w:rPr>
        <w:t>3.</w:t>
      </w:r>
      <w:r>
        <w:rPr>
          <w:rFonts w:hint="eastAsia" w:ascii="Times New Roman"/>
          <w:color w:val="auto"/>
        </w:rPr>
        <w:t>合同价税合计为</w:t>
      </w:r>
      <w:r>
        <w:rPr>
          <w:rFonts w:ascii="Times New Roman"/>
          <w:color w:val="auto"/>
          <w:u w:val="single"/>
        </w:rPr>
        <w:t>¥</w:t>
      </w:r>
      <w:r>
        <w:rPr>
          <w:rFonts w:hint="eastAsia" w:ascii="Times New Roman"/>
          <w:color w:val="auto"/>
          <w:u w:val="single"/>
          <w:lang w:val="en-US" w:eastAsia="zh-CN"/>
        </w:rPr>
        <w:t xml:space="preserve">       </w:t>
      </w:r>
      <w:r>
        <w:rPr>
          <w:rFonts w:hint="eastAsia" w:ascii="Times New Roman"/>
          <w:color w:val="auto"/>
          <w:u w:val="single"/>
        </w:rPr>
        <w:t>元</w:t>
      </w:r>
      <w:r>
        <w:rPr>
          <w:rFonts w:hint="eastAsia" w:ascii="Times New Roman"/>
          <w:color w:val="auto"/>
        </w:rPr>
        <w:t>（大写人民币</w:t>
      </w:r>
      <w:r>
        <w:rPr>
          <w:rFonts w:hint="eastAsia" w:ascii="Times New Roman"/>
          <w:color w:val="auto"/>
          <w:highlight w:val="none"/>
          <w:lang w:val="en-US" w:eastAsia="zh-CN"/>
        </w:rPr>
        <w:t>________________________</w:t>
      </w:r>
      <w:r>
        <w:rPr>
          <w:rFonts w:hint="eastAsia" w:ascii="Times New Roman"/>
          <w:color w:val="auto"/>
        </w:rPr>
        <w:t>），合同履行期间根据本条第2项规定调整销项税额的，结算合同价税合计对应调整。</w:t>
      </w:r>
    </w:p>
    <w:p w14:paraId="7E2EB3AE">
      <w:pPr>
        <w:spacing w:line="360" w:lineRule="auto"/>
        <w:ind w:firstLine="480" w:firstLineChars="200"/>
        <w:rPr>
          <w:rFonts w:hint="eastAsia" w:ascii="Times New Roman"/>
          <w:color w:val="auto"/>
        </w:rPr>
      </w:pPr>
      <w:r>
        <w:rPr>
          <w:rFonts w:hint="eastAsia" w:ascii="Times New Roman"/>
          <w:color w:val="auto"/>
          <w:lang w:eastAsia="zh-CN"/>
        </w:rPr>
        <w:t>4.</w:t>
      </w:r>
      <w:r>
        <w:rPr>
          <w:rFonts w:hint="eastAsia" w:ascii="Times New Roman"/>
          <w:color w:val="auto"/>
        </w:rPr>
        <w:t>合同</w:t>
      </w:r>
      <w:r>
        <w:rPr>
          <w:rFonts w:hint="eastAsia" w:ascii="Times New Roman"/>
          <w:color w:val="auto"/>
          <w:lang w:val="en-US" w:eastAsia="zh-CN"/>
        </w:rPr>
        <w:t>在</w:t>
      </w:r>
      <w:r>
        <w:rPr>
          <w:rFonts w:hint="eastAsia" w:ascii="Times New Roman"/>
          <w:color w:val="auto"/>
        </w:rPr>
        <w:t>履约过程中，乙方根据本合同约定需向甲方支付违约金、赔偿金</w:t>
      </w:r>
      <w:r>
        <w:rPr>
          <w:rFonts w:hint="eastAsia" w:ascii="Times New Roman"/>
          <w:color w:val="auto"/>
          <w:lang w:eastAsia="zh-CN"/>
        </w:rPr>
        <w:t>，或</w:t>
      </w:r>
      <w:r>
        <w:rPr>
          <w:rFonts w:hint="eastAsia" w:ascii="Times New Roman"/>
          <w:color w:val="auto"/>
        </w:rPr>
        <w:t>其他应付费用等款项的，</w:t>
      </w:r>
      <w:r>
        <w:rPr>
          <w:rFonts w:hint="eastAsia" w:ascii="Times New Roman"/>
          <w:color w:val="auto"/>
          <w:lang w:val="en-US" w:eastAsia="zh-CN"/>
        </w:rPr>
        <w:t>甲方有权要求</w:t>
      </w:r>
      <w:r>
        <w:rPr>
          <w:rFonts w:hint="eastAsia" w:ascii="Times New Roman"/>
          <w:color w:val="auto"/>
        </w:rPr>
        <w:t>乙方向甲方支付完</w:t>
      </w:r>
      <w:r>
        <w:rPr>
          <w:rFonts w:hint="eastAsia" w:ascii="Times New Roman"/>
          <w:color w:val="auto"/>
          <w:lang w:val="en-US" w:eastAsia="zh-CN"/>
        </w:rPr>
        <w:t>前述</w:t>
      </w:r>
      <w:r>
        <w:rPr>
          <w:rFonts w:hint="eastAsia" w:ascii="Times New Roman"/>
          <w:color w:val="auto"/>
        </w:rPr>
        <w:t>款项后，甲方才根据本合同向乙方支付合同价和税额</w:t>
      </w:r>
      <w:r>
        <w:rPr>
          <w:rFonts w:hint="eastAsia" w:ascii="Times New Roman"/>
          <w:color w:val="auto"/>
          <w:lang w:eastAsia="zh-CN"/>
        </w:rPr>
        <w:t>，由此造成逾期付款的，甲方不构成违约；或者</w:t>
      </w:r>
      <w:r>
        <w:rPr>
          <w:rFonts w:hint="eastAsia" w:ascii="Times New Roman"/>
          <w:color w:val="auto"/>
        </w:rPr>
        <w:t>，甲方有权直接从未付合同款项中扣除</w:t>
      </w:r>
      <w:r>
        <w:rPr>
          <w:rFonts w:hint="eastAsia" w:ascii="Times New Roman"/>
          <w:color w:val="auto"/>
          <w:lang w:val="en-US" w:eastAsia="zh-CN"/>
        </w:rPr>
        <w:t>前述款项</w:t>
      </w:r>
      <w:r>
        <w:rPr>
          <w:rFonts w:hint="eastAsia" w:ascii="Times New Roman"/>
          <w:color w:val="auto"/>
        </w:rPr>
        <w:t>，且乙方必须按照扣除前述</w:t>
      </w:r>
      <w:r>
        <w:rPr>
          <w:rFonts w:hint="eastAsia" w:ascii="Times New Roman"/>
          <w:color w:val="auto"/>
          <w:lang w:val="en-US" w:eastAsia="zh-CN"/>
        </w:rPr>
        <w:t>款项</w:t>
      </w:r>
      <w:r>
        <w:rPr>
          <w:rFonts w:hint="eastAsia" w:ascii="Times New Roman"/>
          <w:color w:val="auto"/>
        </w:rPr>
        <w:t>前的合同价（销售额）开具增值税专用发票，保证增值税税额符合法律规定。</w:t>
      </w:r>
    </w:p>
    <w:p w14:paraId="66650530">
      <w:pPr>
        <w:spacing w:line="360" w:lineRule="auto"/>
        <w:ind w:firstLine="480" w:firstLineChars="200"/>
        <w:rPr>
          <w:rFonts w:hint="eastAsia" w:ascii="Times New Roman"/>
          <w:color w:val="auto"/>
        </w:rPr>
      </w:pPr>
      <w:r>
        <w:rPr>
          <w:rFonts w:hint="eastAsia" w:ascii="Times New Roman"/>
          <w:color w:val="auto"/>
          <w:lang w:eastAsia="zh-CN"/>
        </w:rPr>
        <w:t>5.</w:t>
      </w:r>
      <w:r>
        <w:rPr>
          <w:rFonts w:hint="eastAsia" w:ascii="Times New Roman"/>
          <w:color w:val="auto"/>
        </w:rPr>
        <w:t>本服务项目付款分为</w:t>
      </w:r>
      <w:r>
        <w:rPr>
          <w:rFonts w:hint="eastAsia" w:ascii="Times New Roman"/>
          <w:color w:val="auto"/>
          <w:lang w:val="en-US" w:eastAsia="zh-CN"/>
        </w:rPr>
        <w:t>两</w:t>
      </w:r>
      <w:r>
        <w:rPr>
          <w:rFonts w:hint="eastAsia" w:ascii="Times New Roman"/>
          <w:color w:val="auto"/>
        </w:rPr>
        <w:t>个阶段：</w:t>
      </w:r>
    </w:p>
    <w:p w14:paraId="4D613963">
      <w:pPr>
        <w:spacing w:line="360" w:lineRule="auto"/>
        <w:ind w:firstLine="480" w:firstLineChars="200"/>
        <w:rPr>
          <w:rFonts w:hint="default"/>
          <w:color w:val="auto"/>
          <w:lang w:val="en-US" w:eastAsia="zh-CN"/>
        </w:rPr>
      </w:pPr>
      <w:r>
        <w:rPr>
          <w:rFonts w:hint="eastAsia" w:ascii="Times New Roman"/>
          <w:color w:val="auto"/>
        </w:rPr>
        <w:t>（</w:t>
      </w:r>
      <w:r>
        <w:rPr>
          <w:rFonts w:hint="eastAsia" w:ascii="Times New Roman"/>
          <w:color w:val="auto"/>
          <w:lang w:val="en-US" w:eastAsia="zh-CN"/>
        </w:rPr>
        <w:t>1</w:t>
      </w:r>
      <w:r>
        <w:rPr>
          <w:rFonts w:hint="eastAsia" w:ascii="Times New Roman"/>
          <w:color w:val="auto"/>
        </w:rPr>
        <w:t>）</w:t>
      </w:r>
      <w:r>
        <w:rPr>
          <w:rFonts w:hint="eastAsia" w:ascii="Times New Roman"/>
          <w:color w:val="auto"/>
          <w:lang w:val="en-US" w:eastAsia="zh-CN"/>
        </w:rPr>
        <w:t>本合同经双方盖章后 ，</w:t>
      </w:r>
      <w:bookmarkStart w:id="27" w:name="OLE_LINK4"/>
      <w:r>
        <w:rPr>
          <w:rFonts w:hint="eastAsia" w:ascii="Times New Roman"/>
          <w:color w:val="auto"/>
          <w:lang w:val="en-US" w:eastAsia="zh-CN"/>
        </w:rPr>
        <w:t>乙方应向甲方提供书面请款报告及合法有效的增值税专用发票，甲方在收到前述资料并确认无误后</w:t>
      </w:r>
      <w:bookmarkStart w:id="28" w:name="OLE_LINK5"/>
      <w:r>
        <w:rPr>
          <w:rFonts w:hint="eastAsia" w:ascii="Times New Roman"/>
          <w:color w:val="auto"/>
          <w:lang w:val="en-US" w:eastAsia="zh-CN"/>
        </w:rPr>
        <w:t>1</w:t>
      </w:r>
      <w:bookmarkEnd w:id="27"/>
      <w:r>
        <w:rPr>
          <w:rFonts w:hint="eastAsia" w:ascii="Times New Roman"/>
          <w:color w:val="auto"/>
          <w:lang w:val="en-US" w:eastAsia="zh-CN"/>
        </w:rPr>
        <w:t>5个工作日内</w:t>
      </w:r>
      <w:bookmarkEnd w:id="28"/>
      <w:r>
        <w:rPr>
          <w:rFonts w:hint="eastAsia" w:ascii="Times New Roman"/>
          <w:color w:val="auto"/>
          <w:lang w:val="en-US" w:eastAsia="zh-CN"/>
        </w:rPr>
        <w:t>支付合同总价的80%，即___________元（含税）。若乙方不按照约定开具发票或延迟开发票，甲方有权拒绝付款或顺延付款时间，而无需承担违约责任。</w:t>
      </w:r>
      <w:bookmarkStart w:id="29" w:name="OLE_LINK2"/>
    </w:p>
    <w:bookmarkEnd w:id="29"/>
    <w:p w14:paraId="6E200803">
      <w:pPr>
        <w:spacing w:line="360" w:lineRule="auto"/>
        <w:ind w:firstLine="480" w:firstLineChars="200"/>
        <w:rPr>
          <w:rFonts w:hint="eastAsia" w:ascii="Times New Roman" w:eastAsia="宋体"/>
          <w:color w:val="auto"/>
          <w:lang w:val="en-US" w:eastAsia="zh-CN"/>
        </w:rPr>
      </w:pPr>
      <w:bookmarkStart w:id="30" w:name="OLE_LINK3"/>
      <w:r>
        <w:rPr>
          <w:rFonts w:hint="eastAsia" w:ascii="Times New Roman"/>
          <w:color w:val="auto"/>
        </w:rPr>
        <w:t>（</w:t>
      </w:r>
      <w:r>
        <w:rPr>
          <w:rFonts w:hint="eastAsia" w:ascii="Times New Roman"/>
          <w:color w:val="auto"/>
          <w:lang w:val="en-US" w:eastAsia="zh-CN"/>
        </w:rPr>
        <w:t>2</w:t>
      </w:r>
      <w:r>
        <w:rPr>
          <w:rFonts w:hint="eastAsia" w:ascii="Times New Roman"/>
          <w:color w:val="auto"/>
        </w:rPr>
        <w:t>）</w:t>
      </w:r>
      <w:bookmarkEnd w:id="30"/>
      <w:r>
        <w:rPr>
          <w:rFonts w:hint="eastAsia" w:ascii="Times New Roman" w:eastAsia="宋体"/>
          <w:color w:val="auto"/>
        </w:rPr>
        <w:t>剩余</w:t>
      </w:r>
      <w:r>
        <w:rPr>
          <w:rFonts w:hint="eastAsia" w:ascii="Times New Roman" w:eastAsia="宋体"/>
          <w:color w:val="auto"/>
          <w:lang w:val="en-US" w:eastAsia="zh-CN"/>
        </w:rPr>
        <w:t>20</w:t>
      </w:r>
      <w:r>
        <w:rPr>
          <w:rFonts w:hint="eastAsia" w:ascii="Times New Roman" w:eastAsia="宋体"/>
          <w:color w:val="auto"/>
        </w:rPr>
        <w:t>%的合同价及对应税额作为质保金，</w:t>
      </w:r>
      <w:r>
        <w:rPr>
          <w:rFonts w:hint="eastAsia" w:ascii="Times New Roman"/>
          <w:color w:val="auto"/>
          <w:lang w:val="en-US" w:eastAsia="zh-CN"/>
        </w:rPr>
        <w:t>质保</w:t>
      </w:r>
      <w:r>
        <w:rPr>
          <w:rFonts w:hint="eastAsia" w:ascii="Times New Roman" w:eastAsia="宋体"/>
          <w:color w:val="auto"/>
        </w:rPr>
        <w:t>期届满后，</w:t>
      </w:r>
      <w:r>
        <w:rPr>
          <w:rFonts w:hint="eastAsia" w:ascii="Times New Roman" w:eastAsia="宋体"/>
          <w:color w:val="auto"/>
          <w:lang w:val="en-US" w:eastAsia="zh-CN"/>
        </w:rPr>
        <w:t>乙方</w:t>
      </w:r>
      <w:r>
        <w:rPr>
          <w:rFonts w:hint="eastAsia" w:ascii="Times New Roman" w:eastAsia="宋体"/>
          <w:color w:val="auto"/>
        </w:rPr>
        <w:t>向</w:t>
      </w:r>
      <w:r>
        <w:rPr>
          <w:rFonts w:hint="eastAsia" w:ascii="Times New Roman" w:eastAsia="宋体"/>
          <w:color w:val="auto"/>
          <w:lang w:val="en-US" w:eastAsia="zh-CN"/>
        </w:rPr>
        <w:t>甲方</w:t>
      </w:r>
      <w:r>
        <w:rPr>
          <w:rFonts w:hint="eastAsia" w:ascii="Times New Roman" w:eastAsia="宋体"/>
          <w:color w:val="auto"/>
        </w:rPr>
        <w:t>申请支付质保金。项目内容无质量问题、</w:t>
      </w:r>
      <w:r>
        <w:rPr>
          <w:rFonts w:hint="eastAsia" w:ascii="Times New Roman" w:eastAsia="宋体"/>
          <w:color w:val="auto"/>
          <w:lang w:val="en-US" w:eastAsia="zh-CN"/>
        </w:rPr>
        <w:t>乙方</w:t>
      </w:r>
      <w:r>
        <w:rPr>
          <w:rFonts w:hint="eastAsia" w:ascii="Times New Roman" w:eastAsia="宋体"/>
          <w:color w:val="auto"/>
        </w:rPr>
        <w:t>无违约行为且按照本合同约定提供</w:t>
      </w:r>
      <w:r>
        <w:rPr>
          <w:rFonts w:hint="eastAsia" w:ascii="Times New Roman"/>
          <w:color w:val="auto"/>
          <w:lang w:val="en-US" w:eastAsia="zh-CN"/>
        </w:rPr>
        <w:t>相关</w:t>
      </w:r>
      <w:r>
        <w:rPr>
          <w:rFonts w:hint="eastAsia" w:ascii="Times New Roman" w:eastAsia="宋体"/>
          <w:color w:val="auto"/>
        </w:rPr>
        <w:t>服务的，</w:t>
      </w:r>
      <w:r>
        <w:rPr>
          <w:rFonts w:hint="eastAsia" w:ascii="Times New Roman"/>
          <w:color w:val="auto"/>
          <w:lang w:val="en-US" w:eastAsia="zh-CN"/>
        </w:rPr>
        <w:t>乙方</w:t>
      </w:r>
      <w:r>
        <w:rPr>
          <w:rFonts w:hint="eastAsia" w:ascii="宋体" w:hAnsi="Times New Roman" w:eastAsia="宋体" w:cs="Times New Roman"/>
          <w:b w:val="0"/>
          <w:bCs w:val="0"/>
          <w:color w:val="auto"/>
          <w:sz w:val="24"/>
          <w:szCs w:val="24"/>
          <w:lang w:val="en-US" w:eastAsia="zh-CN" w:bidi="ar-SA"/>
        </w:rPr>
        <w:t>向甲方提供书面请款报告及合法有效的增值税专用发票，甲方在收到前述资料并确认无误后</w:t>
      </w:r>
      <w:r>
        <w:rPr>
          <w:rFonts w:hint="eastAsia" w:cs="Times New Roman"/>
          <w:b w:val="0"/>
          <w:bCs w:val="0"/>
          <w:color w:val="auto"/>
          <w:sz w:val="24"/>
          <w:szCs w:val="24"/>
          <w:lang w:val="en-US" w:eastAsia="zh-CN" w:bidi="ar-SA"/>
        </w:rPr>
        <w:t>，</w:t>
      </w:r>
      <w:r>
        <w:rPr>
          <w:rFonts w:hint="eastAsia" w:ascii="Times New Roman" w:eastAsia="宋体"/>
          <w:color w:val="auto"/>
        </w:rPr>
        <w:t>将质保金无息</w:t>
      </w:r>
      <w:r>
        <w:rPr>
          <w:rFonts w:hint="eastAsia" w:ascii="宋体" w:hAnsi="Times New Roman" w:eastAsia="宋体" w:cs="Times New Roman"/>
          <w:b w:val="0"/>
          <w:bCs w:val="0"/>
          <w:color w:val="auto"/>
          <w:sz w:val="24"/>
          <w:szCs w:val="24"/>
          <w:lang w:val="en-US" w:eastAsia="zh-CN" w:bidi="ar-SA"/>
        </w:rPr>
        <w:t>1</w:t>
      </w:r>
      <w:r>
        <w:rPr>
          <w:rFonts w:hint="eastAsia" w:cs="Times New Roman"/>
          <w:b w:val="0"/>
          <w:bCs w:val="0"/>
          <w:color w:val="auto"/>
          <w:sz w:val="24"/>
          <w:szCs w:val="24"/>
          <w:lang w:val="en-US" w:eastAsia="zh-CN" w:bidi="ar-SA"/>
        </w:rPr>
        <w:t>5</w:t>
      </w:r>
      <w:r>
        <w:rPr>
          <w:rFonts w:hint="eastAsia" w:ascii="宋体" w:hAnsi="Times New Roman" w:eastAsia="宋体" w:cs="Times New Roman"/>
          <w:b w:val="0"/>
          <w:bCs w:val="0"/>
          <w:color w:val="auto"/>
          <w:sz w:val="24"/>
          <w:szCs w:val="24"/>
          <w:lang w:val="en-US" w:eastAsia="zh-CN" w:bidi="ar-SA"/>
        </w:rPr>
        <w:t>个工作日内</w:t>
      </w:r>
      <w:r>
        <w:rPr>
          <w:rFonts w:hint="eastAsia" w:ascii="Times New Roman" w:eastAsia="宋体"/>
          <w:color w:val="auto"/>
        </w:rPr>
        <w:t>支付给</w:t>
      </w:r>
      <w:r>
        <w:rPr>
          <w:rFonts w:hint="eastAsia" w:ascii="Times New Roman" w:eastAsia="宋体"/>
          <w:color w:val="auto"/>
          <w:lang w:val="en-US" w:eastAsia="zh-CN"/>
        </w:rPr>
        <w:t>乙方</w:t>
      </w:r>
      <w:r>
        <w:rPr>
          <w:rFonts w:hint="eastAsia" w:ascii="Times New Roman" w:eastAsia="宋体"/>
          <w:color w:val="auto"/>
        </w:rPr>
        <w:t>。如</w:t>
      </w:r>
      <w:r>
        <w:rPr>
          <w:rFonts w:hint="eastAsia" w:ascii="Times New Roman"/>
          <w:color w:val="auto"/>
          <w:lang w:val="en-US" w:eastAsia="zh-CN"/>
        </w:rPr>
        <w:t>服务</w:t>
      </w:r>
      <w:r>
        <w:rPr>
          <w:rFonts w:hint="eastAsia" w:ascii="Times New Roman" w:eastAsia="宋体"/>
          <w:color w:val="auto"/>
        </w:rPr>
        <w:t>期内</w:t>
      </w:r>
      <w:r>
        <w:rPr>
          <w:rFonts w:hint="eastAsia" w:ascii="Times New Roman" w:eastAsia="宋体"/>
          <w:color w:val="auto"/>
          <w:lang w:val="en-US" w:eastAsia="zh-CN"/>
        </w:rPr>
        <w:t>乙方</w:t>
      </w:r>
      <w:r>
        <w:rPr>
          <w:rFonts w:hint="eastAsia" w:ascii="Times New Roman" w:eastAsia="宋体"/>
          <w:color w:val="auto"/>
        </w:rPr>
        <w:t>未能按合同约定提供</w:t>
      </w:r>
      <w:r>
        <w:rPr>
          <w:rFonts w:hint="eastAsia" w:ascii="Times New Roman"/>
          <w:color w:val="auto"/>
          <w:lang w:val="en-US" w:eastAsia="zh-CN"/>
        </w:rPr>
        <w:t>相关</w:t>
      </w:r>
      <w:r>
        <w:rPr>
          <w:rFonts w:hint="eastAsia" w:ascii="Times New Roman" w:eastAsia="宋体"/>
          <w:color w:val="auto"/>
        </w:rPr>
        <w:t>服务的，在</w:t>
      </w:r>
      <w:r>
        <w:rPr>
          <w:rFonts w:hint="eastAsia" w:ascii="Times New Roman"/>
          <w:color w:val="auto"/>
          <w:lang w:val="en-US" w:eastAsia="zh-CN"/>
        </w:rPr>
        <w:t>质保</w:t>
      </w:r>
      <w:r>
        <w:rPr>
          <w:rFonts w:hint="eastAsia" w:ascii="Times New Roman" w:eastAsia="宋体"/>
          <w:color w:val="auto"/>
        </w:rPr>
        <w:t>期满后由</w:t>
      </w:r>
      <w:r>
        <w:rPr>
          <w:rFonts w:hint="eastAsia" w:ascii="Times New Roman"/>
          <w:color w:val="auto"/>
          <w:lang w:val="en-US" w:eastAsia="zh-CN"/>
        </w:rPr>
        <w:t>甲方</w:t>
      </w:r>
      <w:r>
        <w:rPr>
          <w:rFonts w:hint="eastAsia" w:ascii="Times New Roman" w:eastAsia="宋体"/>
          <w:color w:val="auto"/>
        </w:rPr>
        <w:t>根据</w:t>
      </w:r>
      <w:r>
        <w:rPr>
          <w:rFonts w:hint="eastAsia" w:ascii="Times New Roman"/>
          <w:color w:val="auto"/>
          <w:lang w:val="en-US" w:eastAsia="zh-CN"/>
        </w:rPr>
        <w:t>乙</w:t>
      </w:r>
      <w:r>
        <w:rPr>
          <w:rFonts w:hint="eastAsia" w:ascii="Times New Roman" w:eastAsia="宋体"/>
          <w:color w:val="auto"/>
          <w:lang w:val="en-US" w:eastAsia="zh-CN"/>
        </w:rPr>
        <w:t>方</w:t>
      </w:r>
      <w:r>
        <w:rPr>
          <w:rFonts w:hint="eastAsia" w:ascii="Times New Roman" w:eastAsia="宋体"/>
          <w:color w:val="auto"/>
        </w:rPr>
        <w:t>实际履行质保服务情况与</w:t>
      </w:r>
      <w:r>
        <w:rPr>
          <w:rFonts w:hint="eastAsia" w:ascii="Times New Roman" w:eastAsia="宋体"/>
          <w:color w:val="auto"/>
          <w:lang w:val="en-US" w:eastAsia="zh-CN"/>
        </w:rPr>
        <w:t>乙方</w:t>
      </w:r>
      <w:r>
        <w:rPr>
          <w:rFonts w:hint="eastAsia" w:ascii="Times New Roman" w:eastAsia="宋体"/>
          <w:color w:val="auto"/>
        </w:rPr>
        <w:t>结算质保金。</w:t>
      </w:r>
    </w:p>
    <w:p w14:paraId="3D01A293">
      <w:pPr>
        <w:spacing w:line="360" w:lineRule="auto"/>
        <w:ind w:firstLine="480" w:firstLineChars="200"/>
        <w:rPr>
          <w:rFonts w:hint="eastAsia" w:ascii="Times New Roman"/>
          <w:color w:val="auto"/>
        </w:rPr>
      </w:pPr>
      <w:r>
        <w:rPr>
          <w:rFonts w:hint="eastAsia" w:ascii="Times New Roman"/>
          <w:color w:val="auto"/>
          <w:lang w:val="en-US" w:eastAsia="zh-CN"/>
        </w:rPr>
        <w:t>6.</w:t>
      </w:r>
      <w:r>
        <w:rPr>
          <w:rFonts w:hint="eastAsia" w:ascii="Times New Roman"/>
          <w:color w:val="auto"/>
        </w:rPr>
        <w:t>乙方指定收款银行账户信息如下：</w:t>
      </w:r>
    </w:p>
    <w:p w14:paraId="580C5A72">
      <w:pPr>
        <w:widowControl/>
        <w:adjustRightInd/>
        <w:spacing w:line="360" w:lineRule="auto"/>
        <w:ind w:firstLine="480" w:firstLineChars="200"/>
        <w:rPr>
          <w:rFonts w:hint="eastAsia" w:ascii="Times New Roman" w:hAnsi="Times New Roman" w:eastAsia="宋体"/>
          <w:color w:val="auto"/>
          <w:sz w:val="24"/>
          <w:szCs w:val="24"/>
          <w:u w:val="none"/>
          <w:lang w:val="en-US" w:eastAsia="zh-CN" w:bidi="ar"/>
        </w:rPr>
      </w:pPr>
      <w:r>
        <w:rPr>
          <w:rFonts w:hint="eastAsia" w:ascii="Times New Roman" w:hAnsi="Times New Roman"/>
          <w:color w:val="auto"/>
          <w:sz w:val="24"/>
          <w:szCs w:val="24"/>
          <w:lang w:bidi="ar"/>
        </w:rPr>
        <w:t>公司名称：</w:t>
      </w:r>
      <w:r>
        <w:rPr>
          <w:rFonts w:hint="eastAsia" w:ascii="Times New Roman" w:hAnsi="Times New Roman"/>
          <w:color w:val="auto"/>
          <w:sz w:val="24"/>
          <w:szCs w:val="24"/>
          <w:u w:val="none"/>
          <w:lang w:bidi="ar"/>
        </w:rPr>
        <w:t xml:space="preserve"> </w:t>
      </w:r>
      <w:r>
        <w:rPr>
          <w:rFonts w:hint="eastAsia" w:ascii="Times New Roman" w:hAnsi="Times New Roman"/>
          <w:color w:val="auto"/>
          <w:sz w:val="24"/>
          <w:szCs w:val="24"/>
          <w:u w:val="single"/>
          <w:lang w:bidi="ar"/>
        </w:rPr>
        <w:t xml:space="preserve">                  </w:t>
      </w:r>
      <w:r>
        <w:rPr>
          <w:rFonts w:hint="eastAsia" w:ascii="Times New Roman" w:hAnsi="Times New Roman"/>
          <w:color w:val="auto"/>
          <w:sz w:val="24"/>
          <w:szCs w:val="24"/>
          <w:u w:val="single"/>
          <w:lang w:val="en-US" w:eastAsia="zh-CN" w:bidi="ar"/>
        </w:rPr>
        <w:t xml:space="preserve"> </w:t>
      </w:r>
    </w:p>
    <w:p w14:paraId="3108A907">
      <w:pPr>
        <w:widowControl/>
        <w:adjustRightInd/>
        <w:spacing w:line="360" w:lineRule="auto"/>
        <w:ind w:firstLine="480" w:firstLineChars="200"/>
        <w:rPr>
          <w:rFonts w:hint="eastAsia" w:ascii="Times New Roman" w:hAnsi="Times New Roman"/>
          <w:color w:val="auto"/>
          <w:sz w:val="24"/>
          <w:szCs w:val="24"/>
          <w:lang w:bidi="ar"/>
        </w:rPr>
      </w:pPr>
      <w:r>
        <w:rPr>
          <w:rFonts w:hint="eastAsia" w:ascii="Times New Roman" w:hAnsi="Times New Roman"/>
          <w:color w:val="auto"/>
          <w:sz w:val="24"/>
          <w:szCs w:val="24"/>
          <w:lang w:bidi="ar"/>
        </w:rPr>
        <w:t>开户银行：</w:t>
      </w:r>
      <w:r>
        <w:rPr>
          <w:rFonts w:hint="eastAsia" w:ascii="Times New Roman" w:hAnsi="Times New Roman"/>
          <w:color w:val="auto"/>
          <w:sz w:val="24"/>
          <w:szCs w:val="24"/>
          <w:u w:val="none"/>
          <w:lang w:bidi="ar"/>
        </w:rPr>
        <w:t xml:space="preserve"> </w:t>
      </w:r>
      <w:r>
        <w:rPr>
          <w:rFonts w:hint="eastAsia" w:ascii="Times New Roman" w:hAnsi="Times New Roman"/>
          <w:color w:val="auto"/>
          <w:sz w:val="24"/>
          <w:szCs w:val="24"/>
          <w:u w:val="single"/>
          <w:lang w:bidi="ar"/>
        </w:rPr>
        <w:t xml:space="preserve">                  </w:t>
      </w:r>
    </w:p>
    <w:p w14:paraId="594DD757">
      <w:pPr>
        <w:widowControl/>
        <w:adjustRightInd/>
        <w:spacing w:line="360" w:lineRule="auto"/>
        <w:ind w:firstLine="480" w:firstLineChars="200"/>
        <w:rPr>
          <w:rFonts w:hint="eastAsia" w:ascii="Times New Roman"/>
          <w:color w:val="auto"/>
        </w:rPr>
      </w:pPr>
      <w:r>
        <w:rPr>
          <w:rFonts w:hint="eastAsia" w:ascii="Times New Roman" w:hAnsi="Times New Roman"/>
          <w:color w:val="auto"/>
          <w:sz w:val="24"/>
          <w:szCs w:val="24"/>
          <w:lang w:bidi="ar"/>
        </w:rPr>
        <w:t>账    号：</w:t>
      </w:r>
      <w:r>
        <w:rPr>
          <w:rFonts w:hint="eastAsia" w:ascii="Times New Roman" w:hAnsi="Times New Roman" w:eastAsia="宋体"/>
          <w:color w:val="auto"/>
          <w:sz w:val="24"/>
          <w:szCs w:val="24"/>
          <w:lang w:val="en-US" w:eastAsia="zh-CN" w:bidi="ar"/>
        </w:rPr>
        <w:t xml:space="preserve"> </w:t>
      </w:r>
      <w:r>
        <w:rPr>
          <w:rFonts w:hint="eastAsia" w:ascii="Times New Roman" w:hAnsi="Times New Roman"/>
          <w:color w:val="auto"/>
          <w:sz w:val="24"/>
          <w:szCs w:val="24"/>
          <w:u w:val="single"/>
          <w:lang w:bidi="ar"/>
        </w:rPr>
        <w:t xml:space="preserve">                  </w:t>
      </w:r>
    </w:p>
    <w:p w14:paraId="09A44704">
      <w:pPr>
        <w:adjustRightInd/>
        <w:spacing w:line="360" w:lineRule="auto"/>
        <w:ind w:firstLine="480" w:firstLineChars="200"/>
        <w:rPr>
          <w:rFonts w:hint="eastAsia" w:ascii="Times New Roman"/>
          <w:color w:val="auto"/>
        </w:rPr>
      </w:pPr>
      <w:r>
        <w:rPr>
          <w:rFonts w:hint="eastAsia" w:ascii="Times New Roman"/>
          <w:color w:val="auto"/>
          <w:lang w:val="en-US" w:eastAsia="zh-CN"/>
        </w:rPr>
        <w:t>乙方提供的收款账户如需进行变更的，应当提前【10】个工作日以书面形式通知甲方。乙方未及时履行书面通知义务的，由此造成的损失应自行负责。</w:t>
      </w:r>
      <w:r>
        <w:rPr>
          <w:rFonts w:hint="eastAsia" w:ascii="Times New Roman"/>
          <w:color w:val="auto"/>
        </w:rPr>
        <w:t xml:space="preserve"> </w:t>
      </w:r>
    </w:p>
    <w:p w14:paraId="3EEFEE88">
      <w:pPr>
        <w:autoSpaceDE/>
        <w:autoSpaceDN/>
        <w:adjustRightInd/>
        <w:spacing w:line="360" w:lineRule="auto"/>
        <w:jc w:val="both"/>
        <w:outlineLvl w:val="1"/>
        <w:rPr>
          <w:rFonts w:hint="eastAsia" w:ascii="Times New Roman"/>
          <w:b/>
          <w:color w:val="auto"/>
        </w:rPr>
      </w:pPr>
      <w:bookmarkStart w:id="31" w:name="_Toc27495485"/>
    </w:p>
    <w:p w14:paraId="081E1C63">
      <w:pPr>
        <w:autoSpaceDE/>
        <w:autoSpaceDN/>
        <w:adjustRightInd/>
        <w:spacing w:line="360" w:lineRule="auto"/>
        <w:jc w:val="both"/>
        <w:outlineLvl w:val="1"/>
        <w:rPr>
          <w:rFonts w:ascii="Times New Roman"/>
          <w:b/>
          <w:color w:val="auto"/>
        </w:rPr>
      </w:pPr>
      <w:r>
        <w:rPr>
          <w:rFonts w:hint="eastAsia" w:ascii="Times New Roman"/>
          <w:b/>
          <w:color w:val="auto"/>
        </w:rPr>
        <w:t>第</w:t>
      </w:r>
      <w:r>
        <w:rPr>
          <w:rFonts w:hint="eastAsia" w:ascii="Times New Roman"/>
          <w:b/>
          <w:color w:val="auto"/>
          <w:lang w:val="en-US" w:eastAsia="zh-CN"/>
        </w:rPr>
        <w:t>三</w:t>
      </w:r>
      <w:r>
        <w:rPr>
          <w:rFonts w:hint="eastAsia" w:ascii="Times New Roman"/>
          <w:b/>
          <w:color w:val="auto"/>
        </w:rPr>
        <w:t>条 违约责任</w:t>
      </w:r>
      <w:bookmarkEnd w:id="31"/>
    </w:p>
    <w:p w14:paraId="0456C7C8">
      <w:pPr>
        <w:spacing w:line="360" w:lineRule="auto"/>
        <w:ind w:firstLine="480" w:firstLineChars="200"/>
        <w:rPr>
          <w:rFonts w:hint="eastAsia" w:ascii="Times New Roman"/>
          <w:color w:val="auto"/>
        </w:rPr>
      </w:pPr>
      <w:r>
        <w:rPr>
          <w:rFonts w:hint="eastAsia" w:ascii="Times New Roman"/>
          <w:color w:val="auto"/>
          <w:lang w:eastAsia="zh-CN"/>
        </w:rPr>
        <w:t>1.</w:t>
      </w:r>
      <w:r>
        <w:rPr>
          <w:rFonts w:hint="eastAsia" w:ascii="Times New Roman"/>
          <w:color w:val="auto"/>
        </w:rPr>
        <w:t>乙方未能</w:t>
      </w:r>
      <w:r>
        <w:rPr>
          <w:rFonts w:hint="eastAsia" w:ascii="Times New Roman"/>
          <w:color w:val="auto"/>
          <w:shd w:val="clear"/>
        </w:rPr>
        <w:t>按本合同约定时间</w:t>
      </w:r>
      <w:r>
        <w:rPr>
          <w:rFonts w:hint="eastAsia" w:ascii="Times New Roman"/>
          <w:color w:val="auto"/>
          <w:shd w:val="clear"/>
          <w:lang w:val="en-US" w:eastAsia="zh-CN"/>
        </w:rPr>
        <w:t>且</w:t>
      </w:r>
      <w:r>
        <w:rPr>
          <w:rFonts w:hint="eastAsia" w:ascii="Times New Roman"/>
          <w:color w:val="auto"/>
          <w:shd w:val="clear"/>
        </w:rPr>
        <w:t>经甲方通知后</w:t>
      </w:r>
      <w:r>
        <w:rPr>
          <w:rFonts w:hint="eastAsia" w:ascii="Times New Roman"/>
          <w:color w:val="auto"/>
        </w:rPr>
        <w:t>拒向甲方提供</w:t>
      </w:r>
      <w:r>
        <w:rPr>
          <w:rFonts w:hint="eastAsia" w:ascii="Times New Roman"/>
          <w:lang w:val="en-US" w:eastAsia="zh-CN"/>
        </w:rPr>
        <w:t>深信</w:t>
      </w:r>
      <w:r>
        <w:rPr>
          <w:rFonts w:hint="eastAsia" w:ascii="Times New Roman" w:hAnsi="Times New Roman" w:eastAsia="宋体" w:cs="Times New Roman"/>
          <w:lang w:val="en-US" w:eastAsia="zh-CN"/>
        </w:rPr>
        <w:t>服EDR终端管理软件</w:t>
      </w:r>
      <w:r>
        <w:rPr>
          <w:rFonts w:hint="eastAsia" w:ascii="Times New Roman"/>
          <w:color w:val="auto"/>
          <w:lang w:val="en-US" w:eastAsia="zh-CN"/>
        </w:rPr>
        <w:t>服务续保及扩容</w:t>
      </w:r>
      <w:r>
        <w:rPr>
          <w:rFonts w:hint="eastAsia" w:ascii="Times New Roman"/>
          <w:color w:val="auto"/>
        </w:rPr>
        <w:t>的，每延误一</w:t>
      </w:r>
      <w:r>
        <w:rPr>
          <w:rFonts w:hint="eastAsia" w:ascii="Times New Roman"/>
          <w:color w:val="auto"/>
          <w:lang w:eastAsia="zh-CN"/>
        </w:rPr>
        <w:t>日</w:t>
      </w:r>
      <w:r>
        <w:rPr>
          <w:rFonts w:hint="eastAsia" w:ascii="Times New Roman"/>
          <w:color w:val="auto"/>
        </w:rPr>
        <w:t>，应按合同价</w:t>
      </w:r>
      <w:r>
        <w:rPr>
          <w:rFonts w:hint="eastAsia" w:ascii="Times New Roman"/>
          <w:color w:val="auto"/>
          <w:lang w:val="en-US" w:eastAsia="zh-CN"/>
        </w:rPr>
        <w:t>1</w:t>
      </w:r>
      <w:r>
        <w:rPr>
          <w:rFonts w:hint="eastAsia" w:ascii="Times New Roman"/>
          <w:color w:val="auto"/>
        </w:rPr>
        <w:t>%为标准向甲方支付违约金，</w:t>
      </w:r>
      <w:r>
        <w:rPr>
          <w:rFonts w:hint="eastAsia" w:ascii="Times New Roman"/>
          <w:color w:val="auto"/>
          <w:lang w:val="en-US" w:eastAsia="zh-CN"/>
        </w:rPr>
        <w:t>最高不超过合同价的10%，</w:t>
      </w:r>
      <w:r>
        <w:rPr>
          <w:rFonts w:hint="eastAsia" w:ascii="Times New Roman"/>
          <w:color w:val="auto"/>
        </w:rPr>
        <w:t>同时甲方有权随时另行委托其他第三人提供本合同项下</w:t>
      </w:r>
      <w:r>
        <w:rPr>
          <w:rFonts w:hint="eastAsia" w:ascii="Times New Roman"/>
          <w:color w:val="auto"/>
          <w:lang w:val="en-US" w:eastAsia="zh-CN"/>
        </w:rPr>
        <w:t>深信服EDR终端管理软件服务续保及扩容</w:t>
      </w:r>
      <w:r>
        <w:rPr>
          <w:rFonts w:hint="eastAsia" w:ascii="Times New Roman"/>
          <w:color w:val="auto"/>
        </w:rPr>
        <w:t>，由此产生的费用、差价及其他一切损失由乙方承担。如延误超过3</w:t>
      </w:r>
      <w:r>
        <w:rPr>
          <w:rFonts w:hint="eastAsia" w:ascii="Times New Roman"/>
          <w:color w:val="auto"/>
          <w:lang w:eastAsia="zh-CN"/>
        </w:rPr>
        <w:t>日</w:t>
      </w:r>
      <w:r>
        <w:rPr>
          <w:rFonts w:hint="eastAsia" w:ascii="Times New Roman"/>
          <w:color w:val="auto"/>
        </w:rPr>
        <w:t>，或累计出现3次前述违约行为的，甲方有权单方解除合同，除承担前述违约责任外，乙方还应向甲方支付合同价20%的违约金。</w:t>
      </w:r>
    </w:p>
    <w:p w14:paraId="157E0B59">
      <w:pPr>
        <w:spacing w:line="360" w:lineRule="auto"/>
        <w:ind w:firstLine="480" w:firstLineChars="200"/>
        <w:rPr>
          <w:rFonts w:hint="eastAsia" w:ascii="Times New Roman"/>
          <w:color w:val="auto"/>
        </w:rPr>
      </w:pPr>
      <w:r>
        <w:rPr>
          <w:rFonts w:hint="eastAsia" w:ascii="Times New Roman"/>
          <w:color w:val="auto"/>
          <w:lang w:eastAsia="zh-CN"/>
        </w:rPr>
        <w:t>2.</w:t>
      </w:r>
      <w:r>
        <w:rPr>
          <w:rFonts w:hint="eastAsia" w:ascii="Times New Roman"/>
          <w:color w:val="auto"/>
        </w:rPr>
        <w:t>乙方所交付的服务成果不</w:t>
      </w:r>
      <w:r>
        <w:rPr>
          <w:rFonts w:hint="eastAsia" w:ascii="Times New Roman"/>
          <w:color w:val="auto"/>
          <w:lang w:eastAsia="zh-CN"/>
        </w:rPr>
        <w:t>符合</w:t>
      </w:r>
      <w:r>
        <w:rPr>
          <w:rFonts w:hint="eastAsia" w:ascii="Times New Roman"/>
          <w:color w:val="auto"/>
        </w:rPr>
        <w:t>本合同要求的，甲方有权拒绝接受，并有权要求乙方在甲方限定时间内对服务成果予以无条件、免费返工，直至符合本合同、甲方及使用部门</w:t>
      </w:r>
      <w:r>
        <w:rPr>
          <w:rFonts w:hint="eastAsia" w:ascii="Times New Roman"/>
          <w:color w:val="auto"/>
          <w:lang w:val="en-US" w:eastAsia="zh-CN"/>
        </w:rPr>
        <w:t>的</w:t>
      </w:r>
      <w:r>
        <w:rPr>
          <w:rFonts w:hint="eastAsia" w:ascii="Times New Roman"/>
          <w:color w:val="auto"/>
        </w:rPr>
        <w:t>要求，同时乙方须向甲方支付合同价</w:t>
      </w:r>
      <w:r>
        <w:rPr>
          <w:rFonts w:hint="eastAsia" w:ascii="Times New Roman"/>
          <w:color w:val="auto"/>
          <w:lang w:val="en-US" w:eastAsia="zh-CN"/>
        </w:rPr>
        <w:t>5</w:t>
      </w:r>
      <w:r>
        <w:rPr>
          <w:rFonts w:hint="eastAsia" w:ascii="Times New Roman"/>
          <w:color w:val="auto"/>
        </w:rPr>
        <w:t>%的违约金。</w:t>
      </w:r>
      <w:r>
        <w:rPr>
          <w:rFonts w:hint="eastAsia" w:ascii="宋体" w:hAnsi="宋体" w:eastAsia="宋体" w:cs="宋体"/>
          <w:color w:val="auto"/>
        </w:rPr>
        <w:t>若因乙方原因导致乙方无法按照本合同</w:t>
      </w:r>
      <w:r>
        <w:rPr>
          <w:rFonts w:hint="eastAsia" w:ascii="宋体" w:hAnsi="宋体" w:eastAsia="宋体" w:cs="宋体"/>
          <w:color w:val="auto"/>
          <w:lang w:val="en-US" w:eastAsia="zh-CN"/>
        </w:rPr>
        <w:t>完成服务</w:t>
      </w:r>
      <w:r>
        <w:rPr>
          <w:rFonts w:hint="eastAsia" w:ascii="宋体" w:hAnsi="宋体" w:eastAsia="宋体" w:cs="宋体"/>
          <w:color w:val="auto"/>
        </w:rPr>
        <w:t>的，甲方有权单方解除合同，且有权要求乙方支付合同价20 %的违约金</w:t>
      </w:r>
      <w:r>
        <w:rPr>
          <w:rFonts w:hint="eastAsia" w:hAnsi="宋体" w:cs="宋体"/>
          <w:color w:val="auto"/>
          <w:lang w:eastAsia="zh-CN"/>
        </w:rPr>
        <w:t>，</w:t>
      </w:r>
      <w:r>
        <w:rPr>
          <w:rFonts w:hint="eastAsia" w:ascii="Times New Roman"/>
          <w:color w:val="auto"/>
          <w:lang w:val="en-US" w:eastAsia="zh-CN"/>
        </w:rPr>
        <w:t>并有权</w:t>
      </w:r>
      <w:r>
        <w:rPr>
          <w:rFonts w:hint="eastAsia" w:ascii="Times New Roman"/>
          <w:color w:val="auto"/>
        </w:rPr>
        <w:t>另行委托其他第三人提供本合同项下</w:t>
      </w:r>
      <w:r>
        <w:rPr>
          <w:rFonts w:hint="eastAsia" w:ascii="Times New Roman"/>
          <w:lang w:val="en-US" w:eastAsia="zh-CN"/>
        </w:rPr>
        <w:t>深信</w:t>
      </w:r>
      <w:r>
        <w:rPr>
          <w:rFonts w:hint="eastAsia" w:ascii="Times New Roman" w:hAnsi="Times New Roman" w:eastAsia="宋体" w:cs="Times New Roman"/>
          <w:lang w:val="en-US" w:eastAsia="zh-CN"/>
        </w:rPr>
        <w:t>服EDR终端管理软件服务续保及扩容</w:t>
      </w:r>
      <w:r>
        <w:rPr>
          <w:rFonts w:hint="eastAsia" w:ascii="Times New Roman"/>
          <w:color w:val="auto"/>
        </w:rPr>
        <w:t>，由此产生的费用、差价及其他一切损失由乙方承担。如违约金不足以弥补甲方损失的，甲方有权另行追偿。</w:t>
      </w:r>
    </w:p>
    <w:p w14:paraId="7CCC3E0C">
      <w:pPr>
        <w:spacing w:line="360" w:lineRule="auto"/>
        <w:ind w:firstLine="480" w:firstLineChars="200"/>
        <w:rPr>
          <w:rFonts w:hint="eastAsia" w:ascii="Times New Roman"/>
          <w:color w:val="auto"/>
        </w:rPr>
      </w:pPr>
      <w:r>
        <w:rPr>
          <w:rFonts w:hint="eastAsia" w:ascii="Times New Roman"/>
          <w:color w:val="auto"/>
          <w:lang w:val="en-US" w:eastAsia="zh-CN"/>
        </w:rPr>
        <w:t>3.</w:t>
      </w:r>
      <w:r>
        <w:rPr>
          <w:rFonts w:hint="eastAsia" w:ascii="Times New Roman"/>
          <w:color w:val="auto"/>
        </w:rPr>
        <w:t>乙方未经甲方书面同意，擅自将本合同项下服务内容全部或部分转让给第三方的，甲方有权单方解除合同，并要求乙方按本合同价的</w:t>
      </w:r>
      <w:r>
        <w:rPr>
          <w:rFonts w:hint="eastAsia" w:ascii="Times New Roman"/>
          <w:color w:val="auto"/>
          <w:lang w:val="en-US" w:eastAsia="zh-CN"/>
        </w:rPr>
        <w:t>20</w:t>
      </w:r>
      <w:r>
        <w:rPr>
          <w:rFonts w:hint="eastAsia" w:ascii="Times New Roman"/>
          <w:color w:val="auto"/>
        </w:rPr>
        <w:t>%承担违约金，违约金不足以弥补甲方损失的，甲方有权继续向乙方追索。</w:t>
      </w:r>
    </w:p>
    <w:p w14:paraId="03FB8F2F">
      <w:pPr>
        <w:spacing w:line="360" w:lineRule="auto"/>
        <w:ind w:firstLine="480" w:firstLineChars="200"/>
        <w:rPr>
          <w:rFonts w:hint="eastAsia" w:ascii="Times New Roman"/>
          <w:color w:val="auto"/>
        </w:rPr>
      </w:pPr>
      <w:r>
        <w:rPr>
          <w:rFonts w:hint="eastAsia" w:ascii="Times New Roman"/>
          <w:color w:val="auto"/>
          <w:lang w:val="en-US" w:eastAsia="zh-CN"/>
        </w:rPr>
        <w:t>4.</w:t>
      </w:r>
      <w:r>
        <w:rPr>
          <w:rFonts w:hint="eastAsia" w:ascii="Times New Roman"/>
          <w:color w:val="auto"/>
        </w:rPr>
        <w:t>无论是否在</w:t>
      </w:r>
      <w:r>
        <w:rPr>
          <w:rFonts w:hint="eastAsia" w:ascii="Times New Roman"/>
          <w:color w:val="auto"/>
          <w:lang w:val="en-US" w:eastAsia="zh-CN"/>
        </w:rPr>
        <w:t>服务</w:t>
      </w:r>
      <w:r>
        <w:rPr>
          <w:rFonts w:hint="eastAsia" w:ascii="Times New Roman"/>
          <w:color w:val="auto"/>
        </w:rPr>
        <w:t>期内，因</w:t>
      </w:r>
      <w:r>
        <w:rPr>
          <w:rFonts w:hint="eastAsia" w:ascii="Times New Roman"/>
          <w:color w:val="auto"/>
          <w:lang w:val="en-US" w:eastAsia="zh-CN"/>
        </w:rPr>
        <w:t>乙方提供的服务的原因</w:t>
      </w:r>
      <w:r>
        <w:rPr>
          <w:rFonts w:hint="eastAsia" w:ascii="Times New Roman"/>
          <w:color w:val="auto"/>
        </w:rPr>
        <w:t>发生安全事故或引起其他损失、造成不良后果的，乙方应承担全部责任及损失赔偿。</w:t>
      </w:r>
    </w:p>
    <w:p w14:paraId="23F08C69">
      <w:pPr>
        <w:spacing w:line="360" w:lineRule="auto"/>
        <w:rPr>
          <w:rFonts w:ascii="Times New Roman"/>
          <w:color w:val="auto"/>
        </w:rPr>
      </w:pPr>
    </w:p>
    <w:p w14:paraId="114AA715">
      <w:pPr>
        <w:autoSpaceDE/>
        <w:autoSpaceDN/>
        <w:adjustRightInd/>
        <w:spacing w:line="360" w:lineRule="auto"/>
        <w:jc w:val="both"/>
        <w:outlineLvl w:val="1"/>
        <w:rPr>
          <w:rFonts w:ascii="Times New Roman"/>
          <w:b/>
          <w:color w:val="auto"/>
        </w:rPr>
      </w:pPr>
      <w:bookmarkStart w:id="32" w:name="_Toc27495486"/>
      <w:r>
        <w:rPr>
          <w:rFonts w:hint="eastAsia" w:ascii="Times New Roman"/>
          <w:b/>
          <w:color w:val="auto"/>
        </w:rPr>
        <w:t>第</w:t>
      </w:r>
      <w:r>
        <w:rPr>
          <w:rFonts w:hint="eastAsia" w:ascii="Times New Roman"/>
          <w:b/>
          <w:color w:val="auto"/>
          <w:lang w:val="en-US" w:eastAsia="zh-CN"/>
        </w:rPr>
        <w:t>四</w:t>
      </w:r>
      <w:r>
        <w:rPr>
          <w:rFonts w:hint="eastAsia" w:ascii="Times New Roman"/>
          <w:b/>
          <w:color w:val="auto"/>
        </w:rPr>
        <w:t>条 不可抗力</w:t>
      </w:r>
      <w:bookmarkEnd w:id="32"/>
    </w:p>
    <w:p w14:paraId="5E400FE9">
      <w:pPr>
        <w:spacing w:line="360" w:lineRule="auto"/>
        <w:ind w:firstLine="480" w:firstLineChars="200"/>
        <w:rPr>
          <w:rFonts w:ascii="Times New Roman"/>
          <w:color w:val="auto"/>
        </w:rPr>
      </w:pPr>
      <w:r>
        <w:rPr>
          <w:rFonts w:hint="eastAsia" w:ascii="Times New Roman"/>
          <w:color w:val="auto"/>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ascii="Times New Roman"/>
          <w:color w:val="auto"/>
          <w:u w:val="single"/>
        </w:rPr>
        <w:t>15</w:t>
      </w:r>
      <w:r>
        <w:rPr>
          <w:rFonts w:hint="eastAsia" w:ascii="Times New Roman"/>
          <w:color w:val="auto"/>
        </w:rPr>
        <w:t>个工作日内，提供事故详情及合同不能履行</w:t>
      </w:r>
      <w:r>
        <w:rPr>
          <w:rFonts w:hint="eastAsia" w:ascii="Times New Roman"/>
          <w:color w:val="auto"/>
          <w:lang w:eastAsia="zh-CN"/>
        </w:rPr>
        <w:t>，或者</w:t>
      </w:r>
      <w:r>
        <w:rPr>
          <w:rFonts w:hint="eastAsia" w:ascii="Times New Roman"/>
          <w:color w:val="auto"/>
        </w:rPr>
        <w:t>部分不能履行</w:t>
      </w:r>
      <w:r>
        <w:rPr>
          <w:rFonts w:hint="eastAsia" w:ascii="Times New Roman"/>
          <w:color w:val="auto"/>
          <w:lang w:eastAsia="zh-CN"/>
        </w:rPr>
        <w:t>，或者</w:t>
      </w:r>
      <w:r>
        <w:rPr>
          <w:rFonts w:hint="eastAsia" w:ascii="Times New Roman"/>
          <w:color w:val="auto"/>
        </w:rPr>
        <w:t>需要延期履行的理由的有效证明文件。按照事故对履行合同影响的程度，由各方协商决定是否解除合同，或者部分免除履行合同的责任，或者延期履行合同。</w:t>
      </w:r>
    </w:p>
    <w:p w14:paraId="37306B5F">
      <w:pPr>
        <w:spacing w:line="360" w:lineRule="auto"/>
        <w:ind w:firstLine="480" w:firstLineChars="200"/>
        <w:rPr>
          <w:rFonts w:ascii="Times New Roman"/>
          <w:color w:val="auto"/>
        </w:rPr>
      </w:pPr>
    </w:p>
    <w:p w14:paraId="0496CA6F">
      <w:pPr>
        <w:autoSpaceDE/>
        <w:autoSpaceDN/>
        <w:adjustRightInd/>
        <w:spacing w:line="360" w:lineRule="auto"/>
        <w:jc w:val="both"/>
        <w:outlineLvl w:val="1"/>
        <w:rPr>
          <w:rFonts w:ascii="Times New Roman"/>
          <w:b/>
          <w:color w:val="auto"/>
        </w:rPr>
      </w:pPr>
      <w:bookmarkStart w:id="33" w:name="_Toc27495488"/>
      <w:r>
        <w:rPr>
          <w:rFonts w:hint="eastAsia" w:ascii="Times New Roman"/>
          <w:b/>
          <w:color w:val="auto"/>
        </w:rPr>
        <w:t>第</w:t>
      </w:r>
      <w:r>
        <w:rPr>
          <w:rFonts w:hint="eastAsia" w:ascii="Times New Roman"/>
          <w:b/>
          <w:color w:val="auto"/>
          <w:lang w:val="en-US" w:eastAsia="zh-CN"/>
        </w:rPr>
        <w:t>五</w:t>
      </w:r>
      <w:r>
        <w:rPr>
          <w:rFonts w:hint="eastAsia" w:ascii="Times New Roman"/>
          <w:b/>
          <w:color w:val="auto"/>
        </w:rPr>
        <w:t>条 合同争议的解决办法</w:t>
      </w:r>
      <w:bookmarkEnd w:id="33"/>
    </w:p>
    <w:p w14:paraId="3A7FA6A4">
      <w:pPr>
        <w:spacing w:line="360" w:lineRule="auto"/>
        <w:ind w:firstLine="403"/>
        <w:rPr>
          <w:rFonts w:hint="eastAsia" w:ascii="Times New Roman"/>
          <w:color w:val="auto"/>
        </w:rPr>
      </w:pPr>
      <w:r>
        <w:rPr>
          <w:rFonts w:hint="eastAsia" w:ascii="Times New Roman"/>
          <w:color w:val="auto"/>
          <w:lang w:val="en-US" w:eastAsia="zh-CN"/>
        </w:rPr>
        <w:t>1.</w:t>
      </w:r>
      <w:r>
        <w:rPr>
          <w:rFonts w:hint="eastAsia" w:ascii="Times New Roman"/>
          <w:color w:val="auto"/>
        </w:rPr>
        <w:t>双方因本合同发生争议的，可协商解决。协商不成的，任何一方可向甲方住所地有管辖权的人民法院提起诉讼。</w:t>
      </w:r>
    </w:p>
    <w:p w14:paraId="6A7D9454">
      <w:pPr>
        <w:spacing w:line="360" w:lineRule="auto"/>
        <w:ind w:firstLine="403"/>
        <w:rPr>
          <w:rFonts w:hint="eastAsia" w:ascii="Times New Roman"/>
          <w:color w:val="auto"/>
        </w:rPr>
      </w:pPr>
      <w:r>
        <w:rPr>
          <w:rFonts w:hint="eastAsia" w:ascii="Times New Roman"/>
          <w:color w:val="auto"/>
          <w:lang w:val="en-US" w:eastAsia="zh-CN"/>
        </w:rPr>
        <w:t>2.本合同中的甲方因追究乙方违约责任所产生的所有费用由乙方承担（包括但不限于诉讼费、财产保全费、担保费、公证费、评估费、鉴定费、律师费、差旅费、向第三人支付的赔偿款/违约金/费用、向政府部门支付的罚款等）。</w:t>
      </w:r>
    </w:p>
    <w:p w14:paraId="7B740097">
      <w:pPr>
        <w:spacing w:line="360" w:lineRule="auto"/>
        <w:rPr>
          <w:rFonts w:ascii="Times New Roman"/>
          <w:color w:val="auto"/>
        </w:rPr>
      </w:pPr>
    </w:p>
    <w:p w14:paraId="6C19B5DA">
      <w:pPr>
        <w:autoSpaceDE/>
        <w:autoSpaceDN/>
        <w:adjustRightInd/>
        <w:spacing w:line="360" w:lineRule="auto"/>
        <w:jc w:val="both"/>
        <w:outlineLvl w:val="1"/>
        <w:rPr>
          <w:rFonts w:ascii="Times New Roman"/>
          <w:b/>
          <w:color w:val="auto"/>
        </w:rPr>
      </w:pPr>
      <w:bookmarkStart w:id="34" w:name="_Toc27495489"/>
      <w:r>
        <w:rPr>
          <w:rFonts w:hint="eastAsia" w:ascii="Times New Roman"/>
          <w:b/>
          <w:color w:val="auto"/>
        </w:rPr>
        <w:t>第</w:t>
      </w:r>
      <w:r>
        <w:rPr>
          <w:rFonts w:hint="eastAsia" w:ascii="Times New Roman"/>
          <w:b/>
          <w:color w:val="auto"/>
          <w:lang w:val="en-US" w:eastAsia="zh-CN"/>
        </w:rPr>
        <w:t>六</w:t>
      </w:r>
      <w:r>
        <w:rPr>
          <w:rFonts w:hint="eastAsia" w:ascii="Times New Roman"/>
          <w:b/>
          <w:color w:val="auto"/>
        </w:rPr>
        <w:t>条 其他</w:t>
      </w:r>
      <w:bookmarkEnd w:id="34"/>
    </w:p>
    <w:p w14:paraId="011152BE">
      <w:pPr>
        <w:widowControl/>
        <w:spacing w:line="360" w:lineRule="auto"/>
        <w:ind w:firstLine="480" w:firstLineChars="200"/>
        <w:rPr>
          <w:rFonts w:ascii="Times New Roman"/>
          <w:color w:val="auto"/>
        </w:rPr>
      </w:pPr>
      <w:r>
        <w:rPr>
          <w:rFonts w:hint="eastAsia" w:ascii="Times New Roman"/>
          <w:color w:val="auto"/>
          <w:lang w:eastAsia="zh-CN"/>
        </w:rPr>
        <w:t>1.</w:t>
      </w:r>
      <w:r>
        <w:rPr>
          <w:rFonts w:hint="eastAsia" w:ascii="Times New Roman"/>
          <w:color w:val="auto"/>
        </w:rPr>
        <w:t>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r>
        <w:rPr>
          <w:rFonts w:ascii="Times New Roman"/>
          <w:color w:val="auto"/>
        </w:rPr>
        <w:t>。</w:t>
      </w:r>
    </w:p>
    <w:p w14:paraId="1C8FF061">
      <w:pPr>
        <w:widowControl/>
        <w:spacing w:line="360" w:lineRule="auto"/>
        <w:ind w:firstLine="480" w:firstLineChars="200"/>
        <w:rPr>
          <w:rFonts w:ascii="Times New Roman"/>
          <w:color w:val="auto"/>
        </w:rPr>
      </w:pPr>
      <w:r>
        <w:rPr>
          <w:rFonts w:hint="eastAsia" w:ascii="Times New Roman"/>
          <w:color w:val="auto"/>
          <w:lang w:eastAsia="zh-CN"/>
        </w:rPr>
        <w:t>2.</w:t>
      </w:r>
      <w:r>
        <w:rPr>
          <w:rFonts w:hint="eastAsia" w:ascii="Times New Roman"/>
          <w:color w:val="auto"/>
        </w:rPr>
        <w:t>乙方确认：本合同中列明的乙方</w:t>
      </w:r>
      <w:r>
        <w:rPr>
          <w:rFonts w:ascii="Times New Roman"/>
          <w:color w:val="auto"/>
        </w:rPr>
        <w:t>“</w:t>
      </w:r>
      <w:r>
        <w:rPr>
          <w:rFonts w:hint="eastAsia" w:ascii="Times New Roman"/>
          <w:color w:val="auto"/>
        </w:rPr>
        <w:t>地址</w:t>
      </w:r>
      <w:r>
        <w:rPr>
          <w:rFonts w:ascii="Times New Roman"/>
          <w:color w:val="auto"/>
        </w:rPr>
        <w:t>”</w:t>
      </w:r>
      <w:r>
        <w:rPr>
          <w:rFonts w:hint="eastAsia" w:ascii="Times New Roman"/>
          <w:color w:val="auto"/>
        </w:rPr>
        <w:t>为有效的收件地址，甲方对乙方的相关通知、函件等可通过特快专递方式送达至该地址。甲方通过特快专递方式向乙方</w:t>
      </w:r>
      <w:r>
        <w:rPr>
          <w:rFonts w:ascii="Times New Roman"/>
          <w:color w:val="auto"/>
        </w:rPr>
        <w:t>“</w:t>
      </w:r>
      <w:r>
        <w:rPr>
          <w:rFonts w:hint="eastAsia" w:ascii="Times New Roman"/>
          <w:color w:val="auto"/>
        </w:rPr>
        <w:t>地址</w:t>
      </w:r>
      <w:r>
        <w:rPr>
          <w:rFonts w:ascii="Times New Roman"/>
          <w:color w:val="auto"/>
        </w:rPr>
        <w:t>”</w:t>
      </w:r>
      <w:r>
        <w:rPr>
          <w:rFonts w:hint="eastAsia" w:ascii="Times New Roman"/>
          <w:color w:val="auto"/>
        </w:rPr>
        <w:t>发出相关通知、函件等</w:t>
      </w:r>
      <w:r>
        <w:rPr>
          <w:rFonts w:ascii="Times New Roman"/>
          <w:color w:val="auto"/>
          <w:u w:val="single"/>
        </w:rPr>
        <w:t>3</w:t>
      </w:r>
      <w:r>
        <w:rPr>
          <w:rFonts w:hint="eastAsia" w:ascii="Times New Roman"/>
          <w:color w:val="auto"/>
          <w:lang w:eastAsia="zh-CN"/>
        </w:rPr>
        <w:t>日</w:t>
      </w:r>
      <w:r>
        <w:rPr>
          <w:rFonts w:hint="eastAsia" w:ascii="Times New Roman"/>
          <w:color w:val="auto"/>
        </w:rPr>
        <w:t>后，即视为有效送达。乙方更换地址的，应该</w:t>
      </w:r>
      <w:r>
        <w:rPr>
          <w:rFonts w:ascii="Times New Roman"/>
          <w:color w:val="auto"/>
          <w:u w:val="single"/>
        </w:rPr>
        <w:t>3</w:t>
      </w:r>
      <w:r>
        <w:rPr>
          <w:rFonts w:hint="eastAsia" w:ascii="Times New Roman"/>
          <w:color w:val="auto"/>
        </w:rPr>
        <w:t>日内书面告知甲方。</w:t>
      </w:r>
    </w:p>
    <w:p w14:paraId="15E3EC6D">
      <w:pPr>
        <w:spacing w:line="360" w:lineRule="auto"/>
        <w:ind w:firstLine="480" w:firstLineChars="200"/>
        <w:rPr>
          <w:rFonts w:ascii="Times New Roman"/>
          <w:color w:val="auto"/>
        </w:rPr>
      </w:pPr>
      <w:r>
        <w:rPr>
          <w:rFonts w:hint="eastAsia" w:ascii="Times New Roman"/>
          <w:color w:val="auto"/>
          <w:lang w:val="en-US" w:eastAsia="zh-CN"/>
        </w:rPr>
        <w:t>3.</w:t>
      </w:r>
      <w:r>
        <w:rPr>
          <w:rFonts w:hint="eastAsia" w:ascii="Times New Roman"/>
          <w:color w:val="auto"/>
        </w:rPr>
        <w:t>本合同一式</w:t>
      </w:r>
      <w:r>
        <w:rPr>
          <w:rFonts w:ascii="Times New Roman"/>
          <w:color w:val="auto"/>
          <w:u w:val="single"/>
        </w:rPr>
        <w:t xml:space="preserve"> 肆</w:t>
      </w:r>
      <w:r>
        <w:rPr>
          <w:rFonts w:hint="eastAsia" w:ascii="Times New Roman"/>
          <w:color w:val="auto"/>
          <w:u w:val="single"/>
        </w:rPr>
        <w:t xml:space="preserve"> </w:t>
      </w:r>
      <w:r>
        <w:rPr>
          <w:rFonts w:hint="eastAsia" w:ascii="Times New Roman"/>
          <w:color w:val="auto"/>
        </w:rPr>
        <w:t>份，其中甲方执</w:t>
      </w:r>
      <w:r>
        <w:rPr>
          <w:rFonts w:hint="eastAsia" w:ascii="Times New Roman"/>
          <w:color w:val="auto"/>
          <w:u w:val="single"/>
        </w:rPr>
        <w:t xml:space="preserve"> </w:t>
      </w:r>
      <w:r>
        <w:rPr>
          <w:rFonts w:hint="eastAsia" w:ascii="Times New Roman"/>
          <w:color w:val="auto"/>
          <w:u w:val="single"/>
          <w:lang w:val="en-US" w:eastAsia="zh-CN"/>
        </w:rPr>
        <w:t>贰</w:t>
      </w:r>
      <w:r>
        <w:rPr>
          <w:rFonts w:ascii="Times New Roman"/>
          <w:color w:val="auto"/>
          <w:u w:val="single"/>
        </w:rPr>
        <w:t xml:space="preserve"> </w:t>
      </w:r>
      <w:r>
        <w:rPr>
          <w:rFonts w:hint="eastAsia" w:ascii="Times New Roman"/>
          <w:color w:val="auto"/>
        </w:rPr>
        <w:t>份，乙方执</w:t>
      </w:r>
      <w:r>
        <w:rPr>
          <w:rFonts w:hint="eastAsia" w:ascii="Times New Roman"/>
          <w:color w:val="auto"/>
          <w:u w:val="single"/>
        </w:rPr>
        <w:t xml:space="preserve">  </w:t>
      </w:r>
      <w:r>
        <w:rPr>
          <w:rFonts w:hint="eastAsia" w:ascii="Times New Roman"/>
          <w:color w:val="auto"/>
          <w:u w:val="single"/>
          <w:lang w:val="en-US" w:eastAsia="zh-CN"/>
        </w:rPr>
        <w:t>贰</w:t>
      </w:r>
      <w:r>
        <w:rPr>
          <w:rFonts w:hint="eastAsia" w:ascii="Times New Roman"/>
          <w:color w:val="auto"/>
          <w:u w:val="single"/>
        </w:rPr>
        <w:t xml:space="preserve"> </w:t>
      </w:r>
      <w:r>
        <w:rPr>
          <w:rFonts w:hint="eastAsia" w:ascii="Times New Roman"/>
          <w:color w:val="auto"/>
        </w:rPr>
        <w:t>份，每份均具有同等法律效力。</w:t>
      </w:r>
    </w:p>
    <w:p w14:paraId="1C4F2D60">
      <w:pPr>
        <w:spacing w:line="360" w:lineRule="auto"/>
        <w:ind w:firstLine="480" w:firstLineChars="200"/>
        <w:rPr>
          <w:rFonts w:ascii="Times New Roman"/>
          <w:color w:val="auto"/>
        </w:rPr>
      </w:pPr>
      <w:r>
        <w:rPr>
          <w:rFonts w:hint="eastAsia" w:ascii="Times New Roman"/>
          <w:color w:val="auto"/>
          <w:lang w:val="en-US" w:eastAsia="zh-CN"/>
        </w:rPr>
        <w:t>4.</w:t>
      </w:r>
      <w:r>
        <w:rPr>
          <w:rFonts w:hint="eastAsia" w:ascii="Times New Roman"/>
          <w:color w:val="auto"/>
        </w:rPr>
        <w:t>本合同经双方法定代表人或负责人签名并盖章后生效。</w:t>
      </w:r>
    </w:p>
    <w:p w14:paraId="6B074B45">
      <w:pPr>
        <w:spacing w:line="360" w:lineRule="auto"/>
        <w:ind w:firstLine="480" w:firstLineChars="200"/>
        <w:rPr>
          <w:rFonts w:hint="eastAsia" w:ascii="Times New Roman"/>
          <w:color w:val="auto"/>
        </w:rPr>
      </w:pPr>
      <w:r>
        <w:rPr>
          <w:rFonts w:hint="eastAsia" w:ascii="Times New Roman"/>
          <w:color w:val="auto"/>
          <w:lang w:val="en-US" w:eastAsia="zh-CN"/>
        </w:rPr>
        <w:t>5.</w:t>
      </w:r>
      <w:r>
        <w:rPr>
          <w:rFonts w:hint="eastAsia" w:ascii="Times New Roman"/>
          <w:color w:val="auto"/>
        </w:rPr>
        <w:t>本合同附件是本合同不可分割内容，与本合同同时生效，同具法律效力。合同条款与附件、采购文件、报价文件等其他文件不一致的，以有利于甲方的约定/解释为准。</w:t>
      </w:r>
    </w:p>
    <w:p w14:paraId="7C420C14">
      <w:pPr>
        <w:pStyle w:val="18"/>
        <w:rPr>
          <w:color w:val="auto"/>
        </w:rPr>
      </w:pPr>
    </w:p>
    <w:p w14:paraId="402BF1E8">
      <w:pPr>
        <w:spacing w:line="360" w:lineRule="auto"/>
        <w:ind w:firstLine="480" w:firstLineChars="200"/>
        <w:rPr>
          <w:rFonts w:hint="default" w:ascii="Times New Roman"/>
          <w:color w:val="auto"/>
          <w:lang w:val="en-US" w:eastAsia="zh-CN"/>
        </w:rPr>
      </w:pPr>
      <w:r>
        <w:rPr>
          <w:rFonts w:hint="eastAsia" w:ascii="Times New Roman"/>
          <w:color w:val="auto"/>
          <w:lang w:val="en-US" w:eastAsia="zh-CN"/>
        </w:rPr>
        <w:t>附件1 阳光合作告知函</w:t>
      </w:r>
    </w:p>
    <w:p w14:paraId="186A04D2">
      <w:pPr>
        <w:spacing w:line="360" w:lineRule="auto"/>
        <w:ind w:firstLine="480" w:firstLineChars="200"/>
        <w:rPr>
          <w:rFonts w:hint="eastAsia" w:ascii="宋体" w:hAnsi="宋体" w:eastAsia="宋体"/>
          <w:color w:val="auto"/>
          <w:sz w:val="24"/>
          <w:szCs w:val="24"/>
          <w:lang w:eastAsia="zh-CN"/>
        </w:rPr>
      </w:pPr>
      <w:r>
        <w:rPr>
          <w:rFonts w:hint="eastAsia" w:ascii="Times New Roman"/>
          <w:color w:val="auto"/>
          <w:lang w:val="en-US" w:eastAsia="zh-CN"/>
        </w:rPr>
        <w:t>附件2 保密协议</w:t>
      </w:r>
    </w:p>
    <w:p w14:paraId="76B8CA1F">
      <w:pPr>
        <w:spacing w:line="360" w:lineRule="auto"/>
        <w:ind w:firstLine="480" w:firstLineChars="200"/>
        <w:rPr>
          <w:rFonts w:ascii="Times New Roman"/>
          <w:color w:val="auto"/>
        </w:rPr>
      </w:pPr>
      <w:r>
        <w:rPr>
          <w:rFonts w:hint="eastAsia" w:ascii="Times New Roman"/>
          <w:color w:val="auto"/>
          <w:lang w:val="en-US" w:eastAsia="zh-CN"/>
        </w:rPr>
        <w:t>附件3 采购需求书</w:t>
      </w:r>
    </w:p>
    <w:p w14:paraId="23894148">
      <w:pPr>
        <w:pStyle w:val="18"/>
        <w:rPr>
          <w:color w:val="auto"/>
        </w:rPr>
      </w:pPr>
    </w:p>
    <w:p w14:paraId="37B0DCD7">
      <w:pPr>
        <w:pStyle w:val="17"/>
        <w:rPr>
          <w:color w:val="auto"/>
        </w:rPr>
      </w:pPr>
    </w:p>
    <w:p w14:paraId="4B425E96">
      <w:pPr>
        <w:pStyle w:val="17"/>
        <w:rPr>
          <w:color w:val="auto"/>
        </w:rPr>
      </w:pPr>
    </w:p>
    <w:p w14:paraId="17B688E6">
      <w:pPr>
        <w:pStyle w:val="17"/>
        <w:rPr>
          <w:color w:val="auto"/>
        </w:rPr>
      </w:pPr>
    </w:p>
    <w:tbl>
      <w:tblPr>
        <w:tblStyle w:val="20"/>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2"/>
        <w:gridCol w:w="5102"/>
      </w:tblGrid>
      <w:tr w14:paraId="5DE7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17CF32A4">
            <w:pPr>
              <w:spacing w:line="360" w:lineRule="auto"/>
              <w:jc w:val="both"/>
              <w:rPr>
                <w:rFonts w:hint="eastAsia" w:ascii="Times New Roman" w:eastAsia="宋体"/>
                <w:color w:val="auto"/>
                <w:vertAlign w:val="baseline"/>
                <w:lang w:eastAsia="zh-CN"/>
              </w:rPr>
            </w:pPr>
            <w:r>
              <w:rPr>
                <w:rFonts w:hint="eastAsia" w:ascii="Times New Roman"/>
                <w:color w:val="auto"/>
                <w:vertAlign w:val="baseline"/>
              </w:rPr>
              <w:t>甲方（盖章）</w:t>
            </w:r>
            <w:r>
              <w:rPr>
                <w:rFonts w:hint="eastAsia" w:ascii="Times New Roman"/>
                <w:color w:val="auto"/>
                <w:vertAlign w:val="baseline"/>
                <w:lang w:eastAsia="zh-CN"/>
              </w:rPr>
              <w:t>：</w:t>
            </w:r>
            <w:r>
              <w:rPr>
                <w:rFonts w:hint="eastAsia" w:ascii="Times New Roman" w:cs="Times New Roman"/>
                <w:color w:val="auto"/>
                <w:sz w:val="22"/>
                <w:szCs w:val="22"/>
                <w:u w:val="single"/>
                <w:lang w:eastAsia="zh-CN" w:bidi="ar"/>
              </w:rPr>
              <w:t>东莞市水务环境投资控股集团有限公司</w:t>
            </w:r>
          </w:p>
        </w:tc>
        <w:tc>
          <w:tcPr>
            <w:tcW w:w="5102" w:type="dxa"/>
            <w:tcBorders>
              <w:tl2br w:val="nil"/>
              <w:tr2bl w:val="nil"/>
            </w:tcBorders>
            <w:tcMar>
              <w:top w:w="0" w:type="dxa"/>
              <w:left w:w="57" w:type="dxa"/>
              <w:bottom w:w="0" w:type="dxa"/>
              <w:right w:w="57" w:type="dxa"/>
            </w:tcMar>
            <w:vAlign w:val="top"/>
          </w:tcPr>
          <w:p w14:paraId="2AD677DC">
            <w:pPr>
              <w:spacing w:line="360" w:lineRule="auto"/>
              <w:jc w:val="both"/>
              <w:rPr>
                <w:rFonts w:hint="default" w:ascii="Times New Roman" w:eastAsia="宋体"/>
                <w:color w:val="auto"/>
                <w:vertAlign w:val="baseline"/>
                <w:lang w:val="en-US" w:eastAsia="zh-CN"/>
              </w:rPr>
            </w:pPr>
            <w:r>
              <w:rPr>
                <w:rFonts w:hint="eastAsia" w:ascii="Times New Roman"/>
                <w:color w:val="auto"/>
                <w:vertAlign w:val="baseline"/>
              </w:rPr>
              <w:t>乙方（盖章）：</w:t>
            </w:r>
          </w:p>
        </w:tc>
      </w:tr>
      <w:tr w14:paraId="498B3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12BA811D">
            <w:pPr>
              <w:spacing w:line="360" w:lineRule="auto"/>
              <w:jc w:val="both"/>
              <w:rPr>
                <w:rFonts w:hint="eastAsia" w:ascii="Times New Roman"/>
                <w:color w:val="auto"/>
                <w:vertAlign w:val="baseline"/>
              </w:rPr>
            </w:pPr>
          </w:p>
        </w:tc>
        <w:tc>
          <w:tcPr>
            <w:tcW w:w="5102" w:type="dxa"/>
            <w:tcBorders>
              <w:tl2br w:val="nil"/>
              <w:tr2bl w:val="nil"/>
            </w:tcBorders>
            <w:tcMar>
              <w:top w:w="0" w:type="dxa"/>
              <w:left w:w="57" w:type="dxa"/>
              <w:bottom w:w="0" w:type="dxa"/>
              <w:right w:w="57" w:type="dxa"/>
            </w:tcMar>
            <w:vAlign w:val="top"/>
          </w:tcPr>
          <w:p w14:paraId="2226398C">
            <w:pPr>
              <w:spacing w:line="360" w:lineRule="auto"/>
              <w:jc w:val="both"/>
              <w:rPr>
                <w:rFonts w:hint="eastAsia" w:ascii="Times New Roman"/>
                <w:color w:val="auto"/>
                <w:vertAlign w:val="baseline"/>
              </w:rPr>
            </w:pPr>
          </w:p>
        </w:tc>
      </w:tr>
      <w:tr w14:paraId="195D7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640CE3B5">
            <w:pPr>
              <w:spacing w:line="360" w:lineRule="auto"/>
              <w:jc w:val="both"/>
              <w:rPr>
                <w:rFonts w:hint="eastAsia" w:ascii="Times New Roman"/>
                <w:color w:val="auto"/>
                <w:vertAlign w:val="baseline"/>
              </w:rPr>
            </w:pPr>
          </w:p>
        </w:tc>
        <w:tc>
          <w:tcPr>
            <w:tcW w:w="5102" w:type="dxa"/>
            <w:tcBorders>
              <w:tl2br w:val="nil"/>
              <w:tr2bl w:val="nil"/>
            </w:tcBorders>
            <w:tcMar>
              <w:top w:w="0" w:type="dxa"/>
              <w:left w:w="57" w:type="dxa"/>
              <w:bottom w:w="0" w:type="dxa"/>
              <w:right w:w="57" w:type="dxa"/>
            </w:tcMar>
            <w:vAlign w:val="top"/>
          </w:tcPr>
          <w:p w14:paraId="2E9D7B9F">
            <w:pPr>
              <w:spacing w:line="360" w:lineRule="auto"/>
              <w:jc w:val="both"/>
              <w:rPr>
                <w:rFonts w:hint="eastAsia" w:ascii="Times New Roman"/>
                <w:color w:val="auto"/>
                <w:vertAlign w:val="baseline"/>
              </w:rPr>
            </w:pPr>
          </w:p>
        </w:tc>
      </w:tr>
      <w:tr w14:paraId="123E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675F1A66">
            <w:pPr>
              <w:spacing w:line="360" w:lineRule="auto"/>
              <w:jc w:val="both"/>
              <w:rPr>
                <w:rFonts w:hint="eastAsia" w:ascii="Times New Roman"/>
                <w:color w:val="auto"/>
                <w:vertAlign w:val="baseline"/>
              </w:rPr>
            </w:pPr>
            <w:r>
              <w:rPr>
                <w:rFonts w:hint="eastAsia" w:ascii="Times New Roman"/>
                <w:color w:val="auto"/>
                <w:vertAlign w:val="baseline"/>
              </w:rPr>
              <w:t>法定代表人（或</w:t>
            </w:r>
            <w:r>
              <w:rPr>
                <w:rFonts w:hint="eastAsia" w:ascii="Times New Roman"/>
                <w:color w:val="auto"/>
                <w:vertAlign w:val="baseline"/>
                <w:lang w:val="en-US" w:eastAsia="zh-CN"/>
              </w:rPr>
              <w:t>授权代表</w:t>
            </w:r>
            <w:r>
              <w:rPr>
                <w:rFonts w:hint="eastAsia" w:ascii="Times New Roman"/>
                <w:color w:val="auto"/>
                <w:vertAlign w:val="baseline"/>
              </w:rPr>
              <w:t>）：</w:t>
            </w:r>
          </w:p>
        </w:tc>
        <w:tc>
          <w:tcPr>
            <w:tcW w:w="5102" w:type="dxa"/>
            <w:tcBorders>
              <w:tl2br w:val="nil"/>
              <w:tr2bl w:val="nil"/>
            </w:tcBorders>
            <w:tcMar>
              <w:top w:w="0" w:type="dxa"/>
              <w:left w:w="57" w:type="dxa"/>
              <w:bottom w:w="0" w:type="dxa"/>
              <w:right w:w="57" w:type="dxa"/>
            </w:tcMar>
            <w:vAlign w:val="top"/>
          </w:tcPr>
          <w:p w14:paraId="0D7BD99E">
            <w:pPr>
              <w:spacing w:line="360" w:lineRule="auto"/>
              <w:jc w:val="both"/>
              <w:rPr>
                <w:rFonts w:hint="eastAsia" w:ascii="Times New Roman"/>
                <w:color w:val="auto"/>
                <w:vertAlign w:val="baseline"/>
              </w:rPr>
            </w:pPr>
            <w:r>
              <w:rPr>
                <w:rFonts w:hint="eastAsia" w:ascii="Times New Roman"/>
                <w:color w:val="auto"/>
                <w:vertAlign w:val="baseline"/>
              </w:rPr>
              <w:t>法定代表人（或</w:t>
            </w:r>
            <w:r>
              <w:rPr>
                <w:rFonts w:hint="eastAsia" w:ascii="Times New Roman"/>
                <w:color w:val="auto"/>
                <w:vertAlign w:val="baseline"/>
                <w:lang w:val="en-US" w:eastAsia="zh-CN"/>
              </w:rPr>
              <w:t>授权代表</w:t>
            </w:r>
            <w:r>
              <w:rPr>
                <w:rFonts w:hint="eastAsia" w:ascii="Times New Roman"/>
                <w:color w:val="auto"/>
                <w:vertAlign w:val="baseline"/>
              </w:rPr>
              <w:t>）：</w:t>
            </w:r>
          </w:p>
        </w:tc>
      </w:tr>
    </w:tbl>
    <w:p w14:paraId="36746D85">
      <w:pPr>
        <w:spacing w:line="360" w:lineRule="auto"/>
        <w:rPr>
          <w:rFonts w:ascii="Times New Roman"/>
          <w:color w:val="auto"/>
        </w:rPr>
      </w:pPr>
    </w:p>
    <w:p w14:paraId="4D1B8A7E">
      <w:pPr>
        <w:spacing w:line="360" w:lineRule="auto"/>
        <w:rPr>
          <w:rFonts w:hint="default" w:ascii="Times New Roman" w:eastAsia="宋体"/>
          <w:color w:val="auto"/>
          <w:lang w:val="en-US" w:eastAsia="zh-CN"/>
        </w:rPr>
      </w:pPr>
      <w:r>
        <w:rPr>
          <w:rFonts w:hint="eastAsia" w:ascii="Times New Roman"/>
          <w:color w:val="auto"/>
        </w:rPr>
        <w:t>签</w:t>
      </w:r>
      <w:r>
        <w:rPr>
          <w:rFonts w:hint="eastAsia" w:ascii="Times New Roman"/>
          <w:color w:val="auto"/>
          <w:lang w:val="en-US" w:eastAsia="zh-CN"/>
        </w:rPr>
        <w:t>订</w:t>
      </w:r>
      <w:r>
        <w:rPr>
          <w:rFonts w:hint="eastAsia" w:ascii="Times New Roman"/>
          <w:color w:val="auto"/>
        </w:rPr>
        <w:t>日期：</w:t>
      </w:r>
      <w:r>
        <w:rPr>
          <w:rFonts w:hint="eastAsia" w:ascii="Times New Roman"/>
          <w:color w:val="auto"/>
          <w:lang w:val="en-US" w:eastAsia="zh-CN"/>
        </w:rPr>
        <w:t xml:space="preserve">   年   月   日</w:t>
      </w:r>
    </w:p>
    <w:p w14:paraId="02977B86">
      <w:pPr>
        <w:spacing w:line="360" w:lineRule="auto"/>
        <w:rPr>
          <w:rFonts w:ascii="Times New Roman"/>
          <w:color w:val="auto"/>
        </w:rPr>
      </w:pPr>
      <w:r>
        <w:rPr>
          <w:rFonts w:hint="eastAsia" w:ascii="Times New Roman"/>
          <w:color w:val="auto"/>
        </w:rPr>
        <w:t>签</w:t>
      </w:r>
      <w:r>
        <w:rPr>
          <w:rFonts w:hint="eastAsia" w:ascii="Times New Roman"/>
          <w:color w:val="auto"/>
          <w:lang w:val="en-US" w:eastAsia="zh-CN"/>
        </w:rPr>
        <w:t>订</w:t>
      </w:r>
      <w:r>
        <w:rPr>
          <w:rFonts w:hint="eastAsia" w:ascii="Times New Roman"/>
          <w:color w:val="auto"/>
        </w:rPr>
        <w:t>地点：广东省东莞市</w:t>
      </w:r>
    </w:p>
    <w:p w14:paraId="17BF58F4">
      <w:pPr>
        <w:spacing w:line="420" w:lineRule="exact"/>
        <w:jc w:val="center"/>
        <w:rPr>
          <w:rFonts w:hint="eastAsia" w:ascii="仿宋_GB2312" w:hAnsi="仿宋_GB2312" w:eastAsia="仿宋_GB2312" w:cs="仿宋_GB2312"/>
          <w:b/>
          <w:bCs/>
          <w:color w:val="auto"/>
          <w:sz w:val="36"/>
          <w:szCs w:val="36"/>
        </w:rPr>
      </w:pPr>
    </w:p>
    <w:p w14:paraId="11664E03">
      <w:pPr>
        <w:spacing w:line="420" w:lineRule="exact"/>
        <w:jc w:val="center"/>
        <w:rPr>
          <w:rFonts w:hint="eastAsia" w:ascii="仿宋_GB2312" w:hAnsi="仿宋_GB2312" w:eastAsia="仿宋_GB2312" w:cs="仿宋_GB2312"/>
          <w:b/>
          <w:bCs/>
          <w:color w:val="auto"/>
          <w:sz w:val="36"/>
          <w:szCs w:val="36"/>
        </w:rPr>
      </w:pPr>
    </w:p>
    <w:p w14:paraId="2ED5FE9A">
      <w:pPr>
        <w:spacing w:line="420" w:lineRule="exact"/>
        <w:jc w:val="center"/>
        <w:rPr>
          <w:rFonts w:hint="eastAsia" w:ascii="仿宋_GB2312" w:hAnsi="仿宋_GB2312" w:eastAsia="仿宋_GB2312" w:cs="仿宋_GB2312"/>
          <w:b/>
          <w:bCs/>
          <w:color w:val="auto"/>
          <w:sz w:val="36"/>
          <w:szCs w:val="36"/>
        </w:rPr>
      </w:pPr>
    </w:p>
    <w:p w14:paraId="451A5DB9">
      <w:pPr>
        <w:spacing w:line="420" w:lineRule="exact"/>
        <w:jc w:val="center"/>
        <w:rPr>
          <w:rFonts w:hint="eastAsia" w:ascii="仿宋_GB2312" w:hAnsi="仿宋_GB2312" w:eastAsia="仿宋_GB2312" w:cs="仿宋_GB2312"/>
          <w:b/>
          <w:bCs/>
          <w:color w:val="auto"/>
          <w:sz w:val="36"/>
          <w:szCs w:val="36"/>
        </w:rPr>
      </w:pPr>
    </w:p>
    <w:p w14:paraId="2A401671">
      <w:pPr>
        <w:spacing w:line="420" w:lineRule="exact"/>
        <w:jc w:val="center"/>
        <w:rPr>
          <w:rFonts w:hint="eastAsia" w:ascii="仿宋_GB2312" w:hAnsi="仿宋_GB2312" w:eastAsia="仿宋_GB2312" w:cs="仿宋_GB2312"/>
          <w:b/>
          <w:bCs/>
          <w:color w:val="auto"/>
          <w:sz w:val="36"/>
          <w:szCs w:val="36"/>
        </w:rPr>
      </w:pPr>
    </w:p>
    <w:p w14:paraId="5A08C492">
      <w:pPr>
        <w:spacing w:line="420" w:lineRule="exact"/>
        <w:jc w:val="center"/>
        <w:rPr>
          <w:rFonts w:hint="eastAsia" w:ascii="仿宋_GB2312" w:hAnsi="仿宋_GB2312" w:eastAsia="仿宋_GB2312" w:cs="仿宋_GB2312"/>
          <w:b/>
          <w:bCs/>
          <w:color w:val="auto"/>
          <w:sz w:val="36"/>
          <w:szCs w:val="36"/>
        </w:rPr>
      </w:pPr>
    </w:p>
    <w:p w14:paraId="6689BD9F">
      <w:pPr>
        <w:spacing w:line="420" w:lineRule="exact"/>
        <w:jc w:val="center"/>
        <w:rPr>
          <w:rFonts w:hint="eastAsia" w:ascii="仿宋_GB2312" w:hAnsi="仿宋_GB2312" w:eastAsia="仿宋_GB2312" w:cs="仿宋_GB2312"/>
          <w:b/>
          <w:bCs/>
          <w:color w:val="auto"/>
          <w:sz w:val="36"/>
          <w:szCs w:val="36"/>
        </w:rPr>
      </w:pPr>
    </w:p>
    <w:p w14:paraId="4B892382">
      <w:pPr>
        <w:spacing w:line="420" w:lineRule="exact"/>
        <w:jc w:val="center"/>
        <w:rPr>
          <w:rFonts w:hint="eastAsia" w:ascii="仿宋_GB2312" w:hAnsi="仿宋_GB2312" w:eastAsia="仿宋_GB2312" w:cs="仿宋_GB2312"/>
          <w:b/>
          <w:bCs/>
          <w:color w:val="auto"/>
          <w:sz w:val="36"/>
          <w:szCs w:val="36"/>
        </w:rPr>
      </w:pPr>
    </w:p>
    <w:p w14:paraId="050AC159">
      <w:pPr>
        <w:spacing w:line="420" w:lineRule="exact"/>
        <w:jc w:val="center"/>
        <w:rPr>
          <w:rFonts w:hint="eastAsia" w:ascii="仿宋_GB2312" w:hAnsi="仿宋_GB2312" w:eastAsia="仿宋_GB2312" w:cs="仿宋_GB2312"/>
          <w:b/>
          <w:bCs/>
          <w:color w:val="auto"/>
          <w:sz w:val="36"/>
          <w:szCs w:val="36"/>
        </w:rPr>
      </w:pPr>
    </w:p>
    <w:p w14:paraId="6C989EDC">
      <w:pPr>
        <w:spacing w:line="420" w:lineRule="exact"/>
        <w:jc w:val="center"/>
        <w:rPr>
          <w:rFonts w:hint="eastAsia" w:ascii="仿宋_GB2312" w:hAnsi="仿宋_GB2312" w:eastAsia="仿宋_GB2312" w:cs="仿宋_GB2312"/>
          <w:b/>
          <w:bCs/>
          <w:color w:val="auto"/>
          <w:sz w:val="36"/>
          <w:szCs w:val="36"/>
        </w:rPr>
      </w:pPr>
    </w:p>
    <w:p w14:paraId="6695EC2B">
      <w:pPr>
        <w:spacing w:line="420" w:lineRule="exact"/>
        <w:jc w:val="center"/>
        <w:rPr>
          <w:rFonts w:hint="eastAsia" w:ascii="仿宋_GB2312" w:hAnsi="仿宋_GB2312" w:eastAsia="仿宋_GB2312" w:cs="仿宋_GB2312"/>
          <w:b/>
          <w:bCs/>
          <w:color w:val="auto"/>
          <w:sz w:val="36"/>
          <w:szCs w:val="36"/>
        </w:rPr>
      </w:pPr>
    </w:p>
    <w:p w14:paraId="24D767BF">
      <w:pPr>
        <w:spacing w:line="420" w:lineRule="exact"/>
        <w:jc w:val="center"/>
        <w:rPr>
          <w:rFonts w:hint="eastAsia" w:ascii="仿宋_GB2312" w:hAnsi="仿宋_GB2312" w:eastAsia="仿宋_GB2312" w:cs="仿宋_GB2312"/>
          <w:b/>
          <w:bCs/>
          <w:color w:val="auto"/>
          <w:sz w:val="36"/>
          <w:szCs w:val="36"/>
        </w:rPr>
      </w:pPr>
    </w:p>
    <w:p w14:paraId="0B587780">
      <w:pPr>
        <w:spacing w:line="420" w:lineRule="exact"/>
        <w:jc w:val="center"/>
        <w:rPr>
          <w:rFonts w:hint="eastAsia" w:ascii="仿宋_GB2312" w:hAnsi="仿宋_GB2312" w:eastAsia="仿宋_GB2312" w:cs="仿宋_GB2312"/>
          <w:b/>
          <w:bCs/>
          <w:color w:val="auto"/>
          <w:sz w:val="36"/>
          <w:szCs w:val="36"/>
        </w:rPr>
      </w:pPr>
    </w:p>
    <w:p w14:paraId="1EA88A6D">
      <w:pPr>
        <w:spacing w:line="420" w:lineRule="exact"/>
        <w:jc w:val="center"/>
        <w:rPr>
          <w:rFonts w:hint="eastAsia" w:ascii="仿宋_GB2312" w:hAnsi="仿宋_GB2312" w:eastAsia="仿宋_GB2312" w:cs="仿宋_GB2312"/>
          <w:b/>
          <w:bCs/>
          <w:color w:val="auto"/>
          <w:sz w:val="36"/>
          <w:szCs w:val="36"/>
        </w:rPr>
      </w:pPr>
    </w:p>
    <w:p w14:paraId="33245575">
      <w:pPr>
        <w:spacing w:line="420" w:lineRule="exact"/>
        <w:jc w:val="center"/>
        <w:rPr>
          <w:rFonts w:hint="eastAsia" w:ascii="仿宋_GB2312" w:hAnsi="仿宋_GB2312" w:eastAsia="仿宋_GB2312" w:cs="仿宋_GB2312"/>
          <w:b/>
          <w:bCs/>
          <w:color w:val="auto"/>
          <w:sz w:val="36"/>
          <w:szCs w:val="36"/>
        </w:rPr>
      </w:pPr>
    </w:p>
    <w:p w14:paraId="00DE4849">
      <w:pPr>
        <w:spacing w:line="420" w:lineRule="exact"/>
        <w:jc w:val="center"/>
        <w:rPr>
          <w:rFonts w:hint="eastAsia" w:ascii="仿宋_GB2312" w:hAnsi="仿宋_GB2312" w:eastAsia="仿宋_GB2312" w:cs="仿宋_GB2312"/>
          <w:b/>
          <w:bCs/>
          <w:color w:val="auto"/>
          <w:sz w:val="36"/>
          <w:szCs w:val="36"/>
        </w:rPr>
      </w:pPr>
    </w:p>
    <w:p w14:paraId="55EA3EA2">
      <w:pPr>
        <w:spacing w:line="420" w:lineRule="exact"/>
        <w:jc w:val="center"/>
        <w:rPr>
          <w:rFonts w:hint="eastAsia" w:ascii="仿宋_GB2312" w:hAnsi="仿宋_GB2312" w:eastAsia="仿宋_GB2312" w:cs="仿宋_GB2312"/>
          <w:b/>
          <w:bCs/>
          <w:color w:val="auto"/>
          <w:sz w:val="36"/>
          <w:szCs w:val="36"/>
        </w:rPr>
      </w:pPr>
    </w:p>
    <w:p w14:paraId="4DFCA932">
      <w:pPr>
        <w:spacing w:line="420" w:lineRule="exact"/>
        <w:jc w:val="center"/>
        <w:rPr>
          <w:rFonts w:hint="eastAsia" w:ascii="仿宋_GB2312" w:hAnsi="仿宋_GB2312" w:eastAsia="仿宋_GB2312" w:cs="仿宋_GB2312"/>
          <w:b/>
          <w:bCs/>
          <w:color w:val="auto"/>
          <w:sz w:val="36"/>
          <w:szCs w:val="36"/>
        </w:rPr>
      </w:pPr>
    </w:p>
    <w:p w14:paraId="6B3CA90C">
      <w:pPr>
        <w:pStyle w:val="25"/>
        <w:rPr>
          <w:rFonts w:hint="eastAsia" w:ascii="仿宋_GB2312" w:hAnsi="仿宋_GB2312" w:eastAsia="仿宋_GB2312" w:cs="仿宋_GB2312"/>
          <w:b/>
          <w:bCs/>
          <w:color w:val="auto"/>
          <w:sz w:val="36"/>
          <w:szCs w:val="36"/>
        </w:rPr>
      </w:pPr>
    </w:p>
    <w:p w14:paraId="2F44C53A">
      <w:pPr>
        <w:pageBreakBefore w:val="0"/>
        <w:kinsoku/>
        <w:overflowPunct/>
        <w:topLinePunct w:val="0"/>
        <w:bidi w:val="0"/>
        <w:adjustRightInd w:val="0"/>
        <w:snapToGrid w:val="0"/>
        <w:spacing w:line="360" w:lineRule="auto"/>
        <w:ind w:left="0" w:leftChars="0" w:right="0"/>
        <w:rPr>
          <w:rFonts w:hint="default" w:ascii="Times New Roman" w:hAnsi="Times New Roman" w:cs="Times New Roman"/>
          <w:b/>
          <w:bCs/>
          <w:color w:val="auto"/>
        </w:rPr>
      </w:pPr>
      <w:r>
        <w:rPr>
          <w:rFonts w:hint="default" w:ascii="Times New Roman" w:hAnsi="Times New Roman" w:cs="Times New Roman"/>
          <w:b/>
          <w:bCs/>
          <w:color w:val="auto"/>
        </w:rPr>
        <w:t>附件</w:t>
      </w:r>
      <w:r>
        <w:rPr>
          <w:rFonts w:hint="eastAsia" w:ascii="Times New Roman" w:cs="Times New Roman"/>
          <w:b/>
          <w:bCs/>
          <w:color w:val="auto"/>
          <w:lang w:val="en-US" w:eastAsia="zh-CN"/>
        </w:rPr>
        <w:t>1</w:t>
      </w:r>
    </w:p>
    <w:p w14:paraId="1C814068">
      <w:pPr>
        <w:pStyle w:val="2"/>
        <w:keepNext/>
        <w:keepLines/>
        <w:pageBreakBefore w:val="0"/>
        <w:widowControl w:val="0"/>
        <w:kinsoku/>
        <w:wordWrap/>
        <w:overflowPunct/>
        <w:topLinePunct w:val="0"/>
        <w:autoSpaceDE w:val="0"/>
        <w:autoSpaceDN w:val="0"/>
        <w:bidi w:val="0"/>
        <w:adjustRightInd w:val="0"/>
        <w:snapToGrid w:val="0"/>
        <w:spacing w:before="0" w:beforeLines="0" w:after="0" w:afterLines="0" w:line="360" w:lineRule="auto"/>
        <w:ind w:left="0" w:leftChars="0" w:right="0"/>
        <w:jc w:val="center"/>
        <w:textAlignment w:val="auto"/>
        <w:rPr>
          <w:rFonts w:hint="default" w:ascii="Times New Roman" w:hAnsi="Times New Roman" w:cs="Times New Roman"/>
          <w:b/>
          <w:color w:val="auto"/>
          <w:sz w:val="30"/>
          <w:szCs w:val="30"/>
          <w:lang w:val="zh-CN"/>
        </w:rPr>
      </w:pPr>
      <w:r>
        <w:rPr>
          <w:rFonts w:hint="default" w:ascii="Times New Roman" w:hAnsi="Times New Roman" w:cs="Times New Roman"/>
          <w:b/>
          <w:color w:val="auto"/>
          <w:sz w:val="30"/>
          <w:szCs w:val="30"/>
          <w:lang w:val="zh-CN"/>
        </w:rPr>
        <w:t>阳光合作告知函</w:t>
      </w:r>
    </w:p>
    <w:p w14:paraId="12914232">
      <w:pPr>
        <w:pageBreakBefore w:val="0"/>
        <w:kinsoku/>
        <w:overflowPunct/>
        <w:topLinePunct w:val="0"/>
        <w:bidi w:val="0"/>
        <w:adjustRightInd w:val="0"/>
        <w:snapToGrid w:val="0"/>
        <w:spacing w:line="560" w:lineRule="exact"/>
        <w:ind w:left="0" w:leftChars="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项目名称：</w:t>
      </w:r>
      <w:r>
        <w:rPr>
          <w:rFonts w:hint="default" w:ascii="Times New Roman" w:hAnsi="Times New Roman" w:cs="Times New Roman"/>
          <w:b/>
          <w:bCs/>
          <w:color w:val="auto"/>
          <w:sz w:val="21"/>
          <w:szCs w:val="21"/>
          <w:lang w:val="en-US" w:eastAsia="zh-CN"/>
        </w:rPr>
        <w:t>终端电脑管理软件服务续保及扩容项目合同</w:t>
      </w:r>
    </w:p>
    <w:p w14:paraId="0192B2AB">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为保证我集团人员廉洁从业，规范和鼓励诚信交易行为，防止腐败和商业贿赂发生，推动双方建立阳光合作关系，现将我方推行阳光合作的相关管理规定函告如下：</w:t>
      </w:r>
    </w:p>
    <w:p w14:paraId="2BF0654C">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一、我方负责对本单位有关人员进行阳光合作教育和管理。</w:t>
      </w:r>
    </w:p>
    <w:p w14:paraId="0AC1EBEB">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二、我方人员有责任向贵方介绍本单位有关阳光合作的相关规定。</w:t>
      </w:r>
    </w:p>
    <w:p w14:paraId="4D1A6A2D">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三、我方人员应本着诚实守信、公平公开、平等互利原则开展交易合作，遵守国家相关法律法规。</w:t>
      </w:r>
    </w:p>
    <w:p w14:paraId="16C38030">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四、我方人员应廉洁从业，自觉抵制商业贿赂及不正当交易行为，在交易业务中涉及本人、亲属或其他相关人员时，应主动提请回避。</w:t>
      </w:r>
    </w:p>
    <w:p w14:paraId="269774D2">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五、在业务合作过程中，我方人员不得有以下违法违规行为：</w:t>
      </w:r>
    </w:p>
    <w:p w14:paraId="2CB57E82">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 xml:space="preserve">（一）合作过程中通过各种方式向贵方索贿、行贿，或为亲属、其他相关人员索取其他协助或服务； </w:t>
      </w:r>
    </w:p>
    <w:p w14:paraId="2771A47D">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二）合作过程中通过各种方式收受贵方财物、服务，或为他人谋取不正当利益，包括但不限于：实物、现金、有价证券、礼券等有价物品（以下统称“财物”），不得参加贵方提供的旅游或其他可能影响职务廉洁的活动；</w:t>
      </w:r>
    </w:p>
    <w:p w14:paraId="525403C4">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 xml:space="preserve">（三）擅自截留、挪用或侵占贵方财物； </w:t>
      </w:r>
    </w:p>
    <w:p w14:paraId="5C26E59B">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 xml:space="preserve">（四）以各种形式参与民间借贷，帮助贵方过桥借贷； </w:t>
      </w:r>
    </w:p>
    <w:p w14:paraId="7D5580CB">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（五）参与黄、赌、毒等违法犯罪活动；</w:t>
      </w:r>
    </w:p>
    <w:p w14:paraId="64B910E1">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 xml:space="preserve">（六）其他违反国家法律法规和违反廉洁从业的行为。 </w:t>
      </w:r>
    </w:p>
    <w:p w14:paraId="7502345E">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六、在业务合作期间，我方有权通过回访等方式监督阳光合作执行情况。贵方及贵方人员发现我方任何人员任何形式的行贿、索贿、受贿或其他违反阳光合作的行为，可及时向我方举报。</w:t>
      </w:r>
    </w:p>
    <w:p w14:paraId="09817279">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七、烦请贵方及贵方人员在投诉举报时，积极配合我方的相关调查工作，并提供联系方式等，便于我方纪检监察机构联系与调查核实。我方承诺对贵方的投诉举报人进行保密。</w:t>
      </w:r>
    </w:p>
    <w:p w14:paraId="33C0F472">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八、贵方投诉举报的情况，经查证属实，我方将视情节轻重和影响恶劣程度对相关人员进行内部处理；构成犯罪的，依法移送司法机关处置，并将调查结果及时向贵方反馈。</w:t>
      </w:r>
    </w:p>
    <w:p w14:paraId="689FD287">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九、如贵方经办人员或其他相关人员主动诱使我方人员作出本告知函第五点列明的违法违规行为的，我方有权终止双方的合作，由此造成的损失由贵方承担。</w:t>
      </w:r>
    </w:p>
    <w:p w14:paraId="066F8BBF">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十、我方对如实举报和严格遵守阳光合作精神的合作方，在同等条件下给予后续合作的优先权。</w:t>
      </w:r>
    </w:p>
    <w:p w14:paraId="0C84DEC4">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十一、</w:t>
      </w:r>
      <w:bookmarkStart w:id="35" w:name="OLE_LINK1"/>
      <w:r>
        <w:rPr>
          <w:rFonts w:hint="default" w:ascii="Times New Roman" w:hAnsi="Times New Roman" w:cs="Times New Roman"/>
          <w:color w:val="auto"/>
        </w:rPr>
        <w:t>其他</w:t>
      </w:r>
    </w:p>
    <w:p w14:paraId="679497F2">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（一）本告知函所言“其他相关人员”是指经办人以外的与合作项目有直接或间接利益关系的人员，包括但不仅限于项目经办人的亲友。</w:t>
      </w:r>
    </w:p>
    <w:bookmarkEnd w:id="35"/>
    <w:p w14:paraId="3D2C18D7">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 xml:space="preserve">（二）我方常设投诉举报受理部门及联系方式： </w:t>
      </w:r>
    </w:p>
    <w:p w14:paraId="0E1BE9FB">
      <w:pPr>
        <w:pStyle w:val="35"/>
        <w:pageBreakBefore w:val="0"/>
        <w:kinsoku/>
        <w:overflowPunct/>
        <w:topLinePunct w:val="0"/>
        <w:autoSpaceDE/>
        <w:autoSpaceDN/>
        <w:bidi w:val="0"/>
        <w:adjustRightInd w:val="0"/>
        <w:snapToGrid w:val="0"/>
        <w:spacing w:line="560" w:lineRule="exact"/>
        <w:ind w:left="0" w:leftChars="0" w:right="0" w:firstLine="422"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1.投诉举报受理部门：</w:t>
      </w:r>
      <w:r>
        <w:rPr>
          <w:rFonts w:hint="eastAsia" w:ascii="Times New Roman" w:hAnsi="Times New Roman" w:cs="Times New Roman"/>
          <w:color w:val="auto"/>
          <w:lang w:eastAsia="zh-CN"/>
        </w:rPr>
        <w:t>东莞市水务环境投资控股集团有限公司</w:t>
      </w:r>
      <w:r>
        <w:rPr>
          <w:rFonts w:hint="default" w:ascii="Times New Roman" w:hAnsi="Times New Roman" w:cs="Times New Roman"/>
          <w:color w:val="auto"/>
        </w:rPr>
        <w:t>纪检监察部；</w:t>
      </w:r>
    </w:p>
    <w:p w14:paraId="625C1149">
      <w:pPr>
        <w:pStyle w:val="35"/>
        <w:pageBreakBefore w:val="0"/>
        <w:kinsoku/>
        <w:overflowPunct/>
        <w:topLinePunct w:val="0"/>
        <w:autoSpaceDE/>
        <w:autoSpaceDN/>
        <w:bidi w:val="0"/>
        <w:adjustRightInd w:val="0"/>
        <w:snapToGrid w:val="0"/>
        <w:spacing w:line="560" w:lineRule="exact"/>
        <w:ind w:left="0" w:leftChars="0" w:right="0" w:firstLine="422"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2.投诉举报电话：</w:t>
      </w:r>
      <w:r>
        <w:rPr>
          <w:rFonts w:hint="default" w:ascii="Times New Roman" w:hAnsi="Times New Roman" w:cs="Times New Roman"/>
          <w:color w:val="auto"/>
        </w:rPr>
        <w:t>0769–28823293（星期一至星期五：8:30-17:30）；</w:t>
      </w:r>
    </w:p>
    <w:p w14:paraId="73FA31DF">
      <w:pPr>
        <w:pStyle w:val="35"/>
        <w:pageBreakBefore w:val="0"/>
        <w:kinsoku/>
        <w:overflowPunct/>
        <w:topLinePunct w:val="0"/>
        <w:autoSpaceDE/>
        <w:autoSpaceDN/>
        <w:bidi w:val="0"/>
        <w:adjustRightInd w:val="0"/>
        <w:snapToGrid w:val="0"/>
        <w:spacing w:line="560" w:lineRule="exact"/>
        <w:ind w:left="0" w:leftChars="0" w:right="0" w:firstLine="422"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3.联系地址：</w:t>
      </w:r>
      <w:r>
        <w:rPr>
          <w:rFonts w:hint="default" w:ascii="Times New Roman" w:hAnsi="Times New Roman" w:cs="Times New Roman"/>
          <w:color w:val="auto"/>
        </w:rPr>
        <w:t>东莞市东城街道育华路1号；</w:t>
      </w:r>
    </w:p>
    <w:p w14:paraId="765B60AD">
      <w:pPr>
        <w:pStyle w:val="35"/>
        <w:pageBreakBefore w:val="0"/>
        <w:kinsoku/>
        <w:overflowPunct/>
        <w:topLinePunct w:val="0"/>
        <w:autoSpaceDE/>
        <w:autoSpaceDN/>
        <w:bidi w:val="0"/>
        <w:adjustRightInd w:val="0"/>
        <w:snapToGrid w:val="0"/>
        <w:spacing w:line="560" w:lineRule="exact"/>
        <w:ind w:left="0" w:leftChars="0" w:right="0" w:firstLine="422"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4.邮编：</w:t>
      </w:r>
      <w:r>
        <w:rPr>
          <w:rFonts w:hint="default" w:ascii="Times New Roman" w:hAnsi="Times New Roman" w:cs="Times New Roman"/>
          <w:color w:val="auto"/>
        </w:rPr>
        <w:t>523000。</w:t>
      </w:r>
    </w:p>
    <w:p w14:paraId="3B9405C1">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让我们共同为建立健康、公平的商业秩序和实现双赢而努力。</w:t>
      </w:r>
    </w:p>
    <w:p w14:paraId="7C5C6BD0">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特此致函。</w:t>
      </w:r>
    </w:p>
    <w:p w14:paraId="7AC8DC61">
      <w:pPr>
        <w:pStyle w:val="35"/>
        <w:pageBreakBefore w:val="0"/>
        <w:kinsoku/>
        <w:overflowPunct/>
        <w:topLinePunct w:val="0"/>
        <w:autoSpaceDE/>
        <w:autoSpaceDN/>
        <w:bidi w:val="0"/>
        <w:adjustRightInd w:val="0"/>
        <w:snapToGrid w:val="0"/>
        <w:spacing w:line="560" w:lineRule="exact"/>
        <w:ind w:left="0" w:leftChars="0" w:right="0" w:firstLine="420" w:firstLineChars="200"/>
        <w:textAlignment w:val="auto"/>
        <w:rPr>
          <w:rFonts w:hint="default" w:ascii="Times New Roman" w:hAnsi="Times New Roman" w:cs="Times New Roman"/>
          <w:color w:val="auto"/>
        </w:rPr>
      </w:pPr>
    </w:p>
    <w:p w14:paraId="39A8DFB3">
      <w:pPr>
        <w:pStyle w:val="35"/>
        <w:pageBreakBefore w:val="0"/>
        <w:kinsoku/>
        <w:wordWrap w:val="0"/>
        <w:overflowPunct/>
        <w:topLinePunct w:val="0"/>
        <w:bidi w:val="0"/>
        <w:adjustRightInd w:val="0"/>
        <w:snapToGrid w:val="0"/>
        <w:spacing w:line="580" w:lineRule="exact"/>
        <w:ind w:left="0" w:leftChars="0" w:right="0" w:firstLine="0"/>
        <w:jc w:val="right"/>
        <w:rPr>
          <w:rFonts w:hint="default" w:ascii="Times New Roman" w:hAnsi="Times New Roman" w:cs="Times New Roman"/>
          <w:b/>
          <w:bCs/>
          <w:color w:val="auto"/>
        </w:rPr>
      </w:pPr>
      <w:r>
        <w:rPr>
          <w:rFonts w:hint="default" w:ascii="Times New Roman" w:hAnsi="Times New Roman" w:cs="Times New Roman"/>
          <w:b/>
          <w:bCs/>
          <w:color w:val="auto"/>
        </w:rPr>
        <w:t xml:space="preserve"> </w:t>
      </w:r>
      <w:r>
        <w:rPr>
          <w:rFonts w:hint="eastAsia" w:ascii="Times New Roman" w:hAnsi="Times New Roman" w:cs="Times New Roman"/>
          <w:b/>
          <w:bCs/>
          <w:color w:val="auto"/>
          <w:u w:val="single"/>
          <w:lang w:val="en-US" w:eastAsia="zh-CN"/>
        </w:rPr>
        <w:t>东莞市水务环境投资控股集团有限公司</w:t>
      </w:r>
      <w:r>
        <w:rPr>
          <w:rFonts w:hint="default" w:ascii="Times New Roman" w:hAnsi="Times New Roman" w:cs="Times New Roman"/>
          <w:b/>
          <w:bCs/>
          <w:color w:val="auto"/>
        </w:rPr>
        <w:t>（盖章）</w:t>
      </w:r>
    </w:p>
    <w:p w14:paraId="78B8E5CB">
      <w:pPr>
        <w:pStyle w:val="35"/>
        <w:pageBreakBefore w:val="0"/>
        <w:kinsoku/>
        <w:overflowPunct/>
        <w:topLinePunct w:val="0"/>
        <w:bidi w:val="0"/>
        <w:adjustRightInd w:val="0"/>
        <w:snapToGrid w:val="0"/>
        <w:spacing w:line="580" w:lineRule="exact"/>
        <w:ind w:left="0" w:leftChars="0" w:right="0" w:firstLine="0"/>
        <w:jc w:val="right"/>
        <w:rPr>
          <w:rFonts w:hint="default" w:ascii="Times New Roman" w:hAnsi="Times New Roman" w:cs="Times New Roman"/>
          <w:color w:val="auto"/>
        </w:rPr>
      </w:pPr>
      <w:r>
        <w:rPr>
          <w:rFonts w:hint="eastAsia" w:ascii="Times New Roman" w:hAnsi="Times New Roman" w:cs="Times New Roman"/>
          <w:color w:val="auto"/>
          <w:lang w:val="en-US" w:eastAsia="zh-CN"/>
        </w:rPr>
        <w:t>2025</w:t>
      </w:r>
      <w:r>
        <w:rPr>
          <w:rFonts w:hint="default" w:ascii="Times New Roman" w:hAnsi="Times New Roman" w:cs="Times New Roman"/>
          <w:color w:val="auto"/>
        </w:rPr>
        <w:t>年   月   日</w:t>
      </w:r>
      <w:bookmarkStart w:id="36" w:name="现场签证通知单"/>
      <w:bookmarkEnd w:id="36"/>
      <w:bookmarkStart w:id="37" w:name="设计变更通知单"/>
      <w:bookmarkEnd w:id="37"/>
    </w:p>
    <w:p w14:paraId="00A2A3CF">
      <w:pPr>
        <w:pageBreakBefore w:val="0"/>
        <w:kinsoku/>
        <w:overflowPunct/>
        <w:topLinePunct w:val="0"/>
        <w:bidi w:val="0"/>
        <w:adjustRightInd w:val="0"/>
        <w:snapToGrid w:val="0"/>
        <w:spacing w:line="580" w:lineRule="exact"/>
        <w:ind w:left="0" w:leftChars="0" w:right="0"/>
        <w:jc w:val="center"/>
        <w:outlineLvl w:val="0"/>
        <w:rPr>
          <w:rFonts w:hint="default" w:ascii="Times New Roman" w:hAnsi="Times New Roman" w:cs="Times New Roman"/>
          <w:bCs/>
          <w:color w:val="auto"/>
          <w:sz w:val="44"/>
          <w:szCs w:val="44"/>
          <w:lang w:val="zh-CN"/>
        </w:rPr>
      </w:pPr>
      <w:r>
        <w:rPr>
          <w:rFonts w:hint="default" w:ascii="Times New Roman" w:hAnsi="Times New Roman" w:cs="Times New Roman"/>
          <w:bCs/>
          <w:color w:val="auto"/>
          <w:sz w:val="44"/>
          <w:szCs w:val="44"/>
          <w:lang w:val="zh-CN"/>
        </w:rPr>
        <w:br w:type="page"/>
      </w:r>
      <w:r>
        <w:rPr>
          <w:rFonts w:hint="default" w:ascii="Times New Roman" w:hAnsi="Times New Roman" w:eastAsia="宋体" w:cs="Times New Roman"/>
          <w:b/>
          <w:color w:val="auto"/>
          <w:kern w:val="44"/>
          <w:sz w:val="30"/>
          <w:szCs w:val="30"/>
          <w:lang w:val="zh-CN" w:eastAsia="zh-CN" w:bidi="ar-SA"/>
        </w:rPr>
        <w:t>阳光合作告知函回执</w:t>
      </w:r>
    </w:p>
    <w:p w14:paraId="0A434E30">
      <w:pPr>
        <w:pStyle w:val="35"/>
        <w:pageBreakBefore w:val="0"/>
        <w:kinsoku/>
        <w:overflowPunct/>
        <w:topLinePunct w:val="0"/>
        <w:bidi w:val="0"/>
        <w:adjustRightInd w:val="0"/>
        <w:snapToGrid w:val="0"/>
        <w:spacing w:line="580" w:lineRule="exact"/>
        <w:ind w:left="0" w:leftChars="0" w:right="0" w:firstLine="0"/>
        <w:jc w:val="center"/>
        <w:rPr>
          <w:rFonts w:hint="default" w:ascii="Times New Roman" w:hAnsi="Times New Roman" w:cs="Times New Roman"/>
          <w:color w:val="auto"/>
          <w:sz w:val="30"/>
          <w:szCs w:val="30"/>
        </w:rPr>
      </w:pPr>
      <w:r>
        <w:rPr>
          <w:rFonts w:hint="default" w:ascii="Times New Roman" w:hAnsi="Times New Roman" w:cs="Times New Roman"/>
          <w:color w:val="auto"/>
          <w:sz w:val="30"/>
          <w:szCs w:val="30"/>
        </w:rPr>
        <w:t xml:space="preserve">                            </w:t>
      </w:r>
    </w:p>
    <w:p w14:paraId="2BB24795">
      <w:pPr>
        <w:pStyle w:val="35"/>
        <w:pageBreakBefore w:val="0"/>
        <w:kinsoku/>
        <w:overflowPunct/>
        <w:topLinePunct w:val="0"/>
        <w:bidi w:val="0"/>
        <w:adjustRightInd w:val="0"/>
        <w:snapToGrid w:val="0"/>
        <w:spacing w:line="580" w:lineRule="exact"/>
        <w:ind w:left="0" w:leftChars="0" w:right="0" w:firstLine="0"/>
        <w:jc w:val="center"/>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val="zh-CN"/>
        </w:rPr>
        <w:t>编号：</w:t>
      </w:r>
      <w:r>
        <w:rPr>
          <w:rFonts w:hint="default" w:ascii="Times New Roman" w:hAnsi="Times New Roman" w:cs="Times New Roman"/>
          <w:color w:val="auto"/>
        </w:rPr>
        <w:t xml:space="preserve">   </w:t>
      </w:r>
    </w:p>
    <w:p w14:paraId="63AC497B">
      <w:pPr>
        <w:pStyle w:val="35"/>
        <w:pageBreakBefore w:val="0"/>
        <w:kinsoku/>
        <w:overflowPunct/>
        <w:topLinePunct w:val="0"/>
        <w:bidi w:val="0"/>
        <w:adjustRightInd w:val="0"/>
        <w:snapToGrid w:val="0"/>
        <w:spacing w:line="580" w:lineRule="exact"/>
        <w:ind w:left="0" w:leftChars="0" w:right="0" w:firstLine="0"/>
        <w:jc w:val="center"/>
        <w:rPr>
          <w:rFonts w:hint="default" w:ascii="Times New Roman" w:hAnsi="Times New Roman" w:cs="Times New Roman"/>
          <w:color w:val="auto"/>
          <w:lang w:val="zh-CN"/>
        </w:rPr>
      </w:pPr>
    </w:p>
    <w:p w14:paraId="2CC8CBCD">
      <w:pPr>
        <w:pageBreakBefore w:val="0"/>
        <w:kinsoku/>
        <w:overflowPunct/>
        <w:topLinePunct w:val="0"/>
        <w:autoSpaceDE/>
        <w:autoSpaceDN/>
        <w:bidi w:val="0"/>
        <w:adjustRightInd w:val="0"/>
        <w:snapToGrid w:val="0"/>
        <w:spacing w:line="580" w:lineRule="exact"/>
        <w:ind w:left="0" w:leftChars="0" w:right="0" w:firstLine="420" w:firstLineChars="200"/>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我单位于</w:t>
      </w:r>
      <w:r>
        <w:rPr>
          <w:rFonts w:hint="default" w:ascii="Times New Roman" w:hAnsi="Times New Roman" w:cs="Times New Roman"/>
          <w:color w:val="auto"/>
          <w:sz w:val="21"/>
          <w:szCs w:val="21"/>
          <w:u w:val="single"/>
          <w:lang w:val="en-US" w:eastAsia="zh-CN"/>
        </w:rPr>
        <w:t>202</w:t>
      </w:r>
      <w:r>
        <w:rPr>
          <w:rFonts w:hint="eastAsia" w:ascii="Times New Roman" w:cs="Times New Roman"/>
          <w:color w:val="auto"/>
          <w:sz w:val="21"/>
          <w:szCs w:val="21"/>
          <w:u w:val="single"/>
          <w:lang w:val="en-US" w:eastAsia="zh-CN"/>
        </w:rPr>
        <w:t>5</w:t>
      </w:r>
      <w:r>
        <w:rPr>
          <w:rFonts w:hint="default" w:ascii="Times New Roman" w:hAnsi="Times New Roman" w:cs="Times New Roman"/>
          <w:color w:val="auto"/>
          <w:sz w:val="21"/>
          <w:szCs w:val="21"/>
          <w:lang w:val="zh-CN"/>
        </w:rPr>
        <w:t>年</w:t>
      </w:r>
      <w:r>
        <w:rPr>
          <w:rFonts w:hint="default" w:ascii="Times New Roman" w:hAnsi="Times New Roman" w:cs="Times New Roman"/>
          <w:color w:val="auto"/>
          <w:sz w:val="21"/>
          <w:szCs w:val="21"/>
          <w:u w:val="single"/>
          <w:lang w:val="zh-CN"/>
        </w:rPr>
        <w:t xml:space="preserve">    </w:t>
      </w:r>
      <w:r>
        <w:rPr>
          <w:rFonts w:hint="default" w:ascii="Times New Roman" w:hAnsi="Times New Roman" w:cs="Times New Roman"/>
          <w:color w:val="auto"/>
          <w:sz w:val="21"/>
          <w:szCs w:val="21"/>
          <w:lang w:val="zh-CN"/>
        </w:rPr>
        <w:t>月</w:t>
      </w:r>
      <w:r>
        <w:rPr>
          <w:rFonts w:hint="default" w:ascii="Times New Roman" w:hAnsi="Times New Roman" w:cs="Times New Roman"/>
          <w:color w:val="auto"/>
          <w:sz w:val="21"/>
          <w:szCs w:val="21"/>
          <w:u w:val="single"/>
          <w:lang w:val="zh-CN"/>
        </w:rPr>
        <w:t xml:space="preserve">    </w:t>
      </w:r>
      <w:r>
        <w:rPr>
          <w:rFonts w:hint="default" w:ascii="Times New Roman" w:hAnsi="Times New Roman" w:cs="Times New Roman"/>
          <w:color w:val="auto"/>
          <w:sz w:val="21"/>
          <w:szCs w:val="21"/>
          <w:lang w:val="zh-CN"/>
        </w:rPr>
        <w:t>日收到</w:t>
      </w:r>
      <w:r>
        <w:rPr>
          <w:rFonts w:hint="eastAsia" w:ascii="Times New Roman" w:cs="Times New Roman"/>
          <w:color w:val="auto"/>
          <w:sz w:val="21"/>
          <w:szCs w:val="21"/>
          <w:u w:val="single"/>
          <w:lang w:eastAsia="zh-CN"/>
        </w:rPr>
        <w:t>东莞市水务环境投资控股集团有限公司</w:t>
      </w:r>
      <w:r>
        <w:rPr>
          <w:rFonts w:hint="default" w:ascii="Times New Roman" w:hAnsi="Times New Roman" w:cs="Times New Roman"/>
          <w:color w:val="auto"/>
          <w:sz w:val="21"/>
          <w:szCs w:val="21"/>
          <w:lang w:val="zh-CN"/>
        </w:rPr>
        <w:t>的《阳光合作告知函》，承诺理解函告内容并告知相关人员严格执行其中规定。</w:t>
      </w:r>
    </w:p>
    <w:p w14:paraId="78737E7D">
      <w:pPr>
        <w:pageBreakBefore w:val="0"/>
        <w:kinsoku/>
        <w:overflowPunct/>
        <w:topLinePunct w:val="0"/>
        <w:bidi w:val="0"/>
        <w:adjustRightInd w:val="0"/>
        <w:snapToGrid w:val="0"/>
        <w:spacing w:line="580" w:lineRule="exact"/>
        <w:ind w:left="0" w:leftChars="0" w:right="0"/>
        <w:rPr>
          <w:rFonts w:hint="default" w:ascii="Times New Roman" w:hAnsi="Times New Roman" w:cs="Times New Roman"/>
          <w:color w:val="auto"/>
          <w:sz w:val="21"/>
          <w:szCs w:val="21"/>
          <w:lang w:val="zh-CN"/>
        </w:rPr>
      </w:pPr>
    </w:p>
    <w:p w14:paraId="7EC60318">
      <w:pPr>
        <w:pageBreakBefore w:val="0"/>
        <w:kinsoku/>
        <w:overflowPunct/>
        <w:topLinePunct w:val="0"/>
        <w:bidi w:val="0"/>
        <w:adjustRightInd w:val="0"/>
        <w:snapToGrid w:val="0"/>
        <w:spacing w:line="580" w:lineRule="exact"/>
        <w:ind w:left="0" w:leftChars="0" w:right="0"/>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 xml:space="preserve">                      </w:t>
      </w:r>
      <w:r>
        <w:rPr>
          <w:rFonts w:hint="default" w:ascii="Times New Roman" w:hAnsi="Times New Roman" w:cs="Times New Roman"/>
          <w:bCs/>
          <w:color w:val="auto"/>
          <w:sz w:val="21"/>
          <w:szCs w:val="21"/>
        </w:rPr>
        <w:t xml:space="preserve">                        </w:t>
      </w:r>
      <w:r>
        <w:rPr>
          <w:rFonts w:hint="eastAsia" w:ascii="Times New Roman" w:cs="Times New Roman"/>
          <w:bCs/>
          <w:color w:val="auto"/>
          <w:sz w:val="21"/>
          <w:szCs w:val="21"/>
          <w:u w:val="single"/>
          <w:lang w:val="en-US" w:eastAsia="zh-CN"/>
        </w:rPr>
        <w:t>____________________</w:t>
      </w:r>
      <w:r>
        <w:rPr>
          <w:rFonts w:hint="default" w:ascii="Times New Roman" w:hAnsi="Times New Roman" w:cs="Times New Roman"/>
          <w:color w:val="auto"/>
          <w:sz w:val="21"/>
          <w:szCs w:val="21"/>
          <w:lang w:val="zh-CN"/>
        </w:rPr>
        <w:t>（盖章）</w:t>
      </w:r>
    </w:p>
    <w:p w14:paraId="53395FC8">
      <w:pPr>
        <w:pageBreakBefore w:val="0"/>
        <w:kinsoku/>
        <w:overflowPunct/>
        <w:topLinePunct w:val="0"/>
        <w:bidi w:val="0"/>
        <w:adjustRightInd w:val="0"/>
        <w:snapToGrid w:val="0"/>
        <w:spacing w:line="580" w:lineRule="exact"/>
        <w:ind w:left="0" w:leftChars="0" w:right="0"/>
        <w:rPr>
          <w:rFonts w:hint="default" w:ascii="Times New Roman" w:hAnsi="Times New Roman" w:cs="Times New Roman"/>
          <w:color w:val="auto"/>
          <w:sz w:val="21"/>
          <w:szCs w:val="21"/>
          <w:lang w:val="zh-CN"/>
        </w:rPr>
      </w:pPr>
    </w:p>
    <w:p w14:paraId="637501CA">
      <w:pPr>
        <w:pageBreakBefore w:val="0"/>
        <w:kinsoku/>
        <w:overflowPunct/>
        <w:topLinePunct w:val="0"/>
        <w:bidi w:val="0"/>
        <w:adjustRightInd w:val="0"/>
        <w:snapToGrid w:val="0"/>
        <w:spacing w:line="580" w:lineRule="exact"/>
        <w:ind w:left="0" w:leftChars="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 xml:space="preserve">法定代表人：                                  </w:t>
      </w:r>
    </w:p>
    <w:p w14:paraId="228FF30E">
      <w:pPr>
        <w:pageBreakBefore w:val="0"/>
        <w:kinsoku/>
        <w:wordWrap w:val="0"/>
        <w:overflowPunct/>
        <w:topLinePunct w:val="0"/>
        <w:bidi w:val="0"/>
        <w:adjustRightInd w:val="0"/>
        <w:snapToGrid w:val="0"/>
        <w:spacing w:line="580" w:lineRule="exact"/>
        <w:ind w:left="0" w:leftChars="0" w:right="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p>
    <w:p w14:paraId="76A1B8CE">
      <w:pPr>
        <w:pStyle w:val="35"/>
        <w:pageBreakBefore w:val="0"/>
        <w:kinsoku/>
        <w:overflowPunct/>
        <w:topLinePunct w:val="0"/>
        <w:bidi w:val="0"/>
        <w:adjustRightInd w:val="0"/>
        <w:snapToGrid w:val="0"/>
        <w:spacing w:line="580" w:lineRule="exact"/>
        <w:ind w:left="0" w:leftChars="0" w:right="0" w:firstLine="0"/>
        <w:jc w:val="right"/>
        <w:rPr>
          <w:rFonts w:hint="default" w:ascii="Times New Roman" w:hAnsi="Times New Roman" w:cs="Times New Roman"/>
          <w:color w:val="auto"/>
        </w:rPr>
      </w:pPr>
      <w:r>
        <w:rPr>
          <w:rFonts w:hint="eastAsia" w:ascii="Times New Roman" w:hAnsi="Times New Roman" w:cs="Times New Roman"/>
          <w:color w:val="auto"/>
          <w:lang w:val="en-US" w:eastAsia="zh-CN"/>
        </w:rPr>
        <w:t>2025</w:t>
      </w:r>
      <w:r>
        <w:rPr>
          <w:rFonts w:hint="default" w:ascii="Times New Roman" w:hAnsi="Times New Roman" w:cs="Times New Roman"/>
          <w:color w:val="auto"/>
        </w:rPr>
        <w:t>年    月    日</w:t>
      </w:r>
    </w:p>
    <w:p w14:paraId="5E9B63A3">
      <w:pPr>
        <w:pageBreakBefore w:val="0"/>
        <w:kinsoku/>
        <w:overflowPunct/>
        <w:topLinePunct w:val="0"/>
        <w:bidi w:val="0"/>
        <w:adjustRightInd w:val="0"/>
        <w:snapToGrid w:val="0"/>
        <w:spacing w:line="560" w:lineRule="exact"/>
        <w:ind w:left="0" w:leftChars="0" w:right="0" w:firstLine="420" w:firstLineChars="200"/>
        <w:rPr>
          <w:rFonts w:hint="default" w:ascii="Times New Roman" w:hAnsi="Times New Roman" w:cs="Times New Roman"/>
          <w:color w:val="auto"/>
          <w:sz w:val="21"/>
          <w:szCs w:val="21"/>
        </w:rPr>
      </w:pPr>
    </w:p>
    <w:p w14:paraId="1B4FFDCB">
      <w:pPr>
        <w:pageBreakBefore w:val="0"/>
        <w:kinsoku/>
        <w:overflowPunct/>
        <w:topLinePunct w:val="0"/>
        <w:bidi w:val="0"/>
        <w:adjustRightInd w:val="0"/>
        <w:snapToGrid w:val="0"/>
        <w:ind w:left="0" w:leftChars="0" w:right="0"/>
        <w:rPr>
          <w:rFonts w:hint="default" w:ascii="Times New Roman" w:hAnsi="Times New Roman" w:cs="Times New Roman"/>
          <w:color w:val="auto"/>
        </w:rPr>
      </w:pPr>
      <w:r>
        <w:rPr>
          <w:rFonts w:hint="default" w:ascii="Times New Roman" w:hAnsi="Times New Roman" w:cs="Times New Roman"/>
          <w:b/>
          <w:bCs/>
          <w:color w:val="auto"/>
        </w:rPr>
        <w:br w:type="page"/>
      </w:r>
      <w:r>
        <w:rPr>
          <w:rFonts w:hint="default" w:ascii="Times New Roman" w:hAnsi="Times New Roman" w:cs="Times New Roman"/>
          <w:b/>
          <w:bCs/>
          <w:color w:val="auto"/>
        </w:rPr>
        <w:t>附件</w:t>
      </w:r>
      <w:r>
        <w:rPr>
          <w:rFonts w:hint="eastAsia" w:ascii="Times New Roman" w:cs="Times New Roman"/>
          <w:b/>
          <w:bCs/>
          <w:color w:val="auto"/>
          <w:lang w:val="en-US" w:eastAsia="zh-CN"/>
        </w:rPr>
        <w:t>2</w:t>
      </w:r>
    </w:p>
    <w:p w14:paraId="362C97AB">
      <w:pPr>
        <w:pStyle w:val="2"/>
        <w:keepNext/>
        <w:keepLines/>
        <w:pageBreakBefore w:val="0"/>
        <w:widowControl w:val="0"/>
        <w:kinsoku/>
        <w:wordWrap/>
        <w:overflowPunct/>
        <w:topLinePunct w:val="0"/>
        <w:autoSpaceDE w:val="0"/>
        <w:autoSpaceDN w:val="0"/>
        <w:bidi w:val="0"/>
        <w:adjustRightInd w:val="0"/>
        <w:snapToGrid w:val="0"/>
        <w:spacing w:before="0" w:beforeLines="0" w:after="0" w:afterLines="0" w:line="360" w:lineRule="auto"/>
        <w:ind w:left="0" w:leftChars="0" w:right="0"/>
        <w:jc w:val="center"/>
        <w:textAlignment w:val="auto"/>
        <w:rPr>
          <w:rFonts w:hint="default" w:ascii="Times New Roman" w:hAnsi="Times New Roman" w:cs="Times New Roman"/>
          <w:b/>
          <w:color w:val="auto"/>
          <w:sz w:val="30"/>
          <w:szCs w:val="30"/>
          <w:lang w:val="zh-CN"/>
        </w:rPr>
      </w:pPr>
      <w:r>
        <w:rPr>
          <w:rFonts w:hint="default" w:ascii="Times New Roman" w:hAnsi="Times New Roman" w:cs="Times New Roman"/>
          <w:b/>
          <w:color w:val="auto"/>
          <w:sz w:val="30"/>
          <w:szCs w:val="30"/>
          <w:lang w:val="zh-CN"/>
        </w:rPr>
        <w:t>保 密 协 议</w:t>
      </w:r>
    </w:p>
    <w:p w14:paraId="7449EB08">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p>
    <w:p w14:paraId="62250360">
      <w:pPr>
        <w:pStyle w:val="44"/>
        <w:pageBreakBefore w:val="0"/>
        <w:kinsoku/>
        <w:overflowPunct/>
        <w:topLinePunct w:val="0"/>
        <w:bidi w:val="0"/>
        <w:adjustRightInd w:val="0"/>
        <w:snapToGrid w:val="0"/>
        <w:spacing w:line="360" w:lineRule="auto"/>
        <w:ind w:left="0" w:leftChars="0" w:right="0" w:firstLine="420"/>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甲方（委托人）：</w:t>
      </w:r>
      <w:r>
        <w:rPr>
          <w:rFonts w:hint="eastAsia" w:ascii="Times New Roman" w:hAnsi="Times New Roman" w:cs="Times New Roman"/>
          <w:color w:val="auto"/>
          <w:sz w:val="21"/>
          <w:szCs w:val="21"/>
          <w:lang w:eastAsia="zh-CN"/>
        </w:rPr>
        <w:t>东莞市水务环境投资控股集团有限公司</w:t>
      </w:r>
    </w:p>
    <w:p w14:paraId="397F3A75">
      <w:pPr>
        <w:pStyle w:val="44"/>
        <w:pageBreakBefore w:val="0"/>
        <w:kinsoku/>
        <w:overflowPunct/>
        <w:topLinePunct w:val="0"/>
        <w:bidi w:val="0"/>
        <w:adjustRightInd w:val="0"/>
        <w:snapToGrid w:val="0"/>
        <w:spacing w:line="360" w:lineRule="auto"/>
        <w:ind w:left="0" w:leftChars="0" w:right="0" w:firstLine="420"/>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乙方（受托人）：</w:t>
      </w:r>
      <w:r>
        <w:rPr>
          <w:rFonts w:hint="eastAsia" w:ascii="Times New Roman" w:hAnsi="Times New Roman" w:cs="Times New Roman"/>
          <w:color w:val="auto"/>
          <w:sz w:val="21"/>
          <w:szCs w:val="21"/>
          <w:lang w:eastAsia="zh-CN"/>
        </w:rPr>
        <w:t>____________________</w:t>
      </w:r>
      <w:r>
        <w:rPr>
          <w:rFonts w:hint="default" w:ascii="Times New Roman" w:hAnsi="Times New Roman" w:cs="Times New Roman"/>
          <w:color w:val="auto"/>
          <w:sz w:val="21"/>
          <w:szCs w:val="21"/>
          <w:lang w:val="en-US"/>
        </w:rPr>
        <w:t xml:space="preserve">  </w:t>
      </w:r>
    </w:p>
    <w:p w14:paraId="1ED1F6D1">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p>
    <w:p w14:paraId="7C8DF583">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为加强甲方的涉密资料的管理，确保甲方数据的安全保密，防止发生丢失泄密事件，防范非法使用行为，根据《中华人民共和国保守国家秘密法》及《中华人民共和国保守国家秘密法实施条款》等有关法律法规，特签订本协议。</w:t>
      </w:r>
    </w:p>
    <w:p w14:paraId="3F002316">
      <w:pPr>
        <w:pStyle w:val="43"/>
        <w:pageBreakBefore w:val="0"/>
        <w:kinsoku/>
        <w:overflowPunct/>
        <w:topLinePunct w:val="0"/>
        <w:bidi w:val="0"/>
        <w:adjustRightInd w:val="0"/>
        <w:snapToGrid w:val="0"/>
        <w:ind w:left="0" w:leftChars="0" w:right="0" w:firstLine="420"/>
        <w:rPr>
          <w:rFonts w:hint="eastAsia" w:ascii="黑体" w:hAnsi="黑体" w:eastAsia="黑体" w:cs="黑体"/>
          <w:color w:val="auto"/>
          <w:sz w:val="21"/>
          <w:szCs w:val="21"/>
        </w:rPr>
      </w:pPr>
      <w:r>
        <w:rPr>
          <w:rFonts w:hint="eastAsia" w:ascii="黑体" w:hAnsi="黑体" w:eastAsia="黑体" w:cs="黑体"/>
          <w:color w:val="auto"/>
          <w:sz w:val="21"/>
          <w:szCs w:val="21"/>
        </w:rPr>
        <w:t>一、保密信息的定义</w:t>
      </w:r>
    </w:p>
    <w:p w14:paraId="6213F0C8">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保密协议所称“保密信息”是指甲方（或其下属单位、关联单位）向乙方所提供的不为公众所知悉、能为权利人带来经济利益、具有实用性并经权利人采取保密措施的技术信息和经营信息，包括但不限于以下资料或信息：财务数据，商业和战略计划，商业培训和流程，个人信息，图纸，样品，设备，展示，技术信息，研究，产品，服务，客户名单及客户信息，市场，市场战略，计划，软件及相关的说明书和文件，开发，发明，程序和设计有关的任何信息，数据，技术密诀，文件或材料。</w:t>
      </w:r>
    </w:p>
    <w:p w14:paraId="41EBCF9D">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双方确认，本协议保密信息主要指甲方存放于乙方软件或服务器上的文档、资料、记录等所有内容，同时，其他信息不论以口头、书面或电子形式为载体，亦不论是否标明或说明为保密信息，均属本协议所指保密信息。</w:t>
      </w:r>
    </w:p>
    <w:p w14:paraId="683D2BEE">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保密信息不包括接受方能够提出足够合理证据证明的下述信息、数据、技术密诀、文件或材料：</w:t>
      </w:r>
    </w:p>
    <w:p w14:paraId="159FF2B2">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1、在透露的时候，接受方已掌握的信息； </w:t>
      </w:r>
    </w:p>
    <w:p w14:paraId="42D87701">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2、在透露前或透露时，已成为公开的信息；</w:t>
      </w:r>
    </w:p>
    <w:p w14:paraId="16D973AD">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3、提供方书面同意对外公开的信息。</w:t>
      </w:r>
    </w:p>
    <w:p w14:paraId="51D228BE">
      <w:pPr>
        <w:pStyle w:val="43"/>
        <w:pageBreakBefore w:val="0"/>
        <w:kinsoku/>
        <w:overflowPunct/>
        <w:topLinePunct w:val="0"/>
        <w:bidi w:val="0"/>
        <w:adjustRightInd w:val="0"/>
        <w:snapToGrid w:val="0"/>
        <w:ind w:left="0" w:leftChars="0" w:right="0" w:firstLine="420"/>
        <w:rPr>
          <w:rFonts w:hint="default" w:ascii="黑体" w:hAnsi="黑体" w:eastAsia="黑体" w:cs="黑体"/>
          <w:color w:val="auto"/>
          <w:sz w:val="21"/>
          <w:szCs w:val="21"/>
        </w:rPr>
      </w:pPr>
      <w:r>
        <w:rPr>
          <w:rFonts w:hint="default" w:ascii="黑体" w:hAnsi="黑体" w:eastAsia="黑体" w:cs="黑体"/>
          <w:color w:val="auto"/>
          <w:sz w:val="21"/>
          <w:szCs w:val="21"/>
        </w:rPr>
        <w:t>二、保密责任</w:t>
      </w:r>
    </w:p>
    <w:p w14:paraId="6FA069B9">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1、乙方保证将所接受之保密信息仅用于与合作有关的目的或用途；且不得于合作结束后或于合作项目外的其他业务中使用接受的商业秘密。</w:t>
      </w:r>
    </w:p>
    <w:p w14:paraId="5147EF7C">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2、在本协议实施过程中以及本协议履行完毕后，乙方均不得使用其获得的甲方的保密信息从事与甲方有竞争性的业务。</w:t>
      </w:r>
    </w:p>
    <w:p w14:paraId="6523458C">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乙方保证对所接受之保密信息妥善保管、按本协议之约定保密，并至少采取适用于对自己的保密信息同样的保护措施和审慎程度进行保密。未经甲方书面同意，乙方不得向第三方披露、公布、援引或许可第三方使用其所获得的保密信息。乙方承诺采取的保密措施包括但不限于：</w:t>
      </w:r>
    </w:p>
    <w:p w14:paraId="3FC2B6F6">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1)尽可能地减少知悉甲方保密信息的人员范围，知悉甲方保密信息的人员只能限于乙方有必要知悉保密信息的工作人员，工作人员包括乙方管理人员、职员及顾问。</w:t>
      </w:r>
    </w:p>
    <w:p w14:paraId="16E959CC">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2)乙方将制定严格的保密制度，实行保密监察制度。</w:t>
      </w:r>
    </w:p>
    <w:p w14:paraId="7927B005">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乙方保证保密信息仅在其参与本合作项目的负责人和雇员范围内知悉，在上述人员知悉保密信息前应提示信息的保密性和应承担义务，并保证上述人员以书面形式接受本协议的约束。乙方不得向未参加本项目的工作人员透露保密信息。若上述人员故意或过失泄露了甲方的保密信息，乙方应承担所有法律责任。</w:t>
      </w:r>
    </w:p>
    <w:p w14:paraId="365D75D4">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5、乙方一旦发现或应该发现保密信息被泄露、不正当使用或未经甲方授权使用，应立即通知甲方，并采取合理措施防止保密信息进一步的泄露或使用，尽量使秘密信息的泄露控制在最低程度。</w:t>
      </w:r>
    </w:p>
    <w:p w14:paraId="7EF577E7">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6、若法院、政府部门或有关机构按照法律法规要求乙方提供甲方保密信息，乙方应立即通知甲方，以便甲方能以保密为抗辩理由或取得保护措施。乙方应用尽所有可行的措施来保护该保密信息。</w:t>
      </w:r>
    </w:p>
    <w:p w14:paraId="5B452289">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7、甲方向乙方披露的保密信息和保密信息中任何形式的知识产权全部归属于信息拥有者。甲方向乙方披露保密信息并不表示甲方授予乙方对保密信息及保密信息中的知识产权享有任何权利、资格或权益。</w:t>
      </w:r>
    </w:p>
    <w:p w14:paraId="5B3CFE7F">
      <w:pPr>
        <w:pStyle w:val="43"/>
        <w:pageBreakBefore w:val="0"/>
        <w:kinsoku/>
        <w:overflowPunct/>
        <w:topLinePunct w:val="0"/>
        <w:bidi w:val="0"/>
        <w:adjustRightInd w:val="0"/>
        <w:snapToGrid w:val="0"/>
        <w:ind w:left="0" w:leftChars="0" w:right="0" w:firstLine="420"/>
        <w:rPr>
          <w:rFonts w:hint="default" w:ascii="黑体" w:hAnsi="黑体" w:eastAsia="黑体" w:cs="黑体"/>
          <w:color w:val="auto"/>
          <w:sz w:val="21"/>
          <w:szCs w:val="21"/>
        </w:rPr>
      </w:pPr>
      <w:r>
        <w:rPr>
          <w:rFonts w:hint="default" w:ascii="黑体" w:hAnsi="黑体" w:eastAsia="黑体" w:cs="黑体"/>
          <w:color w:val="auto"/>
          <w:sz w:val="21"/>
          <w:szCs w:val="21"/>
        </w:rPr>
        <w:t>三、保密期限</w:t>
      </w:r>
    </w:p>
    <w:p w14:paraId="5F507DE1">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乙方对所接受之保密信息的保密期限：自保密信息披露时起（无论披露时间在本协议生效之前还是之后），至该信息被合法公开时止，乙方均应按本协议之约定承担保密义务。</w:t>
      </w:r>
    </w:p>
    <w:p w14:paraId="65EB7185">
      <w:pPr>
        <w:pStyle w:val="43"/>
        <w:pageBreakBefore w:val="0"/>
        <w:kinsoku/>
        <w:overflowPunct/>
        <w:topLinePunct w:val="0"/>
        <w:bidi w:val="0"/>
        <w:adjustRightInd w:val="0"/>
        <w:snapToGrid w:val="0"/>
        <w:ind w:left="0" w:leftChars="0" w:right="0" w:firstLine="420"/>
        <w:rPr>
          <w:rFonts w:hint="default" w:ascii="黑体" w:hAnsi="黑体" w:eastAsia="黑体" w:cs="黑体"/>
          <w:color w:val="auto"/>
          <w:sz w:val="21"/>
          <w:szCs w:val="21"/>
        </w:rPr>
      </w:pPr>
      <w:r>
        <w:rPr>
          <w:rFonts w:hint="default" w:ascii="黑体" w:hAnsi="黑体" w:eastAsia="黑体" w:cs="黑体"/>
          <w:color w:val="auto"/>
          <w:sz w:val="21"/>
          <w:szCs w:val="21"/>
        </w:rPr>
        <w:t>四、违约责任</w:t>
      </w:r>
    </w:p>
    <w:p w14:paraId="52927025">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1.若乙方或乙方工作人员故意或过失违反本协议的保密义务，乙方应一次性向甲方支付违约金共计¥50000元；若前述费用不足以弥补甲方实际损失的，甲方有权另行追偿。</w:t>
      </w:r>
    </w:p>
    <w:p w14:paraId="7632C965">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2.甲方因调查乙方违约或侵权行为而支付的合理费用，包括但不限于律师费、公证费、取证费等，应当包含在损失赔偿之内。</w:t>
      </w:r>
    </w:p>
    <w:p w14:paraId="201ECEED">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乙方违反本协议规定，甲方有权立即终止乙方使用及持有本协议规定保密信息的权利，并要求乙方将得到的全部保密信息立即返还给甲方，且乙方应向甲方提供完整的保密信息未经授权的使用者的名单。乙方返还甲方保密信息后，本协议规定的乙方法律责任仍然有效。</w:t>
      </w:r>
    </w:p>
    <w:p w14:paraId="3099DF8C">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4.任何有关本软件和本声明的争议、纠纷，均适用中华人民共和国的法律。本声明的解释权及对本软件使用的最终解释权均属甲方所有。任何有关本软件和本声明的争议，均由甲方所在地人民法院诉讼管辖。</w:t>
      </w:r>
    </w:p>
    <w:p w14:paraId="586123FF">
      <w:pPr>
        <w:pStyle w:val="43"/>
        <w:pageBreakBefore w:val="0"/>
        <w:kinsoku/>
        <w:overflowPunct/>
        <w:topLinePunct w:val="0"/>
        <w:bidi w:val="0"/>
        <w:adjustRightInd w:val="0"/>
        <w:snapToGrid w:val="0"/>
        <w:ind w:left="0" w:leftChars="0" w:right="0" w:firstLine="420"/>
        <w:rPr>
          <w:rFonts w:hint="default" w:ascii="黑体" w:hAnsi="黑体" w:eastAsia="黑体" w:cs="黑体"/>
          <w:color w:val="auto"/>
          <w:sz w:val="21"/>
          <w:szCs w:val="21"/>
        </w:rPr>
      </w:pPr>
      <w:r>
        <w:rPr>
          <w:rFonts w:hint="default" w:ascii="黑体" w:hAnsi="黑体" w:eastAsia="黑体" w:cs="黑体"/>
          <w:color w:val="auto"/>
          <w:sz w:val="21"/>
          <w:szCs w:val="21"/>
        </w:rPr>
        <w:t>五、争议解决</w:t>
      </w:r>
    </w:p>
    <w:p w14:paraId="19D9397D">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在协议履行过程中，凡因本协议引起的或与本协议有关的任何争议，双方应协商解决；协商不成的，任何一方均可向甲方所在地人民法院提起诉讼。</w:t>
      </w:r>
    </w:p>
    <w:p w14:paraId="426EF218">
      <w:pPr>
        <w:pStyle w:val="43"/>
        <w:pageBreakBefore w:val="0"/>
        <w:kinsoku/>
        <w:overflowPunct/>
        <w:topLinePunct w:val="0"/>
        <w:bidi w:val="0"/>
        <w:adjustRightInd w:val="0"/>
        <w:snapToGrid w:val="0"/>
        <w:ind w:left="0" w:leftChars="0" w:right="0" w:firstLine="420"/>
        <w:rPr>
          <w:rFonts w:hint="default" w:ascii="黑体" w:hAnsi="黑体" w:eastAsia="黑体" w:cs="黑体"/>
          <w:color w:val="auto"/>
          <w:sz w:val="21"/>
          <w:szCs w:val="21"/>
        </w:rPr>
      </w:pPr>
      <w:r>
        <w:rPr>
          <w:rFonts w:hint="default" w:ascii="黑体" w:hAnsi="黑体" w:eastAsia="黑体" w:cs="黑体"/>
          <w:color w:val="auto"/>
          <w:sz w:val="21"/>
          <w:szCs w:val="21"/>
        </w:rPr>
        <w:t>六、法律适用</w:t>
      </w:r>
    </w:p>
    <w:p w14:paraId="791F34E1">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本协议适用中华人民共和国法律法规。</w:t>
      </w:r>
    </w:p>
    <w:p w14:paraId="249BB75D">
      <w:pPr>
        <w:pStyle w:val="43"/>
        <w:pageBreakBefore w:val="0"/>
        <w:kinsoku/>
        <w:overflowPunct/>
        <w:topLinePunct w:val="0"/>
        <w:bidi w:val="0"/>
        <w:adjustRightInd w:val="0"/>
        <w:snapToGrid w:val="0"/>
        <w:ind w:left="0" w:leftChars="0" w:right="0" w:firstLine="420"/>
        <w:rPr>
          <w:rFonts w:hint="default" w:ascii="黑体" w:hAnsi="黑体" w:eastAsia="黑体" w:cs="黑体"/>
          <w:color w:val="auto"/>
          <w:sz w:val="21"/>
          <w:szCs w:val="21"/>
        </w:rPr>
      </w:pPr>
      <w:r>
        <w:rPr>
          <w:rFonts w:hint="default" w:ascii="黑体" w:hAnsi="黑体" w:eastAsia="黑体" w:cs="黑体"/>
          <w:color w:val="auto"/>
          <w:sz w:val="21"/>
          <w:szCs w:val="21"/>
        </w:rPr>
        <w:t>七、协议生效</w:t>
      </w:r>
    </w:p>
    <w:p w14:paraId="035ACB7F">
      <w:pPr>
        <w:pStyle w:val="43"/>
        <w:pageBreakBefore w:val="0"/>
        <w:kinsoku/>
        <w:overflowPunct/>
        <w:topLinePunct w:val="0"/>
        <w:bidi w:val="0"/>
        <w:adjustRightInd w:val="0"/>
        <w:snapToGrid w:val="0"/>
        <w:ind w:left="0" w:leftChars="0" w:right="0" w:firstLine="42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本协议自双方法定代表人（或授权代表）签字并盖章后生效。</w:t>
      </w:r>
    </w:p>
    <w:p w14:paraId="2B3C9DE4">
      <w:pPr>
        <w:pStyle w:val="43"/>
        <w:pageBreakBefore w:val="0"/>
        <w:kinsoku/>
        <w:overflowPunct/>
        <w:topLinePunct w:val="0"/>
        <w:bidi w:val="0"/>
        <w:adjustRightInd w:val="0"/>
        <w:snapToGrid w:val="0"/>
        <w:ind w:left="0" w:leftChars="0" w:right="0" w:firstLine="420"/>
        <w:rPr>
          <w:rFonts w:hint="default" w:ascii="黑体" w:hAnsi="黑体" w:eastAsia="黑体" w:cs="黑体"/>
          <w:color w:val="auto"/>
          <w:sz w:val="21"/>
          <w:szCs w:val="21"/>
        </w:rPr>
      </w:pPr>
      <w:r>
        <w:rPr>
          <w:rFonts w:hint="default" w:ascii="黑体" w:hAnsi="黑体" w:eastAsia="黑体" w:cs="黑体"/>
          <w:color w:val="auto"/>
          <w:sz w:val="21"/>
          <w:szCs w:val="21"/>
        </w:rPr>
        <w:t>八、协议文本</w:t>
      </w:r>
    </w:p>
    <w:p w14:paraId="359B23A2">
      <w:pPr>
        <w:pStyle w:val="44"/>
        <w:pageBreakBefore w:val="0"/>
        <w:kinsoku/>
        <w:overflowPunct/>
        <w:topLinePunct w:val="0"/>
        <w:bidi w:val="0"/>
        <w:adjustRightInd w:val="0"/>
        <w:snapToGrid w:val="0"/>
        <w:spacing w:line="360" w:lineRule="auto"/>
        <w:ind w:left="0" w:leftChars="0" w:right="0" w:firstLine="42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一式伍份，甲方叁份，乙方贰份</w:t>
      </w:r>
      <w:r>
        <w:rPr>
          <w:rFonts w:hint="default" w:ascii="Times New Roman" w:hAnsi="Times New Roman" w:cs="Times New Roman"/>
          <w:color w:val="auto"/>
          <w:sz w:val="21"/>
          <w:szCs w:val="21"/>
        </w:rPr>
        <w:t>，具有同等法律效力。</w:t>
      </w:r>
    </w:p>
    <w:p w14:paraId="3BBE55AD">
      <w:pPr>
        <w:pageBreakBefore w:val="0"/>
        <w:kinsoku/>
        <w:overflowPunct/>
        <w:topLinePunct w:val="0"/>
        <w:bidi w:val="0"/>
        <w:adjustRightInd w:val="0"/>
        <w:snapToGrid w:val="0"/>
        <w:ind w:left="0" w:leftChars="0" w:right="0"/>
        <w:rPr>
          <w:rFonts w:hint="default" w:ascii="Times New Roman" w:hAnsi="Times New Roman" w:cs="Times New Roman"/>
          <w:color w:val="auto"/>
          <w:sz w:val="21"/>
          <w:szCs w:val="21"/>
        </w:rPr>
      </w:pPr>
    </w:p>
    <w:p w14:paraId="6FED5171">
      <w:pPr>
        <w:pageBreakBefore w:val="0"/>
        <w:kinsoku/>
        <w:overflowPunct/>
        <w:topLinePunct w:val="0"/>
        <w:bidi w:val="0"/>
        <w:adjustRightInd w:val="0"/>
        <w:snapToGrid w:val="0"/>
        <w:ind w:left="0" w:leftChars="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甲方：</w:t>
      </w:r>
      <w:r>
        <w:rPr>
          <w:rFonts w:hint="eastAsia" w:ascii="Times New Roman" w:cs="Times New Roman"/>
          <w:color w:val="auto"/>
          <w:sz w:val="21"/>
          <w:szCs w:val="21"/>
          <w:lang w:eastAsia="zh-CN"/>
        </w:rPr>
        <w:t>东莞市水务环境投资控股集团有限公司</w:t>
      </w:r>
      <w:r>
        <w:rPr>
          <w:rFonts w:hint="default" w:ascii="Times New Roman" w:hAnsi="Times New Roman" w:cs="Times New Roman"/>
          <w:color w:val="auto"/>
          <w:sz w:val="21"/>
          <w:szCs w:val="21"/>
        </w:rPr>
        <w:t xml:space="preserve">                乙方：</w:t>
      </w:r>
      <w:r>
        <w:rPr>
          <w:rFonts w:hint="eastAsia" w:ascii="Times New Roman" w:cs="Times New Roman"/>
          <w:color w:val="auto"/>
          <w:sz w:val="21"/>
          <w:szCs w:val="21"/>
          <w:lang w:eastAsia="zh-CN"/>
        </w:rPr>
        <w:t>____________________</w:t>
      </w:r>
      <w:r>
        <w:rPr>
          <w:rFonts w:hint="default" w:ascii="Times New Roman" w:hAnsi="Times New Roman" w:cs="Times New Roman"/>
          <w:color w:val="auto"/>
          <w:sz w:val="21"/>
          <w:szCs w:val="21"/>
        </w:rPr>
        <w:t xml:space="preserve">       </w:t>
      </w:r>
    </w:p>
    <w:p w14:paraId="16FEEF8A">
      <w:pPr>
        <w:pageBreakBefore w:val="0"/>
        <w:kinsoku/>
        <w:overflowPunct/>
        <w:topLinePunct w:val="0"/>
        <w:bidi w:val="0"/>
        <w:adjustRightInd w:val="0"/>
        <w:snapToGrid w:val="0"/>
        <w:ind w:left="0" w:leftChars="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法定代表（或负责）人：                      法定代表（或负责）人：</w:t>
      </w:r>
    </w:p>
    <w:p w14:paraId="5BC39186">
      <w:pPr>
        <w:pageBreakBefore w:val="0"/>
        <w:kinsoku/>
        <w:overflowPunct/>
        <w:topLinePunct w:val="0"/>
        <w:bidi w:val="0"/>
        <w:adjustRightInd w:val="0"/>
        <w:snapToGrid w:val="0"/>
        <w:ind w:left="0" w:leftChars="0" w:right="0"/>
        <w:rPr>
          <w:rFonts w:hint="default" w:ascii="Times New Roman" w:hAnsi="Times New Roman" w:cs="Times New Roman"/>
          <w:color w:val="auto"/>
          <w:sz w:val="28"/>
          <w:szCs w:val="28"/>
        </w:rPr>
      </w:pPr>
      <w:r>
        <w:rPr>
          <w:rFonts w:hint="default" w:ascii="Times New Roman" w:hAnsi="Times New Roman" w:cs="Times New Roman"/>
          <w:color w:val="auto"/>
          <w:sz w:val="21"/>
          <w:szCs w:val="21"/>
        </w:rPr>
        <w:t xml:space="preserve">委托代理人：（签章）                        委托代理人：（签章）     </w:t>
      </w:r>
    </w:p>
    <w:p w14:paraId="3779E6EB">
      <w:pPr>
        <w:pageBreakBefore w:val="0"/>
        <w:kinsoku/>
        <w:overflowPunct/>
        <w:topLinePunct w:val="0"/>
        <w:bidi w:val="0"/>
        <w:adjustRightInd w:val="0"/>
        <w:snapToGrid w:val="0"/>
        <w:ind w:left="0" w:leftChars="0" w:right="0"/>
        <w:rPr>
          <w:rFonts w:hint="default" w:ascii="Times New Roman" w:hAnsi="Times New Roman" w:cs="Times New Roman"/>
          <w:b/>
          <w:bCs/>
          <w:color w:val="auto"/>
        </w:rPr>
      </w:pPr>
      <w:bookmarkStart w:id="38" w:name="_Toc27939_WPSOffice_Level1"/>
      <w:bookmarkStart w:id="39" w:name="_Toc450662891"/>
      <w:bookmarkStart w:id="40" w:name="_Toc1977717"/>
      <w:bookmarkStart w:id="41" w:name="_Toc486167706"/>
      <w:r>
        <w:rPr>
          <w:rFonts w:hint="default" w:ascii="Times New Roman" w:hAnsi="Times New Roman" w:cs="Times New Roman"/>
          <w:b/>
          <w:bCs/>
          <w:color w:val="auto"/>
        </w:rPr>
        <w:br w:type="page"/>
      </w:r>
    </w:p>
    <w:p w14:paraId="022CF09E">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600" w:lineRule="exact"/>
        <w:ind w:left="0" w:leftChars="0" w:right="0" w:rightChars="0" w:firstLine="482" w:firstLineChars="200"/>
        <w:jc w:val="both"/>
        <w:textAlignment w:val="auto"/>
        <w:rPr>
          <w:rFonts w:hint="eastAsia" w:ascii="Times New Roman" w:hAnsi="Times New Roman" w:eastAsia="宋体" w:cs="Times New Roman"/>
          <w:b/>
          <w:bCs/>
          <w:color w:val="auto"/>
          <w:lang w:eastAsia="zh-CN"/>
        </w:rPr>
      </w:pPr>
      <w:r>
        <w:rPr>
          <w:rFonts w:hint="default" w:ascii="Times New Roman" w:hAnsi="Times New Roman" w:cs="Times New Roman"/>
          <w:b/>
          <w:bCs/>
          <w:color w:val="auto"/>
        </w:rPr>
        <w:t>附件</w:t>
      </w:r>
      <w:bookmarkEnd w:id="14"/>
      <w:bookmarkEnd w:id="38"/>
      <w:bookmarkEnd w:id="39"/>
      <w:bookmarkEnd w:id="40"/>
      <w:bookmarkEnd w:id="41"/>
      <w:r>
        <w:rPr>
          <w:rFonts w:hint="eastAsia" w:ascii="Times New Roman" w:hAnsi="Times New Roman" w:cs="Times New Roman"/>
          <w:b/>
          <w:bCs/>
          <w:color w:val="auto"/>
          <w:lang w:val="en-US" w:eastAsia="zh-CN"/>
        </w:rPr>
        <w:t>3</w:t>
      </w:r>
    </w:p>
    <w:p w14:paraId="217FE7C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880" w:firstLineChars="200"/>
        <w:jc w:val="center"/>
        <w:textAlignment w:val="auto"/>
        <w:outlineLvl w:val="0"/>
        <w:rPr>
          <w:rFonts w:hint="default" w:ascii="Times New Roman" w:hAnsi="Times New Roman" w:eastAsia="方正小标宋简体" w:cs="Times New Roman"/>
          <w:color w:val="auto"/>
          <w:sz w:val="36"/>
          <w:szCs w:val="36"/>
          <w:lang w:val="en-US" w:eastAsia="zh-CN"/>
        </w:rPr>
      </w:pPr>
      <w:r>
        <w:rPr>
          <w:rFonts w:hint="eastAsia" w:ascii="Times New Roman" w:hAnsi="Times New Roman" w:eastAsia="方正小标宋简体" w:cs="Times New Roman"/>
          <w:color w:val="auto"/>
          <w:sz w:val="44"/>
          <w:szCs w:val="28"/>
          <w:u w:val="none" w:color="auto"/>
          <w:lang w:val="en-US" w:eastAsia="zh-CN"/>
        </w:rPr>
        <w:t>终端电脑管理软件</w:t>
      </w:r>
      <w:r>
        <w:rPr>
          <w:rFonts w:hint="eastAsia" w:ascii="Times New Roman" w:eastAsia="方正小标宋简体" w:cs="Times New Roman"/>
          <w:sz w:val="44"/>
          <w:szCs w:val="44"/>
          <w:lang w:val="en-US" w:eastAsia="zh-CN"/>
        </w:rPr>
        <w:t>续保及扩容</w:t>
      </w:r>
      <w:r>
        <w:rPr>
          <w:rFonts w:hint="default" w:ascii="Times New Roman" w:hAnsi="Times New Roman" w:eastAsia="方正小标宋简体" w:cs="Times New Roman"/>
          <w:sz w:val="44"/>
          <w:szCs w:val="44"/>
          <w:lang w:val="en-US" w:eastAsia="zh-CN"/>
        </w:rPr>
        <w:t>需求书</w:t>
      </w:r>
    </w:p>
    <w:p w14:paraId="5243EC16">
      <w:pPr>
        <w:numPr>
          <w:ilvl w:val="0"/>
          <w:numId w:val="4"/>
        </w:numPr>
        <w:bidi w:val="0"/>
        <w:ind w:left="425" w:leftChars="0" w:hanging="425"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项目概况</w:t>
      </w:r>
    </w:p>
    <w:p w14:paraId="2F8E6BA7">
      <w:pPr>
        <w:numPr>
          <w:ilvl w:val="1"/>
          <w:numId w:val="7"/>
        </w:numPr>
        <w:bidi w:val="0"/>
        <w:ind w:left="0" w:leftChars="0" w:firstLine="517" w:firstLineChars="0"/>
        <w:rPr>
          <w:rFonts w:hint="eastAsia" w:ascii="Times New Roman"/>
          <w:color w:val="auto"/>
          <w:lang w:val="en-US" w:eastAsia="zh-CN"/>
        </w:rPr>
      </w:pPr>
      <w:r>
        <w:rPr>
          <w:rFonts w:hint="eastAsia" w:ascii="Times New Roman"/>
          <w:color w:val="auto"/>
          <w:lang w:val="en-US" w:eastAsia="zh-CN"/>
        </w:rPr>
        <w:t>采购单位：东莞市水务环境投资控股集团有限公司</w:t>
      </w:r>
    </w:p>
    <w:p w14:paraId="1B9FD6E6">
      <w:pPr>
        <w:numPr>
          <w:ilvl w:val="1"/>
          <w:numId w:val="7"/>
        </w:numPr>
        <w:bidi w:val="0"/>
        <w:ind w:left="0" w:leftChars="0" w:firstLine="517" w:firstLineChars="0"/>
        <w:rPr>
          <w:rFonts w:hint="eastAsia" w:ascii="Times New Roman"/>
          <w:color w:val="auto"/>
          <w:lang w:val="en-US" w:eastAsia="zh-CN"/>
        </w:rPr>
      </w:pPr>
      <w:r>
        <w:rPr>
          <w:rFonts w:hint="eastAsia" w:ascii="Times New Roman"/>
          <w:color w:val="auto"/>
          <w:lang w:val="en-US" w:eastAsia="zh-CN"/>
        </w:rPr>
        <w:t>项目名称：终端电脑管理软件续保及扩容</w:t>
      </w:r>
    </w:p>
    <w:p w14:paraId="1CF2E0EE">
      <w:pPr>
        <w:numPr>
          <w:ilvl w:val="1"/>
          <w:numId w:val="7"/>
        </w:numPr>
        <w:bidi w:val="0"/>
        <w:ind w:left="0" w:leftChars="0" w:firstLine="517" w:firstLineChars="0"/>
        <w:rPr>
          <w:rFonts w:hint="eastAsia" w:ascii="Times New Roman"/>
          <w:color w:val="auto"/>
          <w:lang w:val="en-US" w:eastAsia="zh-CN"/>
        </w:rPr>
      </w:pPr>
      <w:r>
        <w:rPr>
          <w:rFonts w:hint="eastAsia" w:ascii="Times New Roman"/>
          <w:color w:val="auto"/>
          <w:lang w:val="en-US" w:eastAsia="zh-CN"/>
        </w:rPr>
        <w:t>基本情况：</w:t>
      </w:r>
    </w:p>
    <w:p w14:paraId="76BA83AD">
      <w:pPr>
        <w:spacing w:line="360" w:lineRule="auto"/>
        <w:ind w:firstLine="480" w:firstLineChars="200"/>
        <w:rPr>
          <w:rFonts w:hint="eastAsia" w:ascii="Times New Roman"/>
          <w:color w:val="auto"/>
          <w:lang w:val="en-US" w:eastAsia="zh-CN"/>
        </w:rPr>
      </w:pPr>
      <w:r>
        <w:rPr>
          <w:rFonts w:hint="eastAsia" w:ascii="Times New Roman"/>
          <w:color w:val="auto"/>
          <w:lang w:val="en-US" w:eastAsia="zh-CN"/>
        </w:rPr>
        <w:t>我司于2022年采购部署了深信服EDR终端管理软件（含服务器版授权16个以及PC版授权140个）。目前已过质保期，病毒特征库无法继续获得官方更新服务，系统防护能力存在滞后风险。同时，随着业务扩展，现有授权数量已无法满足集团公司日益增长的服务器和办公终端使用需求。经统计，目前集团公司实际运行的业务服务器操作系统数量共有27套，缺口11套，办公终端190台，缺口50套。为加强集团公司办公电脑及服务器安全管理，保障网络安全，集团公司EDR终端管理软件续保及扩容迫在眉睫。</w:t>
      </w:r>
    </w:p>
    <w:p w14:paraId="7A006F3E">
      <w:pPr>
        <w:numPr>
          <w:ilvl w:val="0"/>
          <w:numId w:val="7"/>
        </w:numPr>
        <w:bidi w:val="0"/>
        <w:ind w:left="425" w:leftChars="0" w:hanging="425"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项目目的</w:t>
      </w:r>
    </w:p>
    <w:p w14:paraId="20F1C22F">
      <w:pPr>
        <w:keepNext w:val="0"/>
        <w:keepLines w:val="0"/>
        <w:pageBreakBefore w:val="0"/>
        <w:widowControl w:val="0"/>
        <w:numPr>
          <w:ilvl w:val="1"/>
          <w:numId w:val="7"/>
        </w:numPr>
        <w:kinsoku/>
        <w:wordWrap/>
        <w:overflowPunct/>
        <w:topLinePunct w:val="0"/>
        <w:autoSpaceDE w:val="0"/>
        <w:autoSpaceDN w:val="0"/>
        <w:bidi w:val="0"/>
        <w:adjustRightInd w:val="0"/>
        <w:snapToGrid/>
        <w:spacing w:line="600" w:lineRule="exact"/>
        <w:ind w:left="0" w:leftChars="0" w:firstLine="517" w:firstLineChars="0"/>
        <w:textAlignment w:val="auto"/>
        <w:rPr>
          <w:rFonts w:hint="eastAsia" w:ascii="Times New Roman"/>
          <w:color w:val="auto"/>
          <w:lang w:val="en-US" w:eastAsia="zh-CN"/>
        </w:rPr>
      </w:pPr>
      <w:r>
        <w:rPr>
          <w:rFonts w:hint="eastAsia" w:ascii="Times New Roman"/>
          <w:color w:val="auto"/>
          <w:lang w:val="en-US" w:eastAsia="zh-CN"/>
        </w:rPr>
        <w:t>实现集团公司办公电脑及服务器信息精准管理，通过系统自动收集并整合硬件配置、软件安装等信息，形成统一数据源，方便随时查询、统计与管理，提升设备管控效率。</w:t>
      </w:r>
    </w:p>
    <w:p w14:paraId="769C9BB4">
      <w:pPr>
        <w:keepNext w:val="0"/>
        <w:keepLines w:val="0"/>
        <w:pageBreakBefore w:val="0"/>
        <w:widowControl w:val="0"/>
        <w:numPr>
          <w:ilvl w:val="1"/>
          <w:numId w:val="7"/>
        </w:numPr>
        <w:kinsoku/>
        <w:wordWrap/>
        <w:overflowPunct/>
        <w:topLinePunct w:val="0"/>
        <w:autoSpaceDE w:val="0"/>
        <w:autoSpaceDN w:val="0"/>
        <w:bidi w:val="0"/>
        <w:adjustRightInd w:val="0"/>
        <w:snapToGrid/>
        <w:spacing w:line="600" w:lineRule="exact"/>
        <w:ind w:left="0" w:leftChars="0" w:firstLine="517" w:firstLineChars="0"/>
        <w:textAlignment w:val="auto"/>
        <w:rPr>
          <w:rFonts w:hint="eastAsia" w:ascii="Times New Roman"/>
          <w:color w:val="auto"/>
          <w:lang w:val="en-US" w:eastAsia="zh-CN"/>
        </w:rPr>
      </w:pPr>
      <w:r>
        <w:rPr>
          <w:rFonts w:hint="eastAsia" w:ascii="Times New Roman"/>
          <w:color w:val="auto"/>
          <w:lang w:val="en-US" w:eastAsia="zh-CN"/>
        </w:rPr>
        <w:t>强化防病毒与安全防护能力，系统可实时监测并主动防御病毒、木马等恶意软件，同时管控网络行为与操作</w:t>
      </w:r>
      <w:bookmarkStart w:id="48" w:name="_GoBack"/>
      <w:bookmarkEnd w:id="48"/>
      <w:r>
        <w:rPr>
          <w:rFonts w:hint="eastAsia" w:ascii="Times New Roman"/>
          <w:color w:val="auto"/>
          <w:lang w:val="en-US" w:eastAsia="zh-CN"/>
        </w:rPr>
        <w:t>权限，降低数据泄漏风险，保障企业信息安全。</w:t>
      </w:r>
    </w:p>
    <w:p w14:paraId="5D3F9786">
      <w:pPr>
        <w:keepNext w:val="0"/>
        <w:keepLines w:val="0"/>
        <w:pageBreakBefore w:val="0"/>
        <w:widowControl w:val="0"/>
        <w:numPr>
          <w:ilvl w:val="1"/>
          <w:numId w:val="7"/>
        </w:numPr>
        <w:kinsoku/>
        <w:wordWrap/>
        <w:overflowPunct/>
        <w:topLinePunct w:val="0"/>
        <w:autoSpaceDE w:val="0"/>
        <w:autoSpaceDN w:val="0"/>
        <w:bidi w:val="0"/>
        <w:adjustRightInd w:val="0"/>
        <w:snapToGrid/>
        <w:spacing w:line="600" w:lineRule="exact"/>
        <w:ind w:left="0" w:leftChars="0" w:firstLine="517" w:firstLineChars="0"/>
        <w:textAlignment w:val="auto"/>
        <w:rPr>
          <w:rFonts w:hint="eastAsia" w:ascii="Times New Roman"/>
          <w:color w:val="auto"/>
          <w:lang w:val="en-US" w:eastAsia="zh-CN"/>
        </w:rPr>
      </w:pPr>
      <w:r>
        <w:rPr>
          <w:rFonts w:hint="eastAsia" w:ascii="Times New Roman"/>
          <w:color w:val="auto"/>
          <w:lang w:val="en-US" w:eastAsia="zh-CN"/>
        </w:rPr>
        <w:t>提升运维管理效率，远程协助功能使 IT 人员能快速诊断并修复终端故障，减少现场维修时间；同时，自动化任务部署功能可简化运维流程，提高工作效率。</w:t>
      </w:r>
    </w:p>
    <w:p w14:paraId="4CA40F24">
      <w:pPr>
        <w:keepNext w:val="0"/>
        <w:keepLines w:val="0"/>
        <w:pageBreakBefore w:val="0"/>
        <w:widowControl w:val="0"/>
        <w:numPr>
          <w:ilvl w:val="1"/>
          <w:numId w:val="7"/>
        </w:numPr>
        <w:kinsoku/>
        <w:wordWrap/>
        <w:overflowPunct/>
        <w:topLinePunct w:val="0"/>
        <w:autoSpaceDE w:val="0"/>
        <w:autoSpaceDN w:val="0"/>
        <w:bidi w:val="0"/>
        <w:adjustRightInd w:val="0"/>
        <w:snapToGrid/>
        <w:spacing w:line="600" w:lineRule="exact"/>
        <w:ind w:left="0" w:leftChars="0" w:firstLine="517" w:firstLineChars="0"/>
        <w:textAlignment w:val="auto"/>
        <w:rPr>
          <w:rFonts w:hint="eastAsia" w:ascii="Times New Roman"/>
          <w:color w:val="auto"/>
          <w:lang w:val="en-US" w:eastAsia="zh-CN"/>
        </w:rPr>
      </w:pPr>
      <w:r>
        <w:rPr>
          <w:rFonts w:hint="eastAsia" w:ascii="Times New Roman"/>
          <w:color w:val="auto"/>
          <w:lang w:val="en-US" w:eastAsia="zh-CN"/>
        </w:rPr>
        <w:t>推进正版化软件工作，系统严格管控软件安装与使用，防止未经授权的软件进入，确保软件使用的合规性与安全性，助力企业合法合规运营。</w:t>
      </w:r>
    </w:p>
    <w:p w14:paraId="7CA78497">
      <w:pPr>
        <w:keepNext w:val="0"/>
        <w:keepLines w:val="0"/>
        <w:pageBreakBefore w:val="0"/>
        <w:widowControl w:val="0"/>
        <w:numPr>
          <w:ilvl w:val="0"/>
          <w:numId w:val="7"/>
        </w:numPr>
        <w:kinsoku/>
        <w:wordWrap/>
        <w:overflowPunct/>
        <w:topLinePunct w:val="0"/>
        <w:autoSpaceDE w:val="0"/>
        <w:autoSpaceDN w:val="0"/>
        <w:bidi w:val="0"/>
        <w:adjustRightInd w:val="0"/>
        <w:snapToGrid/>
        <w:spacing w:line="600" w:lineRule="exact"/>
        <w:ind w:left="425" w:leftChars="0" w:hanging="425"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项目内容</w:t>
      </w:r>
    </w:p>
    <w:p w14:paraId="4AD5BD9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结合集团公司实际情况，EDR终端管理软件续保及扩容清单如下：</w:t>
      </w:r>
    </w:p>
    <w:tbl>
      <w:tblPr>
        <w:tblStyle w:val="20"/>
        <w:tblW w:w="859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5"/>
        <w:gridCol w:w="3375"/>
        <w:gridCol w:w="1995"/>
      </w:tblGrid>
      <w:tr w14:paraId="1CF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25" w:type="dxa"/>
            <w:shd w:val="clear" w:color="auto" w:fill="auto"/>
            <w:vAlign w:val="center"/>
          </w:tcPr>
          <w:p w14:paraId="5B5B6B6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仿宋_GB2312" w:hAnsi="仿宋_GB2312" w:eastAsia="仿宋_GB2312" w:cs="仿宋_GB2312"/>
                <w:b/>
                <w:bCs w:val="0"/>
                <w:kern w:val="0"/>
                <w:sz w:val="24"/>
                <w:szCs w:val="24"/>
                <w:lang w:val="en-US" w:eastAsia="zh-CN"/>
              </w:rPr>
            </w:pPr>
            <w:r>
              <w:rPr>
                <w:rFonts w:hint="eastAsia" w:ascii="仿宋_GB2312" w:hAnsi="仿宋_GB2312" w:eastAsia="仿宋_GB2312" w:cs="仿宋_GB2312"/>
                <w:b/>
                <w:bCs w:val="0"/>
                <w:kern w:val="0"/>
                <w:sz w:val="24"/>
                <w:szCs w:val="24"/>
                <w:lang w:val="en-US" w:eastAsia="zh-CN"/>
              </w:rPr>
              <w:t>采购内容</w:t>
            </w:r>
          </w:p>
        </w:tc>
        <w:tc>
          <w:tcPr>
            <w:tcW w:w="3375" w:type="dxa"/>
            <w:shd w:val="clear" w:color="auto" w:fill="auto"/>
            <w:vAlign w:val="center"/>
          </w:tcPr>
          <w:p w14:paraId="15BC1F5B">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仿宋_GB2312" w:hAnsi="仿宋_GB2312" w:eastAsia="仿宋_GB2312" w:cs="仿宋_GB2312"/>
                <w:b/>
                <w:bCs w:val="0"/>
                <w:kern w:val="0"/>
                <w:sz w:val="24"/>
                <w:szCs w:val="24"/>
                <w:lang w:val="en-US" w:eastAsia="zh-CN"/>
              </w:rPr>
            </w:pPr>
            <w:r>
              <w:rPr>
                <w:rFonts w:hint="eastAsia" w:ascii="仿宋_GB2312" w:hAnsi="仿宋_GB2312" w:eastAsia="仿宋_GB2312" w:cs="仿宋_GB2312"/>
                <w:b/>
                <w:bCs w:val="0"/>
                <w:kern w:val="0"/>
                <w:sz w:val="24"/>
                <w:szCs w:val="24"/>
                <w:lang w:val="en-US" w:eastAsia="zh-CN"/>
              </w:rPr>
              <w:t>版本</w:t>
            </w:r>
          </w:p>
        </w:tc>
        <w:tc>
          <w:tcPr>
            <w:tcW w:w="1995" w:type="dxa"/>
            <w:shd w:val="clear" w:color="auto" w:fill="auto"/>
            <w:vAlign w:val="center"/>
          </w:tcPr>
          <w:p w14:paraId="4C2BD78C">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仿宋_GB2312" w:hAnsi="仿宋_GB2312" w:eastAsia="仿宋_GB2312" w:cs="仿宋_GB2312"/>
                <w:b/>
                <w:bCs w:val="0"/>
                <w:kern w:val="0"/>
                <w:sz w:val="24"/>
                <w:szCs w:val="24"/>
                <w:lang w:val="en-US" w:eastAsia="zh-CN"/>
              </w:rPr>
            </w:pPr>
            <w:r>
              <w:rPr>
                <w:rFonts w:hint="eastAsia" w:ascii="仿宋_GB2312" w:hAnsi="仿宋_GB2312" w:eastAsia="仿宋_GB2312" w:cs="仿宋_GB2312"/>
                <w:b/>
                <w:bCs w:val="0"/>
                <w:kern w:val="0"/>
                <w:sz w:val="24"/>
                <w:szCs w:val="24"/>
                <w:lang w:val="en-US" w:eastAsia="zh-CN"/>
              </w:rPr>
              <w:t>数量（个）</w:t>
            </w:r>
          </w:p>
        </w:tc>
      </w:tr>
      <w:tr w14:paraId="6325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225" w:type="dxa"/>
            <w:vMerge w:val="restart"/>
          </w:tcPr>
          <w:p w14:paraId="2E61B606">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续保服务3年</w:t>
            </w:r>
          </w:p>
          <w:p w14:paraId="74483182">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（原有授权）</w:t>
            </w:r>
          </w:p>
        </w:tc>
        <w:tc>
          <w:tcPr>
            <w:tcW w:w="3375" w:type="dxa"/>
          </w:tcPr>
          <w:p w14:paraId="482A9EF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服务器Windows版</w:t>
            </w:r>
          </w:p>
        </w:tc>
        <w:tc>
          <w:tcPr>
            <w:tcW w:w="1995" w:type="dxa"/>
          </w:tcPr>
          <w:p w14:paraId="2176BE9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480" w:firstLineChars="200"/>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16</w:t>
            </w:r>
          </w:p>
        </w:tc>
      </w:tr>
      <w:tr w14:paraId="29F0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225" w:type="dxa"/>
            <w:vMerge w:val="continue"/>
          </w:tcPr>
          <w:p w14:paraId="76229F0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480" w:firstLineChars="200"/>
              <w:textAlignment w:val="auto"/>
              <w:rPr>
                <w:rFonts w:hint="eastAsia" w:ascii="仿宋_GB2312" w:hAnsi="仿宋_GB2312" w:eastAsia="仿宋_GB2312" w:cs="仿宋_GB2312"/>
                <w:bCs/>
                <w:kern w:val="0"/>
                <w:sz w:val="24"/>
                <w:szCs w:val="24"/>
                <w:lang w:val="en-US" w:eastAsia="zh-CN"/>
              </w:rPr>
            </w:pPr>
          </w:p>
        </w:tc>
        <w:tc>
          <w:tcPr>
            <w:tcW w:w="3375" w:type="dxa"/>
          </w:tcPr>
          <w:p w14:paraId="630BB893">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480" w:firstLineChars="200"/>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PC Windows版</w:t>
            </w:r>
          </w:p>
        </w:tc>
        <w:tc>
          <w:tcPr>
            <w:tcW w:w="1995" w:type="dxa"/>
          </w:tcPr>
          <w:p w14:paraId="7B5C6BE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480" w:firstLineChars="200"/>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140</w:t>
            </w:r>
          </w:p>
        </w:tc>
      </w:tr>
      <w:tr w14:paraId="6A1B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225" w:type="dxa"/>
            <w:vMerge w:val="restart"/>
          </w:tcPr>
          <w:p w14:paraId="7108EAED">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新增授权</w:t>
            </w:r>
          </w:p>
          <w:p w14:paraId="3F7A3FA6">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（含3年保障服务）</w:t>
            </w:r>
          </w:p>
        </w:tc>
        <w:tc>
          <w:tcPr>
            <w:tcW w:w="3375" w:type="dxa"/>
            <w:shd w:val="clear" w:color="auto" w:fill="auto"/>
            <w:vAlign w:val="top"/>
          </w:tcPr>
          <w:p w14:paraId="62C847A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服务器Windows版</w:t>
            </w:r>
          </w:p>
        </w:tc>
        <w:tc>
          <w:tcPr>
            <w:tcW w:w="1995" w:type="dxa"/>
          </w:tcPr>
          <w:p w14:paraId="76E927FA">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480" w:firstLineChars="200"/>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11</w:t>
            </w:r>
          </w:p>
        </w:tc>
      </w:tr>
      <w:tr w14:paraId="5FC9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225" w:type="dxa"/>
            <w:vMerge w:val="continue"/>
          </w:tcPr>
          <w:p w14:paraId="0EDE9A36">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480" w:firstLineChars="200"/>
              <w:textAlignment w:val="auto"/>
              <w:rPr>
                <w:rFonts w:hint="eastAsia" w:ascii="仿宋_GB2312" w:hAnsi="仿宋_GB2312" w:eastAsia="仿宋_GB2312" w:cs="仿宋_GB2312"/>
                <w:bCs/>
                <w:kern w:val="0"/>
                <w:sz w:val="24"/>
                <w:szCs w:val="24"/>
                <w:lang w:val="en-US" w:eastAsia="zh-CN"/>
              </w:rPr>
            </w:pPr>
          </w:p>
        </w:tc>
        <w:tc>
          <w:tcPr>
            <w:tcW w:w="3375" w:type="dxa"/>
            <w:shd w:val="clear" w:color="auto" w:fill="auto"/>
            <w:vAlign w:val="top"/>
          </w:tcPr>
          <w:p w14:paraId="693DB3E5">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480" w:firstLineChars="200"/>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PC Windows版</w:t>
            </w:r>
          </w:p>
        </w:tc>
        <w:tc>
          <w:tcPr>
            <w:tcW w:w="1995" w:type="dxa"/>
          </w:tcPr>
          <w:p w14:paraId="4AC943A4">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480" w:firstLineChars="200"/>
              <w:textAlignment w:val="auto"/>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50</w:t>
            </w:r>
          </w:p>
        </w:tc>
      </w:tr>
    </w:tbl>
    <w:p w14:paraId="2A93E9C0">
      <w:pPr>
        <w:keepNext w:val="0"/>
        <w:keepLines w:val="0"/>
        <w:pageBreakBefore w:val="0"/>
        <w:widowControl w:val="0"/>
        <w:numPr>
          <w:ilvl w:val="1"/>
          <w:numId w:val="7"/>
        </w:numPr>
        <w:kinsoku/>
        <w:wordWrap/>
        <w:overflowPunct/>
        <w:topLinePunct w:val="0"/>
        <w:autoSpaceDE w:val="0"/>
        <w:autoSpaceDN w:val="0"/>
        <w:bidi w:val="0"/>
        <w:adjustRightInd w:val="0"/>
        <w:snapToGrid/>
        <w:spacing w:line="600" w:lineRule="exact"/>
        <w:ind w:left="0" w:leftChars="0" w:firstLine="517" w:firstLineChars="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功能需求如下：</w:t>
      </w:r>
    </w:p>
    <w:p w14:paraId="57428580">
      <w:pPr>
        <w:keepNext w:val="0"/>
        <w:keepLines w:val="0"/>
        <w:pageBreakBefore w:val="0"/>
        <w:widowControl w:val="0"/>
        <w:numPr>
          <w:ilvl w:val="2"/>
          <w:numId w:val="7"/>
        </w:numPr>
        <w:kinsoku/>
        <w:wordWrap/>
        <w:overflowPunct/>
        <w:topLinePunct w:val="0"/>
        <w:autoSpaceDE w:val="0"/>
        <w:autoSpaceDN w:val="0"/>
        <w:bidi w:val="0"/>
        <w:adjustRightInd w:val="0"/>
        <w:snapToGrid/>
        <w:spacing w:line="600" w:lineRule="exact"/>
        <w:ind w:left="0" w:leftChars="0" w:firstLine="506" w:firstLineChars="0"/>
        <w:textAlignment w:val="auto"/>
        <w:rPr>
          <w:rFonts w:hint="eastAsia" w:ascii="Times New Roman"/>
          <w:color w:val="auto"/>
          <w:lang w:val="en-US" w:eastAsia="zh-CN"/>
        </w:rPr>
      </w:pPr>
      <w:r>
        <w:rPr>
          <w:rFonts w:hint="eastAsia" w:ascii="Times New Roman"/>
          <w:color w:val="auto"/>
          <w:lang w:val="en-US" w:eastAsia="zh-CN"/>
        </w:rPr>
        <w:t>周密预防：系统漏洞扫描，补丁修复管理、终端基线检查，资产盘点，资产主动发现，轻补丁漏洞免疫；</w:t>
      </w:r>
    </w:p>
    <w:p w14:paraId="57C52B7C">
      <w:pPr>
        <w:keepNext w:val="0"/>
        <w:keepLines w:val="0"/>
        <w:pageBreakBefore w:val="0"/>
        <w:widowControl w:val="0"/>
        <w:numPr>
          <w:ilvl w:val="2"/>
          <w:numId w:val="7"/>
        </w:numPr>
        <w:kinsoku/>
        <w:wordWrap/>
        <w:overflowPunct/>
        <w:topLinePunct w:val="0"/>
        <w:autoSpaceDE w:val="0"/>
        <w:autoSpaceDN w:val="0"/>
        <w:bidi w:val="0"/>
        <w:adjustRightInd w:val="0"/>
        <w:snapToGrid/>
        <w:spacing w:line="600" w:lineRule="exact"/>
        <w:ind w:left="0" w:leftChars="0" w:firstLine="506" w:firstLineChars="0"/>
        <w:textAlignment w:val="auto"/>
        <w:rPr>
          <w:rFonts w:hint="eastAsia" w:ascii="Times New Roman"/>
          <w:color w:val="auto"/>
          <w:lang w:val="en-US" w:eastAsia="zh-CN"/>
        </w:rPr>
      </w:pPr>
      <w:r>
        <w:rPr>
          <w:rFonts w:hint="eastAsia" w:ascii="Times New Roman"/>
          <w:color w:val="auto"/>
          <w:lang w:val="en-US" w:eastAsia="zh-CN"/>
        </w:rPr>
        <w:t>全面防护：文件实时监控，勒索诱饵防护，勒索攻击对抗，无文件攻击防护，RDP二次认证，可信进程防护，关键目录加固；服务器端还应包括Webshell防护；</w:t>
      </w:r>
    </w:p>
    <w:p w14:paraId="3ABA12B4">
      <w:pPr>
        <w:keepNext w:val="0"/>
        <w:keepLines w:val="0"/>
        <w:pageBreakBefore w:val="0"/>
        <w:widowControl w:val="0"/>
        <w:numPr>
          <w:ilvl w:val="2"/>
          <w:numId w:val="7"/>
        </w:numPr>
        <w:kinsoku/>
        <w:wordWrap/>
        <w:overflowPunct/>
        <w:topLinePunct w:val="0"/>
        <w:autoSpaceDE w:val="0"/>
        <w:autoSpaceDN w:val="0"/>
        <w:bidi w:val="0"/>
        <w:adjustRightInd w:val="0"/>
        <w:snapToGrid/>
        <w:spacing w:line="600" w:lineRule="exact"/>
        <w:ind w:left="0" w:leftChars="0" w:firstLine="506" w:firstLineChars="0"/>
        <w:textAlignment w:val="auto"/>
        <w:rPr>
          <w:rFonts w:hint="eastAsia" w:ascii="Times New Roman"/>
          <w:color w:val="auto"/>
          <w:lang w:val="en-US" w:eastAsia="zh-CN"/>
        </w:rPr>
      </w:pPr>
      <w:r>
        <w:rPr>
          <w:rFonts w:hint="eastAsia" w:ascii="Times New Roman"/>
          <w:color w:val="auto"/>
          <w:lang w:val="en-US" w:eastAsia="zh-CN"/>
        </w:rPr>
        <w:t>深度检测：终端行为数据采集，（单品）高级威胁行为检测（IOA），（单品）攻击进程链可视化展示（单品）威胁狩猎，内存马检测等；</w:t>
      </w:r>
    </w:p>
    <w:p w14:paraId="5F310346">
      <w:pPr>
        <w:keepNext w:val="0"/>
        <w:keepLines w:val="0"/>
        <w:pageBreakBefore w:val="0"/>
        <w:widowControl w:val="0"/>
        <w:numPr>
          <w:ilvl w:val="2"/>
          <w:numId w:val="7"/>
        </w:numPr>
        <w:kinsoku/>
        <w:wordWrap/>
        <w:overflowPunct/>
        <w:topLinePunct w:val="0"/>
        <w:autoSpaceDE w:val="0"/>
        <w:autoSpaceDN w:val="0"/>
        <w:bidi w:val="0"/>
        <w:adjustRightInd w:val="0"/>
        <w:snapToGrid/>
        <w:spacing w:line="600" w:lineRule="exact"/>
        <w:ind w:left="0" w:leftChars="0" w:firstLine="506" w:firstLineChars="0"/>
        <w:textAlignment w:val="auto"/>
        <w:rPr>
          <w:rFonts w:hint="eastAsia" w:ascii="Times New Roman"/>
          <w:color w:val="auto"/>
          <w:lang w:val="en-US" w:eastAsia="zh-CN"/>
        </w:rPr>
      </w:pPr>
      <w:r>
        <w:rPr>
          <w:rFonts w:hint="eastAsia" w:ascii="Times New Roman"/>
          <w:color w:val="auto"/>
          <w:lang w:val="en-US" w:eastAsia="zh-CN"/>
        </w:rPr>
        <w:t>灵敏检测：恶意文件检测，暴力破解检测，网端联动杀毒；</w:t>
      </w:r>
    </w:p>
    <w:p w14:paraId="186BDD78">
      <w:pPr>
        <w:keepNext w:val="0"/>
        <w:keepLines w:val="0"/>
        <w:pageBreakBefore w:val="0"/>
        <w:widowControl w:val="0"/>
        <w:numPr>
          <w:ilvl w:val="2"/>
          <w:numId w:val="7"/>
        </w:numPr>
        <w:kinsoku/>
        <w:wordWrap/>
        <w:overflowPunct/>
        <w:topLinePunct w:val="0"/>
        <w:autoSpaceDE w:val="0"/>
        <w:autoSpaceDN w:val="0"/>
        <w:bidi w:val="0"/>
        <w:adjustRightInd w:val="0"/>
        <w:snapToGrid/>
        <w:spacing w:line="600" w:lineRule="exact"/>
        <w:ind w:left="0" w:leftChars="0" w:firstLine="506" w:firstLineChars="0"/>
        <w:textAlignment w:val="auto"/>
        <w:rPr>
          <w:rFonts w:hint="eastAsia" w:ascii="Times New Roman"/>
          <w:color w:val="auto"/>
          <w:lang w:val="en-US" w:eastAsia="zh-CN"/>
        </w:rPr>
      </w:pPr>
      <w:r>
        <w:rPr>
          <w:rFonts w:hint="eastAsia" w:ascii="Times New Roman"/>
          <w:color w:val="auto"/>
          <w:lang w:val="en-US" w:eastAsia="zh-CN"/>
        </w:rPr>
        <w:t>快速响应：文件急速隔离，终端一键隔离，感染文件修复，病毒处置响应，网端深度联动（与SIP、AC、AF、XDR)，全网威胁定位；</w:t>
      </w:r>
    </w:p>
    <w:p w14:paraId="67C580FA">
      <w:pPr>
        <w:keepNext w:val="0"/>
        <w:keepLines w:val="0"/>
        <w:pageBreakBefore w:val="0"/>
        <w:widowControl w:val="0"/>
        <w:numPr>
          <w:ilvl w:val="2"/>
          <w:numId w:val="7"/>
        </w:numPr>
        <w:kinsoku/>
        <w:wordWrap/>
        <w:overflowPunct/>
        <w:topLinePunct w:val="0"/>
        <w:autoSpaceDE w:val="0"/>
        <w:autoSpaceDN w:val="0"/>
        <w:bidi w:val="0"/>
        <w:adjustRightInd w:val="0"/>
        <w:snapToGrid/>
        <w:spacing w:line="600" w:lineRule="exact"/>
        <w:ind w:left="0" w:leftChars="0" w:firstLine="506" w:firstLineChars="0"/>
        <w:textAlignment w:val="auto"/>
        <w:rPr>
          <w:rFonts w:hint="eastAsia" w:ascii="Times New Roman"/>
          <w:color w:val="auto"/>
          <w:lang w:val="en-US" w:eastAsia="zh-CN"/>
        </w:rPr>
      </w:pPr>
      <w:r>
        <w:rPr>
          <w:rFonts w:hint="eastAsia" w:ascii="Times New Roman"/>
          <w:color w:val="auto"/>
          <w:lang w:val="en-US" w:eastAsia="zh-CN"/>
        </w:rPr>
        <w:t>简便运维：外设管控，违规外联检测；PC终端还应包括远程协助功能，广告弹窗拦截。</w:t>
      </w:r>
    </w:p>
    <w:p w14:paraId="2EE49624">
      <w:pPr>
        <w:keepNext w:val="0"/>
        <w:keepLines w:val="0"/>
        <w:pageBreakBefore w:val="0"/>
        <w:widowControl w:val="0"/>
        <w:numPr>
          <w:ilvl w:val="1"/>
          <w:numId w:val="7"/>
        </w:numPr>
        <w:kinsoku/>
        <w:wordWrap/>
        <w:overflowPunct/>
        <w:topLinePunct w:val="0"/>
        <w:autoSpaceDE w:val="0"/>
        <w:autoSpaceDN w:val="0"/>
        <w:bidi w:val="0"/>
        <w:adjustRightInd w:val="0"/>
        <w:snapToGrid/>
        <w:spacing w:line="600" w:lineRule="exact"/>
        <w:ind w:left="0" w:leftChars="0" w:firstLine="517" w:firstLineChars="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非功能需求</w:t>
      </w:r>
    </w:p>
    <w:p w14:paraId="4CC7DF9B">
      <w:pPr>
        <w:keepNext w:val="0"/>
        <w:keepLines w:val="0"/>
        <w:pageBreakBefore w:val="0"/>
        <w:widowControl w:val="0"/>
        <w:numPr>
          <w:ilvl w:val="2"/>
          <w:numId w:val="7"/>
        </w:numPr>
        <w:kinsoku/>
        <w:wordWrap/>
        <w:overflowPunct/>
        <w:topLinePunct w:val="0"/>
        <w:autoSpaceDE w:val="0"/>
        <w:autoSpaceDN w:val="0"/>
        <w:bidi w:val="0"/>
        <w:adjustRightInd w:val="0"/>
        <w:snapToGrid/>
        <w:spacing w:line="600" w:lineRule="exact"/>
        <w:ind w:left="0" w:leftChars="0" w:firstLine="506" w:firstLineChars="0"/>
        <w:textAlignment w:val="auto"/>
        <w:rPr>
          <w:rFonts w:hint="eastAsia" w:ascii="Times New Roman"/>
          <w:color w:val="auto"/>
          <w:lang w:val="en-US" w:eastAsia="zh-CN"/>
        </w:rPr>
      </w:pPr>
      <w:r>
        <w:rPr>
          <w:rFonts w:hint="eastAsia" w:ascii="Times New Roman"/>
          <w:color w:val="auto"/>
          <w:lang w:val="en-US" w:eastAsia="zh-CN"/>
        </w:rPr>
        <w:t>支持私有化部署</w:t>
      </w:r>
    </w:p>
    <w:p w14:paraId="3A1B146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720" w:firstLineChars="300"/>
        <w:textAlignment w:val="auto"/>
        <w:rPr>
          <w:rFonts w:hint="eastAsia" w:ascii="Times New Roman"/>
          <w:color w:val="auto"/>
          <w:lang w:val="en-US" w:eastAsia="zh-CN"/>
        </w:rPr>
      </w:pPr>
      <w:r>
        <w:rPr>
          <w:rFonts w:hint="eastAsia" w:ascii="Times New Roman"/>
          <w:color w:val="auto"/>
          <w:lang w:val="en-US" w:eastAsia="zh-CN"/>
        </w:rPr>
        <w:t>服务端部署在本地，并提供部署实施服务。</w:t>
      </w:r>
    </w:p>
    <w:p w14:paraId="77AC179A">
      <w:pPr>
        <w:keepNext w:val="0"/>
        <w:keepLines w:val="0"/>
        <w:pageBreakBefore w:val="0"/>
        <w:widowControl w:val="0"/>
        <w:numPr>
          <w:ilvl w:val="2"/>
          <w:numId w:val="7"/>
        </w:numPr>
        <w:kinsoku/>
        <w:wordWrap/>
        <w:overflowPunct/>
        <w:topLinePunct w:val="0"/>
        <w:autoSpaceDE w:val="0"/>
        <w:autoSpaceDN w:val="0"/>
        <w:bidi w:val="0"/>
        <w:adjustRightInd w:val="0"/>
        <w:snapToGrid/>
        <w:spacing w:line="600" w:lineRule="exact"/>
        <w:ind w:left="0" w:leftChars="0" w:firstLine="506" w:firstLineChars="0"/>
        <w:textAlignment w:val="auto"/>
        <w:rPr>
          <w:rFonts w:hint="eastAsia" w:ascii="Times New Roman"/>
          <w:color w:val="auto"/>
          <w:lang w:val="en-US" w:eastAsia="zh-CN"/>
        </w:rPr>
      </w:pPr>
      <w:r>
        <w:rPr>
          <w:rFonts w:hint="eastAsia" w:ascii="Times New Roman"/>
          <w:color w:val="auto"/>
          <w:lang w:val="en-US" w:eastAsia="zh-CN"/>
        </w:rPr>
        <w:t>服务端</w:t>
      </w:r>
    </w:p>
    <w:p w14:paraId="2668150D">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Times New Roman"/>
          <w:color w:val="auto"/>
          <w:lang w:val="en-US" w:eastAsia="zh-CN"/>
        </w:rPr>
      </w:pPr>
      <w:r>
        <w:rPr>
          <w:rFonts w:hint="eastAsia" w:ascii="Times New Roman"/>
          <w:color w:val="auto"/>
          <w:lang w:val="en-US" w:eastAsia="zh-CN"/>
        </w:rPr>
        <w:t>需全面支持主流服务器操作系统，包括但不限于Windows Server系列、各类Linux发行版（如Ubuntu、CentOS等）、国产操作系统（如统信、麒麟等）。</w:t>
      </w:r>
    </w:p>
    <w:p w14:paraId="22F8A9AA">
      <w:pPr>
        <w:keepNext w:val="0"/>
        <w:keepLines w:val="0"/>
        <w:pageBreakBefore w:val="0"/>
        <w:widowControl w:val="0"/>
        <w:numPr>
          <w:ilvl w:val="2"/>
          <w:numId w:val="7"/>
        </w:numPr>
        <w:kinsoku/>
        <w:wordWrap/>
        <w:overflowPunct/>
        <w:topLinePunct w:val="0"/>
        <w:autoSpaceDE w:val="0"/>
        <w:autoSpaceDN w:val="0"/>
        <w:bidi w:val="0"/>
        <w:adjustRightInd w:val="0"/>
        <w:snapToGrid/>
        <w:spacing w:line="600" w:lineRule="exact"/>
        <w:ind w:left="0" w:leftChars="0" w:firstLine="506" w:firstLineChars="0"/>
        <w:textAlignment w:val="auto"/>
        <w:rPr>
          <w:rFonts w:hint="eastAsia" w:ascii="Times New Roman"/>
          <w:color w:val="auto"/>
          <w:lang w:val="en-US" w:eastAsia="zh-CN"/>
        </w:rPr>
      </w:pPr>
      <w:r>
        <w:rPr>
          <w:rFonts w:hint="eastAsia" w:ascii="Times New Roman"/>
          <w:color w:val="auto"/>
          <w:lang w:val="en-US" w:eastAsia="zh-CN"/>
        </w:rPr>
        <w:t>客户端</w:t>
      </w:r>
    </w:p>
    <w:p w14:paraId="58850523">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jc w:val="left"/>
        <w:textAlignment w:val="auto"/>
        <w:rPr>
          <w:rFonts w:hint="eastAsia" w:ascii="Times New Roman"/>
          <w:color w:val="auto"/>
          <w:lang w:val="en-US" w:eastAsia="zh-CN"/>
        </w:rPr>
      </w:pPr>
      <w:r>
        <w:rPr>
          <w:rFonts w:hint="eastAsia" w:ascii="Times New Roman"/>
          <w:color w:val="auto"/>
          <w:lang w:val="en-US" w:eastAsia="zh-CN"/>
        </w:rPr>
        <w:t>需全面支持主流操作系统，包括Windows操作系统（包括但不限于Windows 7、Windows 8、Windows 10、Windows 11、Windows Server系列等）、Linux操作系统、国产操作系统（如方德操作系统、麒麟操作系统、统信操作系统等）。</w:t>
      </w:r>
    </w:p>
    <w:p w14:paraId="6382E3EB">
      <w:pPr>
        <w:keepNext w:val="0"/>
        <w:keepLines w:val="0"/>
        <w:pageBreakBefore w:val="0"/>
        <w:widowControl w:val="0"/>
        <w:numPr>
          <w:ilvl w:val="2"/>
          <w:numId w:val="7"/>
        </w:numPr>
        <w:kinsoku/>
        <w:wordWrap/>
        <w:overflowPunct/>
        <w:topLinePunct w:val="0"/>
        <w:autoSpaceDE w:val="0"/>
        <w:autoSpaceDN w:val="0"/>
        <w:bidi w:val="0"/>
        <w:adjustRightInd w:val="0"/>
        <w:snapToGrid/>
        <w:spacing w:line="600" w:lineRule="exact"/>
        <w:ind w:left="0" w:leftChars="0" w:firstLine="506" w:firstLineChars="0"/>
        <w:textAlignment w:val="auto"/>
        <w:rPr>
          <w:rFonts w:hint="eastAsia" w:ascii="Times New Roman"/>
          <w:color w:val="auto"/>
          <w:lang w:val="en-US" w:eastAsia="zh-CN"/>
        </w:rPr>
      </w:pPr>
      <w:r>
        <w:rPr>
          <w:rFonts w:hint="eastAsia" w:ascii="Times New Roman"/>
          <w:color w:val="auto"/>
          <w:lang w:val="en-US" w:eastAsia="zh-CN"/>
        </w:rPr>
        <w:t>授权版本转换</w:t>
      </w:r>
    </w:p>
    <w:p w14:paraId="279ACC7B">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Times New Roman"/>
          <w:color w:val="auto"/>
          <w:lang w:val="en-US" w:eastAsia="zh-CN"/>
        </w:rPr>
      </w:pPr>
      <w:r>
        <w:rPr>
          <w:rFonts w:hint="eastAsia" w:ascii="Times New Roman"/>
          <w:color w:val="auto"/>
          <w:lang w:val="en-US" w:eastAsia="zh-CN"/>
        </w:rPr>
        <w:t>Windows版授权在合同期内可免费转换为国产操作系统版的授权。</w:t>
      </w:r>
    </w:p>
    <w:p w14:paraId="4815323E">
      <w:pPr>
        <w:keepNext w:val="0"/>
        <w:keepLines w:val="0"/>
        <w:pageBreakBefore w:val="0"/>
        <w:widowControl w:val="0"/>
        <w:numPr>
          <w:ilvl w:val="2"/>
          <w:numId w:val="7"/>
        </w:numPr>
        <w:kinsoku/>
        <w:wordWrap/>
        <w:overflowPunct/>
        <w:topLinePunct w:val="0"/>
        <w:autoSpaceDE w:val="0"/>
        <w:autoSpaceDN w:val="0"/>
        <w:bidi w:val="0"/>
        <w:adjustRightInd w:val="0"/>
        <w:snapToGrid/>
        <w:spacing w:line="600" w:lineRule="exact"/>
        <w:ind w:left="0" w:leftChars="0" w:firstLine="506" w:firstLineChars="0"/>
        <w:textAlignment w:val="auto"/>
        <w:rPr>
          <w:rFonts w:hint="eastAsia" w:ascii="Times New Roman"/>
          <w:color w:val="auto"/>
          <w:lang w:val="en-US" w:eastAsia="zh-CN"/>
        </w:rPr>
      </w:pPr>
      <w:r>
        <w:rPr>
          <w:rFonts w:hint="eastAsia" w:ascii="Times New Roman"/>
          <w:color w:val="auto"/>
          <w:lang w:val="en-US" w:eastAsia="zh-CN"/>
        </w:rPr>
        <w:t>新增授权与续保价格</w:t>
      </w:r>
    </w:p>
    <w:p w14:paraId="5234117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Times New Roman"/>
          <w:color w:val="auto"/>
          <w:lang w:val="en-US" w:eastAsia="zh-CN"/>
        </w:rPr>
      </w:pPr>
      <w:r>
        <w:rPr>
          <w:rFonts w:hint="eastAsia" w:ascii="Times New Roman"/>
          <w:color w:val="auto"/>
          <w:lang w:val="en-US" w:eastAsia="zh-CN"/>
        </w:rPr>
        <w:t>后续新增授权的价格不得超过本次采购所约定的单个新增授权的价格。</w:t>
      </w:r>
    </w:p>
    <w:p w14:paraId="7C95C1A2">
      <w:pPr>
        <w:keepNext w:val="0"/>
        <w:keepLines w:val="0"/>
        <w:pageBreakBefore w:val="0"/>
        <w:widowControl w:val="0"/>
        <w:numPr>
          <w:ilvl w:val="2"/>
          <w:numId w:val="7"/>
        </w:numPr>
        <w:kinsoku/>
        <w:wordWrap/>
        <w:overflowPunct/>
        <w:topLinePunct w:val="0"/>
        <w:autoSpaceDE w:val="0"/>
        <w:autoSpaceDN w:val="0"/>
        <w:bidi w:val="0"/>
        <w:adjustRightInd w:val="0"/>
        <w:snapToGrid/>
        <w:spacing w:line="600" w:lineRule="exact"/>
        <w:ind w:left="0" w:leftChars="0" w:firstLine="506" w:firstLineChars="0"/>
        <w:textAlignment w:val="auto"/>
        <w:rPr>
          <w:rFonts w:hint="eastAsia" w:ascii="Times New Roman"/>
          <w:color w:val="auto"/>
          <w:lang w:val="en-US" w:eastAsia="zh-CN"/>
        </w:rPr>
      </w:pPr>
      <w:r>
        <w:rPr>
          <w:rFonts w:hint="eastAsia" w:ascii="Times New Roman"/>
          <w:color w:val="auto"/>
          <w:lang w:val="en-US" w:eastAsia="zh-CN"/>
        </w:rPr>
        <w:t>资质要求</w:t>
      </w:r>
    </w:p>
    <w:p w14:paraId="79591E8D">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default" w:ascii="Times New Roman"/>
          <w:color w:val="auto"/>
          <w:lang w:val="en-US" w:eastAsia="zh-CN"/>
        </w:rPr>
      </w:pPr>
      <w:r>
        <w:rPr>
          <w:rFonts w:hint="eastAsia" w:ascii="Times New Roman"/>
          <w:color w:val="auto"/>
          <w:lang w:val="en-US" w:eastAsia="zh-CN"/>
        </w:rPr>
        <w:t>报价人需具有深信服厂家的经销授权书或其他证明文件。</w:t>
      </w:r>
    </w:p>
    <w:p w14:paraId="05A87A92">
      <w:pPr>
        <w:pageBreakBefore w:val="0"/>
        <w:kinsoku/>
        <w:overflowPunct/>
        <w:topLinePunct w:val="0"/>
        <w:bidi w:val="0"/>
        <w:adjustRightInd w:val="0"/>
        <w:snapToGrid w:val="0"/>
        <w:ind w:left="0" w:leftChars="0" w:right="0"/>
        <w:rPr>
          <w:rFonts w:hint="default" w:ascii="Times New Roman" w:hAnsi="Times New Roman" w:cs="Times New Roman"/>
          <w:color w:val="auto"/>
          <w:sz w:val="22"/>
          <w:szCs w:val="22"/>
        </w:rPr>
      </w:pPr>
    </w:p>
    <w:p w14:paraId="153DDB84">
      <w:pPr>
        <w:rPr>
          <w:rFonts w:ascii="Times New Roman"/>
          <w:color w:val="auto"/>
          <w:highlight w:val="none"/>
        </w:rPr>
      </w:pPr>
    </w:p>
    <w:p w14:paraId="7260415D">
      <w:pPr>
        <w:rPr>
          <w:rFonts w:ascii="Times New Roman"/>
          <w:color w:val="auto"/>
          <w:highlight w:val="none"/>
        </w:rPr>
      </w:pPr>
    </w:p>
    <w:p w14:paraId="3E81953C">
      <w:pPr>
        <w:rPr>
          <w:rFonts w:ascii="Times New Roman"/>
          <w:color w:val="auto"/>
          <w:highlight w:val="none"/>
        </w:rPr>
      </w:pPr>
    </w:p>
    <w:p w14:paraId="5CB90B67">
      <w:pPr>
        <w:rPr>
          <w:rFonts w:ascii="Times New Roman"/>
          <w:color w:val="auto"/>
          <w:highlight w:val="none"/>
        </w:rPr>
      </w:pPr>
    </w:p>
    <w:p w14:paraId="0551E581">
      <w:pPr>
        <w:rPr>
          <w:rFonts w:ascii="Times New Roman"/>
          <w:color w:val="auto"/>
          <w:highlight w:val="none"/>
        </w:rPr>
      </w:pPr>
    </w:p>
    <w:p w14:paraId="2DA14110">
      <w:pPr>
        <w:rPr>
          <w:rFonts w:ascii="Times New Roman"/>
          <w:color w:val="auto"/>
          <w:highlight w:val="none"/>
        </w:rPr>
      </w:pPr>
    </w:p>
    <w:p w14:paraId="566B43B8">
      <w:pPr>
        <w:rPr>
          <w:rFonts w:ascii="Times New Roman"/>
          <w:color w:val="auto"/>
          <w:highlight w:val="none"/>
        </w:rPr>
      </w:pPr>
    </w:p>
    <w:p w14:paraId="59FA61DB">
      <w:pPr>
        <w:rPr>
          <w:rFonts w:ascii="Times New Roman"/>
          <w:color w:val="auto"/>
          <w:highlight w:val="none"/>
        </w:rPr>
      </w:pPr>
    </w:p>
    <w:p w14:paraId="1238BA2D">
      <w:pPr>
        <w:rPr>
          <w:rFonts w:ascii="Times New Roman"/>
          <w:color w:val="auto"/>
          <w:highlight w:val="none"/>
        </w:rPr>
      </w:pPr>
    </w:p>
    <w:p w14:paraId="47C579E3">
      <w:pPr>
        <w:rPr>
          <w:rFonts w:ascii="Times New Roman"/>
          <w:color w:val="auto"/>
          <w:highlight w:val="none"/>
        </w:rPr>
      </w:pPr>
    </w:p>
    <w:p w14:paraId="2E2ADC39">
      <w:pPr>
        <w:rPr>
          <w:rFonts w:ascii="Times New Roman"/>
          <w:color w:val="auto"/>
          <w:highlight w:val="none"/>
        </w:rPr>
      </w:pPr>
    </w:p>
    <w:p w14:paraId="3AC51395">
      <w:pPr>
        <w:rPr>
          <w:rFonts w:ascii="Times New Roman"/>
          <w:color w:val="auto"/>
          <w:highlight w:val="none"/>
        </w:rPr>
      </w:pPr>
    </w:p>
    <w:p w14:paraId="4E7310E1">
      <w:pPr>
        <w:rPr>
          <w:rFonts w:ascii="Times New Roman"/>
          <w:color w:val="auto"/>
          <w:highlight w:val="none"/>
        </w:rPr>
      </w:pPr>
    </w:p>
    <w:p w14:paraId="4E2DE80A">
      <w:pPr>
        <w:rPr>
          <w:rFonts w:ascii="Times New Roman"/>
          <w:color w:val="auto"/>
          <w:highlight w:val="none"/>
        </w:rPr>
      </w:pPr>
    </w:p>
    <w:p w14:paraId="6D581C94">
      <w:pPr>
        <w:pStyle w:val="2"/>
        <w:spacing w:before="0" w:after="0"/>
        <w:jc w:val="center"/>
        <w:rPr>
          <w:rFonts w:hAnsi="宋体" w:cs="宋体"/>
          <w:color w:val="auto"/>
          <w:szCs w:val="32"/>
          <w:highlight w:val="none"/>
        </w:rPr>
      </w:pPr>
      <w:bookmarkStart w:id="42" w:name="_Toc29476707"/>
      <w:r>
        <w:rPr>
          <w:rFonts w:hint="eastAsia" w:hAnsi="宋体" w:cs="宋体"/>
          <w:color w:val="auto"/>
          <w:szCs w:val="32"/>
          <w:highlight w:val="none"/>
        </w:rPr>
        <w:t>第四章 报价须知</w:t>
      </w:r>
      <w:bookmarkEnd w:id="42"/>
    </w:p>
    <w:p w14:paraId="0CDADF50">
      <w:pPr>
        <w:spacing w:line="360" w:lineRule="auto"/>
        <w:rPr>
          <w:rFonts w:hAnsi="宋体" w:cs="宋体"/>
          <w:b/>
          <w:bCs/>
          <w:color w:val="auto"/>
          <w:highlight w:val="none"/>
        </w:rPr>
      </w:pPr>
      <w:r>
        <w:rPr>
          <w:rFonts w:hint="eastAsia" w:hAnsi="宋体" w:cs="宋体"/>
          <w:b/>
          <w:bCs/>
          <w:color w:val="auto"/>
          <w:highlight w:val="none"/>
        </w:rPr>
        <w:t>一、项目费用说明</w:t>
      </w:r>
    </w:p>
    <w:p w14:paraId="24B2E1F9">
      <w:pPr>
        <w:spacing w:line="360" w:lineRule="auto"/>
        <w:ind w:firstLine="424" w:firstLineChars="177"/>
        <w:rPr>
          <w:rFonts w:hAnsi="宋体" w:cs="宋体"/>
          <w:color w:val="auto"/>
          <w:highlight w:val="none"/>
        </w:rPr>
      </w:pPr>
      <w:r>
        <w:rPr>
          <w:rFonts w:hint="eastAsia" w:hAnsi="宋体" w:cs="宋体"/>
          <w:color w:val="auto"/>
          <w:highlight w:val="none"/>
        </w:rPr>
        <w:t>报价人应按询价文件要求及企业的自身情况进行报价。所报的价格包含完成询价文件规定的工作所需的全部费用（</w:t>
      </w:r>
      <w:r>
        <w:rPr>
          <w:rFonts w:hint="eastAsia" w:hAnsi="宋体" w:cs="宋体"/>
          <w:color w:val="auto"/>
          <w:highlight w:val="none"/>
          <w:lang w:val="en-US" w:eastAsia="zh-CN"/>
        </w:rPr>
        <w:t>含</w:t>
      </w:r>
      <w:r>
        <w:rPr>
          <w:rFonts w:hint="eastAsia" w:hAnsi="宋体" w:cs="宋体"/>
          <w:color w:val="auto"/>
          <w:highlight w:val="none"/>
        </w:rPr>
        <w:t>报价人销项税额），并承担所有相应项目风险。</w:t>
      </w:r>
    </w:p>
    <w:p w14:paraId="672F4A4A">
      <w:pPr>
        <w:spacing w:line="360" w:lineRule="auto"/>
        <w:rPr>
          <w:rFonts w:hAnsi="宋体" w:cs="宋体"/>
          <w:b/>
          <w:bCs/>
          <w:color w:val="auto"/>
          <w:highlight w:val="none"/>
        </w:rPr>
      </w:pPr>
    </w:p>
    <w:p w14:paraId="3566CD04">
      <w:pPr>
        <w:spacing w:line="360" w:lineRule="auto"/>
        <w:rPr>
          <w:rFonts w:hAnsi="宋体" w:cs="宋体"/>
          <w:b/>
          <w:bCs/>
          <w:color w:val="auto"/>
          <w:highlight w:val="none"/>
        </w:rPr>
      </w:pPr>
      <w:r>
        <w:rPr>
          <w:rFonts w:hint="eastAsia" w:hAnsi="宋体" w:cs="宋体"/>
          <w:b/>
          <w:bCs/>
          <w:color w:val="auto"/>
          <w:highlight w:val="none"/>
        </w:rPr>
        <w:t>二、报价文件的组成</w:t>
      </w:r>
    </w:p>
    <w:p w14:paraId="000F6FF3">
      <w:pPr>
        <w:spacing w:line="360" w:lineRule="auto"/>
        <w:ind w:firstLine="424" w:firstLineChars="177"/>
        <w:rPr>
          <w:rFonts w:hAnsi="宋体" w:cs="宋体"/>
          <w:color w:val="auto"/>
          <w:highlight w:val="none"/>
        </w:rPr>
      </w:pPr>
      <w:r>
        <w:rPr>
          <w:rFonts w:hint="eastAsia" w:hAnsi="宋体" w:cs="宋体"/>
          <w:color w:val="auto"/>
          <w:highlight w:val="none"/>
        </w:rPr>
        <w:t>1.报价表；</w:t>
      </w:r>
    </w:p>
    <w:p w14:paraId="59844443">
      <w:pPr>
        <w:spacing w:line="360" w:lineRule="auto"/>
        <w:ind w:firstLine="424" w:firstLineChars="177"/>
        <w:rPr>
          <w:rFonts w:hAnsi="宋体" w:cs="宋体"/>
          <w:color w:val="auto"/>
          <w:highlight w:val="none"/>
        </w:rPr>
      </w:pPr>
      <w:r>
        <w:rPr>
          <w:rFonts w:hint="eastAsia" w:hAnsi="宋体" w:cs="宋体"/>
          <w:color w:val="auto"/>
          <w:highlight w:val="none"/>
        </w:rPr>
        <w:t>2.用户需求偏离表；</w:t>
      </w:r>
    </w:p>
    <w:p w14:paraId="591D2DCE">
      <w:pPr>
        <w:spacing w:line="360" w:lineRule="auto"/>
        <w:ind w:firstLine="424" w:firstLineChars="177"/>
        <w:rPr>
          <w:rFonts w:hint="eastAsia" w:hAnsi="宋体" w:cs="宋体"/>
          <w:color w:val="auto"/>
          <w:highlight w:val="none"/>
        </w:rPr>
      </w:pPr>
      <w:r>
        <w:rPr>
          <w:rFonts w:hint="eastAsia" w:hAnsi="宋体" w:cs="宋体"/>
          <w:color w:val="auto"/>
          <w:highlight w:val="none"/>
        </w:rPr>
        <w:t>3.合同条款偏离表；</w:t>
      </w:r>
    </w:p>
    <w:p w14:paraId="2C404858">
      <w:pPr>
        <w:spacing w:line="360" w:lineRule="auto"/>
        <w:ind w:firstLine="424" w:firstLineChars="177"/>
        <w:rPr>
          <w:rFonts w:hint="eastAsia" w:hAnsi="宋体" w:cs="宋体"/>
          <w:color w:val="auto"/>
          <w:highlight w:val="none"/>
        </w:rPr>
      </w:pPr>
      <w:r>
        <w:rPr>
          <w:rFonts w:hint="eastAsia" w:hAnsi="宋体" w:cs="宋体"/>
          <w:color w:val="auto"/>
          <w:highlight w:val="none"/>
          <w:lang w:val="en-US" w:eastAsia="zh-CN"/>
        </w:rPr>
        <w:t>4.</w:t>
      </w:r>
      <w:r>
        <w:rPr>
          <w:rFonts w:hint="eastAsia" w:ascii="Times New Roman"/>
          <w:color w:val="auto"/>
          <w:lang w:val="en-US" w:eastAsia="zh-CN"/>
        </w:rPr>
        <w:t xml:space="preserve"> 深信服科技股份有限公司的经销授权书或其他证明文件；</w:t>
      </w:r>
    </w:p>
    <w:p w14:paraId="6EF7F122">
      <w:pPr>
        <w:spacing w:line="360" w:lineRule="auto"/>
        <w:ind w:firstLine="424" w:firstLineChars="177"/>
        <w:rPr>
          <w:rFonts w:hAnsi="宋体" w:cs="宋体"/>
          <w:color w:val="auto"/>
          <w:highlight w:val="none"/>
        </w:rPr>
      </w:pPr>
      <w:r>
        <w:rPr>
          <w:rFonts w:hint="eastAsia" w:hAnsi="宋体" w:cs="宋体"/>
          <w:color w:val="auto"/>
          <w:highlight w:val="none"/>
          <w:lang w:val="en-US" w:eastAsia="zh-CN"/>
        </w:rPr>
        <w:t>5</w:t>
      </w:r>
      <w:r>
        <w:rPr>
          <w:rFonts w:hint="eastAsia" w:hAnsi="宋体" w:cs="宋体"/>
          <w:color w:val="auto"/>
          <w:highlight w:val="none"/>
        </w:rPr>
        <w:t>.报价人认为有必要提供的资料（不做强制要求）。</w:t>
      </w:r>
    </w:p>
    <w:p w14:paraId="787AA735">
      <w:pPr>
        <w:spacing w:line="360" w:lineRule="auto"/>
        <w:rPr>
          <w:rFonts w:hAnsi="宋体" w:cs="宋体"/>
          <w:b/>
          <w:bCs/>
          <w:color w:val="auto"/>
          <w:highlight w:val="none"/>
        </w:rPr>
      </w:pPr>
    </w:p>
    <w:p w14:paraId="22E88ACC">
      <w:pPr>
        <w:spacing w:line="360" w:lineRule="auto"/>
        <w:rPr>
          <w:rFonts w:hAnsi="宋体" w:cs="宋体"/>
          <w:b/>
          <w:bCs/>
          <w:color w:val="auto"/>
          <w:highlight w:val="none"/>
        </w:rPr>
      </w:pPr>
      <w:r>
        <w:rPr>
          <w:rFonts w:hint="eastAsia" w:hAnsi="宋体" w:cs="宋体"/>
          <w:b/>
          <w:bCs/>
          <w:color w:val="auto"/>
          <w:highlight w:val="none"/>
        </w:rPr>
        <w:t>三、报价文件的封装和递交</w:t>
      </w:r>
    </w:p>
    <w:p w14:paraId="2A60123B">
      <w:pPr>
        <w:spacing w:line="360" w:lineRule="auto"/>
        <w:ind w:firstLine="424" w:firstLineChars="177"/>
        <w:rPr>
          <w:rFonts w:hAnsi="宋体" w:cs="宋体"/>
          <w:color w:val="auto"/>
          <w:highlight w:val="none"/>
        </w:rPr>
      </w:pPr>
      <w:r>
        <w:rPr>
          <w:rFonts w:hint="eastAsia" w:hAnsi="宋体" w:cs="宋体"/>
          <w:color w:val="auto"/>
          <w:highlight w:val="none"/>
        </w:rPr>
        <w:t>1.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14:paraId="649BA8BC">
      <w:pPr>
        <w:spacing w:line="360" w:lineRule="auto"/>
        <w:ind w:firstLine="424" w:firstLineChars="177"/>
        <w:rPr>
          <w:rFonts w:hAnsi="宋体" w:cs="宋体"/>
          <w:color w:val="auto"/>
          <w:highlight w:val="none"/>
        </w:rPr>
      </w:pPr>
      <w:r>
        <w:rPr>
          <w:rFonts w:hint="eastAsia" w:hAnsi="宋体" w:cs="宋体"/>
          <w:color w:val="auto"/>
          <w:highlight w:val="none"/>
        </w:rPr>
        <w:t>2.</w:t>
      </w:r>
      <w:r>
        <w:rPr>
          <w:rFonts w:hint="eastAsia" w:hAnsi="宋体" w:cs="宋体"/>
          <w:b/>
          <w:bCs/>
          <w:color w:val="auto"/>
          <w:highlight w:val="none"/>
        </w:rPr>
        <w:t>报价文件无须装订成册。</w:t>
      </w:r>
      <w:r>
        <w:rPr>
          <w:rFonts w:hint="eastAsia" w:hAnsi="宋体" w:cs="宋体"/>
          <w:color w:val="auto"/>
          <w:highlight w:val="none"/>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14:paraId="388B2906">
      <w:pPr>
        <w:spacing w:line="360" w:lineRule="auto"/>
        <w:ind w:firstLine="424" w:firstLineChars="177"/>
        <w:rPr>
          <w:rFonts w:hAnsi="宋体" w:cs="宋体"/>
          <w:color w:val="auto"/>
          <w:highlight w:val="none"/>
        </w:rPr>
      </w:pPr>
      <w:r>
        <w:rPr>
          <w:rFonts w:hint="eastAsia" w:hAnsi="宋体" w:cs="宋体"/>
          <w:color w:val="auto"/>
          <w:highlight w:val="none"/>
        </w:rPr>
        <w:t>3.</w:t>
      </w:r>
      <w:r>
        <w:rPr>
          <w:rFonts w:hint="eastAsia" w:hAnsi="宋体" w:cs="宋体"/>
          <w:b/>
          <w:bCs/>
          <w:color w:val="auto"/>
          <w:highlight w:val="none"/>
        </w:rPr>
        <w:t>密封好的报价文件，应于询价邀请函中规定的截止时间前递交到采购人指定的递交地点，否则视为放弃参与本项目。</w:t>
      </w:r>
    </w:p>
    <w:p w14:paraId="54E6E1B8">
      <w:pPr>
        <w:spacing w:line="360" w:lineRule="auto"/>
        <w:rPr>
          <w:rFonts w:hAnsi="宋体" w:cs="宋体"/>
          <w:color w:val="auto"/>
          <w:highlight w:val="none"/>
        </w:rPr>
      </w:pPr>
    </w:p>
    <w:p w14:paraId="79729CC3">
      <w:pPr>
        <w:spacing w:line="360" w:lineRule="auto"/>
        <w:rPr>
          <w:rFonts w:hAnsi="宋体" w:cs="宋体"/>
          <w:b/>
          <w:bCs/>
          <w:color w:val="auto"/>
          <w:highlight w:val="none"/>
        </w:rPr>
      </w:pPr>
      <w:r>
        <w:rPr>
          <w:rFonts w:hint="eastAsia" w:hAnsi="宋体" w:cs="宋体"/>
          <w:b/>
          <w:bCs/>
          <w:color w:val="auto"/>
          <w:highlight w:val="none"/>
        </w:rPr>
        <w:t>四、报价有效性说明</w:t>
      </w:r>
    </w:p>
    <w:p w14:paraId="5C3FA3FB">
      <w:pPr>
        <w:spacing w:line="360" w:lineRule="auto"/>
        <w:ind w:firstLine="482" w:firstLineChars="200"/>
        <w:rPr>
          <w:rFonts w:hAnsi="宋体" w:cs="宋体"/>
          <w:b/>
          <w:bCs/>
          <w:color w:val="auto"/>
          <w:highlight w:val="none"/>
        </w:rPr>
      </w:pPr>
      <w:r>
        <w:rPr>
          <w:rFonts w:hint="eastAsia" w:hAnsi="宋体" w:cs="宋体"/>
          <w:b/>
          <w:bCs/>
          <w:color w:val="auto"/>
          <w:highlight w:val="none"/>
        </w:rPr>
        <w:t>1.</w:t>
      </w:r>
      <w:r>
        <w:rPr>
          <w:rFonts w:hint="eastAsia" w:hAnsi="宋体" w:cs="宋体"/>
          <w:b/>
          <w:bCs/>
          <w:color w:val="auto"/>
          <w:highlight w:val="none"/>
          <w:lang w:val="en-US" w:eastAsia="zh-CN"/>
        </w:rPr>
        <w:t>不</w:t>
      </w:r>
      <w:r>
        <w:rPr>
          <w:rFonts w:hint="eastAsia" w:hAnsi="宋体" w:cs="宋体"/>
          <w:b/>
          <w:bCs/>
          <w:color w:val="auto"/>
          <w:highlight w:val="none"/>
        </w:rPr>
        <w:t>含税报价不得高于本项目不含税最高限价，含税报价不得高于含税</w:t>
      </w:r>
      <w:r>
        <w:rPr>
          <w:rFonts w:hint="eastAsia" w:hAnsi="宋体" w:cs="宋体"/>
          <w:b/>
          <w:bCs/>
          <w:color w:val="auto"/>
          <w:highlight w:val="none"/>
          <w:lang w:val="en-US" w:eastAsia="zh-CN"/>
        </w:rPr>
        <w:t>最高</w:t>
      </w:r>
      <w:r>
        <w:rPr>
          <w:rFonts w:hint="eastAsia" w:hAnsi="宋体" w:cs="宋体"/>
          <w:b/>
          <w:bCs/>
          <w:color w:val="auto"/>
          <w:highlight w:val="none"/>
        </w:rPr>
        <w:t>限价，否则视为无效报价；</w:t>
      </w:r>
    </w:p>
    <w:p w14:paraId="22A36FAB">
      <w:pPr>
        <w:spacing w:line="360" w:lineRule="auto"/>
        <w:ind w:firstLine="482" w:firstLineChars="200"/>
        <w:rPr>
          <w:rFonts w:hAnsi="宋体" w:cs="宋体"/>
          <w:b/>
          <w:bCs/>
          <w:color w:val="auto"/>
          <w:highlight w:val="none"/>
        </w:rPr>
      </w:pPr>
      <w:r>
        <w:rPr>
          <w:rFonts w:hint="eastAsia" w:hAnsi="宋体" w:cs="宋体"/>
          <w:b/>
          <w:bCs/>
          <w:color w:val="auto"/>
          <w:highlight w:val="none"/>
        </w:rPr>
        <w:t>2.对用户需求书、合同条款响应有负偏离的，按无效响应处理；</w:t>
      </w:r>
    </w:p>
    <w:p w14:paraId="2E647562">
      <w:pPr>
        <w:spacing w:line="360" w:lineRule="auto"/>
        <w:ind w:firstLine="482" w:firstLineChars="200"/>
        <w:rPr>
          <w:rFonts w:hAnsi="宋体" w:cs="宋体"/>
          <w:b/>
          <w:bCs/>
          <w:color w:val="auto"/>
          <w:highlight w:val="none"/>
        </w:rPr>
      </w:pPr>
      <w:r>
        <w:rPr>
          <w:rFonts w:hint="eastAsia" w:hAnsi="宋体" w:cs="宋体"/>
          <w:b/>
          <w:bCs/>
          <w:color w:val="auto"/>
          <w:highlight w:val="none"/>
        </w:rPr>
        <w:t>3.报价人未按报价文件格式提供相应材料的，按无效报价处理；</w:t>
      </w:r>
    </w:p>
    <w:p w14:paraId="4AFDB5CB">
      <w:pPr>
        <w:spacing w:line="360" w:lineRule="auto"/>
        <w:ind w:firstLine="482" w:firstLineChars="200"/>
        <w:rPr>
          <w:rFonts w:hAnsi="宋体" w:cs="宋体"/>
          <w:b/>
          <w:bCs/>
          <w:color w:val="auto"/>
          <w:highlight w:val="none"/>
        </w:rPr>
      </w:pPr>
      <w:r>
        <w:rPr>
          <w:rFonts w:hint="eastAsia" w:hAnsi="宋体" w:cs="宋体"/>
          <w:b/>
          <w:bCs/>
          <w:color w:val="auto"/>
          <w:highlight w:val="none"/>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14:paraId="0F06285A">
      <w:pPr>
        <w:spacing w:line="360" w:lineRule="auto"/>
        <w:rPr>
          <w:rFonts w:hAnsi="宋体" w:cs="宋体"/>
          <w:color w:val="auto"/>
          <w:highlight w:val="none"/>
        </w:rPr>
      </w:pPr>
      <w:r>
        <w:rPr>
          <w:rFonts w:hint="eastAsia" w:hAnsi="宋体" w:cs="宋体"/>
          <w:color w:val="auto"/>
          <w:highlight w:val="none"/>
        </w:rPr>
        <w:br w:type="page"/>
      </w:r>
    </w:p>
    <w:p w14:paraId="3DCB30D2">
      <w:pPr>
        <w:pStyle w:val="2"/>
        <w:spacing w:before="0" w:after="0"/>
        <w:jc w:val="center"/>
        <w:rPr>
          <w:rFonts w:hAnsi="宋体" w:cs="宋体"/>
          <w:color w:val="auto"/>
          <w:szCs w:val="32"/>
          <w:highlight w:val="none"/>
        </w:rPr>
      </w:pPr>
      <w:bookmarkStart w:id="43" w:name="_Toc29476708"/>
      <w:r>
        <w:rPr>
          <w:rFonts w:hint="eastAsia" w:hAnsi="宋体" w:cs="宋体"/>
          <w:color w:val="auto"/>
          <w:szCs w:val="32"/>
          <w:highlight w:val="none"/>
        </w:rPr>
        <w:t>第五章 报价文件（格式）</w:t>
      </w:r>
      <w:bookmarkEnd w:id="43"/>
    </w:p>
    <w:p w14:paraId="51551C53">
      <w:pPr>
        <w:spacing w:line="360" w:lineRule="auto"/>
        <w:rPr>
          <w:rFonts w:hAnsi="宋体" w:cs="宋体"/>
          <w:b/>
          <w:color w:val="auto"/>
          <w:sz w:val="28"/>
          <w:szCs w:val="28"/>
          <w:highlight w:val="none"/>
        </w:rPr>
      </w:pPr>
      <w:r>
        <w:rPr>
          <w:rFonts w:hint="eastAsia" w:hAnsi="宋体" w:cs="宋体"/>
          <w:b/>
          <w:color w:val="auto"/>
          <w:sz w:val="28"/>
          <w:szCs w:val="28"/>
          <w:highlight w:val="none"/>
        </w:rPr>
        <w:t>1. 报价表</w:t>
      </w:r>
    </w:p>
    <w:tbl>
      <w:tblPr>
        <w:tblStyle w:val="19"/>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370"/>
      </w:tblGrid>
      <w:tr w14:paraId="2ACC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127" w:type="dxa"/>
            <w:shd w:val="clear" w:color="auto" w:fill="auto"/>
            <w:vAlign w:val="center"/>
          </w:tcPr>
          <w:p w14:paraId="382DAAB6">
            <w:pPr>
              <w:pStyle w:val="9"/>
              <w:jc w:val="center"/>
              <w:rPr>
                <w:rFonts w:hAnsi="宋体" w:cs="宋体"/>
                <w:color w:val="auto"/>
                <w:sz w:val="24"/>
                <w:szCs w:val="28"/>
                <w:highlight w:val="none"/>
              </w:rPr>
            </w:pPr>
            <w:r>
              <w:rPr>
                <w:rFonts w:hint="eastAsia" w:hAnsi="宋体" w:cs="宋体"/>
                <w:color w:val="auto"/>
                <w:sz w:val="24"/>
                <w:szCs w:val="28"/>
                <w:highlight w:val="none"/>
              </w:rPr>
              <w:t>项目名称</w:t>
            </w:r>
          </w:p>
        </w:tc>
        <w:tc>
          <w:tcPr>
            <w:tcW w:w="7370" w:type="dxa"/>
            <w:shd w:val="clear" w:color="auto" w:fill="auto"/>
            <w:vAlign w:val="center"/>
          </w:tcPr>
          <w:p w14:paraId="27ADFF12">
            <w:pPr>
              <w:autoSpaceDE/>
              <w:autoSpaceDN/>
              <w:adjustRightInd/>
              <w:jc w:val="center"/>
              <w:rPr>
                <w:rFonts w:hint="eastAsia" w:hAnsi="宋体" w:eastAsia="宋体" w:cs="宋体"/>
                <w:color w:val="auto"/>
                <w:szCs w:val="28"/>
                <w:highlight w:val="none"/>
                <w:lang w:eastAsia="zh-CN"/>
              </w:rPr>
            </w:pPr>
            <w:r>
              <w:rPr>
                <w:rFonts w:hint="eastAsia" w:hAnsi="宋体" w:eastAsia="宋体" w:cs="宋体"/>
                <w:color w:val="auto"/>
                <w:szCs w:val="28"/>
                <w:highlight w:val="none"/>
                <w:lang w:val="en-US" w:eastAsia="zh-CN"/>
              </w:rPr>
              <w:t>终端电脑管理软件服务续保及扩容</w:t>
            </w:r>
            <w:r>
              <w:rPr>
                <w:rFonts w:hint="eastAsia" w:hAnsi="宋体" w:eastAsia="宋体" w:cs="宋体"/>
                <w:color w:val="auto"/>
                <w:szCs w:val="28"/>
                <w:highlight w:val="none"/>
                <w:lang w:eastAsia="zh-CN"/>
              </w:rPr>
              <w:t>项目</w:t>
            </w:r>
          </w:p>
        </w:tc>
      </w:tr>
      <w:tr w14:paraId="7497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2127" w:type="dxa"/>
            <w:shd w:val="clear" w:color="auto" w:fill="auto"/>
            <w:vAlign w:val="center"/>
          </w:tcPr>
          <w:p w14:paraId="03D526E4">
            <w:pPr>
              <w:pStyle w:val="9"/>
              <w:jc w:val="center"/>
              <w:rPr>
                <w:rFonts w:hAnsi="宋体" w:cs="宋体"/>
                <w:color w:val="auto"/>
                <w:sz w:val="24"/>
                <w:szCs w:val="28"/>
                <w:highlight w:val="none"/>
              </w:rPr>
            </w:pPr>
            <w:r>
              <w:rPr>
                <w:rFonts w:hint="eastAsia" w:hAnsi="宋体" w:cs="宋体"/>
                <w:color w:val="auto"/>
                <w:sz w:val="24"/>
                <w:szCs w:val="28"/>
                <w:highlight w:val="none"/>
              </w:rPr>
              <w:t>含税报价</w:t>
            </w:r>
          </w:p>
          <w:p w14:paraId="5CC8D6A1">
            <w:pPr>
              <w:pStyle w:val="9"/>
              <w:jc w:val="center"/>
              <w:rPr>
                <w:rFonts w:hAnsi="宋体" w:cs="宋体"/>
                <w:color w:val="auto"/>
                <w:sz w:val="24"/>
                <w:szCs w:val="28"/>
                <w:highlight w:val="none"/>
              </w:rPr>
            </w:pPr>
            <w:r>
              <w:rPr>
                <w:rFonts w:hint="eastAsia" w:hAnsi="宋体" w:cs="宋体"/>
                <w:color w:val="auto"/>
                <w:sz w:val="24"/>
                <w:szCs w:val="28"/>
                <w:highlight w:val="none"/>
              </w:rPr>
              <w:t>（单位：元）</w:t>
            </w:r>
          </w:p>
        </w:tc>
        <w:tc>
          <w:tcPr>
            <w:tcW w:w="7370" w:type="dxa"/>
            <w:shd w:val="clear" w:color="auto" w:fill="auto"/>
            <w:vAlign w:val="center"/>
          </w:tcPr>
          <w:p w14:paraId="2679A8FE">
            <w:pPr>
              <w:pStyle w:val="9"/>
              <w:ind w:firstLine="480" w:firstLineChars="200"/>
              <w:rPr>
                <w:rFonts w:hAnsi="宋体" w:cs="宋体"/>
                <w:color w:val="auto"/>
                <w:sz w:val="24"/>
                <w:szCs w:val="28"/>
                <w:highlight w:val="none"/>
                <w:u w:val="single"/>
              </w:rPr>
            </w:pPr>
            <w:r>
              <w:rPr>
                <w:rFonts w:hint="eastAsia" w:hAnsi="宋体" w:cs="宋体"/>
                <w:color w:val="auto"/>
                <w:sz w:val="24"/>
                <w:szCs w:val="28"/>
                <w:highlight w:val="none"/>
              </w:rPr>
              <w:t>人民币（小写）：</w:t>
            </w:r>
            <w:r>
              <w:rPr>
                <w:rFonts w:hint="eastAsia" w:hAnsi="宋体" w:cs="宋体"/>
                <w:color w:val="auto"/>
                <w:sz w:val="24"/>
                <w:szCs w:val="28"/>
                <w:highlight w:val="none"/>
                <w:u w:val="single"/>
              </w:rPr>
              <w:t xml:space="preserve">                   </w:t>
            </w:r>
          </w:p>
        </w:tc>
      </w:tr>
      <w:tr w14:paraId="1602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2127" w:type="dxa"/>
            <w:shd w:val="clear" w:color="auto" w:fill="auto"/>
            <w:vAlign w:val="center"/>
          </w:tcPr>
          <w:p w14:paraId="5D85AEAE">
            <w:pPr>
              <w:pStyle w:val="9"/>
              <w:jc w:val="center"/>
              <w:rPr>
                <w:rFonts w:hAnsi="宋体" w:cs="宋体"/>
                <w:color w:val="auto"/>
                <w:sz w:val="24"/>
                <w:szCs w:val="28"/>
                <w:highlight w:val="none"/>
              </w:rPr>
            </w:pPr>
            <w:r>
              <w:rPr>
                <w:rFonts w:hint="eastAsia" w:hAnsi="宋体" w:cs="宋体"/>
                <w:color w:val="auto"/>
                <w:sz w:val="24"/>
                <w:szCs w:val="28"/>
                <w:highlight w:val="none"/>
              </w:rPr>
              <w:t>报价人纳税类型</w:t>
            </w:r>
          </w:p>
        </w:tc>
        <w:tc>
          <w:tcPr>
            <w:tcW w:w="7370" w:type="dxa"/>
            <w:shd w:val="clear" w:color="auto" w:fill="auto"/>
            <w:vAlign w:val="center"/>
          </w:tcPr>
          <w:p w14:paraId="59D3AD3E">
            <w:pPr>
              <w:autoSpaceDE/>
              <w:autoSpaceDN/>
              <w:adjustRightInd/>
              <w:ind w:firstLine="1800" w:firstLineChars="750"/>
              <w:rPr>
                <w:rFonts w:hAnsi="宋体" w:cs="宋体"/>
                <w:color w:val="auto"/>
                <w:szCs w:val="28"/>
                <w:highlight w:val="none"/>
              </w:rPr>
            </w:pPr>
            <w:r>
              <w:rPr>
                <w:rFonts w:hint="eastAsia" w:hAnsi="宋体" w:cs="宋体"/>
                <w:color w:val="auto"/>
                <w:szCs w:val="28"/>
                <w:highlight w:val="none"/>
              </w:rPr>
              <w:t>□ 一般纳税人</w:t>
            </w:r>
          </w:p>
          <w:p w14:paraId="6E7A17EF">
            <w:pPr>
              <w:autoSpaceDE/>
              <w:autoSpaceDN/>
              <w:adjustRightInd/>
              <w:ind w:firstLine="1800" w:firstLineChars="750"/>
              <w:rPr>
                <w:rFonts w:hAnsi="宋体" w:cs="宋体"/>
                <w:color w:val="auto"/>
                <w:szCs w:val="28"/>
                <w:highlight w:val="none"/>
              </w:rPr>
            </w:pPr>
            <w:r>
              <w:rPr>
                <w:rFonts w:hint="eastAsia" w:hAnsi="宋体" w:cs="宋体"/>
                <w:color w:val="auto"/>
                <w:szCs w:val="28"/>
                <w:highlight w:val="none"/>
              </w:rPr>
              <w:t>□ 小规模纳税人</w:t>
            </w:r>
          </w:p>
        </w:tc>
      </w:tr>
      <w:tr w14:paraId="0FB7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2127" w:type="dxa"/>
            <w:shd w:val="clear" w:color="auto" w:fill="auto"/>
            <w:vAlign w:val="center"/>
          </w:tcPr>
          <w:p w14:paraId="7B5A5729">
            <w:pPr>
              <w:pStyle w:val="9"/>
              <w:jc w:val="center"/>
              <w:rPr>
                <w:rFonts w:hAnsi="宋体" w:cs="宋体"/>
                <w:color w:val="auto"/>
                <w:sz w:val="24"/>
                <w:szCs w:val="28"/>
                <w:highlight w:val="none"/>
              </w:rPr>
            </w:pPr>
            <w:r>
              <w:rPr>
                <w:rFonts w:hint="eastAsia" w:hAnsi="宋体" w:cs="宋体"/>
                <w:color w:val="auto"/>
                <w:sz w:val="24"/>
                <w:szCs w:val="28"/>
                <w:highlight w:val="none"/>
              </w:rPr>
              <w:t>报价人提供的增值税专用发票的税率</w:t>
            </w:r>
          </w:p>
        </w:tc>
        <w:tc>
          <w:tcPr>
            <w:tcW w:w="7370" w:type="dxa"/>
            <w:shd w:val="clear" w:color="auto" w:fill="auto"/>
            <w:vAlign w:val="center"/>
          </w:tcPr>
          <w:p w14:paraId="33519103">
            <w:pPr>
              <w:autoSpaceDE/>
              <w:autoSpaceDN/>
              <w:adjustRightInd/>
              <w:jc w:val="center"/>
              <w:rPr>
                <w:rFonts w:hAnsi="宋体" w:cs="宋体"/>
                <w:color w:val="auto"/>
                <w:szCs w:val="28"/>
                <w:highlight w:val="none"/>
              </w:rPr>
            </w:pPr>
            <w:r>
              <w:rPr>
                <w:rFonts w:hint="eastAsia" w:hAnsi="宋体" w:cs="宋体"/>
                <w:color w:val="auto"/>
                <w:szCs w:val="28"/>
                <w:highlight w:val="none"/>
                <w:u w:val="single"/>
              </w:rPr>
              <w:t xml:space="preserve">    </w:t>
            </w:r>
            <w:r>
              <w:rPr>
                <w:rFonts w:hint="eastAsia" w:hAnsi="宋体" w:cs="宋体"/>
                <w:color w:val="auto"/>
                <w:szCs w:val="28"/>
                <w:highlight w:val="none"/>
              </w:rPr>
              <w:t>%</w:t>
            </w:r>
          </w:p>
        </w:tc>
      </w:tr>
      <w:tr w14:paraId="5CA0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2127" w:type="dxa"/>
            <w:shd w:val="clear" w:color="auto" w:fill="auto"/>
            <w:vAlign w:val="center"/>
          </w:tcPr>
          <w:p w14:paraId="68E9F125">
            <w:pPr>
              <w:pStyle w:val="9"/>
              <w:jc w:val="center"/>
              <w:rPr>
                <w:rFonts w:hAnsi="宋体" w:cs="宋体"/>
                <w:color w:val="auto"/>
                <w:sz w:val="24"/>
                <w:szCs w:val="24"/>
                <w:highlight w:val="none"/>
              </w:rPr>
            </w:pPr>
            <w:r>
              <w:rPr>
                <w:rFonts w:hint="eastAsia" w:hAnsi="宋体" w:cs="宋体"/>
                <w:color w:val="auto"/>
                <w:sz w:val="24"/>
                <w:szCs w:val="24"/>
                <w:highlight w:val="none"/>
              </w:rPr>
              <w:t>备注</w:t>
            </w:r>
          </w:p>
        </w:tc>
        <w:tc>
          <w:tcPr>
            <w:tcW w:w="7370" w:type="dxa"/>
            <w:shd w:val="clear" w:color="auto" w:fill="auto"/>
            <w:vAlign w:val="center"/>
          </w:tcPr>
          <w:p w14:paraId="773C041A">
            <w:pPr>
              <w:numPr>
                <w:ilvl w:val="0"/>
                <w:numId w:val="8"/>
              </w:numPr>
              <w:autoSpaceDE/>
              <w:autoSpaceDN/>
              <w:adjustRightInd/>
              <w:jc w:val="both"/>
              <w:rPr>
                <w:rFonts w:hAnsi="宋体" w:cs="宋体"/>
                <w:b/>
                <w:bCs/>
                <w:color w:val="auto"/>
                <w:highlight w:val="none"/>
              </w:rPr>
            </w:pPr>
            <w:r>
              <w:rPr>
                <w:rFonts w:hint="eastAsia" w:hAnsi="宋体" w:cs="宋体"/>
                <w:b/>
                <w:bCs/>
                <w:color w:val="auto"/>
                <w:highlight w:val="none"/>
              </w:rPr>
              <w:t>本次所报价格包含税费及完成本项目所需的全部费用。</w:t>
            </w:r>
          </w:p>
          <w:p w14:paraId="0B2DF46E">
            <w:pPr>
              <w:numPr>
                <w:ilvl w:val="0"/>
                <w:numId w:val="8"/>
              </w:numPr>
              <w:autoSpaceDE/>
              <w:autoSpaceDN/>
              <w:adjustRightInd/>
              <w:jc w:val="both"/>
              <w:rPr>
                <w:color w:val="auto"/>
                <w:highlight w:val="none"/>
              </w:rPr>
            </w:pPr>
            <w:r>
              <w:rPr>
                <w:rFonts w:hint="eastAsia" w:hAnsi="宋体" w:cs="宋体"/>
                <w:b/>
                <w:bCs/>
                <w:color w:val="auto"/>
                <w:highlight w:val="none"/>
              </w:rPr>
              <w:t>含税报价不得高于本项目含税最高限价（</w:t>
            </w:r>
            <w:r>
              <w:rPr>
                <w:rFonts w:hint="eastAsia" w:hAnsi="宋体" w:cs="宋体"/>
                <w:b/>
                <w:bCs/>
                <w:color w:val="auto"/>
                <w:highlight w:val="none"/>
                <w:lang w:val="en-US" w:eastAsia="zh-CN"/>
              </w:rPr>
              <w:t>68380</w:t>
            </w:r>
            <w:r>
              <w:rPr>
                <w:rFonts w:hint="eastAsia" w:hAnsi="宋体" w:cs="宋体"/>
                <w:b/>
                <w:bCs/>
                <w:color w:val="auto"/>
                <w:highlight w:val="none"/>
              </w:rPr>
              <w:t>元），含税报价不得高于含税最高限价，否则视为无效报价。</w:t>
            </w:r>
          </w:p>
          <w:p w14:paraId="1A5FF173">
            <w:pPr>
              <w:numPr>
                <w:ilvl w:val="0"/>
                <w:numId w:val="8"/>
              </w:numPr>
              <w:autoSpaceDE/>
              <w:autoSpaceDN/>
              <w:adjustRightInd/>
              <w:jc w:val="both"/>
              <w:rPr>
                <w:color w:val="auto"/>
                <w:highlight w:val="none"/>
              </w:rPr>
            </w:pPr>
            <w:r>
              <w:rPr>
                <w:rFonts w:hint="eastAsia" w:hAnsi="宋体" w:cs="宋体"/>
                <w:b/>
                <w:bCs/>
                <w:color w:val="auto"/>
                <w:highlight w:val="none"/>
              </w:rPr>
              <w:t>报价人应提供</w:t>
            </w:r>
            <w:r>
              <w:rPr>
                <w:rFonts w:hint="eastAsia" w:hAnsi="宋体" w:cs="宋体"/>
                <w:b/>
                <w:bCs/>
                <w:color w:val="auto"/>
                <w:highlight w:val="none"/>
                <w:lang w:val="en-US" w:eastAsia="zh-CN"/>
              </w:rPr>
              <w:t>深信服科技股份有限公司的经销授权书或其他证明文件</w:t>
            </w:r>
            <w:r>
              <w:rPr>
                <w:rFonts w:hint="eastAsia" w:hAnsi="宋体" w:cs="宋体"/>
                <w:b/>
                <w:bCs/>
                <w:color w:val="auto"/>
                <w:highlight w:val="none"/>
              </w:rPr>
              <w:t>复印件，否则视为无效报价。</w:t>
            </w:r>
          </w:p>
        </w:tc>
      </w:tr>
    </w:tbl>
    <w:p w14:paraId="351C38D0">
      <w:pPr>
        <w:pStyle w:val="9"/>
        <w:spacing w:line="360" w:lineRule="auto"/>
        <w:rPr>
          <w:rFonts w:hAnsi="宋体" w:cs="宋体"/>
          <w:color w:val="auto"/>
          <w:sz w:val="24"/>
          <w:szCs w:val="24"/>
          <w:highlight w:val="none"/>
        </w:rPr>
      </w:pPr>
    </w:p>
    <w:p w14:paraId="7CD24E43">
      <w:pPr>
        <w:pStyle w:val="9"/>
        <w:spacing w:line="360" w:lineRule="auto"/>
        <w:rPr>
          <w:rFonts w:hAnsi="宋体" w:cs="宋体"/>
          <w:color w:val="auto"/>
          <w:sz w:val="24"/>
          <w:szCs w:val="28"/>
          <w:highlight w:val="none"/>
        </w:rPr>
      </w:pPr>
      <w:r>
        <w:rPr>
          <w:rFonts w:hint="eastAsia" w:hAnsi="宋体" w:cs="宋体"/>
          <w:color w:val="auto"/>
          <w:sz w:val="24"/>
          <w:szCs w:val="28"/>
          <w:highlight w:val="none"/>
        </w:rPr>
        <w:t>联系人：                          联系电话：</w:t>
      </w:r>
    </w:p>
    <w:p w14:paraId="0B9F236A">
      <w:pPr>
        <w:pStyle w:val="9"/>
        <w:spacing w:line="360" w:lineRule="auto"/>
        <w:rPr>
          <w:rFonts w:hAnsi="宋体" w:cs="宋体"/>
          <w:color w:val="auto"/>
          <w:sz w:val="24"/>
          <w:szCs w:val="28"/>
          <w:highlight w:val="none"/>
        </w:rPr>
      </w:pPr>
      <w:r>
        <w:rPr>
          <w:rFonts w:hint="eastAsia" w:hAnsi="宋体" w:cs="宋体"/>
          <w:color w:val="auto"/>
          <w:sz w:val="24"/>
          <w:szCs w:val="28"/>
          <w:highlight w:val="none"/>
        </w:rPr>
        <w:t>联系地址：</w:t>
      </w:r>
    </w:p>
    <w:p w14:paraId="0941DE90">
      <w:pPr>
        <w:wordWrap w:val="0"/>
        <w:spacing w:line="360" w:lineRule="auto"/>
        <w:jc w:val="right"/>
        <w:rPr>
          <w:rFonts w:hAnsi="宋体" w:cs="宋体"/>
          <w:color w:val="auto"/>
          <w:kern w:val="2"/>
          <w:szCs w:val="28"/>
          <w:highlight w:val="none"/>
        </w:rPr>
      </w:pPr>
      <w:r>
        <w:rPr>
          <w:rFonts w:hint="eastAsia" w:hAnsi="宋体" w:cs="宋体"/>
          <w:color w:val="auto"/>
          <w:kern w:val="2"/>
          <w:szCs w:val="28"/>
          <w:highlight w:val="none"/>
          <w:lang w:val="zh-CN"/>
        </w:rPr>
        <w:t>报价人：（公章）</w:t>
      </w:r>
      <w:r>
        <w:rPr>
          <w:rFonts w:hint="eastAsia" w:hAnsi="宋体" w:cs="宋体"/>
          <w:color w:val="auto"/>
          <w:kern w:val="2"/>
          <w:szCs w:val="28"/>
          <w:highlight w:val="none"/>
        </w:rPr>
        <w:t xml:space="preserve">       </w:t>
      </w:r>
    </w:p>
    <w:p w14:paraId="0C05BE28">
      <w:pPr>
        <w:spacing w:line="360" w:lineRule="auto"/>
        <w:jc w:val="right"/>
        <w:rPr>
          <w:rFonts w:hAnsi="宋体" w:cs="宋体"/>
          <w:color w:val="auto"/>
          <w:kern w:val="2"/>
          <w:szCs w:val="28"/>
          <w:highlight w:val="none"/>
          <w:lang w:val="zh-CN"/>
        </w:rPr>
      </w:pPr>
      <w:r>
        <w:rPr>
          <w:rFonts w:hint="eastAsia" w:hAnsi="宋体" w:cs="宋体"/>
          <w:color w:val="auto"/>
          <w:kern w:val="2"/>
          <w:szCs w:val="28"/>
          <w:highlight w:val="none"/>
          <w:lang w:val="zh-CN"/>
        </w:rPr>
        <w:t>日期：   年    月   日</w:t>
      </w:r>
    </w:p>
    <w:p w14:paraId="7E7EA25A">
      <w:pPr>
        <w:spacing w:line="360" w:lineRule="auto"/>
        <w:jc w:val="right"/>
        <w:rPr>
          <w:rFonts w:hAnsi="宋体" w:cs="宋体"/>
          <w:color w:val="auto"/>
          <w:kern w:val="2"/>
          <w:szCs w:val="28"/>
          <w:highlight w:val="none"/>
          <w:lang w:val="zh-CN"/>
        </w:rPr>
      </w:pPr>
    </w:p>
    <w:p w14:paraId="43DE054E">
      <w:pPr>
        <w:spacing w:line="360" w:lineRule="auto"/>
        <w:jc w:val="right"/>
        <w:rPr>
          <w:rFonts w:hAnsi="宋体" w:cs="宋体"/>
          <w:color w:val="auto"/>
          <w:kern w:val="2"/>
          <w:szCs w:val="28"/>
          <w:highlight w:val="none"/>
          <w:lang w:val="zh-CN"/>
        </w:rPr>
        <w:sectPr>
          <w:headerReference r:id="rId6" w:type="default"/>
          <w:footerReference r:id="rId7" w:type="default"/>
          <w:pgSz w:w="11906" w:h="16838"/>
          <w:pgMar w:top="1440" w:right="1803" w:bottom="1440" w:left="1803" w:header="851" w:footer="992" w:gutter="0"/>
          <w:cols w:space="0" w:num="1"/>
          <w:docGrid w:type="lines" w:linePitch="332" w:charSpace="0"/>
        </w:sectPr>
      </w:pPr>
    </w:p>
    <w:p w14:paraId="32B853A6">
      <w:pPr>
        <w:numPr>
          <w:ilvl w:val="0"/>
          <w:numId w:val="9"/>
        </w:numPr>
        <w:spacing w:line="360" w:lineRule="auto"/>
        <w:rPr>
          <w:rFonts w:hAnsi="宋体" w:cs="宋体"/>
          <w:b/>
          <w:color w:val="auto"/>
          <w:sz w:val="28"/>
          <w:szCs w:val="28"/>
          <w:highlight w:val="none"/>
        </w:rPr>
      </w:pPr>
      <w:r>
        <w:rPr>
          <w:rFonts w:hint="eastAsia" w:hAnsi="宋体" w:cs="宋体"/>
          <w:b/>
          <w:color w:val="auto"/>
          <w:sz w:val="28"/>
          <w:szCs w:val="28"/>
          <w:highlight w:val="none"/>
        </w:rPr>
        <w:t>用户需求偏离表</w:t>
      </w:r>
    </w:p>
    <w:p w14:paraId="32510570">
      <w:pPr>
        <w:spacing w:line="360" w:lineRule="auto"/>
        <w:jc w:val="center"/>
        <w:rPr>
          <w:rFonts w:hAnsi="宋体" w:cs="宋体"/>
          <w:b/>
          <w:color w:val="auto"/>
          <w:sz w:val="28"/>
          <w:szCs w:val="28"/>
          <w:highlight w:val="none"/>
        </w:rPr>
      </w:pPr>
      <w:bookmarkStart w:id="44" w:name="_Hlk26973180"/>
      <w:r>
        <w:rPr>
          <w:rFonts w:hint="eastAsia" w:hAnsi="宋体" w:cs="宋体"/>
          <w:b/>
          <w:color w:val="auto"/>
          <w:sz w:val="28"/>
          <w:szCs w:val="28"/>
          <w:highlight w:val="none"/>
          <w:lang w:val="zh-CN"/>
        </w:rPr>
        <w:t>用户需求偏离表</w:t>
      </w:r>
    </w:p>
    <w:bookmarkEnd w:id="44"/>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14:paraId="7601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14:paraId="09F4C83E">
            <w:pPr>
              <w:spacing w:line="360" w:lineRule="auto"/>
              <w:jc w:val="center"/>
              <w:rPr>
                <w:rFonts w:hAnsi="宋体" w:cs="宋体"/>
                <w:b/>
                <w:bCs/>
                <w:color w:val="auto"/>
                <w:szCs w:val="21"/>
                <w:highlight w:val="none"/>
              </w:rPr>
            </w:pPr>
            <w:r>
              <w:rPr>
                <w:rFonts w:hint="eastAsia" w:hAnsi="宋体" w:cs="宋体"/>
                <w:b/>
                <w:bCs/>
                <w:color w:val="auto"/>
                <w:szCs w:val="21"/>
                <w:highlight w:val="none"/>
              </w:rPr>
              <w:t>序号</w:t>
            </w:r>
          </w:p>
        </w:tc>
        <w:tc>
          <w:tcPr>
            <w:tcW w:w="3200" w:type="dxa"/>
            <w:gridSpan w:val="2"/>
            <w:vAlign w:val="center"/>
          </w:tcPr>
          <w:p w14:paraId="09D23CF9">
            <w:pPr>
              <w:spacing w:line="360" w:lineRule="auto"/>
              <w:jc w:val="center"/>
              <w:rPr>
                <w:rFonts w:hAnsi="宋体" w:cs="宋体"/>
                <w:b/>
                <w:bCs/>
                <w:color w:val="auto"/>
                <w:szCs w:val="21"/>
                <w:highlight w:val="none"/>
              </w:rPr>
            </w:pPr>
            <w:r>
              <w:rPr>
                <w:rFonts w:hint="eastAsia" w:hAnsi="宋体" w:cs="宋体"/>
                <w:b/>
                <w:bCs/>
                <w:color w:val="auto"/>
                <w:szCs w:val="21"/>
                <w:highlight w:val="none"/>
              </w:rPr>
              <w:t>需求书要求</w:t>
            </w:r>
          </w:p>
        </w:tc>
        <w:tc>
          <w:tcPr>
            <w:tcW w:w="5180" w:type="dxa"/>
            <w:gridSpan w:val="2"/>
            <w:vAlign w:val="center"/>
          </w:tcPr>
          <w:p w14:paraId="025A3AC6">
            <w:pPr>
              <w:spacing w:line="360" w:lineRule="auto"/>
              <w:jc w:val="center"/>
              <w:rPr>
                <w:rFonts w:hAnsi="宋体" w:cs="宋体"/>
                <w:b/>
                <w:bCs/>
                <w:color w:val="auto"/>
                <w:szCs w:val="21"/>
                <w:highlight w:val="none"/>
              </w:rPr>
            </w:pPr>
            <w:r>
              <w:rPr>
                <w:rFonts w:hint="eastAsia" w:hAnsi="宋体" w:cs="宋体"/>
                <w:b/>
                <w:bCs/>
                <w:color w:val="auto"/>
                <w:szCs w:val="21"/>
                <w:highlight w:val="none"/>
              </w:rPr>
              <w:t>响应情况</w:t>
            </w:r>
          </w:p>
        </w:tc>
      </w:tr>
      <w:tr w14:paraId="24CF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14:paraId="2FAD3F13">
            <w:pPr>
              <w:spacing w:line="360" w:lineRule="auto"/>
              <w:jc w:val="center"/>
              <w:rPr>
                <w:rFonts w:hAnsi="宋体" w:cs="宋体"/>
                <w:b/>
                <w:bCs/>
                <w:color w:val="auto"/>
                <w:szCs w:val="21"/>
                <w:highlight w:val="none"/>
              </w:rPr>
            </w:pPr>
          </w:p>
        </w:tc>
        <w:tc>
          <w:tcPr>
            <w:tcW w:w="954" w:type="dxa"/>
            <w:vAlign w:val="center"/>
          </w:tcPr>
          <w:p w14:paraId="519DA91F">
            <w:pPr>
              <w:spacing w:line="360" w:lineRule="auto"/>
              <w:jc w:val="center"/>
              <w:rPr>
                <w:rFonts w:hAnsi="宋体" w:cs="宋体"/>
                <w:b/>
                <w:bCs/>
                <w:color w:val="auto"/>
                <w:szCs w:val="21"/>
                <w:highlight w:val="none"/>
              </w:rPr>
            </w:pPr>
            <w:r>
              <w:rPr>
                <w:rFonts w:hint="eastAsia" w:hAnsi="宋体" w:cs="宋体"/>
                <w:b/>
                <w:bCs/>
                <w:color w:val="auto"/>
                <w:szCs w:val="21"/>
                <w:highlight w:val="none"/>
              </w:rPr>
              <w:t>条款号</w:t>
            </w:r>
          </w:p>
        </w:tc>
        <w:tc>
          <w:tcPr>
            <w:tcW w:w="2246" w:type="dxa"/>
            <w:vAlign w:val="center"/>
          </w:tcPr>
          <w:p w14:paraId="100A6506">
            <w:pPr>
              <w:spacing w:line="360" w:lineRule="auto"/>
              <w:jc w:val="center"/>
              <w:rPr>
                <w:rFonts w:hAnsi="宋体" w:cs="宋体"/>
                <w:b/>
                <w:bCs/>
                <w:color w:val="auto"/>
                <w:szCs w:val="21"/>
                <w:highlight w:val="none"/>
              </w:rPr>
            </w:pPr>
            <w:r>
              <w:rPr>
                <w:rFonts w:hint="eastAsia" w:hAnsi="宋体" w:cs="宋体"/>
                <w:b/>
                <w:bCs/>
                <w:color w:val="auto"/>
                <w:szCs w:val="21"/>
                <w:highlight w:val="none"/>
              </w:rPr>
              <w:t>简要内容</w:t>
            </w:r>
          </w:p>
        </w:tc>
        <w:tc>
          <w:tcPr>
            <w:tcW w:w="2431" w:type="dxa"/>
            <w:vAlign w:val="center"/>
          </w:tcPr>
          <w:p w14:paraId="1F4A46BC">
            <w:pPr>
              <w:spacing w:line="360" w:lineRule="auto"/>
              <w:jc w:val="center"/>
              <w:rPr>
                <w:rFonts w:hAnsi="宋体" w:cs="宋体"/>
                <w:b/>
                <w:bCs/>
                <w:color w:val="auto"/>
                <w:szCs w:val="21"/>
                <w:highlight w:val="none"/>
              </w:rPr>
            </w:pPr>
            <w:r>
              <w:rPr>
                <w:rFonts w:hint="eastAsia" w:hAnsi="宋体" w:cs="宋体"/>
                <w:b/>
                <w:bCs/>
                <w:color w:val="auto"/>
                <w:szCs w:val="21"/>
                <w:highlight w:val="none"/>
              </w:rPr>
              <w:t>偏离情况</w:t>
            </w:r>
          </w:p>
        </w:tc>
        <w:tc>
          <w:tcPr>
            <w:tcW w:w="2749" w:type="dxa"/>
            <w:vAlign w:val="center"/>
          </w:tcPr>
          <w:p w14:paraId="260255C1">
            <w:pPr>
              <w:spacing w:line="360" w:lineRule="auto"/>
              <w:jc w:val="center"/>
              <w:rPr>
                <w:rFonts w:hAnsi="宋体" w:cs="宋体"/>
                <w:b/>
                <w:bCs/>
                <w:color w:val="auto"/>
                <w:szCs w:val="21"/>
                <w:highlight w:val="none"/>
              </w:rPr>
            </w:pPr>
            <w:r>
              <w:rPr>
                <w:rFonts w:hint="eastAsia" w:hAnsi="宋体" w:cs="宋体"/>
                <w:b/>
                <w:bCs/>
                <w:color w:val="auto"/>
                <w:szCs w:val="21"/>
                <w:highlight w:val="none"/>
              </w:rPr>
              <w:t>具体偏离内容</w:t>
            </w:r>
          </w:p>
        </w:tc>
      </w:tr>
      <w:tr w14:paraId="7CAD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1D2B365E">
            <w:pPr>
              <w:spacing w:line="360" w:lineRule="auto"/>
              <w:jc w:val="center"/>
              <w:rPr>
                <w:rFonts w:hAnsi="宋体" w:cs="宋体"/>
                <w:color w:val="auto"/>
                <w:szCs w:val="21"/>
                <w:highlight w:val="none"/>
              </w:rPr>
            </w:pPr>
            <w:r>
              <w:rPr>
                <w:rFonts w:hint="eastAsia" w:hAnsi="宋体" w:cs="宋体"/>
                <w:color w:val="auto"/>
                <w:szCs w:val="21"/>
                <w:highlight w:val="none"/>
              </w:rPr>
              <w:t>1</w:t>
            </w:r>
          </w:p>
        </w:tc>
        <w:tc>
          <w:tcPr>
            <w:tcW w:w="954" w:type="dxa"/>
            <w:vAlign w:val="center"/>
          </w:tcPr>
          <w:p w14:paraId="6C0F23B2">
            <w:pPr>
              <w:spacing w:line="360" w:lineRule="auto"/>
              <w:jc w:val="center"/>
              <w:rPr>
                <w:rFonts w:hAnsi="宋体" w:cs="宋体"/>
                <w:color w:val="auto"/>
                <w:szCs w:val="21"/>
                <w:highlight w:val="none"/>
              </w:rPr>
            </w:pPr>
            <w:r>
              <w:rPr>
                <w:rFonts w:hint="eastAsia" w:hAnsi="宋体" w:cs="宋体"/>
                <w:color w:val="auto"/>
                <w:szCs w:val="21"/>
                <w:highlight w:val="none"/>
              </w:rPr>
              <w:t>一</w:t>
            </w:r>
          </w:p>
        </w:tc>
        <w:tc>
          <w:tcPr>
            <w:tcW w:w="2246" w:type="dxa"/>
            <w:vAlign w:val="center"/>
          </w:tcPr>
          <w:p w14:paraId="583360F1">
            <w:pPr>
              <w:spacing w:line="360" w:lineRule="auto"/>
              <w:jc w:val="center"/>
              <w:rPr>
                <w:rFonts w:hAnsi="宋体" w:cs="宋体"/>
                <w:color w:val="auto"/>
                <w:szCs w:val="21"/>
                <w:highlight w:val="none"/>
              </w:rPr>
            </w:pPr>
          </w:p>
        </w:tc>
        <w:tc>
          <w:tcPr>
            <w:tcW w:w="2431" w:type="dxa"/>
            <w:vAlign w:val="center"/>
          </w:tcPr>
          <w:p w14:paraId="14868452">
            <w:pPr>
              <w:spacing w:line="360" w:lineRule="auto"/>
              <w:jc w:val="center"/>
              <w:rPr>
                <w:rFonts w:hAnsi="宋体" w:cs="宋体"/>
                <w:color w:val="auto"/>
                <w:szCs w:val="21"/>
                <w:highlight w:val="none"/>
              </w:rPr>
            </w:pPr>
          </w:p>
        </w:tc>
        <w:tc>
          <w:tcPr>
            <w:tcW w:w="2749" w:type="dxa"/>
            <w:vAlign w:val="center"/>
          </w:tcPr>
          <w:p w14:paraId="7962FAA8">
            <w:pPr>
              <w:spacing w:line="360" w:lineRule="auto"/>
              <w:jc w:val="center"/>
              <w:rPr>
                <w:rFonts w:hAnsi="宋体" w:cs="宋体"/>
                <w:color w:val="auto"/>
                <w:szCs w:val="21"/>
                <w:highlight w:val="none"/>
              </w:rPr>
            </w:pPr>
          </w:p>
        </w:tc>
      </w:tr>
      <w:tr w14:paraId="57F2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47EC9E8C">
            <w:pPr>
              <w:spacing w:line="360" w:lineRule="auto"/>
              <w:jc w:val="center"/>
              <w:rPr>
                <w:rFonts w:hAnsi="宋体" w:cs="宋体"/>
                <w:color w:val="auto"/>
                <w:szCs w:val="21"/>
                <w:highlight w:val="none"/>
              </w:rPr>
            </w:pPr>
            <w:r>
              <w:rPr>
                <w:rFonts w:hint="eastAsia" w:hAnsi="宋体" w:cs="宋体"/>
                <w:color w:val="auto"/>
                <w:szCs w:val="21"/>
                <w:highlight w:val="none"/>
              </w:rPr>
              <w:t>2</w:t>
            </w:r>
          </w:p>
        </w:tc>
        <w:tc>
          <w:tcPr>
            <w:tcW w:w="954" w:type="dxa"/>
            <w:vAlign w:val="center"/>
          </w:tcPr>
          <w:p w14:paraId="32D9C6FF">
            <w:pPr>
              <w:spacing w:line="360" w:lineRule="auto"/>
              <w:jc w:val="center"/>
              <w:rPr>
                <w:rFonts w:hAnsi="宋体" w:cs="宋体"/>
                <w:color w:val="auto"/>
                <w:szCs w:val="21"/>
                <w:highlight w:val="none"/>
              </w:rPr>
            </w:pPr>
            <w:r>
              <w:rPr>
                <w:rFonts w:hint="eastAsia" w:hAnsi="宋体" w:cs="宋体"/>
                <w:color w:val="auto"/>
                <w:szCs w:val="21"/>
                <w:highlight w:val="none"/>
              </w:rPr>
              <w:t>二</w:t>
            </w:r>
          </w:p>
        </w:tc>
        <w:tc>
          <w:tcPr>
            <w:tcW w:w="2246" w:type="dxa"/>
            <w:vAlign w:val="center"/>
          </w:tcPr>
          <w:p w14:paraId="7AE7C52B">
            <w:pPr>
              <w:spacing w:line="360" w:lineRule="auto"/>
              <w:jc w:val="center"/>
              <w:rPr>
                <w:rFonts w:hAnsi="宋体" w:cs="宋体"/>
                <w:color w:val="auto"/>
                <w:szCs w:val="21"/>
                <w:highlight w:val="none"/>
              </w:rPr>
            </w:pPr>
          </w:p>
        </w:tc>
        <w:tc>
          <w:tcPr>
            <w:tcW w:w="2431" w:type="dxa"/>
            <w:vAlign w:val="center"/>
          </w:tcPr>
          <w:p w14:paraId="094F9DDC">
            <w:pPr>
              <w:spacing w:line="360" w:lineRule="auto"/>
              <w:jc w:val="center"/>
              <w:rPr>
                <w:rFonts w:hAnsi="宋体" w:cs="宋体"/>
                <w:color w:val="auto"/>
                <w:szCs w:val="21"/>
                <w:highlight w:val="none"/>
              </w:rPr>
            </w:pPr>
          </w:p>
        </w:tc>
        <w:tc>
          <w:tcPr>
            <w:tcW w:w="2749" w:type="dxa"/>
            <w:vAlign w:val="center"/>
          </w:tcPr>
          <w:p w14:paraId="75AD96E3">
            <w:pPr>
              <w:spacing w:line="360" w:lineRule="auto"/>
              <w:jc w:val="center"/>
              <w:rPr>
                <w:rFonts w:hAnsi="宋体" w:cs="宋体"/>
                <w:color w:val="auto"/>
                <w:szCs w:val="21"/>
                <w:highlight w:val="none"/>
              </w:rPr>
            </w:pPr>
          </w:p>
        </w:tc>
      </w:tr>
      <w:tr w14:paraId="6351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47B6D8A0">
            <w:pPr>
              <w:spacing w:line="360" w:lineRule="auto"/>
              <w:jc w:val="center"/>
              <w:rPr>
                <w:rFonts w:hAnsi="宋体" w:cs="宋体"/>
                <w:color w:val="auto"/>
                <w:szCs w:val="21"/>
                <w:highlight w:val="none"/>
              </w:rPr>
            </w:pPr>
            <w:r>
              <w:rPr>
                <w:rFonts w:hint="eastAsia" w:hAnsi="宋体" w:cs="宋体"/>
                <w:color w:val="auto"/>
                <w:szCs w:val="21"/>
                <w:highlight w:val="none"/>
              </w:rPr>
              <w:t>3</w:t>
            </w:r>
          </w:p>
        </w:tc>
        <w:tc>
          <w:tcPr>
            <w:tcW w:w="954" w:type="dxa"/>
            <w:vAlign w:val="center"/>
          </w:tcPr>
          <w:p w14:paraId="0C2B7C75">
            <w:pPr>
              <w:spacing w:line="360" w:lineRule="auto"/>
              <w:jc w:val="center"/>
              <w:rPr>
                <w:rFonts w:hAnsi="宋体" w:cs="宋体"/>
                <w:color w:val="auto"/>
                <w:szCs w:val="21"/>
                <w:highlight w:val="none"/>
              </w:rPr>
            </w:pPr>
            <w:r>
              <w:rPr>
                <w:rFonts w:hint="eastAsia" w:hAnsi="宋体" w:cs="宋体"/>
                <w:color w:val="auto"/>
                <w:szCs w:val="21"/>
                <w:highlight w:val="none"/>
              </w:rPr>
              <w:t>三</w:t>
            </w:r>
          </w:p>
        </w:tc>
        <w:tc>
          <w:tcPr>
            <w:tcW w:w="2246" w:type="dxa"/>
            <w:vAlign w:val="center"/>
          </w:tcPr>
          <w:p w14:paraId="2466311D">
            <w:pPr>
              <w:autoSpaceDE/>
              <w:autoSpaceDN/>
              <w:adjustRightInd/>
              <w:spacing w:line="360" w:lineRule="auto"/>
              <w:jc w:val="center"/>
              <w:rPr>
                <w:rFonts w:hAnsi="宋体" w:cs="宋体"/>
                <w:color w:val="auto"/>
                <w:szCs w:val="21"/>
                <w:highlight w:val="none"/>
              </w:rPr>
            </w:pPr>
          </w:p>
        </w:tc>
        <w:tc>
          <w:tcPr>
            <w:tcW w:w="2431" w:type="dxa"/>
            <w:vAlign w:val="center"/>
          </w:tcPr>
          <w:p w14:paraId="1530A257">
            <w:pPr>
              <w:spacing w:line="360" w:lineRule="auto"/>
              <w:jc w:val="center"/>
              <w:rPr>
                <w:rFonts w:hAnsi="宋体" w:cs="宋体"/>
                <w:color w:val="auto"/>
                <w:szCs w:val="21"/>
                <w:highlight w:val="none"/>
              </w:rPr>
            </w:pPr>
          </w:p>
        </w:tc>
        <w:tc>
          <w:tcPr>
            <w:tcW w:w="2749" w:type="dxa"/>
            <w:vAlign w:val="center"/>
          </w:tcPr>
          <w:p w14:paraId="29E80725">
            <w:pPr>
              <w:spacing w:line="360" w:lineRule="auto"/>
              <w:jc w:val="center"/>
              <w:rPr>
                <w:rFonts w:hAnsi="宋体" w:cs="宋体"/>
                <w:color w:val="auto"/>
                <w:szCs w:val="21"/>
                <w:highlight w:val="none"/>
              </w:rPr>
            </w:pPr>
          </w:p>
        </w:tc>
      </w:tr>
      <w:tr w14:paraId="17E6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095372E1">
            <w:pPr>
              <w:spacing w:line="360" w:lineRule="auto"/>
              <w:jc w:val="center"/>
              <w:rPr>
                <w:rFonts w:hAnsi="宋体" w:cs="宋体"/>
                <w:color w:val="auto"/>
                <w:szCs w:val="21"/>
                <w:highlight w:val="none"/>
              </w:rPr>
            </w:pPr>
            <w:r>
              <w:rPr>
                <w:rFonts w:hint="eastAsia" w:hAnsi="宋体" w:cs="宋体"/>
                <w:color w:val="auto"/>
                <w:szCs w:val="21"/>
                <w:highlight w:val="none"/>
              </w:rPr>
              <w:t>...</w:t>
            </w:r>
          </w:p>
        </w:tc>
        <w:tc>
          <w:tcPr>
            <w:tcW w:w="954" w:type="dxa"/>
            <w:vAlign w:val="center"/>
          </w:tcPr>
          <w:p w14:paraId="5A5F2D6C">
            <w:pPr>
              <w:spacing w:line="360" w:lineRule="auto"/>
              <w:jc w:val="center"/>
              <w:rPr>
                <w:rFonts w:hAnsi="宋体" w:cs="宋体"/>
                <w:color w:val="auto"/>
                <w:szCs w:val="21"/>
                <w:highlight w:val="none"/>
              </w:rPr>
            </w:pPr>
          </w:p>
        </w:tc>
        <w:tc>
          <w:tcPr>
            <w:tcW w:w="2246" w:type="dxa"/>
            <w:vAlign w:val="center"/>
          </w:tcPr>
          <w:p w14:paraId="1A3642DF">
            <w:pPr>
              <w:spacing w:line="360" w:lineRule="auto"/>
              <w:jc w:val="center"/>
              <w:rPr>
                <w:rFonts w:hAnsi="宋体" w:cs="宋体"/>
                <w:color w:val="auto"/>
                <w:szCs w:val="21"/>
                <w:highlight w:val="none"/>
              </w:rPr>
            </w:pPr>
          </w:p>
        </w:tc>
        <w:tc>
          <w:tcPr>
            <w:tcW w:w="2431" w:type="dxa"/>
            <w:vAlign w:val="center"/>
          </w:tcPr>
          <w:p w14:paraId="4231A220">
            <w:pPr>
              <w:spacing w:line="360" w:lineRule="auto"/>
              <w:jc w:val="center"/>
              <w:rPr>
                <w:rFonts w:hAnsi="宋体" w:cs="宋体"/>
                <w:color w:val="auto"/>
                <w:szCs w:val="21"/>
                <w:highlight w:val="none"/>
              </w:rPr>
            </w:pPr>
          </w:p>
        </w:tc>
        <w:tc>
          <w:tcPr>
            <w:tcW w:w="2749" w:type="dxa"/>
            <w:vAlign w:val="center"/>
          </w:tcPr>
          <w:p w14:paraId="12A24A0A">
            <w:pPr>
              <w:spacing w:line="360" w:lineRule="auto"/>
              <w:jc w:val="center"/>
              <w:rPr>
                <w:rFonts w:hAnsi="宋体" w:cs="宋体"/>
                <w:color w:val="auto"/>
                <w:szCs w:val="21"/>
                <w:highlight w:val="none"/>
              </w:rPr>
            </w:pPr>
          </w:p>
        </w:tc>
      </w:tr>
    </w:tbl>
    <w:p w14:paraId="71AF4D36">
      <w:pPr>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备注：</w:t>
      </w:r>
    </w:p>
    <w:p w14:paraId="3AFEEAF0">
      <w:pPr>
        <w:numPr>
          <w:ilvl w:val="0"/>
          <w:numId w:val="10"/>
        </w:numPr>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14:paraId="6F1C5924">
      <w:pPr>
        <w:numPr>
          <w:ilvl w:val="0"/>
          <w:numId w:val="10"/>
        </w:numPr>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14:paraId="74E0BB3D">
      <w:pPr>
        <w:numPr>
          <w:ilvl w:val="0"/>
          <w:numId w:val="10"/>
        </w:numPr>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 xml:space="preserve">“偏离情况”项为正偏离（或负偏离）的，必须在“具体偏离内容”项内详细说明与用户需求书的偏离内容，“偏离情况”项为无偏离的，在“具体偏离内容”项内填“无”。 </w:t>
      </w:r>
    </w:p>
    <w:p w14:paraId="4693DFB9">
      <w:pPr>
        <w:numPr>
          <w:ilvl w:val="0"/>
          <w:numId w:val="10"/>
        </w:numPr>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如报价人差异内容较多可另附页说明。</w:t>
      </w:r>
    </w:p>
    <w:p w14:paraId="21A7E7F7">
      <w:pPr>
        <w:spacing w:line="360" w:lineRule="auto"/>
        <w:rPr>
          <w:rFonts w:hAnsi="宋体" w:cs="宋体"/>
          <w:color w:val="auto"/>
          <w:sz w:val="21"/>
          <w:szCs w:val="21"/>
          <w:highlight w:val="none"/>
        </w:rPr>
      </w:pPr>
    </w:p>
    <w:p w14:paraId="2A43749B">
      <w:pPr>
        <w:spacing w:line="360" w:lineRule="auto"/>
        <w:ind w:firstLine="5040" w:firstLineChars="2400"/>
        <w:jc w:val="right"/>
        <w:rPr>
          <w:rFonts w:hAnsi="宋体" w:cs="宋体"/>
          <w:color w:val="auto"/>
          <w:kern w:val="2"/>
          <w:sz w:val="21"/>
          <w:highlight w:val="none"/>
          <w:lang w:val="zh-CN"/>
        </w:rPr>
      </w:pPr>
      <w:r>
        <w:rPr>
          <w:rFonts w:hint="eastAsia" w:hAnsi="宋体" w:cs="宋体"/>
          <w:color w:val="auto"/>
          <w:kern w:val="2"/>
          <w:sz w:val="21"/>
          <w:highlight w:val="none"/>
          <w:lang w:val="zh-CN"/>
        </w:rPr>
        <w:t>报价人：（加盖报价人公章）</w:t>
      </w:r>
    </w:p>
    <w:p w14:paraId="26978AC7">
      <w:pPr>
        <w:spacing w:line="360" w:lineRule="auto"/>
        <w:ind w:firstLine="5040" w:firstLineChars="2400"/>
        <w:jc w:val="right"/>
        <w:rPr>
          <w:rFonts w:hAnsi="宋体" w:cs="宋体"/>
          <w:color w:val="auto"/>
          <w:kern w:val="2"/>
          <w:sz w:val="21"/>
          <w:highlight w:val="none"/>
          <w:lang w:val="zh-CN"/>
        </w:rPr>
      </w:pPr>
      <w:r>
        <w:rPr>
          <w:rFonts w:hint="eastAsia" w:hAnsi="宋体" w:cs="宋体"/>
          <w:color w:val="auto"/>
          <w:kern w:val="2"/>
          <w:sz w:val="21"/>
          <w:highlight w:val="none"/>
          <w:lang w:val="zh-CN"/>
        </w:rPr>
        <w:t xml:space="preserve">日  期：  </w:t>
      </w:r>
      <w:r>
        <w:rPr>
          <w:rFonts w:hint="eastAsia" w:hAnsi="宋体" w:cs="宋体"/>
          <w:color w:val="auto"/>
          <w:kern w:val="2"/>
          <w:sz w:val="21"/>
          <w:highlight w:val="none"/>
        </w:rPr>
        <w:t xml:space="preserve">  </w:t>
      </w:r>
      <w:r>
        <w:rPr>
          <w:rFonts w:hint="eastAsia" w:hAnsi="宋体" w:cs="宋体"/>
          <w:color w:val="auto"/>
          <w:kern w:val="2"/>
          <w:sz w:val="21"/>
          <w:highlight w:val="none"/>
          <w:lang w:val="zh-CN"/>
        </w:rPr>
        <w:t xml:space="preserve"> 年   月   日</w:t>
      </w:r>
      <w:bookmarkStart w:id="45" w:name="_Toc513226437"/>
      <w:bookmarkStart w:id="46" w:name="_Toc534278252"/>
      <w:bookmarkStart w:id="47" w:name="_Toc534701786"/>
    </w:p>
    <w:p w14:paraId="32E8F332">
      <w:pPr>
        <w:spacing w:line="360" w:lineRule="auto"/>
        <w:ind w:firstLine="420" w:firstLineChars="200"/>
        <w:rPr>
          <w:rFonts w:hAnsi="宋体" w:cs="宋体"/>
          <w:color w:val="auto"/>
          <w:sz w:val="21"/>
          <w:szCs w:val="21"/>
          <w:highlight w:val="none"/>
        </w:rPr>
        <w:sectPr>
          <w:pgSz w:w="11906" w:h="16838"/>
          <w:pgMar w:top="1440" w:right="1803" w:bottom="1440" w:left="1803" w:header="851" w:footer="992" w:gutter="0"/>
          <w:cols w:space="0" w:num="1"/>
          <w:docGrid w:type="lines" w:linePitch="332" w:charSpace="0"/>
        </w:sectPr>
      </w:pPr>
    </w:p>
    <w:p w14:paraId="47E8C15D">
      <w:pPr>
        <w:numPr>
          <w:ilvl w:val="0"/>
          <w:numId w:val="9"/>
        </w:numPr>
        <w:spacing w:line="360" w:lineRule="auto"/>
        <w:rPr>
          <w:rFonts w:hAnsi="宋体" w:cs="宋体"/>
          <w:b/>
          <w:color w:val="auto"/>
          <w:sz w:val="28"/>
          <w:szCs w:val="28"/>
          <w:highlight w:val="none"/>
        </w:rPr>
      </w:pPr>
      <w:r>
        <w:rPr>
          <w:rFonts w:hint="eastAsia" w:hAnsi="宋体" w:cs="宋体"/>
          <w:b/>
          <w:color w:val="auto"/>
          <w:sz w:val="28"/>
          <w:szCs w:val="28"/>
          <w:highlight w:val="none"/>
        </w:rPr>
        <w:t>合同条款偏离表</w:t>
      </w:r>
    </w:p>
    <w:p w14:paraId="3542FB2A">
      <w:pPr>
        <w:spacing w:line="360" w:lineRule="auto"/>
        <w:jc w:val="center"/>
        <w:rPr>
          <w:rFonts w:hAnsi="宋体" w:cs="宋体"/>
          <w:b/>
          <w:color w:val="auto"/>
          <w:sz w:val="28"/>
          <w:szCs w:val="28"/>
          <w:highlight w:val="none"/>
        </w:rPr>
      </w:pPr>
      <w:r>
        <w:rPr>
          <w:rFonts w:hint="eastAsia" w:hAnsi="宋体" w:cs="宋体"/>
          <w:b/>
          <w:color w:val="auto"/>
          <w:sz w:val="28"/>
          <w:szCs w:val="28"/>
          <w:highlight w:val="none"/>
          <w:lang w:val="zh-CN"/>
        </w:rPr>
        <w:t>合同条款偏离表</w:t>
      </w:r>
    </w:p>
    <w:tbl>
      <w:tblPr>
        <w:tblStyle w:val="1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14:paraId="7D54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14:paraId="4B7D87D7">
            <w:pPr>
              <w:spacing w:line="360" w:lineRule="auto"/>
              <w:jc w:val="center"/>
              <w:rPr>
                <w:rFonts w:hAnsi="宋体" w:cs="宋体"/>
                <w:b/>
                <w:color w:val="auto"/>
                <w:szCs w:val="21"/>
                <w:highlight w:val="none"/>
              </w:rPr>
            </w:pPr>
            <w:r>
              <w:rPr>
                <w:rFonts w:hint="eastAsia" w:hAnsi="宋体" w:cs="宋体"/>
                <w:b/>
                <w:color w:val="auto"/>
                <w:szCs w:val="21"/>
                <w:highlight w:val="none"/>
              </w:rPr>
              <w:t>序号</w:t>
            </w:r>
          </w:p>
        </w:tc>
        <w:tc>
          <w:tcPr>
            <w:tcW w:w="3767" w:type="dxa"/>
            <w:gridSpan w:val="2"/>
            <w:vAlign w:val="center"/>
          </w:tcPr>
          <w:p w14:paraId="6544BD2C">
            <w:pPr>
              <w:spacing w:line="360" w:lineRule="auto"/>
              <w:jc w:val="center"/>
              <w:rPr>
                <w:rFonts w:hAnsi="宋体" w:cs="宋体"/>
                <w:b/>
                <w:color w:val="auto"/>
                <w:szCs w:val="21"/>
                <w:highlight w:val="none"/>
              </w:rPr>
            </w:pPr>
            <w:r>
              <w:rPr>
                <w:rFonts w:hint="eastAsia" w:hAnsi="宋体" w:cs="宋体"/>
                <w:b/>
                <w:color w:val="auto"/>
                <w:szCs w:val="21"/>
                <w:highlight w:val="none"/>
              </w:rPr>
              <w:t>合同要求</w:t>
            </w:r>
          </w:p>
        </w:tc>
        <w:tc>
          <w:tcPr>
            <w:tcW w:w="4933" w:type="dxa"/>
            <w:gridSpan w:val="2"/>
            <w:vAlign w:val="center"/>
          </w:tcPr>
          <w:p w14:paraId="54E1E319">
            <w:pPr>
              <w:spacing w:line="360" w:lineRule="auto"/>
              <w:jc w:val="center"/>
              <w:rPr>
                <w:rFonts w:hAnsi="宋体" w:cs="宋体"/>
                <w:b/>
                <w:color w:val="auto"/>
                <w:szCs w:val="21"/>
                <w:highlight w:val="none"/>
              </w:rPr>
            </w:pPr>
            <w:r>
              <w:rPr>
                <w:rFonts w:hint="eastAsia" w:hAnsi="宋体" w:cs="宋体"/>
                <w:b/>
                <w:color w:val="auto"/>
                <w:szCs w:val="21"/>
                <w:highlight w:val="none"/>
              </w:rPr>
              <w:t>响应情况</w:t>
            </w:r>
          </w:p>
        </w:tc>
      </w:tr>
      <w:tr w14:paraId="760D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14:paraId="3F2739CA">
            <w:pPr>
              <w:spacing w:line="360" w:lineRule="auto"/>
              <w:jc w:val="center"/>
              <w:rPr>
                <w:rFonts w:hAnsi="宋体" w:cs="宋体"/>
                <w:b/>
                <w:color w:val="auto"/>
                <w:szCs w:val="21"/>
                <w:highlight w:val="none"/>
              </w:rPr>
            </w:pPr>
          </w:p>
        </w:tc>
        <w:tc>
          <w:tcPr>
            <w:tcW w:w="954" w:type="dxa"/>
            <w:vAlign w:val="center"/>
          </w:tcPr>
          <w:p w14:paraId="1FA7315E">
            <w:pPr>
              <w:spacing w:line="360" w:lineRule="auto"/>
              <w:jc w:val="center"/>
              <w:rPr>
                <w:rFonts w:hAnsi="宋体" w:cs="宋体"/>
                <w:b/>
                <w:color w:val="auto"/>
                <w:szCs w:val="21"/>
                <w:highlight w:val="none"/>
              </w:rPr>
            </w:pPr>
            <w:r>
              <w:rPr>
                <w:rFonts w:hint="eastAsia" w:hAnsi="宋体" w:cs="宋体"/>
                <w:b/>
                <w:color w:val="auto"/>
                <w:szCs w:val="21"/>
                <w:highlight w:val="none"/>
              </w:rPr>
              <w:t>条款号</w:t>
            </w:r>
          </w:p>
        </w:tc>
        <w:tc>
          <w:tcPr>
            <w:tcW w:w="2813" w:type="dxa"/>
            <w:vAlign w:val="center"/>
          </w:tcPr>
          <w:p w14:paraId="68B742F4">
            <w:pPr>
              <w:spacing w:line="360" w:lineRule="auto"/>
              <w:jc w:val="center"/>
              <w:rPr>
                <w:rFonts w:hAnsi="宋体" w:cs="宋体"/>
                <w:b/>
                <w:color w:val="auto"/>
                <w:szCs w:val="21"/>
                <w:highlight w:val="none"/>
              </w:rPr>
            </w:pPr>
            <w:r>
              <w:rPr>
                <w:rFonts w:hint="eastAsia" w:hAnsi="宋体" w:cs="宋体"/>
                <w:b/>
                <w:color w:val="auto"/>
                <w:szCs w:val="21"/>
                <w:highlight w:val="none"/>
              </w:rPr>
              <w:t>简要内容</w:t>
            </w:r>
          </w:p>
        </w:tc>
        <w:tc>
          <w:tcPr>
            <w:tcW w:w="1864" w:type="dxa"/>
            <w:vAlign w:val="center"/>
          </w:tcPr>
          <w:p w14:paraId="7663927C">
            <w:pPr>
              <w:spacing w:line="360" w:lineRule="auto"/>
              <w:jc w:val="center"/>
              <w:rPr>
                <w:rFonts w:hAnsi="宋体" w:cs="宋体"/>
                <w:b/>
                <w:color w:val="auto"/>
                <w:szCs w:val="21"/>
                <w:highlight w:val="none"/>
              </w:rPr>
            </w:pPr>
            <w:r>
              <w:rPr>
                <w:rFonts w:hint="eastAsia" w:hAnsi="宋体" w:cs="宋体"/>
                <w:b/>
                <w:color w:val="auto"/>
                <w:szCs w:val="21"/>
                <w:highlight w:val="none"/>
              </w:rPr>
              <w:t>偏离情况</w:t>
            </w:r>
          </w:p>
        </w:tc>
        <w:tc>
          <w:tcPr>
            <w:tcW w:w="3069" w:type="dxa"/>
            <w:vAlign w:val="center"/>
          </w:tcPr>
          <w:p w14:paraId="4FA6A37F">
            <w:pPr>
              <w:spacing w:line="360" w:lineRule="auto"/>
              <w:jc w:val="center"/>
              <w:rPr>
                <w:rFonts w:hAnsi="宋体" w:cs="宋体"/>
                <w:b/>
                <w:color w:val="auto"/>
                <w:szCs w:val="21"/>
                <w:highlight w:val="none"/>
              </w:rPr>
            </w:pPr>
            <w:r>
              <w:rPr>
                <w:rFonts w:hint="eastAsia" w:hAnsi="宋体" w:cs="宋体"/>
                <w:b/>
                <w:color w:val="auto"/>
                <w:szCs w:val="21"/>
                <w:highlight w:val="none"/>
              </w:rPr>
              <w:t>具体偏离内容</w:t>
            </w:r>
          </w:p>
        </w:tc>
      </w:tr>
      <w:tr w14:paraId="76AE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5B6EF54D">
            <w:pPr>
              <w:spacing w:line="360" w:lineRule="auto"/>
              <w:jc w:val="center"/>
              <w:rPr>
                <w:rFonts w:hAnsi="宋体" w:cs="宋体"/>
                <w:color w:val="auto"/>
                <w:szCs w:val="21"/>
                <w:highlight w:val="none"/>
              </w:rPr>
            </w:pPr>
            <w:r>
              <w:rPr>
                <w:rFonts w:hint="eastAsia" w:hAnsi="宋体" w:cs="宋体"/>
                <w:color w:val="auto"/>
                <w:szCs w:val="21"/>
                <w:highlight w:val="none"/>
              </w:rPr>
              <w:t>1</w:t>
            </w:r>
          </w:p>
        </w:tc>
        <w:tc>
          <w:tcPr>
            <w:tcW w:w="954" w:type="dxa"/>
            <w:vAlign w:val="center"/>
          </w:tcPr>
          <w:p w14:paraId="09C6D0DD">
            <w:pPr>
              <w:spacing w:line="360" w:lineRule="auto"/>
              <w:jc w:val="center"/>
              <w:rPr>
                <w:rFonts w:hAnsi="宋体" w:cs="宋体"/>
                <w:color w:val="auto"/>
                <w:szCs w:val="21"/>
                <w:highlight w:val="none"/>
              </w:rPr>
            </w:pPr>
            <w:r>
              <w:rPr>
                <w:rFonts w:hint="eastAsia" w:hAnsi="宋体" w:cs="宋体"/>
                <w:color w:val="auto"/>
                <w:szCs w:val="21"/>
                <w:highlight w:val="none"/>
              </w:rPr>
              <w:t>一</w:t>
            </w:r>
          </w:p>
        </w:tc>
        <w:tc>
          <w:tcPr>
            <w:tcW w:w="2813" w:type="dxa"/>
            <w:vAlign w:val="center"/>
          </w:tcPr>
          <w:p w14:paraId="49E87B7D">
            <w:pPr>
              <w:spacing w:line="360" w:lineRule="auto"/>
              <w:jc w:val="center"/>
              <w:rPr>
                <w:rFonts w:hAnsi="宋体" w:cs="宋体"/>
                <w:color w:val="auto"/>
                <w:szCs w:val="21"/>
                <w:highlight w:val="none"/>
              </w:rPr>
            </w:pPr>
          </w:p>
        </w:tc>
        <w:tc>
          <w:tcPr>
            <w:tcW w:w="1864" w:type="dxa"/>
            <w:vAlign w:val="center"/>
          </w:tcPr>
          <w:p w14:paraId="01268304">
            <w:pPr>
              <w:spacing w:line="360" w:lineRule="auto"/>
              <w:jc w:val="center"/>
              <w:rPr>
                <w:rFonts w:hAnsi="宋体" w:cs="宋体"/>
                <w:color w:val="auto"/>
                <w:szCs w:val="21"/>
                <w:highlight w:val="none"/>
              </w:rPr>
            </w:pPr>
          </w:p>
        </w:tc>
        <w:tc>
          <w:tcPr>
            <w:tcW w:w="3069" w:type="dxa"/>
            <w:vAlign w:val="center"/>
          </w:tcPr>
          <w:p w14:paraId="6560CAB4">
            <w:pPr>
              <w:spacing w:line="360" w:lineRule="auto"/>
              <w:jc w:val="center"/>
              <w:rPr>
                <w:rFonts w:hAnsi="宋体" w:cs="宋体"/>
                <w:color w:val="auto"/>
                <w:szCs w:val="21"/>
                <w:highlight w:val="none"/>
              </w:rPr>
            </w:pPr>
          </w:p>
        </w:tc>
      </w:tr>
      <w:tr w14:paraId="52C8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68A4B0EA">
            <w:pPr>
              <w:spacing w:line="360" w:lineRule="auto"/>
              <w:jc w:val="center"/>
              <w:rPr>
                <w:rFonts w:hAnsi="宋体" w:cs="宋体"/>
                <w:color w:val="auto"/>
                <w:szCs w:val="21"/>
                <w:highlight w:val="none"/>
              </w:rPr>
            </w:pPr>
            <w:r>
              <w:rPr>
                <w:rFonts w:hint="eastAsia" w:hAnsi="宋体" w:cs="宋体"/>
                <w:color w:val="auto"/>
                <w:szCs w:val="21"/>
                <w:highlight w:val="none"/>
              </w:rPr>
              <w:t>2</w:t>
            </w:r>
          </w:p>
        </w:tc>
        <w:tc>
          <w:tcPr>
            <w:tcW w:w="954" w:type="dxa"/>
            <w:vAlign w:val="center"/>
          </w:tcPr>
          <w:p w14:paraId="251683FB">
            <w:pPr>
              <w:spacing w:line="360" w:lineRule="auto"/>
              <w:jc w:val="center"/>
              <w:rPr>
                <w:rFonts w:hAnsi="宋体" w:cs="宋体"/>
                <w:color w:val="auto"/>
                <w:szCs w:val="21"/>
                <w:highlight w:val="none"/>
              </w:rPr>
            </w:pPr>
            <w:r>
              <w:rPr>
                <w:rFonts w:hint="eastAsia" w:hAnsi="宋体" w:cs="宋体"/>
                <w:color w:val="auto"/>
                <w:szCs w:val="21"/>
                <w:highlight w:val="none"/>
              </w:rPr>
              <w:t>二</w:t>
            </w:r>
          </w:p>
        </w:tc>
        <w:tc>
          <w:tcPr>
            <w:tcW w:w="2813" w:type="dxa"/>
            <w:vAlign w:val="center"/>
          </w:tcPr>
          <w:p w14:paraId="753A4984">
            <w:pPr>
              <w:spacing w:line="360" w:lineRule="auto"/>
              <w:jc w:val="center"/>
              <w:rPr>
                <w:rFonts w:hAnsi="宋体" w:cs="宋体"/>
                <w:color w:val="auto"/>
                <w:szCs w:val="21"/>
                <w:highlight w:val="none"/>
              </w:rPr>
            </w:pPr>
          </w:p>
        </w:tc>
        <w:tc>
          <w:tcPr>
            <w:tcW w:w="1864" w:type="dxa"/>
            <w:vAlign w:val="center"/>
          </w:tcPr>
          <w:p w14:paraId="05B0BEF3">
            <w:pPr>
              <w:spacing w:line="360" w:lineRule="auto"/>
              <w:jc w:val="center"/>
              <w:rPr>
                <w:rFonts w:hAnsi="宋体" w:cs="宋体"/>
                <w:color w:val="auto"/>
                <w:szCs w:val="21"/>
                <w:highlight w:val="none"/>
              </w:rPr>
            </w:pPr>
          </w:p>
        </w:tc>
        <w:tc>
          <w:tcPr>
            <w:tcW w:w="3069" w:type="dxa"/>
            <w:vAlign w:val="center"/>
          </w:tcPr>
          <w:p w14:paraId="4D899B54">
            <w:pPr>
              <w:spacing w:line="360" w:lineRule="auto"/>
              <w:jc w:val="center"/>
              <w:rPr>
                <w:rFonts w:hAnsi="宋体" w:cs="宋体"/>
                <w:color w:val="auto"/>
                <w:szCs w:val="21"/>
                <w:highlight w:val="none"/>
              </w:rPr>
            </w:pPr>
          </w:p>
        </w:tc>
      </w:tr>
      <w:tr w14:paraId="7110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21303F60">
            <w:pPr>
              <w:spacing w:line="360" w:lineRule="auto"/>
              <w:jc w:val="center"/>
              <w:rPr>
                <w:rFonts w:hAnsi="宋体" w:cs="宋体"/>
                <w:color w:val="auto"/>
                <w:szCs w:val="21"/>
                <w:highlight w:val="none"/>
              </w:rPr>
            </w:pPr>
            <w:r>
              <w:rPr>
                <w:rFonts w:hint="eastAsia" w:hAnsi="宋体" w:cs="宋体"/>
                <w:color w:val="auto"/>
                <w:szCs w:val="21"/>
                <w:highlight w:val="none"/>
              </w:rPr>
              <w:t>3</w:t>
            </w:r>
          </w:p>
        </w:tc>
        <w:tc>
          <w:tcPr>
            <w:tcW w:w="954" w:type="dxa"/>
            <w:vAlign w:val="center"/>
          </w:tcPr>
          <w:p w14:paraId="1314D5EB">
            <w:pPr>
              <w:spacing w:line="360" w:lineRule="auto"/>
              <w:jc w:val="center"/>
              <w:rPr>
                <w:rFonts w:hAnsi="宋体" w:cs="宋体"/>
                <w:color w:val="auto"/>
                <w:szCs w:val="21"/>
                <w:highlight w:val="none"/>
              </w:rPr>
            </w:pPr>
            <w:r>
              <w:rPr>
                <w:rFonts w:hint="eastAsia" w:hAnsi="宋体" w:cs="宋体"/>
                <w:color w:val="auto"/>
                <w:szCs w:val="21"/>
                <w:highlight w:val="none"/>
              </w:rPr>
              <w:t>三</w:t>
            </w:r>
          </w:p>
        </w:tc>
        <w:tc>
          <w:tcPr>
            <w:tcW w:w="2813" w:type="dxa"/>
            <w:vAlign w:val="center"/>
          </w:tcPr>
          <w:p w14:paraId="7D78338B">
            <w:pPr>
              <w:spacing w:line="360" w:lineRule="auto"/>
              <w:jc w:val="center"/>
              <w:rPr>
                <w:rFonts w:hAnsi="宋体" w:cs="宋体"/>
                <w:color w:val="auto"/>
                <w:szCs w:val="21"/>
                <w:highlight w:val="none"/>
              </w:rPr>
            </w:pPr>
          </w:p>
        </w:tc>
        <w:tc>
          <w:tcPr>
            <w:tcW w:w="1864" w:type="dxa"/>
            <w:vAlign w:val="center"/>
          </w:tcPr>
          <w:p w14:paraId="280E6779">
            <w:pPr>
              <w:spacing w:line="360" w:lineRule="auto"/>
              <w:jc w:val="center"/>
              <w:rPr>
                <w:rFonts w:hAnsi="宋体" w:cs="宋体"/>
                <w:color w:val="auto"/>
                <w:szCs w:val="21"/>
                <w:highlight w:val="none"/>
              </w:rPr>
            </w:pPr>
          </w:p>
        </w:tc>
        <w:tc>
          <w:tcPr>
            <w:tcW w:w="3069" w:type="dxa"/>
            <w:vAlign w:val="center"/>
          </w:tcPr>
          <w:p w14:paraId="6B15829A">
            <w:pPr>
              <w:spacing w:line="360" w:lineRule="auto"/>
              <w:jc w:val="center"/>
              <w:rPr>
                <w:rFonts w:hAnsi="宋体" w:cs="宋体"/>
                <w:color w:val="auto"/>
                <w:szCs w:val="21"/>
                <w:highlight w:val="none"/>
              </w:rPr>
            </w:pPr>
          </w:p>
        </w:tc>
      </w:tr>
      <w:tr w14:paraId="175B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14:paraId="0E7FC65B">
            <w:pPr>
              <w:spacing w:line="360" w:lineRule="auto"/>
              <w:jc w:val="center"/>
              <w:rPr>
                <w:rFonts w:hAnsi="宋体" w:cs="宋体"/>
                <w:color w:val="auto"/>
                <w:szCs w:val="21"/>
                <w:highlight w:val="none"/>
              </w:rPr>
            </w:pPr>
            <w:r>
              <w:rPr>
                <w:rFonts w:hint="eastAsia" w:hAnsi="宋体" w:cs="宋体"/>
                <w:color w:val="auto"/>
                <w:szCs w:val="21"/>
                <w:highlight w:val="none"/>
              </w:rPr>
              <w:t>...</w:t>
            </w:r>
          </w:p>
        </w:tc>
        <w:tc>
          <w:tcPr>
            <w:tcW w:w="954" w:type="dxa"/>
            <w:vAlign w:val="center"/>
          </w:tcPr>
          <w:p w14:paraId="28DFA692">
            <w:pPr>
              <w:spacing w:line="360" w:lineRule="auto"/>
              <w:jc w:val="center"/>
              <w:rPr>
                <w:rFonts w:hAnsi="宋体" w:cs="宋体"/>
                <w:color w:val="auto"/>
                <w:szCs w:val="21"/>
                <w:highlight w:val="none"/>
              </w:rPr>
            </w:pPr>
          </w:p>
        </w:tc>
        <w:tc>
          <w:tcPr>
            <w:tcW w:w="2813" w:type="dxa"/>
            <w:vAlign w:val="center"/>
          </w:tcPr>
          <w:p w14:paraId="1D66B0ED">
            <w:pPr>
              <w:spacing w:line="360" w:lineRule="auto"/>
              <w:jc w:val="center"/>
              <w:rPr>
                <w:rFonts w:hAnsi="宋体" w:cs="宋体"/>
                <w:color w:val="auto"/>
                <w:szCs w:val="21"/>
                <w:highlight w:val="none"/>
              </w:rPr>
            </w:pPr>
          </w:p>
        </w:tc>
        <w:tc>
          <w:tcPr>
            <w:tcW w:w="1864" w:type="dxa"/>
            <w:vAlign w:val="center"/>
          </w:tcPr>
          <w:p w14:paraId="1CE5830C">
            <w:pPr>
              <w:spacing w:line="360" w:lineRule="auto"/>
              <w:jc w:val="center"/>
              <w:rPr>
                <w:rFonts w:hAnsi="宋体" w:cs="宋体"/>
                <w:color w:val="auto"/>
                <w:szCs w:val="21"/>
                <w:highlight w:val="none"/>
              </w:rPr>
            </w:pPr>
          </w:p>
        </w:tc>
        <w:tc>
          <w:tcPr>
            <w:tcW w:w="3069" w:type="dxa"/>
            <w:vAlign w:val="center"/>
          </w:tcPr>
          <w:p w14:paraId="28D27C18">
            <w:pPr>
              <w:spacing w:line="360" w:lineRule="auto"/>
              <w:jc w:val="center"/>
              <w:rPr>
                <w:rFonts w:hAnsi="宋体" w:cs="宋体"/>
                <w:color w:val="auto"/>
                <w:szCs w:val="21"/>
                <w:highlight w:val="none"/>
              </w:rPr>
            </w:pPr>
          </w:p>
        </w:tc>
      </w:tr>
    </w:tbl>
    <w:p w14:paraId="30A66D30">
      <w:pPr>
        <w:spacing w:line="360" w:lineRule="auto"/>
        <w:ind w:right="139" w:rightChars="58" w:firstLine="426" w:firstLineChars="202"/>
        <w:rPr>
          <w:rFonts w:hAnsi="宋体" w:cs="宋体"/>
          <w:b/>
          <w:bCs/>
          <w:color w:val="auto"/>
          <w:sz w:val="21"/>
          <w:szCs w:val="21"/>
          <w:highlight w:val="none"/>
        </w:rPr>
      </w:pPr>
      <w:r>
        <w:rPr>
          <w:rFonts w:hint="eastAsia" w:hAnsi="宋体" w:cs="宋体"/>
          <w:b/>
          <w:bCs/>
          <w:color w:val="auto"/>
          <w:sz w:val="21"/>
          <w:szCs w:val="21"/>
          <w:highlight w:val="none"/>
        </w:rPr>
        <w:t>备注：</w:t>
      </w:r>
    </w:p>
    <w:p w14:paraId="5E13A1B0">
      <w:pPr>
        <w:numPr>
          <w:ilvl w:val="0"/>
          <w:numId w:val="11"/>
        </w:numPr>
        <w:spacing w:line="360" w:lineRule="auto"/>
        <w:ind w:right="139" w:rightChars="58" w:firstLine="426" w:firstLineChars="202"/>
        <w:rPr>
          <w:rFonts w:hAnsi="宋体" w:cs="宋体"/>
          <w:b/>
          <w:bCs/>
          <w:color w:val="auto"/>
          <w:sz w:val="21"/>
          <w:szCs w:val="21"/>
          <w:highlight w:val="none"/>
        </w:rPr>
      </w:pPr>
      <w:r>
        <w:rPr>
          <w:rFonts w:hint="eastAsia" w:hAnsi="宋体" w:cs="宋体"/>
          <w:b/>
          <w:bCs/>
          <w:color w:val="auto"/>
          <w:sz w:val="21"/>
          <w:szCs w:val="21"/>
          <w:highlight w:val="none"/>
        </w:rPr>
        <w:t>报价人应对照合同响应，逐条、如实地填写“偏离情况”，若发现虚假填写本表，或伪造、变造证明材料，或对合同及其附件响应有负偏离的，按无效响应处理。若发现此表未逐条填写视为完全响应合同要求。</w:t>
      </w:r>
    </w:p>
    <w:p w14:paraId="24AA9DAE">
      <w:pPr>
        <w:numPr>
          <w:ilvl w:val="0"/>
          <w:numId w:val="11"/>
        </w:numPr>
        <w:spacing w:line="360" w:lineRule="auto"/>
        <w:ind w:right="139" w:rightChars="58" w:firstLine="426" w:firstLineChars="202"/>
        <w:rPr>
          <w:rFonts w:hAnsi="宋体" w:cs="宋体"/>
          <w:b/>
          <w:bCs/>
          <w:color w:val="auto"/>
          <w:sz w:val="21"/>
          <w:szCs w:val="21"/>
          <w:highlight w:val="none"/>
        </w:rPr>
      </w:pPr>
      <w:r>
        <w:rPr>
          <w:rFonts w:hint="eastAsia" w:hAnsi="宋体" w:cs="宋体"/>
          <w:b/>
          <w:bCs/>
          <w:color w:val="auto"/>
          <w:sz w:val="21"/>
          <w:szCs w:val="21"/>
          <w:highlight w:val="none"/>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14:paraId="61ACAF5F">
      <w:pPr>
        <w:numPr>
          <w:ilvl w:val="0"/>
          <w:numId w:val="11"/>
        </w:numPr>
        <w:spacing w:line="360" w:lineRule="auto"/>
        <w:ind w:right="139" w:rightChars="58" w:firstLine="426" w:firstLineChars="202"/>
        <w:rPr>
          <w:rFonts w:hAnsi="宋体" w:cs="宋体"/>
          <w:b/>
          <w:bCs/>
          <w:color w:val="auto"/>
          <w:sz w:val="21"/>
          <w:szCs w:val="21"/>
          <w:highlight w:val="none"/>
        </w:rPr>
      </w:pPr>
      <w:r>
        <w:rPr>
          <w:rFonts w:hint="eastAsia" w:hAnsi="宋体" w:cs="宋体"/>
          <w:b/>
          <w:bCs/>
          <w:color w:val="auto"/>
          <w:sz w:val="21"/>
          <w:szCs w:val="21"/>
          <w:highlight w:val="none"/>
        </w:rPr>
        <w:t xml:space="preserve">“偏离情况”项为正偏离（或负偏离）的，必须在“具体偏离内容”项内详细说明与合同的偏离内容，“偏离情况”项为无偏离的，在“具体偏离内容”项内填“无”。 </w:t>
      </w:r>
    </w:p>
    <w:p w14:paraId="64EC1BC3">
      <w:pPr>
        <w:numPr>
          <w:ilvl w:val="0"/>
          <w:numId w:val="11"/>
        </w:numPr>
        <w:spacing w:line="360" w:lineRule="auto"/>
        <w:ind w:right="139" w:rightChars="58" w:firstLine="426" w:firstLineChars="202"/>
        <w:rPr>
          <w:rFonts w:hAnsi="宋体" w:cs="宋体"/>
          <w:b/>
          <w:bCs/>
          <w:color w:val="auto"/>
          <w:sz w:val="21"/>
          <w:szCs w:val="21"/>
          <w:highlight w:val="none"/>
        </w:rPr>
      </w:pPr>
      <w:r>
        <w:rPr>
          <w:rFonts w:hint="eastAsia" w:hAnsi="宋体" w:cs="宋体"/>
          <w:b/>
          <w:bCs/>
          <w:color w:val="auto"/>
          <w:sz w:val="21"/>
          <w:szCs w:val="21"/>
          <w:highlight w:val="none"/>
        </w:rPr>
        <w:t>如报价人差异内容较多可另附页说明。</w:t>
      </w:r>
    </w:p>
    <w:p w14:paraId="27574379">
      <w:pPr>
        <w:spacing w:line="360" w:lineRule="auto"/>
        <w:ind w:firstLine="420" w:firstLineChars="200"/>
        <w:rPr>
          <w:rFonts w:hAnsi="宋体" w:cs="宋体"/>
          <w:color w:val="auto"/>
          <w:sz w:val="21"/>
          <w:szCs w:val="21"/>
          <w:highlight w:val="none"/>
        </w:rPr>
      </w:pPr>
    </w:p>
    <w:p w14:paraId="33295798">
      <w:pPr>
        <w:spacing w:line="360" w:lineRule="auto"/>
        <w:ind w:firstLine="5040" w:firstLineChars="2400"/>
        <w:jc w:val="right"/>
        <w:rPr>
          <w:rFonts w:hAnsi="宋体" w:cs="宋体"/>
          <w:color w:val="auto"/>
          <w:kern w:val="2"/>
          <w:sz w:val="21"/>
          <w:highlight w:val="none"/>
          <w:lang w:val="zh-CN"/>
        </w:rPr>
      </w:pPr>
      <w:r>
        <w:rPr>
          <w:rFonts w:hint="eastAsia" w:hAnsi="宋体" w:cs="宋体"/>
          <w:color w:val="auto"/>
          <w:kern w:val="2"/>
          <w:sz w:val="21"/>
          <w:highlight w:val="none"/>
          <w:lang w:val="zh-CN"/>
        </w:rPr>
        <w:t>报价人：（加盖报价人公章）</w:t>
      </w:r>
    </w:p>
    <w:p w14:paraId="71DF39D4">
      <w:pPr>
        <w:spacing w:line="360" w:lineRule="auto"/>
        <w:ind w:firstLine="5040" w:firstLineChars="2400"/>
        <w:jc w:val="right"/>
        <w:rPr>
          <w:rFonts w:hAnsi="宋体" w:cs="宋体"/>
          <w:color w:val="auto"/>
          <w:kern w:val="2"/>
          <w:sz w:val="21"/>
          <w:highlight w:val="none"/>
          <w:lang w:val="zh-CN"/>
        </w:rPr>
      </w:pPr>
      <w:r>
        <w:rPr>
          <w:rFonts w:hint="eastAsia" w:hAnsi="宋体" w:cs="宋体"/>
          <w:color w:val="auto"/>
          <w:kern w:val="2"/>
          <w:sz w:val="21"/>
          <w:highlight w:val="none"/>
          <w:lang w:val="zh-CN"/>
        </w:rPr>
        <w:t xml:space="preserve">日  期： </w:t>
      </w:r>
      <w:r>
        <w:rPr>
          <w:rFonts w:hint="eastAsia" w:hAnsi="宋体" w:cs="宋体"/>
          <w:color w:val="auto"/>
          <w:kern w:val="2"/>
          <w:sz w:val="21"/>
          <w:highlight w:val="none"/>
        </w:rPr>
        <w:t xml:space="preserve">  </w:t>
      </w:r>
      <w:r>
        <w:rPr>
          <w:rFonts w:hint="eastAsia" w:hAnsi="宋体" w:cs="宋体"/>
          <w:color w:val="auto"/>
          <w:kern w:val="2"/>
          <w:sz w:val="21"/>
          <w:highlight w:val="none"/>
          <w:lang w:val="zh-CN"/>
        </w:rPr>
        <w:t xml:space="preserve">  年   月   日</w:t>
      </w:r>
    </w:p>
    <w:p w14:paraId="32A2A5A8">
      <w:pPr>
        <w:spacing w:line="360" w:lineRule="auto"/>
        <w:rPr>
          <w:rFonts w:hAnsi="宋体" w:cs="宋体"/>
          <w:color w:val="auto"/>
          <w:kern w:val="2"/>
          <w:sz w:val="21"/>
          <w:highlight w:val="none"/>
          <w:lang w:val="zh-CN"/>
        </w:rPr>
        <w:sectPr>
          <w:pgSz w:w="11906" w:h="16838"/>
          <w:pgMar w:top="1440" w:right="1803" w:bottom="1440" w:left="1803" w:header="851" w:footer="992" w:gutter="0"/>
          <w:cols w:space="0" w:num="1"/>
          <w:docGrid w:type="lines" w:linePitch="332" w:charSpace="0"/>
        </w:sectPr>
      </w:pPr>
    </w:p>
    <w:bookmarkEnd w:id="45"/>
    <w:bookmarkEnd w:id="46"/>
    <w:bookmarkEnd w:id="47"/>
    <w:p w14:paraId="7C992B49">
      <w:pPr>
        <w:numPr>
          <w:ilvl w:val="0"/>
          <w:numId w:val="9"/>
        </w:numPr>
        <w:spacing w:line="360" w:lineRule="auto"/>
        <w:rPr>
          <w:b/>
          <w:bCs/>
          <w:color w:val="auto"/>
          <w:sz w:val="28"/>
          <w:szCs w:val="28"/>
          <w:highlight w:val="none"/>
        </w:rPr>
      </w:pPr>
      <w:r>
        <w:rPr>
          <w:rFonts w:hint="eastAsia"/>
          <w:b/>
          <w:bCs/>
          <w:color w:val="auto"/>
          <w:sz w:val="28"/>
          <w:szCs w:val="28"/>
          <w:highlight w:val="none"/>
          <w:lang w:val="en-US" w:eastAsia="zh-CN"/>
        </w:rPr>
        <w:t>深信服科技股份有限公司的经销授权书或其他证明文件</w:t>
      </w:r>
      <w:r>
        <w:rPr>
          <w:rFonts w:hint="eastAsia"/>
          <w:b/>
          <w:bCs/>
          <w:color w:val="auto"/>
          <w:sz w:val="28"/>
          <w:szCs w:val="28"/>
          <w:highlight w:val="none"/>
        </w:rPr>
        <w:t>。</w:t>
      </w:r>
    </w:p>
    <w:p w14:paraId="0F08E35C">
      <w:pPr>
        <w:numPr>
          <w:ilvl w:val="0"/>
          <w:numId w:val="0"/>
        </w:numPr>
        <w:spacing w:line="360" w:lineRule="auto"/>
        <w:rPr>
          <w:color w:val="auto"/>
          <w:sz w:val="28"/>
          <w:szCs w:val="28"/>
          <w:highlight w:val="none"/>
        </w:rPr>
      </w:pPr>
    </w:p>
    <w:p w14:paraId="260E84B7">
      <w:pPr>
        <w:numPr>
          <w:ilvl w:val="0"/>
          <w:numId w:val="0"/>
        </w:numPr>
        <w:spacing w:line="360" w:lineRule="auto"/>
        <w:rPr>
          <w:color w:val="auto"/>
          <w:sz w:val="28"/>
          <w:szCs w:val="28"/>
          <w:highlight w:val="none"/>
        </w:rPr>
      </w:pPr>
    </w:p>
    <w:p w14:paraId="5848AEE7">
      <w:pPr>
        <w:numPr>
          <w:ilvl w:val="0"/>
          <w:numId w:val="0"/>
        </w:numPr>
        <w:spacing w:line="360" w:lineRule="auto"/>
        <w:rPr>
          <w:color w:val="auto"/>
          <w:sz w:val="28"/>
          <w:szCs w:val="28"/>
          <w:highlight w:val="none"/>
        </w:rPr>
      </w:pPr>
    </w:p>
    <w:p w14:paraId="2DC58BCC">
      <w:pPr>
        <w:numPr>
          <w:ilvl w:val="0"/>
          <w:numId w:val="0"/>
        </w:numPr>
        <w:spacing w:line="360" w:lineRule="auto"/>
        <w:rPr>
          <w:color w:val="auto"/>
          <w:sz w:val="28"/>
          <w:szCs w:val="28"/>
          <w:highlight w:val="none"/>
        </w:rPr>
      </w:pPr>
    </w:p>
    <w:p w14:paraId="14E44E42">
      <w:pPr>
        <w:numPr>
          <w:ilvl w:val="0"/>
          <w:numId w:val="0"/>
        </w:numPr>
        <w:spacing w:line="360" w:lineRule="auto"/>
        <w:rPr>
          <w:color w:val="auto"/>
          <w:sz w:val="28"/>
          <w:szCs w:val="28"/>
          <w:highlight w:val="none"/>
        </w:rPr>
      </w:pPr>
    </w:p>
    <w:p w14:paraId="1EA99BBF">
      <w:pPr>
        <w:numPr>
          <w:ilvl w:val="0"/>
          <w:numId w:val="0"/>
        </w:numPr>
        <w:spacing w:line="360" w:lineRule="auto"/>
        <w:rPr>
          <w:color w:val="auto"/>
          <w:sz w:val="28"/>
          <w:szCs w:val="28"/>
          <w:highlight w:val="none"/>
        </w:rPr>
      </w:pPr>
    </w:p>
    <w:p w14:paraId="2200886B">
      <w:pPr>
        <w:numPr>
          <w:ilvl w:val="0"/>
          <w:numId w:val="0"/>
        </w:numPr>
        <w:spacing w:line="360" w:lineRule="auto"/>
        <w:rPr>
          <w:color w:val="auto"/>
          <w:sz w:val="28"/>
          <w:szCs w:val="28"/>
          <w:highlight w:val="none"/>
        </w:rPr>
      </w:pPr>
    </w:p>
    <w:p w14:paraId="0D439526">
      <w:pPr>
        <w:numPr>
          <w:ilvl w:val="0"/>
          <w:numId w:val="9"/>
        </w:numPr>
        <w:spacing w:line="360" w:lineRule="auto"/>
        <w:rPr>
          <w:color w:val="auto"/>
          <w:sz w:val="28"/>
          <w:szCs w:val="28"/>
          <w:highlight w:val="none"/>
        </w:rPr>
      </w:pPr>
      <w:r>
        <w:rPr>
          <w:rFonts w:hint="eastAsia" w:hAnsi="宋体" w:cs="宋体"/>
          <w:b/>
          <w:color w:val="auto"/>
          <w:sz w:val="28"/>
          <w:szCs w:val="28"/>
          <w:highlight w:val="none"/>
        </w:rPr>
        <w:t>报价人认为有必要提供的资料（不做强制要求</w:t>
      </w:r>
      <w:r>
        <w:rPr>
          <w:rFonts w:hint="eastAsia" w:hAnsi="宋体" w:cs="宋体"/>
          <w:b/>
          <w:color w:val="auto"/>
          <w:sz w:val="28"/>
          <w:szCs w:val="28"/>
          <w:highlight w:val="none"/>
          <w:lang w:eastAsia="zh-CN"/>
        </w:rPr>
        <w:t>）</w:t>
      </w:r>
    </w:p>
    <w:sectPr>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CCD9D30-5ED7-4ECC-811D-75B2127BF450}"/>
  </w:font>
  <w:font w:name="黑体">
    <w:panose1 w:val="02010609060101010101"/>
    <w:charset w:val="86"/>
    <w:family w:val="auto"/>
    <w:pitch w:val="default"/>
    <w:sig w:usb0="800002BF" w:usb1="38CF7CFA" w:usb2="00000016" w:usb3="00000000" w:csb0="00040001" w:csb1="00000000"/>
    <w:embedRegular r:id="rId2" w:fontKey="{47AA5D5E-917D-4BFB-BA2D-D378A6FB92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55349541-5A7D-42EE-BCEC-532075C17FDD}"/>
  </w:font>
  <w:font w:name="楷体">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079419CC-6F9F-4398-B898-65F47C98DB70}"/>
  </w:font>
  <w:font w:name="Tahoma">
    <w:panose1 w:val="020B0604030504040204"/>
    <w:charset w:val="00"/>
    <w:family w:val="auto"/>
    <w:pitch w:val="default"/>
    <w:sig w:usb0="E1002EFF" w:usb1="C000605B" w:usb2="00000029" w:usb3="00000000" w:csb0="200101FF" w:csb1="20280000"/>
    <w:embedRegular r:id="rId5" w:fontKey="{088F87B6-8304-49A6-981C-EFE27D1D60A0}"/>
  </w:font>
  <w:font w:name="方正小标宋简体">
    <w:panose1 w:val="03000509000000000000"/>
    <w:charset w:val="86"/>
    <w:family w:val="script"/>
    <w:pitch w:val="default"/>
    <w:sig w:usb0="00000001" w:usb1="080E0000" w:usb2="00000000" w:usb3="00000000" w:csb0="00040000" w:csb1="00000000"/>
    <w:embedRegular r:id="rId6" w:fontKey="{E8FA8076-92EB-4A78-8E82-146E9E2A26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59D4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576FF">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7576FF">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FA84">
    <w:pPr>
      <w:framePr w:wrap="around" w:vAnchor="text" w:hAnchor="margin" w:xAlign="right" w:y="1"/>
      <w:tabs>
        <w:tab w:val="center" w:pos="4153"/>
        <w:tab w:val="right" w:pos="8306"/>
      </w:tabs>
      <w:snapToGrid w:val="0"/>
      <w:textAlignment w:val="baseline"/>
      <w:rPr>
        <w:sz w:val="18"/>
      </w:rPr>
    </w:pPr>
    <w:r>
      <w:rPr>
        <w:sz w:val="18"/>
      </w:rPr>
      <w:fldChar w:fldCharType="begin"/>
    </w:r>
    <w:r>
      <w:rPr>
        <w:rFonts w:ascii="Tahoma" w:hAnsi="Tahoma"/>
        <w:kern w:val="2"/>
      </w:rPr>
      <w:instrText xml:space="preserve">PAGE  </w:instrText>
    </w:r>
    <w:r>
      <w:rPr>
        <w:sz w:val="18"/>
      </w:rPr>
      <w:fldChar w:fldCharType="end"/>
    </w:r>
  </w:p>
  <w:p w14:paraId="5598D242">
    <w:pPr>
      <w:tabs>
        <w:tab w:val="center" w:pos="4153"/>
        <w:tab w:val="right" w:pos="8306"/>
      </w:tabs>
      <w:snapToGrid w:val="0"/>
      <w:ind w:right="360"/>
      <w:textAlignment w:val="baseline"/>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D72EA">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66F21">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9266F21">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04CF6">
    <w:pPr>
      <w:pBdr>
        <w:bottom w:val="single" w:color="auto" w:sz="6" w:space="1"/>
      </w:pBdr>
      <w:tabs>
        <w:tab w:val="center" w:pos="4153"/>
        <w:tab w:val="right" w:pos="8306"/>
      </w:tabs>
      <w:snapToGrid w:val="0"/>
      <w:jc w:val="center"/>
      <w:textAlignment w:val="baseline"/>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A7586">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9B45"/>
    <w:multiLevelType w:val="singleLevel"/>
    <w:tmpl w:val="A2019B45"/>
    <w:lvl w:ilvl="0" w:tentative="0">
      <w:start w:val="2"/>
      <w:numFmt w:val="chineseCounting"/>
      <w:suff w:val="nothing"/>
      <w:lvlText w:val="（%1）"/>
      <w:lvlJc w:val="left"/>
      <w:rPr>
        <w:rFonts w:hint="eastAsia"/>
      </w:rPr>
    </w:lvl>
  </w:abstractNum>
  <w:abstractNum w:abstractNumId="1">
    <w:nsid w:val="CDD948D2"/>
    <w:multiLevelType w:val="multilevel"/>
    <w:tmpl w:val="CDD948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517" w:firstLineChars="0"/>
      </w:pPr>
      <w:rPr>
        <w:rFonts w:hint="default"/>
      </w:rPr>
    </w:lvl>
    <w:lvl w:ilvl="2" w:tentative="0">
      <w:start w:val="1"/>
      <w:numFmt w:val="decimal"/>
      <w:lvlText w:val="%1.%2.%3."/>
      <w:lvlJc w:val="left"/>
      <w:pPr>
        <w:ind w:left="0" w:leftChars="0" w:firstLine="506" w:firstLineChars="0"/>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FE1D2219"/>
    <w:multiLevelType w:val="singleLevel"/>
    <w:tmpl w:val="FE1D2219"/>
    <w:lvl w:ilvl="0" w:tentative="0">
      <w:start w:val="1"/>
      <w:numFmt w:val="decimal"/>
      <w:suff w:val="space"/>
      <w:lvlText w:val="%1."/>
      <w:lvlJc w:val="left"/>
    </w:lvl>
  </w:abstractNum>
  <w:abstractNum w:abstractNumId="3">
    <w:nsid w:val="04D0FE94"/>
    <w:multiLevelType w:val="singleLevel"/>
    <w:tmpl w:val="04D0FE94"/>
    <w:lvl w:ilvl="0" w:tentative="0">
      <w:start w:val="2"/>
      <w:numFmt w:val="decimal"/>
      <w:suff w:val="space"/>
      <w:lvlText w:val="%1."/>
      <w:lvlJc w:val="left"/>
      <w:rPr>
        <w:rFonts w:hint="default"/>
        <w:b/>
        <w:bCs/>
      </w:rPr>
    </w:lvl>
  </w:abstractNum>
  <w:abstractNum w:abstractNumId="4">
    <w:nsid w:val="2C3A7159"/>
    <w:multiLevelType w:val="multilevel"/>
    <w:tmpl w:val="2C3A7159"/>
    <w:lvl w:ilvl="0" w:tentative="0">
      <w:start w:val="1"/>
      <w:numFmt w:val="chineseCountingThousand"/>
      <w:suff w:val="space"/>
      <w:lvlText w:val="%1."/>
      <w:lvlJc w:val="left"/>
      <w:pPr>
        <w:ind w:left="0" w:firstLine="0"/>
      </w:pPr>
      <w:rPr>
        <w:rFonts w:hint="eastAsia" w:ascii="宋体" w:hAnsi="宋体" w:eastAsia="黑体"/>
        <w:b w:val="0"/>
        <w:i w:val="0"/>
        <w:sz w:val="22"/>
      </w:rPr>
    </w:lvl>
    <w:lvl w:ilvl="1" w:tentative="0">
      <w:start w:val="1"/>
      <w:numFmt w:val="decimal"/>
      <w:pStyle w:val="27"/>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5">
    <w:nsid w:val="42DBCE77"/>
    <w:multiLevelType w:val="singleLevel"/>
    <w:tmpl w:val="42DBCE77"/>
    <w:lvl w:ilvl="0" w:tentative="0">
      <w:start w:val="1"/>
      <w:numFmt w:val="chineseCounting"/>
      <w:suff w:val="nothing"/>
      <w:lvlText w:val="%1、"/>
      <w:lvlJc w:val="left"/>
      <w:pPr>
        <w:ind w:left="0" w:firstLine="420"/>
      </w:pPr>
      <w:rPr>
        <w:rFonts w:hint="eastAsia"/>
      </w:rPr>
    </w:lvl>
  </w:abstractNum>
  <w:abstractNum w:abstractNumId="6">
    <w:nsid w:val="44C0D9F0"/>
    <w:multiLevelType w:val="singleLevel"/>
    <w:tmpl w:val="44C0D9F0"/>
    <w:lvl w:ilvl="0" w:tentative="0">
      <w:start w:val="1"/>
      <w:numFmt w:val="decimal"/>
      <w:suff w:val="space"/>
      <w:lvlText w:val="(%1)"/>
      <w:lvlJc w:val="left"/>
    </w:lvl>
  </w:abstractNum>
  <w:abstractNum w:abstractNumId="7">
    <w:nsid w:val="481B6FC2"/>
    <w:multiLevelType w:val="singleLevel"/>
    <w:tmpl w:val="481B6FC2"/>
    <w:lvl w:ilvl="0" w:tentative="0">
      <w:start w:val="1"/>
      <w:numFmt w:val="decimal"/>
      <w:suff w:val="space"/>
      <w:lvlText w:val="(%1)"/>
      <w:lvlJc w:val="left"/>
    </w:lvl>
  </w:abstractNum>
  <w:abstractNum w:abstractNumId="8">
    <w:nsid w:val="4A7D5900"/>
    <w:multiLevelType w:val="multilevel"/>
    <w:tmpl w:val="4A7D5900"/>
    <w:lvl w:ilvl="0" w:tentative="0">
      <w:start w:val="1"/>
      <w:numFmt w:val="chineseCountingThousand"/>
      <w:suff w:val="nothing"/>
      <w:lvlText w:val="第%1章 "/>
      <w:lvlJc w:val="left"/>
      <w:pPr>
        <w:ind w:left="0" w:firstLine="0"/>
      </w:pPr>
      <w:rPr>
        <w:rFonts w:hint="eastAsia"/>
        <w:lang w:val="en-US"/>
      </w:rPr>
    </w:lvl>
    <w:lvl w:ilvl="1" w:tentative="0">
      <w:start w:val="1"/>
      <w:numFmt w:val="decimal"/>
      <w:pStyle w:val="3"/>
      <w:isLgl/>
      <w:suff w:val="nothing"/>
      <w:lvlText w:val="%1.%2 "/>
      <w:lvlJc w:val="left"/>
      <w:pPr>
        <w:ind w:left="0" w:firstLine="113"/>
      </w:pPr>
      <w:rPr>
        <w:rFonts w:hint="eastAsia"/>
      </w:rPr>
    </w:lvl>
    <w:lvl w:ilvl="2" w:tentative="0">
      <w:start w:val="1"/>
      <w:numFmt w:val="decimal"/>
      <w:isLgl/>
      <w:suff w:val="nothing"/>
      <w:lvlText w:val="%1.%2.%3"/>
      <w:lvlJc w:val="left"/>
      <w:pPr>
        <w:ind w:left="0" w:firstLine="227"/>
      </w:pPr>
      <w:rPr>
        <w:rFonts w:hint="eastAsia"/>
      </w:rPr>
    </w:lvl>
    <w:lvl w:ilvl="3" w:tentative="0">
      <w:start w:val="1"/>
      <w:numFmt w:val="decimal"/>
      <w:isLgl/>
      <w:suff w:val="nothing"/>
      <w:lvlText w:val="%1.%2.%3.%4"/>
      <w:lvlJc w:val="left"/>
      <w:pPr>
        <w:ind w:left="0" w:firstLine="340"/>
      </w:pPr>
      <w:rPr>
        <w:rFonts w:hint="eastAsia"/>
      </w:rPr>
    </w:lvl>
    <w:lvl w:ilvl="4" w:tentative="0">
      <w:start w:val="1"/>
      <w:numFmt w:val="decimal"/>
      <w:isLgl/>
      <w:suff w:val="nothing"/>
      <w:lvlText w:val="%1.%2.%3.%4.%5"/>
      <w:lvlJc w:val="left"/>
      <w:pPr>
        <w:ind w:left="0" w:firstLine="454"/>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501D6469"/>
    <w:multiLevelType w:val="multilevel"/>
    <w:tmpl w:val="501D6469"/>
    <w:lvl w:ilvl="0" w:tentative="0">
      <w:start w:val="1"/>
      <w:numFmt w:val="decimal"/>
      <w:lvlText w:val="%1."/>
      <w:lvlJc w:val="left"/>
      <w:pPr>
        <w:ind w:left="425" w:hanging="425"/>
      </w:pPr>
      <w:rPr>
        <w:rFonts w:hint="default"/>
      </w:rPr>
    </w:lvl>
    <w:lvl w:ilvl="1" w:tentative="0">
      <w:start w:val="1"/>
      <w:numFmt w:val="decimal"/>
      <w:suff w:val="nothing"/>
      <w:lvlText w:val="%1.%2."/>
      <w:lvlJc w:val="left"/>
      <w:pPr>
        <w:ind w:left="0" w:leftChars="0" w:firstLine="680" w:firstLineChars="0"/>
      </w:pPr>
      <w:rPr>
        <w:rFonts w:hint="default"/>
      </w:rPr>
    </w:lvl>
    <w:lvl w:ilvl="2" w:tentative="0">
      <w:start w:val="1"/>
      <w:numFmt w:val="decimal"/>
      <w:lvlText w:val="%1.%2.%3."/>
      <w:lvlJc w:val="left"/>
      <w:pPr>
        <w:ind w:left="0" w:leftChars="0" w:firstLine="680" w:firstLineChars="0"/>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60EEA895"/>
    <w:multiLevelType w:val="singleLevel"/>
    <w:tmpl w:val="60EEA895"/>
    <w:lvl w:ilvl="0" w:tentative="0">
      <w:start w:val="1"/>
      <w:numFmt w:val="decimal"/>
      <w:lvlText w:val="%1."/>
      <w:lvlJc w:val="left"/>
      <w:pPr>
        <w:ind w:left="425" w:hanging="425"/>
      </w:pPr>
      <w:rPr>
        <w:rFonts w:hint="default"/>
      </w:rPr>
    </w:lvl>
  </w:abstractNum>
  <w:num w:numId="1">
    <w:abstractNumId w:val="8"/>
  </w:num>
  <w:num w:numId="2">
    <w:abstractNumId w:val="4"/>
  </w:num>
  <w:num w:numId="3">
    <w:abstractNumId w:val="5"/>
  </w:num>
  <w:num w:numId="4">
    <w:abstractNumId w:val="10"/>
  </w:num>
  <w:num w:numId="5">
    <w:abstractNumId w:val="9"/>
  </w:num>
  <w:num w:numId="6">
    <w:abstractNumId w:val="0"/>
  </w:num>
  <w:num w:numId="7">
    <w:abstractNumId w:val="1"/>
  </w:num>
  <w:num w:numId="8">
    <w:abstractNumId w:val="2"/>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YmExMWUyNzEzMDZmMzVlMmNlMGQ2OTg1N2MxMTkifQ=="/>
  </w:docVars>
  <w:rsids>
    <w:rsidRoot w:val="6F420807"/>
    <w:rsid w:val="00161248"/>
    <w:rsid w:val="001B0670"/>
    <w:rsid w:val="001C3A82"/>
    <w:rsid w:val="005817DA"/>
    <w:rsid w:val="00656F32"/>
    <w:rsid w:val="007A7046"/>
    <w:rsid w:val="00954111"/>
    <w:rsid w:val="00AF4904"/>
    <w:rsid w:val="00BD2CE9"/>
    <w:rsid w:val="00CE4770"/>
    <w:rsid w:val="00D0554A"/>
    <w:rsid w:val="00DB1C8E"/>
    <w:rsid w:val="00E24949"/>
    <w:rsid w:val="00ED6315"/>
    <w:rsid w:val="01BF6269"/>
    <w:rsid w:val="02B04372"/>
    <w:rsid w:val="03C10EEF"/>
    <w:rsid w:val="05E034CA"/>
    <w:rsid w:val="06916770"/>
    <w:rsid w:val="06E27ADA"/>
    <w:rsid w:val="077D580C"/>
    <w:rsid w:val="099B162A"/>
    <w:rsid w:val="0A6C734B"/>
    <w:rsid w:val="0B460893"/>
    <w:rsid w:val="120E0B43"/>
    <w:rsid w:val="12344B60"/>
    <w:rsid w:val="12444E44"/>
    <w:rsid w:val="13483236"/>
    <w:rsid w:val="144C15EE"/>
    <w:rsid w:val="155B0F75"/>
    <w:rsid w:val="166C3E5C"/>
    <w:rsid w:val="17815D6D"/>
    <w:rsid w:val="1ADF70D4"/>
    <w:rsid w:val="1C957734"/>
    <w:rsid w:val="21217D8A"/>
    <w:rsid w:val="21793444"/>
    <w:rsid w:val="22C12FEE"/>
    <w:rsid w:val="2386555D"/>
    <w:rsid w:val="23FC0350"/>
    <w:rsid w:val="24766D99"/>
    <w:rsid w:val="24BA1E4A"/>
    <w:rsid w:val="252A68FA"/>
    <w:rsid w:val="259E6E0E"/>
    <w:rsid w:val="26F2099A"/>
    <w:rsid w:val="27A379CF"/>
    <w:rsid w:val="27E162AD"/>
    <w:rsid w:val="286C7200"/>
    <w:rsid w:val="2A5266D7"/>
    <w:rsid w:val="2A631000"/>
    <w:rsid w:val="2A846F23"/>
    <w:rsid w:val="2CA9187D"/>
    <w:rsid w:val="30ED7159"/>
    <w:rsid w:val="319F2E32"/>
    <w:rsid w:val="344B25B7"/>
    <w:rsid w:val="34581575"/>
    <w:rsid w:val="36BD07A5"/>
    <w:rsid w:val="379B6E38"/>
    <w:rsid w:val="37DF4E55"/>
    <w:rsid w:val="39AF59C0"/>
    <w:rsid w:val="3B0D5064"/>
    <w:rsid w:val="3B160EA6"/>
    <w:rsid w:val="3B830F21"/>
    <w:rsid w:val="408C7964"/>
    <w:rsid w:val="4204145F"/>
    <w:rsid w:val="43304CED"/>
    <w:rsid w:val="43FE055A"/>
    <w:rsid w:val="4540092C"/>
    <w:rsid w:val="48CC27C0"/>
    <w:rsid w:val="493C0836"/>
    <w:rsid w:val="4BE05315"/>
    <w:rsid w:val="4C5C43D5"/>
    <w:rsid w:val="4CC346EB"/>
    <w:rsid w:val="4CD773D3"/>
    <w:rsid w:val="4D714079"/>
    <w:rsid w:val="4D9F1383"/>
    <w:rsid w:val="4DBA58AE"/>
    <w:rsid w:val="4DC81F78"/>
    <w:rsid w:val="4E3F1C21"/>
    <w:rsid w:val="4F7244C4"/>
    <w:rsid w:val="500D175F"/>
    <w:rsid w:val="50FB5439"/>
    <w:rsid w:val="54800227"/>
    <w:rsid w:val="554923E8"/>
    <w:rsid w:val="56E30533"/>
    <w:rsid w:val="57782C90"/>
    <w:rsid w:val="5F9D2B92"/>
    <w:rsid w:val="60A60CCB"/>
    <w:rsid w:val="63143EF4"/>
    <w:rsid w:val="65096658"/>
    <w:rsid w:val="65316E3C"/>
    <w:rsid w:val="65330D56"/>
    <w:rsid w:val="65751322"/>
    <w:rsid w:val="660324C2"/>
    <w:rsid w:val="692138F6"/>
    <w:rsid w:val="6AED5C1F"/>
    <w:rsid w:val="6C877E55"/>
    <w:rsid w:val="6E0F3173"/>
    <w:rsid w:val="6F420807"/>
    <w:rsid w:val="70714B0F"/>
    <w:rsid w:val="71C66B50"/>
    <w:rsid w:val="75084EF7"/>
    <w:rsid w:val="774A673A"/>
    <w:rsid w:val="781909EF"/>
    <w:rsid w:val="7B4F61AD"/>
    <w:rsid w:val="7D0211AE"/>
    <w:rsid w:val="7D8C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autoRedefine/>
    <w:qFormat/>
    <w:uiPriority w:val="9"/>
    <w:pPr>
      <w:keepNext/>
      <w:keepLines/>
      <w:spacing w:before="340" w:after="330" w:line="360" w:lineRule="auto"/>
      <w:outlineLvl w:val="0"/>
    </w:pPr>
    <w:rPr>
      <w:b/>
      <w:bCs/>
      <w:kern w:val="44"/>
      <w:sz w:val="32"/>
      <w:szCs w:val="44"/>
    </w:rPr>
  </w:style>
  <w:style w:type="paragraph" w:styleId="3">
    <w:name w:val="heading 2"/>
    <w:basedOn w:val="1"/>
    <w:next w:val="4"/>
    <w:autoRedefine/>
    <w:qFormat/>
    <w:uiPriority w:val="0"/>
    <w:pPr>
      <w:widowControl/>
      <w:numPr>
        <w:ilvl w:val="1"/>
        <w:numId w:val="1"/>
      </w:numPr>
      <w:tabs>
        <w:tab w:val="left" w:pos="8286"/>
      </w:tabs>
      <w:spacing w:line="600" w:lineRule="exact"/>
      <w:ind w:firstLine="0"/>
      <w:outlineLvl w:val="1"/>
    </w:pPr>
    <w:rPr>
      <w:rFonts w:ascii="黑体" w:hAnsi="宋体" w:eastAsia="黑体" w:cs="宋体"/>
      <w:b/>
      <w:color w:val="000000"/>
      <w:spacing w:val="15"/>
      <w:sz w:val="30"/>
    </w:rPr>
  </w:style>
  <w:style w:type="paragraph" w:styleId="4">
    <w:name w:val="heading 3"/>
    <w:basedOn w:val="3"/>
    <w:next w:val="1"/>
    <w:unhideWhenUsed/>
    <w:qFormat/>
    <w:uiPriority w:val="9"/>
    <w:pPr>
      <w:keepNext/>
      <w:keepLines/>
      <w:spacing w:before="260" w:after="260" w:line="416" w:lineRule="auto"/>
      <w:outlineLvl w:val="2"/>
    </w:pPr>
    <w:rPr>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autoRedefine/>
    <w:unhideWhenUsed/>
    <w:qFormat/>
    <w:uiPriority w:val="99"/>
  </w:style>
  <w:style w:type="paragraph" w:styleId="6">
    <w:name w:val="Body Text"/>
    <w:basedOn w:val="1"/>
    <w:next w:val="1"/>
    <w:autoRedefine/>
    <w:qFormat/>
    <w:uiPriority w:val="0"/>
    <w:pPr>
      <w:spacing w:after="120"/>
    </w:pPr>
    <w:rPr>
      <w:rFonts w:ascii="Times New Roman"/>
    </w:rPr>
  </w:style>
  <w:style w:type="paragraph" w:styleId="7">
    <w:name w:val="Body Text Indent"/>
    <w:basedOn w:val="1"/>
    <w:next w:val="8"/>
    <w:qFormat/>
    <w:uiPriority w:val="0"/>
    <w:pPr>
      <w:autoSpaceDE/>
      <w:autoSpaceDN/>
      <w:adjustRightInd/>
      <w:spacing w:line="480" w:lineRule="exact"/>
      <w:ind w:firstLine="560" w:firstLineChars="200"/>
      <w:jc w:val="both"/>
    </w:pPr>
    <w:rPr>
      <w:rFonts w:hAnsi="宋体"/>
      <w:kern w:val="2"/>
      <w:sz w:val="28"/>
    </w:rPr>
  </w:style>
  <w:style w:type="paragraph" w:styleId="8">
    <w:name w:val="envelope return"/>
    <w:basedOn w:val="1"/>
    <w:semiHidden/>
    <w:qFormat/>
    <w:uiPriority w:val="0"/>
    <w:pPr>
      <w:snapToGrid w:val="0"/>
      <w:spacing w:line="480" w:lineRule="atLeast"/>
    </w:pPr>
    <w:rPr>
      <w:rFonts w:ascii="Arial" w:hAnsi="Arial" w:cs="Arial"/>
      <w:szCs w:val="20"/>
    </w:rPr>
  </w:style>
  <w:style w:type="paragraph" w:styleId="9">
    <w:name w:val="Plain Text"/>
    <w:basedOn w:val="1"/>
    <w:autoRedefine/>
    <w:qFormat/>
    <w:uiPriority w:val="0"/>
    <w:pPr>
      <w:autoSpaceDE/>
      <w:autoSpaceDN/>
      <w:adjustRightInd/>
      <w:jc w:val="both"/>
    </w:pPr>
    <w:rPr>
      <w:rFonts w:hAnsi="Courier New"/>
      <w:kern w:val="2"/>
      <w:sz w:val="21"/>
      <w:szCs w:val="20"/>
    </w:rPr>
  </w:style>
  <w:style w:type="paragraph" w:styleId="10">
    <w:name w:val="Balloon Text"/>
    <w:basedOn w:val="1"/>
    <w:link w:val="38"/>
    <w:autoRedefine/>
    <w:qFormat/>
    <w:uiPriority w:val="0"/>
    <w:rPr>
      <w:sz w:val="18"/>
      <w:szCs w:val="18"/>
    </w:rPr>
  </w:style>
  <w:style w:type="paragraph" w:styleId="11">
    <w:name w:val="footer"/>
    <w:basedOn w:val="1"/>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autoRedefine/>
    <w:unhideWhenUsed/>
    <w:qFormat/>
    <w:uiPriority w:val="39"/>
    <w:pPr>
      <w:tabs>
        <w:tab w:val="right" w:leader="dot" w:pos="8296"/>
      </w:tabs>
      <w:spacing w:line="360" w:lineRule="auto"/>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Autospacing="1" w:afterAutospacing="1"/>
    </w:pPr>
  </w:style>
  <w:style w:type="paragraph" w:styleId="16">
    <w:name w:val="annotation subject"/>
    <w:basedOn w:val="5"/>
    <w:next w:val="5"/>
    <w:link w:val="37"/>
    <w:autoRedefine/>
    <w:qFormat/>
    <w:uiPriority w:val="0"/>
    <w:rPr>
      <w:b/>
      <w:bCs/>
    </w:rPr>
  </w:style>
  <w:style w:type="paragraph" w:styleId="17">
    <w:name w:val="Body Text First Indent"/>
    <w:basedOn w:val="6"/>
    <w:next w:val="18"/>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18">
    <w:name w:val="Body Text First Indent 2"/>
    <w:basedOn w:val="7"/>
    <w:next w:val="17"/>
    <w:qFormat/>
    <w:uiPriority w:val="0"/>
    <w:pPr>
      <w:autoSpaceDE w:val="0"/>
      <w:autoSpaceDN w:val="0"/>
      <w:adjustRightInd w:val="0"/>
      <w:spacing w:after="120" w:line="240" w:lineRule="auto"/>
      <w:ind w:left="420" w:leftChars="200" w:firstLine="420"/>
      <w:jc w:val="left"/>
    </w:pPr>
    <w:rPr>
      <w:rFonts w:hAnsi="Times New Roman"/>
      <w:kern w:val="0"/>
      <w:sz w:val="24"/>
    </w:rPr>
  </w:style>
  <w:style w:type="table" w:styleId="20">
    <w:name w:val="Table Grid"/>
    <w:basedOn w:val="19"/>
    <w:autoRedefine/>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autoRedefine/>
    <w:unhideWhenUsed/>
    <w:qFormat/>
    <w:uiPriority w:val="99"/>
    <w:rPr>
      <w:color w:val="0563C1" w:themeColor="hyperlink"/>
      <w:u w:val="single"/>
      <w14:textFill>
        <w14:solidFill>
          <w14:schemeClr w14:val="hlink"/>
        </w14:solidFill>
      </w14:textFill>
    </w:rPr>
  </w:style>
  <w:style w:type="character" w:styleId="24">
    <w:name w:val="annotation reference"/>
    <w:basedOn w:val="21"/>
    <w:autoRedefine/>
    <w:qFormat/>
    <w:uiPriority w:val="0"/>
    <w:rPr>
      <w:sz w:val="21"/>
      <w:szCs w:val="21"/>
    </w:rPr>
  </w:style>
  <w:style w:type="paragraph" w:customStyle="1" w:styleId="25">
    <w:name w:val="文档正文"/>
    <w:basedOn w:val="1"/>
    <w:autoRedefine/>
    <w:qFormat/>
    <w:uiPriority w:val="0"/>
    <w:pPr>
      <w:spacing w:line="360" w:lineRule="auto"/>
      <w:jc w:val="both"/>
    </w:pPr>
    <w:rPr>
      <w:rFonts w:ascii="Calibri" w:hAnsi="宋体"/>
      <w:bCs/>
      <w:kern w:val="2"/>
      <w:sz w:val="21"/>
      <w:szCs w:val="21"/>
    </w:rPr>
  </w:style>
  <w:style w:type="paragraph" w:customStyle="1" w:styleId="26">
    <w:name w:val="TOC 标题1"/>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customStyle="1" w:styleId="27">
    <w:name w:val="CM标题2"/>
    <w:basedOn w:val="3"/>
    <w:next w:val="28"/>
    <w:autoRedefine/>
    <w:qFormat/>
    <w:uiPriority w:val="0"/>
    <w:pPr>
      <w:numPr>
        <w:numId w:val="2"/>
      </w:numPr>
      <w:spacing w:before="50" w:beforeLines="50" w:after="50" w:afterLines="50" w:line="240" w:lineRule="auto"/>
    </w:pPr>
    <w:rPr>
      <w:rFonts w:ascii="Calibri" w:hAnsi="Calibri"/>
      <w:sz w:val="22"/>
      <w:szCs w:val="26"/>
    </w:rPr>
  </w:style>
  <w:style w:type="paragraph" w:customStyle="1" w:styleId="28">
    <w:name w:val="CM正文不缩进"/>
    <w:basedOn w:val="1"/>
    <w:autoRedefine/>
    <w:qFormat/>
    <w:uiPriority w:val="0"/>
    <w:pPr>
      <w:snapToGrid w:val="0"/>
      <w:spacing w:line="480" w:lineRule="exact"/>
    </w:pPr>
    <w:rPr>
      <w:rFonts w:ascii="Calibri" w:hAnsi="Calibri"/>
      <w:b/>
      <w:snapToGrid w:val="0"/>
      <w:szCs w:val="21"/>
    </w:rPr>
  </w:style>
  <w:style w:type="paragraph" w:customStyle="1" w:styleId="29">
    <w:name w:val="CM正文缩进"/>
    <w:basedOn w:val="1"/>
    <w:autoRedefine/>
    <w:qFormat/>
    <w:uiPriority w:val="0"/>
    <w:pPr>
      <w:spacing w:before="50" w:beforeLines="50" w:after="50" w:afterLines="50" w:line="480" w:lineRule="exact"/>
      <w:ind w:firstLine="200" w:firstLineChars="200"/>
    </w:pPr>
    <w:rPr>
      <w:rFonts w:ascii="Calibri" w:hAnsi="Calibri"/>
      <w:sz w:val="22"/>
      <w:szCs w:val="22"/>
    </w:rPr>
  </w:style>
  <w:style w:type="character" w:customStyle="1" w:styleId="30">
    <w:name w:val="font11"/>
    <w:basedOn w:val="21"/>
    <w:autoRedefine/>
    <w:qFormat/>
    <w:uiPriority w:val="0"/>
    <w:rPr>
      <w:rFonts w:hint="default" w:ascii="Times New Roman" w:hAnsi="Times New Roman" w:cs="Times New Roman"/>
      <w:b/>
      <w:bCs/>
      <w:color w:val="000000"/>
      <w:sz w:val="24"/>
      <w:szCs w:val="24"/>
      <w:u w:val="none"/>
    </w:rPr>
  </w:style>
  <w:style w:type="character" w:customStyle="1" w:styleId="31">
    <w:name w:val="font21"/>
    <w:basedOn w:val="21"/>
    <w:autoRedefine/>
    <w:qFormat/>
    <w:uiPriority w:val="0"/>
    <w:rPr>
      <w:rFonts w:hint="eastAsia" w:ascii="仿宋_GB2312" w:eastAsia="仿宋_GB2312" w:cs="仿宋_GB2312"/>
      <w:b/>
      <w:bCs/>
      <w:color w:val="000000"/>
      <w:sz w:val="24"/>
      <w:szCs w:val="24"/>
      <w:u w:val="none"/>
    </w:rPr>
  </w:style>
  <w:style w:type="character" w:customStyle="1" w:styleId="32">
    <w:name w:val="font31"/>
    <w:basedOn w:val="21"/>
    <w:autoRedefine/>
    <w:qFormat/>
    <w:uiPriority w:val="0"/>
    <w:rPr>
      <w:rFonts w:hint="default" w:ascii="Times New Roman" w:hAnsi="Times New Roman" w:cs="Times New Roman"/>
      <w:color w:val="000000"/>
      <w:sz w:val="24"/>
      <w:szCs w:val="24"/>
      <w:u w:val="none"/>
    </w:rPr>
  </w:style>
  <w:style w:type="character" w:customStyle="1" w:styleId="33">
    <w:name w:val="font41"/>
    <w:basedOn w:val="21"/>
    <w:autoRedefine/>
    <w:qFormat/>
    <w:uiPriority w:val="0"/>
    <w:rPr>
      <w:rFonts w:hint="eastAsia" w:ascii="仿宋_GB2312" w:eastAsia="仿宋_GB2312" w:cs="仿宋_GB2312"/>
      <w:color w:val="000000"/>
      <w:sz w:val="24"/>
      <w:szCs w:val="24"/>
      <w:u w:val="none"/>
    </w:rPr>
  </w:style>
  <w:style w:type="character" w:customStyle="1" w:styleId="34">
    <w:name w:val="font51"/>
    <w:basedOn w:val="21"/>
    <w:autoRedefine/>
    <w:qFormat/>
    <w:uiPriority w:val="0"/>
    <w:rPr>
      <w:rFonts w:hint="eastAsia" w:ascii="宋体" w:hAnsi="宋体" w:eastAsia="宋体" w:cs="宋体"/>
      <w:color w:val="000000"/>
      <w:sz w:val="24"/>
      <w:szCs w:val="24"/>
      <w:u w:val="none"/>
    </w:rPr>
  </w:style>
  <w:style w:type="paragraph" w:customStyle="1" w:styleId="35">
    <w:name w:val="正文文本缩进 21"/>
    <w:basedOn w:val="1"/>
    <w:autoRedefine/>
    <w:qFormat/>
    <w:uiPriority w:val="0"/>
    <w:pPr>
      <w:spacing w:line="480" w:lineRule="auto"/>
      <w:ind w:firstLine="540"/>
      <w:textAlignment w:val="baseline"/>
    </w:pPr>
    <w:rPr>
      <w:rFonts w:ascii="Calibri" w:hAnsi="Calibri"/>
      <w:sz w:val="21"/>
      <w:szCs w:val="21"/>
    </w:rPr>
  </w:style>
  <w:style w:type="character" w:customStyle="1" w:styleId="36">
    <w:name w:val="批注文字 字符"/>
    <w:basedOn w:val="21"/>
    <w:link w:val="5"/>
    <w:autoRedefine/>
    <w:qFormat/>
    <w:uiPriority w:val="99"/>
    <w:rPr>
      <w:rFonts w:ascii="宋体"/>
      <w:sz w:val="24"/>
      <w:szCs w:val="24"/>
    </w:rPr>
  </w:style>
  <w:style w:type="character" w:customStyle="1" w:styleId="37">
    <w:name w:val="批注主题 字符"/>
    <w:basedOn w:val="36"/>
    <w:link w:val="16"/>
    <w:autoRedefine/>
    <w:qFormat/>
    <w:uiPriority w:val="0"/>
    <w:rPr>
      <w:rFonts w:ascii="宋体"/>
      <w:b/>
      <w:bCs/>
      <w:sz w:val="24"/>
      <w:szCs w:val="24"/>
    </w:rPr>
  </w:style>
  <w:style w:type="character" w:customStyle="1" w:styleId="38">
    <w:name w:val="批注框文本 字符"/>
    <w:basedOn w:val="21"/>
    <w:link w:val="10"/>
    <w:autoRedefine/>
    <w:qFormat/>
    <w:uiPriority w:val="0"/>
    <w:rPr>
      <w:rFonts w:ascii="宋体"/>
      <w:sz w:val="18"/>
      <w:szCs w:val="18"/>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Table Text"/>
    <w:basedOn w:val="1"/>
    <w:semiHidden/>
    <w:qFormat/>
    <w:uiPriority w:val="0"/>
    <w:rPr>
      <w:rFonts w:ascii="Arial" w:hAnsi="Arial" w:eastAsia="Arial" w:cs="Arial"/>
      <w:sz w:val="21"/>
      <w:szCs w:val="21"/>
      <w:lang w:eastAsia="en-US"/>
    </w:rPr>
  </w:style>
  <w:style w:type="paragraph" w:customStyle="1" w:styleId="41">
    <w:name w:val="列出段落1"/>
    <w:basedOn w:val="1"/>
    <w:autoRedefine/>
    <w:qFormat/>
    <w:uiPriority w:val="99"/>
    <w:pPr>
      <w:ind w:firstLine="420" w:firstLineChars="200"/>
    </w:pPr>
    <w:rPr>
      <w:szCs w:val="20"/>
    </w:rPr>
  </w:style>
  <w:style w:type="paragraph" w:customStyle="1" w:styleId="42">
    <w:name w:val="彩色列表 - 强调文字颜色 11"/>
    <w:basedOn w:val="1"/>
    <w:qFormat/>
    <w:uiPriority w:val="34"/>
    <w:pPr>
      <w:ind w:firstLine="420" w:firstLineChars="200"/>
    </w:pPr>
  </w:style>
  <w:style w:type="paragraph" w:customStyle="1" w:styleId="43">
    <w:name w:val="0正文"/>
    <w:basedOn w:val="1"/>
    <w:qFormat/>
    <w:uiPriority w:val="0"/>
    <w:pPr>
      <w:ind w:firstLine="560"/>
      <w:contextualSpacing/>
      <w:textAlignment w:val="baseline"/>
    </w:pPr>
    <w:rPr>
      <w:rFonts w:eastAsia="楷体"/>
    </w:rPr>
  </w:style>
  <w:style w:type="paragraph" w:customStyle="1" w:styleId="44">
    <w:name w:val="Body text|1"/>
    <w:basedOn w:val="1"/>
    <w:qFormat/>
    <w:uiPriority w:val="0"/>
    <w:pPr>
      <w:widowControl w:val="0"/>
      <w:shd w:val="clear" w:color="auto" w:fill="auto"/>
      <w:spacing w:line="432" w:lineRule="auto"/>
    </w:pPr>
    <w:rPr>
      <w:rFonts w:ascii="宋体" w:hAnsi="宋体" w:eastAsia="宋体" w:cs="宋体"/>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11542</Words>
  <Characters>12240</Characters>
  <Lines>152</Lines>
  <Paragraphs>42</Paragraphs>
  <TotalTime>386</TotalTime>
  <ScaleCrop>false</ScaleCrop>
  <LinksUpToDate>false</LinksUpToDate>
  <CharactersWithSpaces>14111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2020-06-16T02:32:00Z</dcterms:created>
  <dc:creator>LKC</dc:creator>
  <cp:lastModifiedBy>mwh</cp:lastModifiedBy>
  <dcterms:modified xsi:type="dcterms:W3CDTF">2025-08-18T06:57:45Z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01CB9D1A398F4E14A3940109B543015A_13</vt:lpwstr>
  </property>
  <property fmtid="{D5CDD505-2E9C-101B-9397-08002B2CF9AE}" pid="4" name="KSOTemplateDocerSaveRecord">
    <vt:lpwstr>eyJoZGlkIjoiNjlmM2FhNjI5N2VkYWFlNTNiOWFiNThlNDlhNmEzZDgiLCJ1c2VySWQiOiIxNDc3OTk4NTY0In0=</vt:lpwstr>
  </property>
</Properties>
</file>