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1B3A9">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48E21908">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东莞市东宝路、东城东路中间绿化带苗木移栽项目</w:t>
      </w:r>
    </w:p>
    <w:p w14:paraId="193D5D61">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797A8CE5">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60728B11">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r>
        <w:rPr>
          <w:rFonts w:hint="eastAsia" w:ascii="宋体" w:hAnsi="宋体" w:eastAsia="宋体" w:cs="Times New Roman"/>
          <w:b/>
          <w:bCs/>
          <w:color w:val="auto"/>
          <w:sz w:val="72"/>
          <w:szCs w:val="72"/>
          <w:highlight w:val="none"/>
          <w:lang w:val="zh-CN"/>
        </w:rPr>
        <w:t>竞争性谈判文件</w:t>
      </w:r>
    </w:p>
    <w:p w14:paraId="66FC7D74">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7F81786B">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6BED40B6">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0805E364">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7380435D">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购</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号：0832-SFCX25DG109C</w:t>
      </w:r>
    </w:p>
    <w:p w14:paraId="3097D134">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购</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人：东莞市水务集团供水有限公司</w:t>
      </w:r>
    </w:p>
    <w:p w14:paraId="7341B18A">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采购代理机构：三方诚信招标有限公司</w:t>
      </w:r>
    </w:p>
    <w:p w14:paraId="678B9BCC">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7B33ED72">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278A9C5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 xml:space="preserve"> 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8</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27</w:t>
      </w:r>
      <w:r>
        <w:rPr>
          <w:rFonts w:hint="eastAsia" w:ascii="宋体" w:hAnsi="宋体" w:eastAsia="宋体" w:cs="宋体"/>
          <w:b/>
          <w:bCs/>
          <w:color w:val="auto"/>
          <w:sz w:val="32"/>
          <w:szCs w:val="32"/>
          <w:highlight w:val="none"/>
          <w:lang w:val="zh-CN"/>
        </w:rPr>
        <w:t>日</w:t>
      </w:r>
    </w:p>
    <w:p w14:paraId="75D0AE6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宋体"/>
          <w:b/>
          <w:bCs/>
          <w:color w:val="auto"/>
          <w:sz w:val="32"/>
          <w:szCs w:val="32"/>
          <w:highlight w:val="none"/>
          <w:lang w:val="zh-CN"/>
        </w:rPr>
      </w:pPr>
    </w:p>
    <w:p w14:paraId="3A0E4DB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宋体"/>
          <w:b/>
          <w:bCs/>
          <w:color w:val="auto"/>
          <w:sz w:val="32"/>
          <w:szCs w:val="32"/>
          <w:highlight w:val="none"/>
          <w:lang w:val="zh-CN"/>
        </w:rPr>
      </w:pPr>
    </w:p>
    <w:sdt>
      <w:sdtPr>
        <w:rPr>
          <w:rFonts w:ascii="宋体" w:hAnsi="宋体" w:eastAsia="宋体" w:cstheme="minorBidi"/>
          <w:b/>
          <w:bCs/>
          <w:color w:val="auto"/>
          <w:kern w:val="2"/>
          <w:sz w:val="28"/>
          <w:szCs w:val="32"/>
          <w:highlight w:val="none"/>
          <w:lang w:val="en-US" w:eastAsia="zh-CN" w:bidi="ar-SA"/>
        </w:rPr>
        <w:id w:val="147463424"/>
        <w15:color w:val="DBDBDB"/>
        <w:docPartObj>
          <w:docPartGallery w:val="Table of Contents"/>
          <w:docPartUnique/>
        </w:docPartObj>
      </w:sdtPr>
      <w:sdtEndPr>
        <w:rPr>
          <w:rFonts w:ascii="宋体" w:hAnsi="宋体" w:eastAsia="宋体" w:cstheme="minorBidi"/>
          <w:b/>
          <w:bCs/>
          <w:color w:val="auto"/>
          <w:kern w:val="2"/>
          <w:sz w:val="28"/>
          <w:szCs w:val="32"/>
          <w:highlight w:val="none"/>
          <w:lang w:val="en-US" w:eastAsia="zh-CN" w:bidi="ar-SA"/>
        </w:rPr>
      </w:sdtEndPr>
      <w:sdtContent>
        <w:p w14:paraId="33A4CB81">
          <w:pPr>
            <w:spacing w:before="0" w:beforeLines="0" w:after="0" w:afterLines="0" w:line="240" w:lineRule="auto"/>
            <w:ind w:left="0" w:leftChars="0" w:right="0" w:rightChars="0" w:firstLine="0" w:firstLineChars="0"/>
            <w:jc w:val="center"/>
            <w:rPr>
              <w:b/>
              <w:bCs/>
              <w:color w:val="auto"/>
              <w:sz w:val="28"/>
              <w:szCs w:val="32"/>
              <w:highlight w:val="none"/>
            </w:rPr>
          </w:pPr>
          <w:bookmarkStart w:id="0" w:name="_Toc160099430"/>
          <w:bookmarkStart w:id="1" w:name="_Toc2723_WPSOffice_Level1"/>
          <w:bookmarkStart w:id="2" w:name="_Toc450662846"/>
          <w:bookmarkStart w:id="3" w:name="_Toc486167660"/>
          <w:r>
            <w:rPr>
              <w:rFonts w:ascii="宋体" w:hAnsi="宋体" w:eastAsia="宋体"/>
              <w:b/>
              <w:bCs/>
              <w:color w:val="auto"/>
              <w:sz w:val="28"/>
              <w:szCs w:val="32"/>
              <w:highlight w:val="none"/>
            </w:rPr>
            <w:t>目录</w:t>
          </w:r>
        </w:p>
        <w:p w14:paraId="7186D698">
          <w:pPr>
            <w:pStyle w:val="32"/>
            <w:keepNext w:val="0"/>
            <w:keepLines w:val="0"/>
            <w:pageBreakBefore w:val="0"/>
            <w:widowControl w:val="0"/>
            <w:tabs>
              <w:tab w:val="right" w:leader="dot" w:pos="10080"/>
            </w:tabs>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_Toc28200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第一篇 竞争性谈判</w:t>
          </w:r>
          <w:r>
            <w:rPr>
              <w:rFonts w:hint="eastAsia" w:ascii="宋体" w:hAnsi="宋体" w:eastAsia="宋体" w:cs="宋体"/>
              <w:bCs/>
              <w:color w:val="auto"/>
              <w:kern w:val="44"/>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_Toc28200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7C48E09">
          <w:pPr>
            <w:pStyle w:val="32"/>
            <w:keepNext w:val="0"/>
            <w:keepLines w:val="0"/>
            <w:pageBreakBefore w:val="0"/>
            <w:widowControl w:val="0"/>
            <w:tabs>
              <w:tab w:val="right" w:leader="dot" w:pos="10080"/>
            </w:tabs>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_Toc20493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谈判须知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_Toc20493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E558F7A">
          <w:pPr>
            <w:pStyle w:val="32"/>
            <w:keepNext w:val="0"/>
            <w:keepLines w:val="0"/>
            <w:pageBreakBefore w:val="0"/>
            <w:widowControl w:val="0"/>
            <w:tabs>
              <w:tab w:val="right" w:leader="dot" w:pos="10080"/>
            </w:tabs>
            <w:kinsoku/>
            <w:wordWrap/>
            <w:overflowPunct/>
            <w:topLinePunct w:val="0"/>
            <w:autoSpaceDE/>
            <w:autoSpaceDN/>
            <w:bidi w:val="0"/>
            <w:adjustRightInd/>
            <w:snapToGrid/>
            <w:spacing w:line="360" w:lineRule="auto"/>
            <w:ind w:left="0" w:leftChars="0"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_Toc4326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_Toc4326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A7D9BF4">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_Toc32435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_Toc32435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E31D823">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_Toc14453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 合格的响应供应商</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_Toc14453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7EA1E1BF">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_Toc1311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 合格的服务</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_Toc1311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6B2D52BD">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_Toc26365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_Toc26365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7</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1EF2BABA">
          <w:pPr>
            <w:pStyle w:val="32"/>
            <w:keepNext w:val="0"/>
            <w:keepLines w:val="0"/>
            <w:pageBreakBefore w:val="0"/>
            <w:widowControl w:val="0"/>
            <w:tabs>
              <w:tab w:val="right" w:leader="dot" w:pos="10080"/>
            </w:tabs>
            <w:kinsoku/>
            <w:wordWrap/>
            <w:overflowPunct/>
            <w:topLinePunct w:val="0"/>
            <w:autoSpaceDE/>
            <w:autoSpaceDN/>
            <w:bidi w:val="0"/>
            <w:adjustRightInd/>
            <w:snapToGrid/>
            <w:spacing w:line="360" w:lineRule="auto"/>
            <w:ind w:left="0" w:leftChars="0"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_Toc2244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二、</w:t>
          </w:r>
          <w:r>
            <w:rPr>
              <w:rFonts w:hint="eastAsia" w:ascii="宋体" w:hAnsi="宋体" w:eastAsia="宋体" w:cs="宋体"/>
              <w:color w:val="auto"/>
              <w:szCs w:val="21"/>
              <w:highlight w:val="none"/>
              <w:lang w:val="zh-CN"/>
            </w:rPr>
            <w:t>谈判</w:t>
          </w:r>
          <w:r>
            <w:rPr>
              <w:rFonts w:hint="eastAsia" w:ascii="宋体" w:hAnsi="宋体" w:eastAsia="宋体" w:cs="宋体"/>
              <w:bCs/>
              <w:color w:val="auto"/>
              <w:kern w:val="44"/>
              <w:szCs w:val="21"/>
              <w:highlight w:val="none"/>
              <w:lang w:val="zh-CN"/>
            </w:rPr>
            <w:t>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BBD0A90">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_Toc12417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5 竞争性谈判文件的构成</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_Toc12417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7</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647B1A93">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_Toc10368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6 竞争性谈判文件的异议</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_Toc10368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8</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51C3C4D1">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_Toc28558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7 竞争性谈判文件的澄清及修改</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_Toc28558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8</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5B366382">
          <w:pPr>
            <w:pStyle w:val="32"/>
            <w:keepNext w:val="0"/>
            <w:keepLines w:val="0"/>
            <w:pageBreakBefore w:val="0"/>
            <w:widowControl w:val="0"/>
            <w:tabs>
              <w:tab w:val="right" w:leader="dot" w:pos="10080"/>
            </w:tabs>
            <w:kinsoku/>
            <w:wordWrap/>
            <w:overflowPunct/>
            <w:topLinePunct w:val="0"/>
            <w:autoSpaceDE/>
            <w:autoSpaceDN/>
            <w:bidi w:val="0"/>
            <w:adjustRightInd/>
            <w:snapToGrid/>
            <w:spacing w:line="360" w:lineRule="auto"/>
            <w:ind w:left="0" w:leftChars="0"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_Toc22325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三、</w:t>
          </w:r>
          <w:r>
            <w:rPr>
              <w:rFonts w:hint="eastAsia" w:ascii="宋体" w:hAnsi="宋体" w:eastAsia="宋体" w:cs="宋体"/>
              <w:color w:val="auto"/>
              <w:szCs w:val="21"/>
              <w:highlight w:val="none"/>
              <w:lang w:val="zh-CN"/>
            </w:rPr>
            <w:t>响应</w:t>
          </w:r>
          <w:r>
            <w:rPr>
              <w:rFonts w:hint="eastAsia" w:ascii="宋体" w:hAnsi="宋体" w:eastAsia="宋体" w:cs="宋体"/>
              <w:bCs/>
              <w:color w:val="auto"/>
              <w:kern w:val="44"/>
              <w:szCs w:val="21"/>
              <w:highlight w:val="none"/>
              <w:lang w:val="zh-CN"/>
            </w:rPr>
            <w:t>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F155FC3">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_Toc19448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 xml:space="preserve">8 </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lang w:val="zh-CN"/>
            </w:rPr>
            <w:t>使用的文字及度量衡单位</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_Toc19448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603351D5">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_Toc1017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9 响应文件的组成</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_Toc1017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56D59575">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_Toc3275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10 响应函</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_Toc3275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10</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43F4E74B">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_Toc17607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11 响应报价</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_Toc17607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10</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5BD47291">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_Toc13994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12 响应报价货币</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_Toc13994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1B56D359">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_Toc8169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13 证明响应供应商的合格性和资格的声明文件</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_Toc8169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6D139936">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_Toc16937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14 证明货物和服务的合格性并符合谈判文件规定的声明文件</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_Toc16937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12</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1AE964D9">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_Toc12647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15 响应保证金</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_Toc12647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12</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06AE88CF">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_Toc20961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16 响应有效期</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_Toc20961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13</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08429AB0">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_Toc5444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17 响应文件的式样和签署</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_Toc5444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13</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05905C94">
          <w:pPr>
            <w:pStyle w:val="32"/>
            <w:keepNext w:val="0"/>
            <w:keepLines w:val="0"/>
            <w:pageBreakBefore w:val="0"/>
            <w:widowControl w:val="0"/>
            <w:tabs>
              <w:tab w:val="right" w:leader="dot" w:pos="10080"/>
            </w:tabs>
            <w:kinsoku/>
            <w:wordWrap/>
            <w:overflowPunct/>
            <w:topLinePunct w:val="0"/>
            <w:autoSpaceDE/>
            <w:autoSpaceDN/>
            <w:bidi w:val="0"/>
            <w:adjustRightInd/>
            <w:snapToGrid/>
            <w:spacing w:line="360" w:lineRule="auto"/>
            <w:ind w:left="0" w:leftChars="0"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_Toc20056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四、响应文件的递交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_Toc20056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E4B1DF1">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_Toc1106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18 响应文件的密封和标记</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_Toc1106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14</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666D251A">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_Toc15857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19 递交响应文件的截止日期</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_Toc15857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14</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3C250921">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_Toc16604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20 迟交的响应文件</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_Toc16604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14</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3F723613">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_Toc8568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21 响应文件的修改和撤回</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_Toc8568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14</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2D8C884D">
          <w:pPr>
            <w:pStyle w:val="32"/>
            <w:keepNext w:val="0"/>
            <w:keepLines w:val="0"/>
            <w:pageBreakBefore w:val="0"/>
            <w:widowControl w:val="0"/>
            <w:tabs>
              <w:tab w:val="right" w:leader="dot" w:pos="10080"/>
            </w:tabs>
            <w:kinsoku/>
            <w:wordWrap/>
            <w:overflowPunct/>
            <w:topLinePunct w:val="0"/>
            <w:autoSpaceDE/>
            <w:autoSpaceDN/>
            <w:bidi w:val="0"/>
            <w:adjustRightInd/>
            <w:snapToGrid/>
            <w:spacing w:line="360" w:lineRule="auto"/>
            <w:ind w:left="0" w:leftChars="0"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_Toc6525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五、竞争性谈判流程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168D087">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_Toc8720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24 谈判小组</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_Toc8720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15</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2D468EDB">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_Toc15327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25 响应文件的初审</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_Toc15327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15</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06450024">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_Toc906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26 响应文件的澄清</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_Toc906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15</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75779AB9">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_Toc7732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27 谈判</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_Toc7732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15</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6E2B4530">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_Toc9832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28 最后报价</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_Toc9832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16</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0FDDE311">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_Toc15777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29 评审结果公示及</w:t>
          </w:r>
          <w:r>
            <w:rPr>
              <w:rFonts w:hint="eastAsia" w:ascii="宋体" w:hAnsi="宋体" w:eastAsia="宋体" w:cs="宋体"/>
              <w:color w:val="auto"/>
              <w:szCs w:val="21"/>
              <w:highlight w:val="none"/>
              <w:lang w:val="en-US" w:eastAsia="zh-CN"/>
            </w:rPr>
            <w:t>质疑</w:t>
          </w:r>
          <w:r>
            <w:rPr>
              <w:rFonts w:hint="eastAsia" w:ascii="宋体" w:hAnsi="宋体" w:eastAsia="宋体" w:cs="宋体"/>
              <w:color w:val="auto"/>
              <w:szCs w:val="21"/>
              <w:highlight w:val="none"/>
              <w:lang w:val="zh-CN"/>
            </w:rPr>
            <w:t>、投诉</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_Toc15777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16</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7D98EDEF">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_Toc32548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30 真实性审查</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_Toc32548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17</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0DBDF2A3">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_Toc8449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31 谈判小组和采购人接受或拒绝任何响应或所有响应的权利</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_Toc8449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17</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33543667">
          <w:pPr>
            <w:pStyle w:val="32"/>
            <w:keepNext w:val="0"/>
            <w:keepLines w:val="0"/>
            <w:pageBreakBefore w:val="0"/>
            <w:widowControl w:val="0"/>
            <w:tabs>
              <w:tab w:val="right" w:leader="dot" w:pos="10080"/>
            </w:tabs>
            <w:kinsoku/>
            <w:wordWrap/>
            <w:overflowPunct/>
            <w:topLinePunct w:val="0"/>
            <w:autoSpaceDE/>
            <w:autoSpaceDN/>
            <w:bidi w:val="0"/>
            <w:adjustRightInd/>
            <w:snapToGrid/>
            <w:spacing w:line="360" w:lineRule="auto"/>
            <w:ind w:left="0" w:leftChars="0"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_Toc21611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_Toc21611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FCD23BB">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_Toc19100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32 授予合同的准则</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_Toc19100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17</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6C690C4A">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_Toc25705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33 成交通知</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_Toc25705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18</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0D4B4E91">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_Toc22735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34 签署合同</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_Toc22735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18</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3ABA2F7D">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_Toc20839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35 履约担保</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_Toc20839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18</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2D4C6DD5">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_Toc21686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36 在合同履行中变更采购范围的权利</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_Toc21686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20</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58440F4D">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_Toc30777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37 成交服务费</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_Toc30777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20</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2B5593B1">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_Toc26447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38 发票</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_Toc26447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20</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7926F575">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_Toc10074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 xml:space="preserve">39 </w:t>
          </w:r>
          <w:r>
            <w:rPr>
              <w:rFonts w:hint="eastAsia" w:ascii="宋体" w:hAnsi="宋体" w:eastAsia="宋体" w:cs="宋体"/>
              <w:color w:val="auto"/>
              <w:szCs w:val="21"/>
              <w:highlight w:val="none"/>
              <w:lang w:val="zh-CN" w:eastAsia="zh-CN"/>
            </w:rPr>
            <w:t>采购</w:t>
          </w:r>
          <w:r>
            <w:rPr>
              <w:rFonts w:hint="eastAsia" w:ascii="宋体" w:hAnsi="宋体" w:eastAsia="宋体" w:cs="宋体"/>
              <w:color w:val="auto"/>
              <w:szCs w:val="21"/>
              <w:highlight w:val="none"/>
              <w:lang w:val="zh-CN"/>
            </w:rPr>
            <w:t>相关补充约定</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_Toc10074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21</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6D635ABB">
          <w:pPr>
            <w:pStyle w:val="24"/>
            <w:keepNext w:val="0"/>
            <w:keepLines w:val="0"/>
            <w:pageBreakBefore w:val="0"/>
            <w:widowControl w:val="0"/>
            <w:tabs>
              <w:tab w:val="right" w:leader="dot" w:pos="10080"/>
              <w:tab w:val="clear" w:pos="10144"/>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_Toc12482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en-US" w:eastAsia="zh-CN"/>
            </w:rPr>
            <w:t>40</w:t>
          </w:r>
          <w:r>
            <w:rPr>
              <w:rFonts w:hint="eastAsia" w:ascii="宋体" w:hAnsi="宋体" w:eastAsia="宋体" w:cs="宋体"/>
              <w:color w:val="auto"/>
              <w:szCs w:val="21"/>
              <w:highlight w:val="none"/>
              <w:lang w:val="zh-CN"/>
            </w:rPr>
            <w:t xml:space="preserve"> 本次采购活动的最终解释权归采购代理机构及采购人所有。</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_Toc12482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21</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14:paraId="3E2DB40A">
          <w:pPr>
            <w:pStyle w:val="32"/>
            <w:keepNext w:val="0"/>
            <w:keepLines w:val="0"/>
            <w:pageBreakBefore w:val="0"/>
            <w:widowControl w:val="0"/>
            <w:tabs>
              <w:tab w:val="right" w:leader="dot" w:pos="10080"/>
            </w:tabs>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_Toc9125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7F60D2D">
          <w:pPr>
            <w:pStyle w:val="32"/>
            <w:keepNext w:val="0"/>
            <w:keepLines w:val="0"/>
            <w:pageBreakBefore w:val="0"/>
            <w:widowControl w:val="0"/>
            <w:tabs>
              <w:tab w:val="right" w:leader="dot" w:pos="10080"/>
            </w:tabs>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_Toc6811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_Toc6811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F9889C7">
          <w:pPr>
            <w:pStyle w:val="32"/>
            <w:keepNext w:val="0"/>
            <w:keepLines w:val="0"/>
            <w:pageBreakBefore w:val="0"/>
            <w:widowControl w:val="0"/>
            <w:tabs>
              <w:tab w:val="right" w:leader="dot" w:pos="10080"/>
            </w:tabs>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_Toc4103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F92D5B4">
          <w:pPr>
            <w:pStyle w:val="32"/>
            <w:keepNext w:val="0"/>
            <w:keepLines w:val="0"/>
            <w:pageBreakBefore w:val="0"/>
            <w:widowControl w:val="0"/>
            <w:tabs>
              <w:tab w:val="right" w:leader="dot" w:pos="10080"/>
            </w:tabs>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_Toc1352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第六篇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172A9D9">
          <w:pPr>
            <w:pStyle w:val="32"/>
            <w:keepNext w:val="0"/>
            <w:keepLines w:val="0"/>
            <w:pageBreakBefore w:val="0"/>
            <w:widowControl w:val="0"/>
            <w:tabs>
              <w:tab w:val="right" w:leader="dot" w:pos="10080"/>
            </w:tabs>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_Toc18873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附件一：评审工作大纲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9878F10">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color w:val="auto"/>
              <w:highlight w:val="none"/>
            </w:rPr>
          </w:pPr>
          <w:r>
            <w:rPr>
              <w:rFonts w:hint="eastAsia" w:ascii="宋体" w:hAnsi="宋体" w:eastAsia="宋体" w:cs="宋体"/>
              <w:color w:val="auto"/>
              <w:szCs w:val="21"/>
              <w:highlight w:val="none"/>
            </w:rPr>
            <w:fldChar w:fldCharType="end"/>
          </w:r>
        </w:p>
      </w:sdtContent>
    </w:sdt>
    <w:p w14:paraId="3EA0E3FC">
      <w:pPr>
        <w:rPr>
          <w:color w:val="auto"/>
          <w:highlight w:val="none"/>
        </w:rPr>
      </w:pPr>
    </w:p>
    <w:p w14:paraId="5777E805">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4" w:name="_Toc28200"/>
      <w:r>
        <w:rPr>
          <w:rFonts w:ascii="宋体" w:hAnsi="宋体" w:eastAsia="宋体" w:cs="Times New Roman"/>
          <w:b/>
          <w:bCs/>
          <w:color w:val="auto"/>
          <w:kern w:val="44"/>
          <w:sz w:val="32"/>
          <w:szCs w:val="32"/>
          <w:highlight w:val="none"/>
          <w:lang w:val="zh-CN"/>
        </w:rPr>
        <w:t xml:space="preserve">第一篇 </w:t>
      </w:r>
      <w:bookmarkEnd w:id="0"/>
      <w:bookmarkEnd w:id="1"/>
      <w:bookmarkEnd w:id="2"/>
      <w:bookmarkEnd w:id="3"/>
      <w:r>
        <w:rPr>
          <w:rFonts w:hint="eastAsia" w:ascii="宋体" w:hAnsi="宋体" w:eastAsia="宋体"/>
          <w:b/>
          <w:bCs/>
          <w:color w:val="auto"/>
          <w:kern w:val="44"/>
          <w:sz w:val="32"/>
          <w:szCs w:val="32"/>
          <w:highlight w:val="none"/>
          <w:lang w:val="zh-CN"/>
        </w:rPr>
        <w:t>竞争性谈判</w:t>
      </w:r>
      <w:r>
        <w:rPr>
          <w:rFonts w:hint="eastAsia" w:ascii="宋体" w:hAnsi="宋体" w:eastAsia="宋体"/>
          <w:b/>
          <w:bCs/>
          <w:color w:val="auto"/>
          <w:kern w:val="44"/>
          <w:sz w:val="32"/>
          <w:szCs w:val="32"/>
          <w:highlight w:val="none"/>
        </w:rPr>
        <w:t>公告</w:t>
      </w:r>
      <w:bookmarkEnd w:id="4"/>
    </w:p>
    <w:p w14:paraId="3B781A29">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（以下简称“采购代理机构”）受</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szCs w:val="21"/>
          <w:highlight w:val="none"/>
          <w:lang w:val="zh-CN"/>
        </w:rPr>
        <w:t>（以下简称“采购人”）的委托，对</w:t>
      </w:r>
      <w:bookmarkStart w:id="5" w:name="_Hlk41903390"/>
      <w:r>
        <w:rPr>
          <w:rFonts w:hint="eastAsia" w:ascii="宋体" w:hAnsi="宋体" w:eastAsia="宋体" w:cs="Times New Roman"/>
          <w:color w:val="auto"/>
          <w:kern w:val="0"/>
          <w:szCs w:val="21"/>
          <w:highlight w:val="none"/>
          <w:lang w:eastAsia="zh-CN"/>
        </w:rPr>
        <w:t>东莞市东宝路、东城东路中间绿化带苗木移栽项目</w:t>
      </w:r>
      <w:r>
        <w:rPr>
          <w:rFonts w:ascii="宋体" w:hAnsi="宋体" w:eastAsia="宋体" w:cs="Times New Roman"/>
          <w:color w:val="auto"/>
          <w:szCs w:val="21"/>
          <w:highlight w:val="none"/>
          <w:lang w:val="zh-CN"/>
        </w:rPr>
        <w:t>(采购编号：</w:t>
      </w:r>
      <w:r>
        <w:rPr>
          <w:rFonts w:hint="eastAsia" w:ascii="宋体" w:hAnsi="宋体" w:eastAsia="宋体" w:cs="Times New Roman"/>
          <w:color w:val="auto"/>
          <w:szCs w:val="21"/>
          <w:highlight w:val="none"/>
          <w:lang w:val="zh-CN"/>
        </w:rPr>
        <w:t>0832-SFCX25DG109C</w:t>
      </w:r>
      <w:r>
        <w:rPr>
          <w:rFonts w:ascii="宋体" w:hAnsi="宋体" w:eastAsia="宋体" w:cs="Times New Roman"/>
          <w:color w:val="auto"/>
          <w:szCs w:val="21"/>
          <w:highlight w:val="none"/>
          <w:lang w:val="zh-CN"/>
        </w:rPr>
        <w:t>)</w:t>
      </w:r>
      <w:bookmarkEnd w:id="5"/>
      <w:r>
        <w:rPr>
          <w:rFonts w:hint="eastAsia" w:ascii="宋体" w:hAnsi="宋体" w:eastAsia="宋体" w:cs="Times New Roman"/>
          <w:color w:val="auto"/>
          <w:szCs w:val="21"/>
          <w:highlight w:val="none"/>
          <w:lang w:val="zh-CN"/>
        </w:rPr>
        <w:t>进行竞争性谈判采购，详细内容请参见本竞争性谈判文件。欢迎符合条件的合格供应商参加，有关事项如下</w:t>
      </w:r>
      <w:r>
        <w:rPr>
          <w:rFonts w:hint="eastAsia" w:ascii="宋体" w:hAnsi="宋体" w:eastAsia="宋体" w:cs="Times New Roman"/>
          <w:bCs/>
          <w:color w:val="auto"/>
          <w:kern w:val="0"/>
          <w:szCs w:val="21"/>
          <w:highlight w:val="none"/>
        </w:rPr>
        <w:t>：</w:t>
      </w:r>
    </w:p>
    <w:p w14:paraId="0D0CE446">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3694B049">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采购范围：本项目计划</w:t>
      </w:r>
      <w:r>
        <w:rPr>
          <w:rFonts w:hint="eastAsia" w:ascii="宋体" w:hAnsi="宋体" w:eastAsia="宋体" w:cs="Times New Roman"/>
          <w:color w:val="auto"/>
          <w:szCs w:val="21"/>
          <w:highlight w:val="none"/>
          <w:lang w:val="zh-CN" w:eastAsia="zh-CN"/>
        </w:rPr>
        <w:t>采购</w:t>
      </w:r>
      <w:r>
        <w:rPr>
          <w:rFonts w:hint="eastAsia" w:ascii="宋体" w:hAnsi="宋体" w:eastAsia="宋体" w:cs="Times New Roman"/>
          <w:color w:val="auto"/>
          <w:szCs w:val="21"/>
          <w:highlight w:val="none"/>
          <w:lang w:val="zh-CN"/>
        </w:rPr>
        <w:t>一家服务单位，提供东宝路、东城东路中间绿化带苗木移栽、清理及养护服务。（具体内容详见：第三篇用户需求书）。</w:t>
      </w:r>
    </w:p>
    <w:p w14:paraId="616E21EA">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7A902048">
      <w:pPr>
        <w:numPr>
          <w:ilvl w:val="0"/>
          <w:numId w:val="2"/>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合格响应供应商</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2B553E53">
      <w:pPr>
        <w:pStyle w:val="136"/>
        <w:spacing w:line="360" w:lineRule="auto"/>
        <w:ind w:left="422" w:hanging="422" w:hangingChars="200"/>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zh-CN"/>
        </w:rPr>
        <w:t>2.1 在中华人民共和国境内登记注册、合法存续、正常经营且具有独立承担民事责任能力的法人或其他组织；</w:t>
      </w:r>
    </w:p>
    <w:p w14:paraId="31999D90">
      <w:pPr>
        <w:pStyle w:val="136"/>
        <w:spacing w:line="360" w:lineRule="auto"/>
        <w:ind w:left="422" w:hanging="422" w:hangingChars="200"/>
        <w:rPr>
          <w:rFonts w:hint="eastAsia" w:ascii="宋体" w:hAnsi="宋体" w:eastAsia="宋体"/>
          <w:b/>
          <w:color w:val="auto"/>
          <w:szCs w:val="21"/>
          <w:highlight w:val="none"/>
          <w:lang w:val="zh-CN"/>
        </w:rPr>
      </w:pPr>
      <w:bookmarkStart w:id="6" w:name="_Toc25819"/>
      <w:r>
        <w:rPr>
          <w:rFonts w:hint="eastAsia" w:ascii="宋体" w:hAnsi="宋体" w:eastAsia="宋体"/>
          <w:b/>
          <w:color w:val="auto"/>
          <w:szCs w:val="21"/>
          <w:highlight w:val="none"/>
          <w:lang w:val="zh-CN"/>
        </w:rPr>
        <w:t>2.</w:t>
      </w:r>
      <w:r>
        <w:rPr>
          <w:rFonts w:hint="eastAsia" w:ascii="宋体" w:hAnsi="宋体" w:eastAsia="宋体"/>
          <w:b/>
          <w:color w:val="auto"/>
          <w:szCs w:val="21"/>
          <w:highlight w:val="none"/>
          <w:lang w:val="en-US" w:eastAsia="zh-CN"/>
        </w:rPr>
        <w:t xml:space="preserve">2 </w:t>
      </w:r>
      <w:r>
        <w:rPr>
          <w:rFonts w:hint="eastAsia" w:ascii="宋体" w:hAnsi="宋体" w:eastAsia="宋体" w:cs="宋体"/>
          <w:b/>
          <w:color w:val="auto"/>
          <w:sz w:val="21"/>
          <w:szCs w:val="21"/>
          <w:highlight w:val="none"/>
          <w:lang w:val="zh-CN"/>
        </w:rPr>
        <w:t>供应商</w:t>
      </w:r>
      <w:r>
        <w:rPr>
          <w:rFonts w:hint="eastAsia" w:ascii="宋体" w:hAnsi="宋体" w:eastAsia="宋体" w:cs="宋体"/>
          <w:b/>
          <w:color w:val="auto"/>
          <w:sz w:val="21"/>
          <w:szCs w:val="21"/>
          <w:highlight w:val="none"/>
        </w:rPr>
        <w:t>2022年1月1日</w:t>
      </w:r>
      <w:r>
        <w:rPr>
          <w:rFonts w:hint="eastAsia" w:ascii="宋体" w:hAnsi="宋体" w:eastAsia="宋体" w:cs="宋体"/>
          <w:b/>
          <w:color w:val="auto"/>
          <w:sz w:val="21"/>
          <w:szCs w:val="21"/>
          <w:highlight w:val="none"/>
          <w:lang w:val="zh-CN"/>
        </w:rPr>
        <w:t>以来</w:t>
      </w:r>
      <w:r>
        <w:rPr>
          <w:rFonts w:hint="eastAsia" w:ascii="宋体" w:hAnsi="宋体" w:eastAsia="宋体" w:cs="宋体"/>
          <w:b/>
          <w:color w:val="auto"/>
          <w:sz w:val="21"/>
          <w:szCs w:val="21"/>
          <w:highlight w:val="none"/>
        </w:rPr>
        <w:t>具有</w:t>
      </w:r>
      <w:r>
        <w:rPr>
          <w:rFonts w:hint="eastAsia" w:ascii="宋体" w:hAnsi="宋体" w:eastAsia="宋体" w:cs="宋体"/>
          <w:b/>
          <w:color w:val="auto"/>
          <w:sz w:val="21"/>
          <w:szCs w:val="21"/>
          <w:highlight w:val="none"/>
          <w:lang w:val="zh-CN"/>
        </w:rPr>
        <w:t>一份</w:t>
      </w:r>
      <w:r>
        <w:rPr>
          <w:rFonts w:hint="eastAsia" w:ascii="宋体" w:hAnsi="宋体" w:eastAsia="宋体" w:cs="宋体"/>
          <w:b/>
          <w:color w:val="auto"/>
          <w:sz w:val="21"/>
          <w:szCs w:val="21"/>
          <w:highlight w:val="none"/>
          <w:lang w:val="zh-CN" w:eastAsia="zh-CN"/>
        </w:rPr>
        <w:t>市政绿化迁移项目</w:t>
      </w:r>
      <w:r>
        <w:rPr>
          <w:rFonts w:hint="eastAsia" w:ascii="宋体" w:hAnsi="宋体" w:eastAsia="宋体" w:cs="宋体"/>
          <w:b/>
          <w:color w:val="auto"/>
          <w:sz w:val="21"/>
          <w:szCs w:val="21"/>
          <w:highlight w:val="none"/>
          <w:lang w:val="zh-CN"/>
        </w:rPr>
        <w:t>业绩（合同签订日期为202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年1月1日或以后）</w:t>
      </w:r>
      <w:r>
        <w:rPr>
          <w:rFonts w:hint="eastAsia" w:ascii="宋体" w:hAnsi="宋体" w:eastAsia="宋体" w:cs="宋体"/>
          <w:b/>
          <w:color w:val="auto"/>
          <w:szCs w:val="21"/>
          <w:highlight w:val="none"/>
          <w:lang w:val="en-US" w:eastAsia="zh-CN"/>
        </w:rPr>
        <w:t>；</w:t>
      </w:r>
    </w:p>
    <w:p w14:paraId="4AD50514">
      <w:pPr>
        <w:pStyle w:val="136"/>
        <w:spacing w:line="360" w:lineRule="auto"/>
        <w:ind w:left="422" w:hanging="422" w:hangingChars="200"/>
        <w:rPr>
          <w:rFonts w:hint="eastAsia" w:ascii="宋体" w:hAnsi="宋体" w:eastAsia="宋体"/>
          <w:b/>
          <w:color w:val="auto"/>
          <w:szCs w:val="21"/>
          <w:highlight w:val="none"/>
          <w:lang w:val="zh-CN"/>
        </w:rPr>
      </w:pPr>
      <w:r>
        <w:rPr>
          <w:rFonts w:hint="eastAsia" w:ascii="宋体" w:hAnsi="宋体" w:eastAsia="宋体"/>
          <w:b/>
          <w:color w:val="auto"/>
          <w:szCs w:val="21"/>
          <w:highlight w:val="none"/>
          <w:lang w:val="en-US" w:eastAsia="zh-CN"/>
        </w:rPr>
        <w:t xml:space="preserve">2.3 </w:t>
      </w:r>
      <w:r>
        <w:rPr>
          <w:rFonts w:hint="eastAsia" w:ascii="宋体" w:hAnsi="宋体" w:eastAsia="宋体"/>
          <w:b/>
          <w:color w:val="auto"/>
          <w:szCs w:val="21"/>
          <w:highlight w:val="none"/>
          <w:lang w:val="zh-CN"/>
        </w:rPr>
        <w:t>本项目不接受联合体</w:t>
      </w:r>
      <w:r>
        <w:rPr>
          <w:rFonts w:hint="eastAsia" w:ascii="宋体" w:hAnsi="宋体" w:eastAsia="宋体"/>
          <w:b/>
          <w:color w:val="auto"/>
          <w:szCs w:val="21"/>
          <w:highlight w:val="none"/>
          <w:lang w:val="en-US" w:eastAsia="zh-CN"/>
        </w:rPr>
        <w:t>响应</w:t>
      </w:r>
      <w:bookmarkEnd w:id="6"/>
      <w:r>
        <w:rPr>
          <w:rFonts w:hint="eastAsia" w:ascii="宋体" w:hAnsi="宋体" w:eastAsia="宋体"/>
          <w:b/>
          <w:color w:val="auto"/>
          <w:szCs w:val="21"/>
          <w:highlight w:val="none"/>
          <w:lang w:val="zh-CN"/>
        </w:rPr>
        <w:t>；</w:t>
      </w:r>
    </w:p>
    <w:p w14:paraId="030628C4">
      <w:pPr>
        <w:autoSpaceDE w:val="0"/>
        <w:autoSpaceDN w:val="0"/>
        <w:adjustRightInd w:val="0"/>
        <w:spacing w:line="360" w:lineRule="auto"/>
        <w:ind w:right="-29" w:rightChars="-14" w:firstLine="0" w:firstLineChars="0"/>
        <w:rPr>
          <w:rFonts w:ascii="宋体" w:hAnsi="宋体" w:eastAsia="宋体" w:cs="Times New Roman"/>
          <w:color w:val="auto"/>
          <w:szCs w:val="21"/>
          <w:highlight w:val="none"/>
          <w:lang w:val="zh-CN"/>
        </w:rPr>
      </w:pPr>
    </w:p>
    <w:p w14:paraId="241AFA14">
      <w:pPr>
        <w:numPr>
          <w:ilvl w:val="0"/>
          <w:numId w:val="2"/>
        </w:numPr>
        <w:autoSpaceDE w:val="0"/>
        <w:autoSpaceDN w:val="0"/>
        <w:adjustRightInd w:val="0"/>
        <w:snapToGrid w:val="0"/>
        <w:spacing w:line="360" w:lineRule="auto"/>
        <w:ind w:right="-34"/>
        <w:jc w:val="left"/>
        <w:rPr>
          <w:rFonts w:ascii="宋体" w:hAnsi="宋体" w:eastAsia="宋体" w:cs="Times New Roman"/>
          <w:b w:val="0"/>
          <w:bCs/>
          <w:color w:val="auto"/>
          <w:szCs w:val="21"/>
          <w:highlight w:val="none"/>
          <w:lang w:val="zh-CN"/>
        </w:rPr>
      </w:pPr>
      <w:r>
        <w:rPr>
          <w:rFonts w:ascii="宋体" w:hAnsi="宋体" w:eastAsia="宋体" w:cs="Times New Roman"/>
          <w:b w:val="0"/>
          <w:bCs/>
          <w:color w:val="auto"/>
          <w:szCs w:val="21"/>
          <w:highlight w:val="none"/>
          <w:lang w:val="zh-CN"/>
        </w:rPr>
        <w:t>谈判文件获取</w:t>
      </w:r>
      <w:r>
        <w:rPr>
          <w:rFonts w:hint="eastAsia" w:ascii="宋体" w:hAnsi="宋体" w:eastAsia="宋体" w:cs="Times New Roman"/>
          <w:b w:val="0"/>
          <w:bCs/>
          <w:color w:val="auto"/>
          <w:szCs w:val="21"/>
          <w:highlight w:val="none"/>
          <w:lang w:val="en-US" w:eastAsia="zh-CN"/>
        </w:rPr>
        <w:t>方式</w:t>
      </w:r>
      <w:r>
        <w:rPr>
          <w:rFonts w:ascii="宋体" w:hAnsi="宋体" w:eastAsia="宋体" w:cs="Times New Roman"/>
          <w:b w:val="0"/>
          <w:bCs/>
          <w:color w:val="auto"/>
          <w:szCs w:val="21"/>
          <w:highlight w:val="none"/>
          <w:lang w:val="zh-CN"/>
        </w:rPr>
        <w:t>：</w:t>
      </w:r>
    </w:p>
    <w:p w14:paraId="16999EAE">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60" w:lineRule="auto"/>
        <w:ind w:left="420" w:leftChars="200" w:right="0" w:rightChars="0" w:firstLine="0" w:firstLineChars="0"/>
        <w:jc w:val="left"/>
        <w:textAlignment w:val="auto"/>
        <w:rPr>
          <w:rFonts w:hint="eastAsia" w:ascii="宋体" w:hAnsi="宋体" w:eastAsia="宋体" w:cs="Times New Roman"/>
          <w:color w:val="auto"/>
          <w:szCs w:val="21"/>
          <w:highlight w:val="none"/>
          <w:lang w:val="zh-CN" w:eastAsia="zh-CN"/>
        </w:rPr>
      </w:pPr>
      <w:r>
        <w:rPr>
          <w:rFonts w:ascii="宋体" w:hAnsi="宋体" w:eastAsia="宋体" w:cs="Times New Roman"/>
          <w:color w:val="auto"/>
          <w:szCs w:val="21"/>
          <w:highlight w:val="none"/>
          <w:lang w:val="zh-CN"/>
        </w:rPr>
        <w:t>本</w:t>
      </w:r>
      <w:r>
        <w:rPr>
          <w:rFonts w:hint="eastAsia" w:ascii="宋体" w:hAnsi="宋体" w:eastAsia="宋体" w:cs="Times New Roman"/>
          <w:color w:val="auto"/>
          <w:szCs w:val="21"/>
          <w:highlight w:val="none"/>
          <w:lang w:val="zh-CN"/>
        </w:rPr>
        <w:t>项目采用“不记名网上下载”的方式发布竞争性谈判文件，有意向参加的供应商可于本项目递交响应文件截止时间前，在本项目采购信息发布媒介【详见本竞争性谈判公告第7点（除中国招标投标公共服务平台外）】下载竞争性谈判文件【本竞争性谈判公告第7点媒介发布竞争性谈判文件不一致时，以东莞市水务环境投资控股集团有限公司网（www.dgswjt.cn）发布的竞争性谈判文件为准】。</w:t>
      </w:r>
    </w:p>
    <w:p w14:paraId="7DF73221">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7CC60800">
      <w:pPr>
        <w:keepNext w:val="0"/>
        <w:keepLines w:val="0"/>
        <w:pageBreakBefore w:val="0"/>
        <w:widowControl w:val="0"/>
        <w:numPr>
          <w:ilvl w:val="0"/>
          <w:numId w:val="2"/>
        </w:numPr>
        <w:kinsoku/>
        <w:wordWrap w:val="0"/>
        <w:overflowPunct/>
        <w:topLinePunct w:val="0"/>
        <w:autoSpaceDE w:val="0"/>
        <w:autoSpaceDN w:val="0"/>
        <w:bidi w:val="0"/>
        <w:adjustRightInd w:val="0"/>
        <w:snapToGrid w:val="0"/>
        <w:spacing w:line="360" w:lineRule="auto"/>
        <w:ind w:left="363" w:right="-34" w:hanging="363"/>
        <w:jc w:val="left"/>
        <w:textAlignment w:val="auto"/>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采购代理机构在递交响应文件截止时间前通过“信用中国”网站（ www.creditchina.gov.cn）查询供应商（含其不具有独立法人资格的分支机构）信用记录。采购代理机构对供应商信用记录进行甄别，</w:t>
      </w:r>
      <w:r>
        <w:rPr>
          <w:rFonts w:hint="eastAsia" w:ascii="宋体" w:hAnsi="宋体" w:eastAsia="宋体" w:cs="Times New Roman"/>
          <w:color w:val="auto"/>
          <w:szCs w:val="21"/>
          <w:highlight w:val="none"/>
          <w:lang w:val="zh-CN"/>
        </w:rPr>
        <w:t>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严重违法失信行为记录名单的响应供应商，做好相关记录（处罚期限届满的除外）</w:t>
      </w:r>
      <w:r>
        <w:rPr>
          <w:rFonts w:hint="eastAsia" w:ascii="宋体" w:hAnsi="宋体" w:eastAsia="宋体" w:cs="Times New Roman"/>
          <w:color w:val="auto"/>
          <w:szCs w:val="21"/>
          <w:highlight w:val="none"/>
          <w:lang w:val="zh-CN" w:eastAsia="zh-CN"/>
        </w:rPr>
        <w:t>。</w:t>
      </w:r>
    </w:p>
    <w:p w14:paraId="0BC48A8E">
      <w:pPr>
        <w:numPr>
          <w:ilvl w:val="0"/>
          <w:numId w:val="0"/>
        </w:numPr>
        <w:autoSpaceDE w:val="0"/>
        <w:autoSpaceDN w:val="0"/>
        <w:adjustRightInd w:val="0"/>
        <w:snapToGrid w:val="0"/>
        <w:spacing w:line="360" w:lineRule="auto"/>
        <w:ind w:leftChars="0" w:right="-34" w:rightChars="0"/>
        <w:jc w:val="left"/>
        <w:rPr>
          <w:rFonts w:ascii="宋体" w:hAnsi="宋体" w:eastAsia="宋体" w:cs="Times New Roman"/>
          <w:color w:val="auto"/>
          <w:szCs w:val="21"/>
          <w:highlight w:val="none"/>
          <w:lang w:val="zh-CN"/>
        </w:rPr>
      </w:pPr>
    </w:p>
    <w:p w14:paraId="34C40864">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响应文件</w:t>
      </w:r>
      <w:r>
        <w:rPr>
          <w:rFonts w:hint="eastAsia" w:ascii="宋体" w:hAnsi="宋体" w:eastAsia="宋体" w:cs="Times New Roman"/>
          <w:color w:val="auto"/>
          <w:szCs w:val="21"/>
          <w:highlight w:val="none"/>
          <w:lang w:val="en-US" w:eastAsia="zh-CN"/>
        </w:rPr>
        <w:t>递交、</w:t>
      </w:r>
      <w:r>
        <w:rPr>
          <w:rFonts w:ascii="宋体" w:hAnsi="宋体" w:eastAsia="宋体" w:cs="Times New Roman"/>
          <w:color w:val="auto"/>
          <w:szCs w:val="21"/>
          <w:highlight w:val="none"/>
          <w:lang w:val="zh-CN"/>
        </w:rPr>
        <w:t>开启时间及地点：</w:t>
      </w:r>
    </w:p>
    <w:p w14:paraId="19FD73C2">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 xml:space="preserve">.1 </w:t>
      </w:r>
      <w:r>
        <w:rPr>
          <w:rFonts w:ascii="宋体" w:hAnsi="宋体" w:eastAsia="宋体" w:cs="Times New Roman"/>
          <w:color w:val="auto"/>
          <w:szCs w:val="21"/>
          <w:highlight w:val="none"/>
          <w:lang w:val="zh-CN"/>
        </w:rPr>
        <w:t>响应文件递交时间：</w:t>
      </w:r>
      <w:r>
        <w:rPr>
          <w:rFonts w:hint="eastAsia" w:ascii="宋体" w:hAnsi="宋体" w:eastAsia="宋体" w:cs="Times New Roman"/>
          <w:color w:val="auto"/>
          <w:szCs w:val="21"/>
          <w:highlight w:val="none"/>
          <w:u w:val="single"/>
          <w:lang w:val="zh-CN"/>
        </w:rPr>
        <w:t>202</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color w:val="auto"/>
          <w:szCs w:val="21"/>
          <w:highlight w:val="none"/>
          <w:lang w:val="zh-CN"/>
        </w:rPr>
        <w:t>年</w:t>
      </w:r>
      <w:r>
        <w:rPr>
          <w:rFonts w:hint="eastAsia" w:ascii="宋体" w:hAnsi="宋体" w:eastAsia="宋体" w:cs="Times New Roman"/>
          <w:color w:val="auto"/>
          <w:szCs w:val="21"/>
          <w:highlight w:val="none"/>
          <w:u w:val="single"/>
          <w:lang w:val="en-US" w:eastAsia="zh-CN"/>
        </w:rPr>
        <w:t xml:space="preserve"> 9 </w:t>
      </w:r>
      <w:r>
        <w:rPr>
          <w:rFonts w:hint="eastAsia" w:ascii="宋体" w:hAnsi="宋体" w:eastAsia="宋体" w:cs="Times New Roman"/>
          <w:color w:val="auto"/>
          <w:szCs w:val="21"/>
          <w:highlight w:val="none"/>
          <w:lang w:val="zh-CN"/>
        </w:rPr>
        <w:t>月</w:t>
      </w:r>
      <w:r>
        <w:rPr>
          <w:rFonts w:hint="eastAsia" w:ascii="宋体" w:hAnsi="宋体" w:eastAsia="宋体" w:cs="Times New Roman"/>
          <w:color w:val="auto"/>
          <w:szCs w:val="21"/>
          <w:highlight w:val="none"/>
          <w:u w:val="single"/>
          <w:lang w:val="en-US" w:eastAsia="zh-CN"/>
        </w:rPr>
        <w:t xml:space="preserve"> 3 </w:t>
      </w:r>
      <w:r>
        <w:rPr>
          <w:rFonts w:hint="eastAsia" w:ascii="宋体" w:hAnsi="宋体" w:eastAsia="宋体" w:cs="Times New Roman"/>
          <w:color w:val="auto"/>
          <w:szCs w:val="21"/>
          <w:highlight w:val="none"/>
          <w:lang w:val="zh-CN"/>
        </w:rPr>
        <w:t>日</w:t>
      </w:r>
      <w:r>
        <w:rPr>
          <w:rFonts w:hint="eastAsia" w:ascii="宋体" w:hAnsi="宋体" w:eastAsia="宋体" w:cs="Times New Roman"/>
          <w:color w:val="auto"/>
          <w:szCs w:val="21"/>
          <w:highlight w:val="none"/>
          <w:u w:val="single"/>
          <w:lang w:val="en-US" w:eastAsia="zh-CN"/>
        </w:rPr>
        <w:t xml:space="preserve"> 13 </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u w:val="single"/>
          <w:lang w:val="en-US" w:eastAsia="zh-CN"/>
        </w:rPr>
        <w:t xml:space="preserve"> 30 </w:t>
      </w:r>
      <w:r>
        <w:rPr>
          <w:rFonts w:hint="eastAsia" w:ascii="宋体" w:hAnsi="宋体" w:eastAsia="宋体" w:cs="Times New Roman"/>
          <w:color w:val="auto"/>
          <w:szCs w:val="21"/>
          <w:highlight w:val="none"/>
          <w:lang w:val="zh-CN"/>
        </w:rPr>
        <w:t xml:space="preserve"> -</w:t>
      </w:r>
      <w:r>
        <w:rPr>
          <w:rFonts w:hint="eastAsia" w:ascii="宋体" w:hAnsi="宋体" w:eastAsia="宋体" w:cs="Times New Roman"/>
          <w:color w:val="auto"/>
          <w:szCs w:val="21"/>
          <w:highlight w:val="none"/>
          <w:u w:val="single"/>
          <w:lang w:val="en-US" w:eastAsia="zh-CN"/>
        </w:rPr>
        <w:t xml:space="preserve"> 14 </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u w:val="single"/>
          <w:lang w:val="en-US" w:eastAsia="zh-CN"/>
        </w:rPr>
        <w:t xml:space="preserve"> 00 </w:t>
      </w:r>
      <w:r>
        <w:rPr>
          <w:rFonts w:hint="eastAsia" w:ascii="宋体" w:hAnsi="宋体" w:eastAsia="宋体" w:cs="Times New Roman"/>
          <w:color w:val="auto"/>
          <w:szCs w:val="21"/>
          <w:highlight w:val="none"/>
          <w:lang w:val="zh-CN"/>
        </w:rPr>
        <w:t>；</w:t>
      </w:r>
    </w:p>
    <w:p w14:paraId="0654A84C">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 xml:space="preserve">.2 </w:t>
      </w:r>
      <w:r>
        <w:rPr>
          <w:rFonts w:ascii="宋体" w:hAnsi="宋体" w:eastAsia="宋体" w:cs="Times New Roman"/>
          <w:color w:val="auto"/>
          <w:szCs w:val="21"/>
          <w:highlight w:val="none"/>
          <w:lang w:val="zh-CN"/>
        </w:rPr>
        <w:t>截止及响应文件开启时间：</w:t>
      </w:r>
      <w:r>
        <w:rPr>
          <w:rFonts w:hint="eastAsia" w:ascii="宋体" w:hAnsi="宋体" w:eastAsia="宋体" w:cs="Times New Roman"/>
          <w:color w:val="auto"/>
          <w:szCs w:val="21"/>
          <w:highlight w:val="none"/>
          <w:u w:val="single"/>
          <w:lang w:val="zh-CN"/>
        </w:rPr>
        <w:t>202</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color w:val="auto"/>
          <w:szCs w:val="21"/>
          <w:highlight w:val="none"/>
          <w:lang w:val="zh-CN"/>
        </w:rPr>
        <w:t>年</w:t>
      </w:r>
      <w:r>
        <w:rPr>
          <w:rFonts w:hint="eastAsia" w:ascii="宋体" w:hAnsi="宋体" w:eastAsia="宋体" w:cs="Times New Roman"/>
          <w:color w:val="auto"/>
          <w:szCs w:val="21"/>
          <w:highlight w:val="none"/>
          <w:u w:val="single"/>
          <w:lang w:val="en-US" w:eastAsia="zh-CN"/>
        </w:rPr>
        <w:t xml:space="preserve"> 9 </w:t>
      </w:r>
      <w:r>
        <w:rPr>
          <w:rFonts w:hint="eastAsia" w:ascii="宋体" w:hAnsi="宋体" w:eastAsia="宋体" w:cs="Times New Roman"/>
          <w:color w:val="auto"/>
          <w:szCs w:val="21"/>
          <w:highlight w:val="none"/>
          <w:lang w:val="zh-CN"/>
        </w:rPr>
        <w:t>月</w:t>
      </w:r>
      <w:r>
        <w:rPr>
          <w:rFonts w:hint="eastAsia" w:ascii="宋体" w:hAnsi="宋体" w:eastAsia="宋体" w:cs="Times New Roman"/>
          <w:color w:val="auto"/>
          <w:szCs w:val="21"/>
          <w:highlight w:val="none"/>
          <w:u w:val="single"/>
          <w:lang w:val="en-US" w:eastAsia="zh-CN"/>
        </w:rPr>
        <w:t xml:space="preserve"> 3 </w:t>
      </w:r>
      <w:r>
        <w:rPr>
          <w:rFonts w:hint="eastAsia" w:ascii="宋体" w:hAnsi="宋体" w:eastAsia="宋体" w:cs="Times New Roman"/>
          <w:color w:val="auto"/>
          <w:szCs w:val="21"/>
          <w:highlight w:val="none"/>
          <w:lang w:val="zh-CN"/>
        </w:rPr>
        <w:t>日</w:t>
      </w:r>
      <w:r>
        <w:rPr>
          <w:rFonts w:hint="eastAsia" w:ascii="宋体" w:hAnsi="宋体" w:eastAsia="宋体" w:cs="Times New Roman"/>
          <w:color w:val="auto"/>
          <w:szCs w:val="21"/>
          <w:highlight w:val="none"/>
          <w:u w:val="single"/>
          <w:lang w:val="en-US" w:eastAsia="zh-CN"/>
        </w:rPr>
        <w:t xml:space="preserve"> 14 </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u w:val="single"/>
          <w:lang w:val="en-US" w:eastAsia="zh-CN"/>
        </w:rPr>
        <w:t xml:space="preserve"> 00 </w:t>
      </w:r>
      <w:r>
        <w:rPr>
          <w:rFonts w:hint="eastAsia" w:ascii="宋体" w:hAnsi="宋体" w:eastAsia="宋体" w:cs="Times New Roman"/>
          <w:bCs/>
          <w:color w:val="auto"/>
          <w:kern w:val="0"/>
          <w:szCs w:val="21"/>
          <w:highlight w:val="none"/>
        </w:rPr>
        <w:t>；</w:t>
      </w:r>
    </w:p>
    <w:p w14:paraId="2F27F051">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en-US" w:eastAsia="zh-CN"/>
        </w:rPr>
        <w:t>5</w:t>
      </w:r>
      <w:r>
        <w:rPr>
          <w:rFonts w:ascii="宋体" w:hAnsi="宋体" w:eastAsia="宋体" w:cs="Times New Roman"/>
          <w:color w:val="auto"/>
          <w:szCs w:val="21"/>
          <w:highlight w:val="none"/>
          <w:lang w:val="zh-CN"/>
        </w:rPr>
        <w:t>.3 响应文件</w:t>
      </w:r>
      <w:r>
        <w:rPr>
          <w:rFonts w:hint="eastAsia" w:ascii="宋体" w:hAnsi="宋体" w:eastAsia="宋体" w:cs="Times New Roman"/>
          <w:color w:val="auto"/>
          <w:szCs w:val="21"/>
          <w:highlight w:val="none"/>
          <w:lang w:val="en-US" w:eastAsia="zh-CN"/>
        </w:rPr>
        <w:t>递交及</w:t>
      </w:r>
      <w:r>
        <w:rPr>
          <w:rFonts w:ascii="宋体" w:hAnsi="宋体" w:eastAsia="宋体" w:cs="Times New Roman"/>
          <w:color w:val="auto"/>
          <w:szCs w:val="21"/>
          <w:highlight w:val="none"/>
          <w:lang w:val="zh-CN"/>
        </w:rPr>
        <w:t>开启地点：</w:t>
      </w:r>
      <w:r>
        <w:rPr>
          <w:rFonts w:hint="eastAsia" w:ascii="宋体" w:hAnsi="宋体" w:eastAsia="宋体" w:cs="Times New Roman"/>
          <w:color w:val="auto"/>
          <w:kern w:val="0"/>
          <w:szCs w:val="21"/>
          <w:highlight w:val="none"/>
          <w:u w:val="single"/>
          <w:lang w:eastAsia="zh-CN"/>
        </w:rPr>
        <w:t>东莞市南城街道鸿福西路81号国际商会大厦601室</w:t>
      </w:r>
      <w:r>
        <w:rPr>
          <w:rFonts w:hint="eastAsia" w:ascii="宋体" w:hAnsi="宋体" w:eastAsia="宋体" w:cs="Times New Roman"/>
          <w:color w:val="auto"/>
          <w:kern w:val="0"/>
          <w:szCs w:val="21"/>
          <w:highlight w:val="none"/>
        </w:rPr>
        <w:t>。</w:t>
      </w:r>
    </w:p>
    <w:p w14:paraId="2681CE59">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7047F772">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采购代理机构只接受在递交响应文件截止日当天由响应供应商法定代表人或其授权代表于递交响应文件截止时间前亲自递交的响应文件</w:t>
      </w:r>
      <w:r>
        <w:rPr>
          <w:rFonts w:hint="eastAsia" w:ascii="宋体" w:hAnsi="宋体" w:eastAsia="宋体" w:cs="Times New Roman"/>
          <w:color w:val="auto"/>
          <w:szCs w:val="21"/>
          <w:highlight w:val="none"/>
          <w:lang w:val="zh-CN"/>
        </w:rPr>
        <w:t>。电报、传真形式的</w:t>
      </w:r>
      <w:r>
        <w:rPr>
          <w:rFonts w:hint="eastAsia" w:ascii="宋体" w:hAnsi="宋体" w:eastAsia="宋体" w:cs="Times New Roman"/>
          <w:color w:val="auto"/>
          <w:szCs w:val="21"/>
          <w:highlight w:val="none"/>
          <w:lang w:val="en-US" w:eastAsia="zh-CN"/>
        </w:rPr>
        <w:t>响应文件</w:t>
      </w:r>
      <w:r>
        <w:rPr>
          <w:rFonts w:hint="eastAsia" w:ascii="宋体" w:hAnsi="宋体" w:eastAsia="宋体" w:cs="Times New Roman"/>
          <w:color w:val="auto"/>
          <w:szCs w:val="21"/>
          <w:highlight w:val="none"/>
          <w:lang w:val="zh-CN"/>
        </w:rPr>
        <w:t>概不接受。</w:t>
      </w:r>
      <w:bookmarkStart w:id="549" w:name="_GoBack"/>
      <w:bookmarkEnd w:id="549"/>
    </w:p>
    <w:p w14:paraId="4A894574">
      <w:pPr>
        <w:numPr>
          <w:ilvl w:val="0"/>
          <w:numId w:val="0"/>
        </w:numPr>
        <w:autoSpaceDE w:val="0"/>
        <w:autoSpaceDN w:val="0"/>
        <w:adjustRightInd w:val="0"/>
        <w:snapToGrid w:val="0"/>
        <w:spacing w:line="360" w:lineRule="auto"/>
        <w:ind w:leftChars="0" w:right="-34" w:rightChars="0"/>
        <w:jc w:val="left"/>
        <w:rPr>
          <w:rFonts w:ascii="宋体" w:hAnsi="宋体" w:eastAsia="宋体" w:cs="Times New Roman"/>
          <w:color w:val="auto"/>
          <w:szCs w:val="21"/>
          <w:highlight w:val="none"/>
          <w:lang w:val="zh-CN"/>
        </w:rPr>
      </w:pPr>
    </w:p>
    <w:p w14:paraId="76497E5A">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w:t>
      </w:r>
      <w:r>
        <w:rPr>
          <w:rFonts w:hint="eastAsia" w:ascii="宋体" w:hAnsi="宋体" w:eastAsia="宋体" w:cs="Times New Roman"/>
          <w:bCs/>
          <w:color w:val="auto"/>
          <w:szCs w:val="21"/>
          <w:highlight w:val="none"/>
          <w:lang w:eastAsia="zh-CN"/>
        </w:rPr>
        <w:t>东莞市水务环境投资控股集团有限公司</w:t>
      </w:r>
      <w:r>
        <w:rPr>
          <w:rFonts w:hint="eastAsia" w:ascii="宋体" w:hAnsi="宋体" w:eastAsia="宋体" w:cs="Times New Roman"/>
          <w:bCs/>
          <w:color w:val="auto"/>
          <w:szCs w:val="21"/>
          <w:highlight w:val="none"/>
        </w:rPr>
        <w:t>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Times New Roman"/>
          <w:bCs/>
          <w:color w:val="auto"/>
          <w:szCs w:val="21"/>
          <w:highlight w:val="none"/>
          <w:u w:val="none"/>
        </w:rPr>
        <w:t>www.sfcx.cn</w:t>
      </w:r>
      <w:r>
        <w:rPr>
          <w:rFonts w:ascii="宋体" w:hAnsi="宋体" w:eastAsia="宋体" w:cs="Times New Roman"/>
          <w:bCs/>
          <w:color w:val="auto"/>
          <w:szCs w:val="21"/>
          <w:highlight w:val="none"/>
        </w:rPr>
        <w:t>）</w:t>
      </w:r>
    </w:p>
    <w:p w14:paraId="4309EF89">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6F8499BD">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采购人联系方式</w:t>
      </w:r>
    </w:p>
    <w:p w14:paraId="4D113FA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采购人：</w:t>
      </w:r>
      <w:r>
        <w:rPr>
          <w:rFonts w:hint="eastAsia" w:ascii="宋体" w:hAnsi="宋体" w:eastAsia="宋体" w:cs="Times New Roman"/>
          <w:color w:val="auto"/>
          <w:kern w:val="0"/>
          <w:szCs w:val="21"/>
          <w:highlight w:val="none"/>
          <w:lang w:eastAsia="zh-CN"/>
        </w:rPr>
        <w:t>东莞市水务集团供水有限公司</w:t>
      </w:r>
    </w:p>
    <w:p w14:paraId="5324309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东莞市莞城区莞龙路141号</w:t>
      </w:r>
    </w:p>
    <w:p w14:paraId="3CE53C8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谢沛东</w:t>
      </w:r>
    </w:p>
    <w:p w14:paraId="4AAF6AB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宋体"/>
          <w:color w:val="auto"/>
          <w:kern w:val="0"/>
          <w:szCs w:val="21"/>
          <w:highlight w:val="none"/>
        </w:rPr>
        <w:t>0769-22689080</w:t>
      </w:r>
    </w:p>
    <w:p w14:paraId="4E8DB2CF">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56749E87">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采购代理机构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143EBC3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7" w:name="_Toc486167661"/>
      <w:bookmarkStart w:id="8" w:name="_Toc450662847"/>
      <w:bookmarkStart w:id="9" w:name="_Toc31764_WPSOffice_Level1"/>
      <w:r>
        <w:rPr>
          <w:rFonts w:ascii="宋体" w:hAnsi="宋体" w:eastAsia="宋体" w:cs="Times New Roman"/>
          <w:color w:val="auto"/>
          <w:kern w:val="0"/>
          <w:szCs w:val="21"/>
          <w:highlight w:val="none"/>
        </w:rPr>
        <w:t>采购代理机构：</w:t>
      </w:r>
      <w:r>
        <w:rPr>
          <w:rFonts w:hint="eastAsia" w:ascii="宋体" w:hAnsi="宋体" w:eastAsia="宋体" w:cs="Times New Roman"/>
          <w:color w:val="auto"/>
          <w:kern w:val="0"/>
          <w:szCs w:val="21"/>
          <w:highlight w:val="none"/>
          <w:lang w:eastAsia="zh-CN"/>
        </w:rPr>
        <w:t>三方诚信招标有限公司</w:t>
      </w:r>
    </w:p>
    <w:p w14:paraId="13B3E6E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sz w:val="21"/>
          <w:szCs w:val="32"/>
          <w:highlight w:val="none"/>
        </w:rPr>
        <w:t>东莞市南城街道鸿福西路81号国际商会大厦706室</w:t>
      </w:r>
    </w:p>
    <w:p w14:paraId="4ED6C2F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eastAsia="zh-CN"/>
        </w:rPr>
        <w:t>王佳涛</w:t>
      </w:r>
    </w:p>
    <w:p w14:paraId="7B8A98D3">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val="en-US" w:eastAsia="zh-CN"/>
        </w:rPr>
      </w:pPr>
      <w:bookmarkStart w:id="10" w:name="_Toc160099431"/>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0769-21682660</w:t>
      </w:r>
    </w:p>
    <w:p w14:paraId="51BF3E34">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1" w:name="_Toc20493"/>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谈判须知</w:t>
      </w:r>
      <w:bookmarkEnd w:id="7"/>
      <w:bookmarkEnd w:id="8"/>
      <w:bookmarkEnd w:id="9"/>
      <w:bookmarkEnd w:id="10"/>
      <w:bookmarkEnd w:id="11"/>
    </w:p>
    <w:p w14:paraId="6F179E72">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2" w:name="_Toc160099432"/>
      <w:bookmarkStart w:id="13" w:name="_Toc450662848"/>
      <w:bookmarkStart w:id="14" w:name="_Toc140596871"/>
      <w:bookmarkStart w:id="15" w:name="_Toc4326"/>
      <w:bookmarkStart w:id="16" w:name="_Toc486167662"/>
      <w:bookmarkStart w:id="17" w:name="_Toc15366_WPSOffice_Level2"/>
      <w:r>
        <w:rPr>
          <w:rFonts w:hint="eastAsia" w:ascii="宋体" w:hAnsi="宋体" w:eastAsia="宋体" w:cs="宋体"/>
          <w:b/>
          <w:bCs/>
          <w:color w:val="auto"/>
          <w:kern w:val="44"/>
          <w:szCs w:val="21"/>
          <w:highlight w:val="none"/>
          <w:lang w:val="zh-CN"/>
        </w:rPr>
        <w:t>一、总则</w:t>
      </w:r>
      <w:bookmarkEnd w:id="12"/>
      <w:bookmarkEnd w:id="13"/>
      <w:bookmarkEnd w:id="14"/>
      <w:bookmarkEnd w:id="15"/>
      <w:bookmarkEnd w:id="16"/>
      <w:bookmarkEnd w:id="17"/>
    </w:p>
    <w:p w14:paraId="613B973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 w:name="_Toc486167663"/>
      <w:bookmarkStart w:id="19" w:name="_Toc32435"/>
      <w:bookmarkStart w:id="20" w:name="_Toc450662849"/>
      <w:bookmarkStart w:id="21" w:name="_Toc21710_WPSOffice_Level3"/>
      <w:bookmarkStart w:id="22" w:name="_Toc16009943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18"/>
      <w:bookmarkEnd w:id="19"/>
      <w:bookmarkEnd w:id="20"/>
      <w:bookmarkEnd w:id="21"/>
      <w:bookmarkEnd w:id="22"/>
    </w:p>
    <w:p w14:paraId="3AB8F184">
      <w:pPr>
        <w:autoSpaceDE w:val="0"/>
        <w:autoSpaceDN w:val="0"/>
        <w:adjustRightInd w:val="0"/>
        <w:jc w:val="left"/>
        <w:rPr>
          <w:rFonts w:ascii="宋体" w:hAnsi="宋体" w:eastAsia="宋体" w:cs="宋体"/>
          <w:color w:val="auto"/>
          <w:kern w:val="0"/>
          <w:sz w:val="24"/>
          <w:szCs w:val="24"/>
          <w:highlight w:val="none"/>
        </w:rPr>
      </w:pPr>
    </w:p>
    <w:p w14:paraId="21FE766E">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3" w:name="_Toc450662850"/>
      <w:bookmarkStart w:id="24" w:name="_Toc80_WPSOffice_Level3"/>
      <w:bookmarkStart w:id="25" w:name="_Toc14453"/>
      <w:bookmarkStart w:id="26" w:name="_Toc160099434"/>
      <w:bookmarkStart w:id="27" w:name="_Toc486167664"/>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合格的响应供应商</w:t>
      </w:r>
      <w:bookmarkEnd w:id="23"/>
      <w:bookmarkEnd w:id="24"/>
      <w:bookmarkEnd w:id="25"/>
      <w:bookmarkEnd w:id="26"/>
      <w:bookmarkEnd w:id="27"/>
    </w:p>
    <w:p w14:paraId="026BD426">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合格的响应供应商条件见第一篇《竞争性谈判公告》中第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条的“合格响应供应商资格要求”及本条以下2.2款至</w:t>
      </w:r>
      <w:r>
        <w:rPr>
          <w:rFonts w:hint="eastAsia" w:ascii="宋体" w:hAnsi="宋体" w:eastAsia="宋体" w:cs="宋体"/>
          <w:b/>
          <w:color w:val="auto"/>
          <w:szCs w:val="21"/>
          <w:highlight w:val="none"/>
          <w:lang w:val="en-US" w:eastAsia="zh-CN"/>
        </w:rPr>
        <w:t>2.4</w:t>
      </w:r>
      <w:r>
        <w:rPr>
          <w:rFonts w:hint="eastAsia" w:ascii="宋体" w:hAnsi="宋体" w:eastAsia="宋体" w:cs="宋体"/>
          <w:b/>
          <w:color w:val="auto"/>
          <w:szCs w:val="21"/>
          <w:highlight w:val="none"/>
          <w:lang w:val="zh-CN"/>
        </w:rPr>
        <w:t>款的通用要求。</w:t>
      </w:r>
    </w:p>
    <w:p w14:paraId="78596A0B">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lang w:eastAsia="zh-CN"/>
        </w:rPr>
        <w:t>供应商</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w:t>
      </w:r>
      <w:r>
        <w:rPr>
          <w:rFonts w:hint="eastAsia" w:ascii="宋体" w:hAnsi="宋体" w:eastAsia="宋体" w:cs="Times New Roman"/>
          <w:b/>
          <w:color w:val="auto"/>
          <w:kern w:val="0"/>
          <w:szCs w:val="21"/>
          <w:highlight w:val="none"/>
          <w:lang w:eastAsia="zh-CN"/>
        </w:rPr>
        <w:t>采购人</w:t>
      </w:r>
      <w:r>
        <w:rPr>
          <w:rFonts w:hint="eastAsia" w:ascii="宋体" w:hAnsi="宋体" w:eastAsia="宋体" w:cs="Times New Roman"/>
          <w:b/>
          <w:color w:val="auto"/>
          <w:kern w:val="0"/>
          <w:szCs w:val="21"/>
          <w:highlight w:val="none"/>
        </w:rPr>
        <w:t>串通投标，以向</w:t>
      </w:r>
      <w:r>
        <w:rPr>
          <w:rFonts w:hint="eastAsia" w:ascii="宋体" w:hAnsi="宋体" w:eastAsia="宋体" w:cs="Times New Roman"/>
          <w:b/>
          <w:color w:val="auto"/>
          <w:kern w:val="0"/>
          <w:szCs w:val="21"/>
          <w:highlight w:val="none"/>
          <w:lang w:eastAsia="zh-CN"/>
        </w:rPr>
        <w:t>采购人</w:t>
      </w:r>
      <w:r>
        <w:rPr>
          <w:rFonts w:hint="eastAsia" w:ascii="宋体" w:hAnsi="宋体" w:eastAsia="宋体" w:cs="Times New Roman"/>
          <w:b/>
          <w:color w:val="auto"/>
          <w:kern w:val="0"/>
          <w:szCs w:val="21"/>
          <w:highlight w:val="none"/>
        </w:rPr>
        <w:t>或者评标委员会成员行贿的手段谋取中标）、第五十四条（以他人名义投标或者以其他方式弄虚作假，骗取中标）、第六十条（</w:t>
      </w:r>
      <w:r>
        <w:rPr>
          <w:rFonts w:hint="eastAsia" w:ascii="宋体" w:hAnsi="宋体" w:eastAsia="宋体" w:cs="Times New Roman"/>
          <w:b/>
          <w:color w:val="auto"/>
          <w:kern w:val="0"/>
          <w:szCs w:val="21"/>
          <w:highlight w:val="none"/>
          <w:lang w:eastAsia="zh-CN"/>
        </w:rPr>
        <w:t>成交人</w:t>
      </w:r>
      <w:r>
        <w:rPr>
          <w:rFonts w:hint="eastAsia" w:ascii="宋体" w:hAnsi="宋体" w:eastAsia="宋体" w:cs="Times New Roman"/>
          <w:b/>
          <w:color w:val="auto"/>
          <w:kern w:val="0"/>
          <w:szCs w:val="21"/>
          <w:highlight w:val="none"/>
        </w:rPr>
        <w:t>不履行与</w:t>
      </w:r>
      <w:r>
        <w:rPr>
          <w:rFonts w:hint="eastAsia" w:ascii="宋体" w:hAnsi="宋体" w:eastAsia="宋体" w:cs="Times New Roman"/>
          <w:b/>
          <w:color w:val="auto"/>
          <w:kern w:val="0"/>
          <w:szCs w:val="21"/>
          <w:highlight w:val="none"/>
          <w:lang w:eastAsia="zh-CN"/>
        </w:rPr>
        <w:t>采购人</w:t>
      </w:r>
      <w:r>
        <w:rPr>
          <w:rFonts w:hint="eastAsia" w:ascii="宋体" w:hAnsi="宋体" w:eastAsia="宋体" w:cs="Times New Roman"/>
          <w:b/>
          <w:color w:val="auto"/>
          <w:kern w:val="0"/>
          <w:szCs w:val="21"/>
          <w:highlight w:val="none"/>
        </w:rPr>
        <w:t>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w:t>
      </w:r>
      <w:r>
        <w:rPr>
          <w:rFonts w:hint="eastAsia" w:ascii="宋体" w:hAnsi="宋体" w:eastAsia="宋体" w:cs="Times New Roman"/>
          <w:b/>
          <w:color w:val="auto"/>
          <w:kern w:val="0"/>
          <w:szCs w:val="21"/>
          <w:highlight w:val="none"/>
          <w:lang w:eastAsia="zh-CN"/>
        </w:rPr>
        <w:t>供应商</w:t>
      </w:r>
      <w:r>
        <w:rPr>
          <w:rFonts w:hint="eastAsia" w:ascii="宋体" w:hAnsi="宋体" w:eastAsia="宋体" w:cs="Times New Roman"/>
          <w:b/>
          <w:color w:val="auto"/>
          <w:kern w:val="0"/>
          <w:szCs w:val="21"/>
          <w:highlight w:val="none"/>
        </w:rPr>
        <w:t>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w:t>
      </w:r>
      <w:r>
        <w:rPr>
          <w:rFonts w:hint="eastAsia" w:ascii="宋体" w:hAnsi="宋体" w:eastAsia="宋体" w:cs="Times New Roman"/>
          <w:b/>
          <w:color w:val="auto"/>
          <w:kern w:val="0"/>
          <w:szCs w:val="21"/>
          <w:highlight w:val="none"/>
          <w:lang w:eastAsia="zh-CN"/>
        </w:rPr>
        <w:t>成交</w:t>
      </w:r>
      <w:r>
        <w:rPr>
          <w:rFonts w:hint="eastAsia" w:ascii="宋体" w:hAnsi="宋体" w:eastAsia="宋体" w:cs="Times New Roman"/>
          <w:b/>
          <w:color w:val="auto"/>
          <w:kern w:val="0"/>
          <w:szCs w:val="21"/>
          <w:highlight w:val="none"/>
        </w:rPr>
        <w:t>）资格，并按有关规定从重处理</w:t>
      </w:r>
      <w:r>
        <w:rPr>
          <w:rFonts w:hint="eastAsia" w:ascii="宋体" w:hAnsi="宋体" w:eastAsia="宋体" w:cs="宋体"/>
          <w:b/>
          <w:color w:val="auto"/>
          <w:kern w:val="0"/>
          <w:szCs w:val="21"/>
          <w:highlight w:val="none"/>
        </w:rPr>
        <w:t>。</w:t>
      </w:r>
    </w:p>
    <w:p w14:paraId="0649A5D2">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lang w:eastAsia="zh-CN"/>
        </w:rPr>
        <w:t>供应商</w:t>
      </w:r>
      <w:r>
        <w:rPr>
          <w:rFonts w:hint="eastAsia" w:ascii="宋体" w:hAnsi="宋体" w:eastAsia="宋体" w:cs="Times New Roman"/>
          <w:b/>
          <w:color w:val="auto"/>
          <w:kern w:val="0"/>
          <w:szCs w:val="21"/>
          <w:highlight w:val="none"/>
        </w:rPr>
        <w:t>（含其不具有独立法人资格的分支机构）未被列入“信用中国”网站（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0902A315">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w:t>
      </w:r>
      <w:r>
        <w:rPr>
          <w:rFonts w:hint="eastAsia" w:ascii="宋体" w:hAnsi="宋体" w:eastAsia="宋体" w:cs="Times New Roman"/>
          <w:b/>
          <w:color w:val="auto"/>
          <w:kern w:val="0"/>
          <w:szCs w:val="21"/>
          <w:highlight w:val="none"/>
          <w:lang w:eastAsia="zh-CN"/>
        </w:rPr>
        <w:t>采购人</w:t>
      </w:r>
      <w:r>
        <w:rPr>
          <w:rFonts w:hint="eastAsia" w:ascii="宋体" w:hAnsi="宋体" w:eastAsia="宋体" w:cs="Times New Roman"/>
          <w:b/>
          <w:color w:val="auto"/>
          <w:kern w:val="0"/>
          <w:szCs w:val="21"/>
          <w:highlight w:val="none"/>
        </w:rPr>
        <w:t>存在利害关系可能影响招标公正性的法人、其他组织或者个人，不得参加投标；</w:t>
      </w:r>
      <w:r>
        <w:rPr>
          <w:rFonts w:hint="eastAsia" w:ascii="宋体" w:hAnsi="宋体" w:eastAsia="宋体" w:cs="Times New Roman"/>
          <w:b/>
          <w:color w:val="auto"/>
          <w:kern w:val="0"/>
          <w:szCs w:val="21"/>
          <w:highlight w:val="none"/>
          <w:lang w:eastAsia="zh-CN"/>
        </w:rPr>
        <w:t>供应商</w:t>
      </w:r>
      <w:r>
        <w:rPr>
          <w:rFonts w:hint="eastAsia" w:ascii="宋体" w:hAnsi="宋体" w:eastAsia="宋体" w:cs="Times New Roman"/>
          <w:b/>
          <w:color w:val="auto"/>
          <w:kern w:val="0"/>
          <w:szCs w:val="21"/>
          <w:highlight w:val="none"/>
        </w:rPr>
        <w:t>负责人为同一人或者存在控股、管理关系的不同</w:t>
      </w:r>
      <w:r>
        <w:rPr>
          <w:rFonts w:hint="eastAsia" w:ascii="宋体" w:hAnsi="宋体" w:eastAsia="宋体" w:cs="Times New Roman"/>
          <w:b/>
          <w:color w:val="auto"/>
          <w:kern w:val="0"/>
          <w:szCs w:val="21"/>
          <w:highlight w:val="none"/>
          <w:lang w:eastAsia="zh-CN"/>
        </w:rPr>
        <w:t>供应商</w:t>
      </w:r>
      <w:r>
        <w:rPr>
          <w:rFonts w:hint="eastAsia" w:ascii="宋体" w:hAnsi="宋体" w:eastAsia="宋体" w:cs="Times New Roman"/>
          <w:b/>
          <w:color w:val="auto"/>
          <w:kern w:val="0"/>
          <w:szCs w:val="21"/>
          <w:highlight w:val="none"/>
        </w:rPr>
        <w:t>，不得参加同一项目投标。上述情况一经发现，相关投标均无效</w:t>
      </w:r>
      <w:r>
        <w:rPr>
          <w:rFonts w:hint="eastAsia" w:ascii="宋体" w:hAnsi="宋体" w:eastAsia="宋体" w:cs="宋体"/>
          <w:b/>
          <w:color w:val="auto"/>
          <w:szCs w:val="21"/>
          <w:highlight w:val="none"/>
          <w:lang w:val="zh-CN"/>
        </w:rPr>
        <w:t>。</w:t>
      </w:r>
    </w:p>
    <w:p w14:paraId="0AF997B9">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59E62AC0">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8" w:name="_Toc1311"/>
      <w:bookmarkStart w:id="29" w:name="_Toc23847_WPSOffice_Level3"/>
      <w:bookmarkStart w:id="30" w:name="_Toc160099435"/>
      <w:bookmarkStart w:id="31" w:name="_Toc450662851"/>
      <w:bookmarkStart w:id="32"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合格的服务</w:t>
      </w:r>
      <w:bookmarkEnd w:id="28"/>
      <w:bookmarkEnd w:id="29"/>
      <w:bookmarkEnd w:id="30"/>
    </w:p>
    <w:p w14:paraId="77A76864">
      <w:pPr>
        <w:autoSpaceDE w:val="0"/>
        <w:autoSpaceDN w:val="0"/>
        <w:adjustRightInd w:val="0"/>
        <w:spacing w:line="360" w:lineRule="auto"/>
        <w:ind w:left="315" w:leftChars="-100" w:hanging="525" w:hangingChars="250"/>
        <w:rPr>
          <w:rFonts w:hint="eastAsia"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3</w:t>
      </w:r>
      <w:bookmarkStart w:id="33" w:name="_Toc533708068"/>
      <w:bookmarkStart w:id="34" w:name="_Toc1977668"/>
      <w:r>
        <w:rPr>
          <w:rFonts w:hint="eastAsia" w:ascii="宋体" w:hAnsi="宋体" w:eastAsia="宋体" w:cs="Times New Roman"/>
          <w:color w:val="auto"/>
          <w:szCs w:val="21"/>
          <w:highlight w:val="none"/>
          <w:lang w:val="zh-CN"/>
        </w:rPr>
        <w:t>.1 “服务”是指供应商按竞争性文件规定完成的全部服务内容，其中包括完成服务所需的货物和工程，及须承担的技术支持、培训和其它伴随服务。</w:t>
      </w:r>
    </w:p>
    <w:p w14:paraId="39270941">
      <w:pPr>
        <w:autoSpaceDE w:val="0"/>
        <w:autoSpaceDN w:val="0"/>
        <w:adjustRightInd w:val="0"/>
        <w:spacing w:line="360" w:lineRule="auto"/>
        <w:ind w:left="315" w:leftChars="-100" w:hanging="525" w:hangingChars="25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3.2 供应商必须保证提供的所有服务或服务的任何部分均为最新正式版本。</w:t>
      </w:r>
    </w:p>
    <w:p w14:paraId="56BCB0FA">
      <w:pPr>
        <w:autoSpaceDE w:val="0"/>
        <w:autoSpaceDN w:val="0"/>
        <w:adjustRightInd w:val="0"/>
        <w:spacing w:line="360" w:lineRule="auto"/>
        <w:ind w:left="315" w:leftChars="-100" w:hanging="525" w:hangingChars="25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3.3 供应商应保证采购人在中华人民共和国使用服务或服务的任何一部分时，采购人免受第三方提出侵犯其专利权、商标权或其它知识产权的起诉。如果供应商不拥有相应的知识产权，则须在报价中包括合法获取该知识产权的相关费用，并在响应文件中附有相关证明文件。如有违反，造成采购人任何经济损失或其他损失的，由供应商承担全部赔偿责任。</w:t>
      </w:r>
    </w:p>
    <w:p w14:paraId="12F8A5A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Times New Roman"/>
          <w:color w:val="auto"/>
          <w:szCs w:val="21"/>
          <w:highlight w:val="none"/>
          <w:lang w:val="zh-CN"/>
        </w:rPr>
        <w:t>3.4 无论供应商是否在响应报价表中明示，均视为响应报价已包含所有应支付的对专利权、商标权和版权、设计或其他知识产权而需要向其他方支付的版税和使用费等相关费用。如供应商未依法向第三方支付应缴版税和使用费等相关费用的，造成采购人任何经济损失的，由供应商承担全部赔偿责任</w:t>
      </w:r>
      <w:r>
        <w:rPr>
          <w:rFonts w:hint="eastAsia" w:ascii="宋体" w:hAnsi="宋体" w:eastAsia="宋体" w:cs="宋体"/>
          <w:color w:val="auto"/>
          <w:szCs w:val="21"/>
          <w:highlight w:val="none"/>
          <w:lang w:val="zh-CN"/>
        </w:rPr>
        <w:t>。</w:t>
      </w:r>
      <w:bookmarkEnd w:id="33"/>
      <w:bookmarkEnd w:id="34"/>
    </w:p>
    <w:p w14:paraId="3219B108">
      <w:pPr>
        <w:autoSpaceDE w:val="0"/>
        <w:autoSpaceDN w:val="0"/>
        <w:adjustRightInd w:val="0"/>
        <w:spacing w:line="360" w:lineRule="auto"/>
        <w:jc w:val="left"/>
        <w:rPr>
          <w:rFonts w:ascii="宋体" w:hAnsi="宋体" w:eastAsia="宋体" w:cs="宋体"/>
          <w:color w:val="auto"/>
          <w:szCs w:val="21"/>
          <w:highlight w:val="none"/>
          <w:lang w:val="zh-CN"/>
        </w:rPr>
      </w:pPr>
    </w:p>
    <w:p w14:paraId="026B6200">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 w:name="_Toc26365"/>
      <w:bookmarkStart w:id="36" w:name="_Toc160099436"/>
      <w:bookmarkStart w:id="37" w:name="_Toc9658_WPSOffice_Level3"/>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35"/>
      <w:bookmarkEnd w:id="36"/>
      <w:bookmarkEnd w:id="37"/>
    </w:p>
    <w:p w14:paraId="1C823F4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38" w:name="_Toc533708070"/>
      <w:bookmarkStart w:id="39" w:name="_Toc1977670"/>
      <w:r>
        <w:rPr>
          <w:rFonts w:hint="eastAsia" w:ascii="宋体" w:hAnsi="宋体" w:eastAsia="宋体" w:cs="宋体"/>
          <w:color w:val="auto"/>
          <w:szCs w:val="21"/>
          <w:highlight w:val="none"/>
          <w:lang w:val="zh-CN"/>
        </w:rPr>
        <w:t xml:space="preserve">4.1  </w:t>
      </w:r>
      <w:bookmarkEnd w:id="38"/>
      <w:bookmarkEnd w:id="39"/>
      <w:r>
        <w:rPr>
          <w:rFonts w:hint="eastAsia" w:ascii="宋体" w:hAnsi="宋体" w:eastAsia="宋体" w:cs="宋体"/>
          <w:color w:val="auto"/>
          <w:szCs w:val="21"/>
          <w:highlight w:val="none"/>
          <w:lang w:val="zh-CN"/>
        </w:rPr>
        <w:t>谈判过程费用</w:t>
      </w:r>
    </w:p>
    <w:p w14:paraId="61F020AA">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40" w:name="_Toc533708072"/>
      <w:bookmarkStart w:id="41" w:name="_Toc1977672"/>
      <w:r>
        <w:rPr>
          <w:rFonts w:hint="eastAsia" w:ascii="宋体" w:hAnsi="宋体" w:eastAsia="宋体" w:cs="Times New Roman"/>
          <w:color w:val="auto"/>
          <w:szCs w:val="21"/>
          <w:highlight w:val="none"/>
          <w:lang w:val="zh-CN"/>
        </w:rPr>
        <w:t>无论采购过程中的做法和结果如何，响应供应商须承担所有与编写和递交响应文件有关的费用，采购人和采购代理机构在任何情况下不负担这些费用</w:t>
      </w:r>
      <w:r>
        <w:rPr>
          <w:rFonts w:hint="eastAsia" w:ascii="宋体" w:hAnsi="宋体" w:eastAsia="宋体" w:cs="宋体"/>
          <w:color w:val="auto"/>
          <w:szCs w:val="21"/>
          <w:highlight w:val="none"/>
          <w:lang w:val="zh-CN"/>
        </w:rPr>
        <w:t>。</w:t>
      </w:r>
      <w:bookmarkEnd w:id="40"/>
      <w:bookmarkEnd w:id="41"/>
    </w:p>
    <w:p w14:paraId="19C2ECA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2" w:name="_Toc533708073"/>
      <w:bookmarkStart w:id="43" w:name="_Toc1977673"/>
      <w:r>
        <w:rPr>
          <w:rFonts w:hint="eastAsia" w:ascii="宋体" w:hAnsi="宋体" w:eastAsia="宋体" w:cs="宋体"/>
          <w:color w:val="auto"/>
          <w:szCs w:val="21"/>
          <w:highlight w:val="none"/>
          <w:lang w:val="zh-CN"/>
        </w:rPr>
        <w:t>4.2  踏勘现场</w:t>
      </w:r>
      <w:bookmarkEnd w:id="42"/>
      <w:bookmarkEnd w:id="43"/>
    </w:p>
    <w:p w14:paraId="71974CBC">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44" w:name="_Toc533708076"/>
      <w:bookmarkStart w:id="45" w:name="_Toc1977676"/>
      <w:r>
        <w:rPr>
          <w:rFonts w:hint="eastAsia" w:ascii="宋体" w:hAnsi="宋体" w:eastAsia="宋体" w:cs="Times New Roman"/>
          <w:color w:val="auto"/>
          <w:kern w:val="0"/>
          <w:szCs w:val="21"/>
          <w:highlight w:val="none"/>
        </w:rPr>
        <w:t>（1）本项目不组织集中踏勘现场和答疑，响应供应商应自行到实地踏勘考察。</w:t>
      </w:r>
    </w:p>
    <w:p w14:paraId="6D1C9BCF">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（2）潜在响应供应商应承担踏勘现场自身所发生的费用。</w:t>
      </w:r>
    </w:p>
    <w:p w14:paraId="33CEC792">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（3）采购人和采购代理机构在踏勘现场中介绍的有关现场和相关的周边环境情况，供响应供应商在编制响应文件时参考，采购人不对响应供应商据此作出的判断和决策负责。</w:t>
      </w:r>
    </w:p>
    <w:p w14:paraId="6EC3E6DC">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（4）潜在响应供应商可为踏勘需要而进入采购人的项目现场，但潜在响应供应商不得因此使采购人承担有关的责任和蒙受损失。潜在响应供应商应承担踏勘现场的责任和风险。</w:t>
      </w:r>
    </w:p>
    <w:p w14:paraId="777C3C4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1"/>
      <w:bookmarkEnd w:id="32"/>
      <w:bookmarkEnd w:id="44"/>
      <w:bookmarkEnd w:id="45"/>
    </w:p>
    <w:p w14:paraId="5268F399">
      <w:pPr>
        <w:autoSpaceDE w:val="0"/>
        <w:autoSpaceDN w:val="0"/>
        <w:adjustRightInd w:val="0"/>
        <w:spacing w:line="360" w:lineRule="auto"/>
        <w:ind w:left="525" w:hanging="525" w:hangingChars="250"/>
        <w:jc w:val="both"/>
        <w:rPr>
          <w:rFonts w:ascii="宋体" w:hAnsi="宋体" w:eastAsia="宋体" w:cs="宋体"/>
          <w:color w:val="auto"/>
          <w:kern w:val="0"/>
          <w:sz w:val="21"/>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宋体"/>
          <w:color w:val="auto"/>
          <w:kern w:val="0"/>
          <w:sz w:val="21"/>
          <w:szCs w:val="21"/>
          <w:highlight w:val="none"/>
        </w:rPr>
        <w:t>1）获得本竞争性谈判文件的供应商，不得用作本次谈判以外的任何用途。</w:t>
      </w:r>
    </w:p>
    <w:p w14:paraId="1718ACB6">
      <w:pPr>
        <w:autoSpaceDE w:val="0"/>
        <w:autoSpaceDN w:val="0"/>
        <w:adjustRightInd w:val="0"/>
        <w:spacing w:line="360" w:lineRule="auto"/>
        <w:ind w:left="525" w:hanging="525" w:hangingChars="25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（2）凡参与采购、谈判工作的有关人员均应自觉接受有关主管部门的监督，不得向他人透露可能影响公平竞争的情况。</w:t>
      </w:r>
    </w:p>
    <w:p w14:paraId="0447D264">
      <w:pPr>
        <w:autoSpaceDE w:val="0"/>
        <w:autoSpaceDN w:val="0"/>
        <w:adjustRightInd w:val="0"/>
        <w:spacing w:line="360" w:lineRule="auto"/>
        <w:ind w:left="525" w:hanging="525" w:hangingChars="25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（3）开启响应文件后，直至向成交人授予合同期间，凡与审查、澄清、谈判、评价和比较报价的有关资料以及成交意见等，参与谈判工作的有关人员均不得向供应商及与谈判无关的其他人透露。</w:t>
      </w:r>
    </w:p>
    <w:p w14:paraId="3F328C03">
      <w:pPr>
        <w:autoSpaceDE w:val="0"/>
        <w:autoSpaceDN w:val="0"/>
        <w:adjustRightInd w:val="0"/>
        <w:spacing w:line="360" w:lineRule="auto"/>
        <w:ind w:left="525" w:hanging="525" w:hangingChars="25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（4）除供应商被要求对响应文件进行澄清外，从递交响应文件截止之时起至授予合同期间，供应商不得就与其响应文件有关的事项主动与谈判小组、采购</w:t>
      </w:r>
      <w:r>
        <w:rPr>
          <w:rFonts w:hint="eastAsia" w:ascii="宋体" w:hAnsi="宋体" w:eastAsia="宋体" w:cs="宋体"/>
          <w:color w:val="auto"/>
          <w:kern w:val="0"/>
          <w:sz w:val="21"/>
          <w:szCs w:val="21"/>
          <w:highlight w:val="none"/>
          <w:lang w:val="zh-CN"/>
        </w:rPr>
        <w:t>代理机构以</w:t>
      </w:r>
      <w:r>
        <w:rPr>
          <w:rFonts w:hint="eastAsia" w:ascii="宋体" w:hAnsi="宋体" w:eastAsia="宋体" w:cs="宋体"/>
          <w:color w:val="auto"/>
          <w:kern w:val="0"/>
          <w:sz w:val="21"/>
          <w:szCs w:val="21"/>
          <w:highlight w:val="none"/>
        </w:rPr>
        <w:t>及采购人联系。</w:t>
      </w:r>
    </w:p>
    <w:p w14:paraId="795F3C78">
      <w:pPr>
        <w:autoSpaceDE w:val="0"/>
        <w:autoSpaceDN w:val="0"/>
        <w:adjustRightInd w:val="0"/>
        <w:spacing w:line="360" w:lineRule="auto"/>
        <w:ind w:left="525" w:hanging="525" w:hangingChars="250"/>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（5）从谈判之日起至授予合同期间，在响应文件的审查、澄清、比较和评价阶段，供应商试图对谈判小组和采购人施加任何影响或对采购人的比较及授予合同的决定产生影响，都可能导致其响应文件被拒绝。</w:t>
      </w:r>
    </w:p>
    <w:p w14:paraId="5E8A3BD1">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宋体"/>
          <w:color w:val="auto"/>
          <w:kern w:val="0"/>
          <w:sz w:val="21"/>
          <w:szCs w:val="21"/>
          <w:highlight w:val="none"/>
        </w:rPr>
        <w:t>（6）供应商不得串通作弊，以不正当的手段妨碍、排挤其他供应商，扰乱采购市场，破坏公平竞争原则</w:t>
      </w:r>
      <w:r>
        <w:rPr>
          <w:rFonts w:hint="eastAsia" w:ascii="宋体" w:hAnsi="宋体" w:eastAsia="宋体" w:cs="Times New Roman"/>
          <w:color w:val="auto"/>
          <w:kern w:val="0"/>
          <w:szCs w:val="21"/>
          <w:highlight w:val="none"/>
        </w:rPr>
        <w:t>。</w:t>
      </w:r>
    </w:p>
    <w:p w14:paraId="55282AEE">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40308637">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46" w:name="_Toc486167667"/>
      <w:bookmarkStart w:id="47" w:name="_Toc2244"/>
      <w:bookmarkStart w:id="48" w:name="_Toc450662853"/>
      <w:bookmarkStart w:id="49" w:name="_Toc140596876"/>
      <w:bookmarkStart w:id="50" w:name="_Toc30507_WPSOffice_Level2"/>
      <w:bookmarkStart w:id="51" w:name="_Toc160099437"/>
      <w:r>
        <w:rPr>
          <w:rFonts w:hint="eastAsia" w:ascii="宋体" w:hAnsi="宋体" w:eastAsia="宋体" w:cs="宋体"/>
          <w:b/>
          <w:bCs/>
          <w:color w:val="auto"/>
          <w:kern w:val="44"/>
          <w:szCs w:val="21"/>
          <w:highlight w:val="none"/>
          <w:lang w:val="zh-CN"/>
        </w:rPr>
        <w:t>二、谈判文件</w:t>
      </w:r>
      <w:bookmarkEnd w:id="46"/>
      <w:bookmarkEnd w:id="47"/>
      <w:bookmarkEnd w:id="48"/>
      <w:bookmarkEnd w:id="49"/>
      <w:bookmarkEnd w:id="50"/>
      <w:bookmarkEnd w:id="51"/>
    </w:p>
    <w:p w14:paraId="7452B03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2" w:name="_Toc486167668"/>
      <w:bookmarkStart w:id="53" w:name="_Toc12417"/>
      <w:bookmarkStart w:id="54" w:name="_Toc160099438"/>
      <w:bookmarkStart w:id="55" w:name="_Toc26635_WPSOffice_Level3"/>
      <w:bookmarkStart w:id="56" w:name="_Toc450662854"/>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竞争性谈判文件的构成</w:t>
      </w:r>
      <w:bookmarkEnd w:id="52"/>
      <w:bookmarkEnd w:id="53"/>
      <w:bookmarkEnd w:id="54"/>
      <w:bookmarkEnd w:id="55"/>
      <w:bookmarkEnd w:id="56"/>
    </w:p>
    <w:p w14:paraId="5977246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竞争性谈判文件包括：</w:t>
      </w:r>
    </w:p>
    <w:p w14:paraId="4172B79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竞争性谈判公告</w:t>
      </w:r>
    </w:p>
    <w:p w14:paraId="53ABE04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谈判须知</w:t>
      </w:r>
    </w:p>
    <w:p w14:paraId="5614530E">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1C2F57F0">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合同条款格式</w:t>
      </w:r>
    </w:p>
    <w:p w14:paraId="002AB2B0">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37AFD9EB">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响应文件格式</w:t>
      </w:r>
    </w:p>
    <w:p w14:paraId="1989623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附件一：评审工作大纲</w:t>
      </w:r>
    </w:p>
    <w:p w14:paraId="6E45E2B0">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响应供应商</w:t>
      </w:r>
      <w:r>
        <w:rPr>
          <w:rFonts w:hint="eastAsia" w:ascii="宋体" w:hAnsi="宋体" w:eastAsia="宋体" w:cs="Times New Roman"/>
          <w:b/>
          <w:bCs/>
          <w:color w:val="auto"/>
          <w:szCs w:val="21"/>
          <w:highlight w:val="none"/>
          <w:u w:val="single"/>
          <w:lang w:val="zh-CN"/>
        </w:rPr>
        <w:t>应审阅谈判文件中所有须知、格式、条款和规格。响应供应商未按谈判文件要求提供全部资料或提交的响应文件未对谈判文件作出实质性响应（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标志的部分为响应供应商、拟供货物、服务必备的条件或重要指示），那么响应供应商的响应文件将有可能被拒绝接收或评审为无效响应文件</w:t>
      </w:r>
      <w:r>
        <w:rPr>
          <w:rFonts w:hint="eastAsia" w:ascii="宋体" w:hAnsi="宋体" w:eastAsia="宋体" w:cs="宋体"/>
          <w:b/>
          <w:bCs/>
          <w:color w:val="auto"/>
          <w:szCs w:val="21"/>
          <w:highlight w:val="none"/>
          <w:lang w:val="zh-CN"/>
        </w:rPr>
        <w:t>。</w:t>
      </w:r>
    </w:p>
    <w:p w14:paraId="21FAFB46">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本谈判文件使用的词语有如下定义：</w:t>
      </w:r>
    </w:p>
    <w:p w14:paraId="2F4D4F7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（1）“采购人”指</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14:paraId="3C2F254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）“采购代理机构”指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14:paraId="4FB8428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）“响应供应商”指参加</w:t>
      </w:r>
      <w:r>
        <w:rPr>
          <w:rFonts w:hint="eastAsia" w:ascii="宋体" w:hAnsi="宋体" w:eastAsia="宋体" w:cs="Times New Roman"/>
          <w:color w:val="auto"/>
          <w:kern w:val="0"/>
          <w:szCs w:val="21"/>
          <w:highlight w:val="none"/>
          <w:lang w:eastAsia="zh-CN"/>
        </w:rPr>
        <w:t>东莞市东宝路、东城东路中间绿化带苗木移栽项目</w:t>
      </w:r>
      <w:r>
        <w:rPr>
          <w:rFonts w:hint="eastAsia" w:ascii="宋体" w:hAnsi="宋体" w:eastAsia="宋体" w:cs="Times New Roman"/>
          <w:color w:val="auto"/>
          <w:kern w:val="0"/>
          <w:szCs w:val="21"/>
          <w:highlight w:val="none"/>
        </w:rPr>
        <w:t>所需的货物及有关服务的</w:t>
      </w:r>
      <w:r>
        <w:rPr>
          <w:rFonts w:hint="eastAsia" w:ascii="宋体" w:hAnsi="宋体" w:eastAsia="宋体" w:cs="Times New Roman"/>
          <w:color w:val="auto"/>
          <w:kern w:val="0"/>
          <w:szCs w:val="21"/>
          <w:highlight w:val="none"/>
          <w:lang w:eastAsia="zh-CN"/>
        </w:rPr>
        <w:t>响应</w:t>
      </w:r>
      <w:r>
        <w:rPr>
          <w:rFonts w:hint="eastAsia" w:ascii="宋体" w:hAnsi="宋体" w:eastAsia="宋体" w:cs="Times New Roman"/>
          <w:color w:val="auto"/>
          <w:kern w:val="0"/>
          <w:szCs w:val="21"/>
          <w:highlight w:val="none"/>
        </w:rPr>
        <w:t>，并向采购代理机构提交响应文件的当事人；</w:t>
      </w:r>
    </w:p>
    <w:p w14:paraId="62C80F6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）“谈判小组”是依照《中华人民共和国招标投标法》等法规组建的专门负责本次评审工作的临时性机构；</w:t>
      </w:r>
    </w:p>
    <w:p w14:paraId="5A97D48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）“成交人”指其</w:t>
      </w:r>
      <w:r>
        <w:rPr>
          <w:rFonts w:hint="eastAsia" w:ascii="宋体" w:hAnsi="宋体" w:eastAsia="宋体" w:cs="Times New Roman"/>
          <w:color w:val="auto"/>
          <w:kern w:val="0"/>
          <w:szCs w:val="21"/>
          <w:highlight w:val="none"/>
          <w:lang w:eastAsia="zh-CN"/>
        </w:rPr>
        <w:t>响应</w:t>
      </w:r>
      <w:r>
        <w:rPr>
          <w:rFonts w:hint="eastAsia" w:ascii="宋体" w:hAnsi="宋体" w:eastAsia="宋体" w:cs="Times New Roman"/>
          <w:color w:val="auto"/>
          <w:kern w:val="0"/>
          <w:szCs w:val="21"/>
          <w:highlight w:val="none"/>
        </w:rPr>
        <w:t>被采购人接受，并与采购人签订合同的当事人；</w:t>
      </w:r>
    </w:p>
    <w:p w14:paraId="45211AB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）“甲方”指在合同条款中指明的购买货物和服务的单位，即</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14:paraId="604FF73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）“乙方”指在合同条款中指明的本合同项下提供货物和服务的公司或实体；</w:t>
      </w:r>
    </w:p>
    <w:p w14:paraId="5F17B29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）“谈判文件”指由采购代理机构发出的本谈判文件，包括全部章节和附件；</w:t>
      </w:r>
    </w:p>
    <w:p w14:paraId="4E0A04A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）“响应文件”指响应供应商根据本谈判文件向采购代理机构提交的全部文件；</w:t>
      </w:r>
    </w:p>
    <w:p w14:paraId="3103478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6A5A38B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）“合同”指由本次采购所产生的合同或合约文件；</w:t>
      </w:r>
    </w:p>
    <w:p w14:paraId="23E08BB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4D68C58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）本谈判文件中的“境内”特指中华人民共和国海关关境以内，“境外”特指中华人民共和国海关关境以外；</w:t>
      </w:r>
    </w:p>
    <w:p w14:paraId="3BE6F36E">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55E731A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7" w:name="_Toc10368"/>
      <w:bookmarkStart w:id="58" w:name="_Toc29125_WPSOffice_Level3"/>
      <w:bookmarkStart w:id="59" w:name="_Toc486167669"/>
      <w:bookmarkStart w:id="60" w:name="_Toc450662855"/>
      <w:bookmarkStart w:id="61" w:name="_Toc16009943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竞争性谈判文件的异议</w:t>
      </w:r>
      <w:bookmarkEnd w:id="57"/>
      <w:bookmarkEnd w:id="58"/>
      <w:bookmarkEnd w:id="59"/>
      <w:bookmarkEnd w:id="60"/>
      <w:bookmarkEnd w:id="61"/>
    </w:p>
    <w:p w14:paraId="0CE03405">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供应商或者其他利害关系人对谈判文件有异议的，应当在截止时间</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lang w:val="zh-CN"/>
        </w:rPr>
        <w:t>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采购代理机构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达采购代理机构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对竞争性谈判文件</w:t>
      </w:r>
      <w:r>
        <w:rPr>
          <w:rFonts w:ascii="宋体" w:hAnsi="宋体" w:eastAsia="宋体" w:cs="Times New Roman"/>
          <w:color w:val="auto"/>
          <w:szCs w:val="21"/>
          <w:highlight w:val="none"/>
          <w:lang w:val="zh-CN"/>
        </w:rPr>
        <w:t>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加盖响应供应商</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提出的任何疑问，采购代理机构可不予答复。</w:t>
      </w:r>
      <w:r>
        <w:rPr>
          <w:rFonts w:hint="eastAsia" w:ascii="宋体" w:hAnsi="宋体" w:eastAsia="宋体" w:cs="Times New Roman"/>
          <w:b/>
          <w:bCs/>
          <w:color w:val="auto"/>
          <w:szCs w:val="21"/>
          <w:highlight w:val="none"/>
          <w:u w:val="single"/>
          <w:lang w:val="zh-CN"/>
        </w:rPr>
        <w:t>响应供应商必须在响应文件中提供响应承诺书（格式详见第六篇响应文件格式）</w:t>
      </w:r>
      <w:r>
        <w:rPr>
          <w:rFonts w:hint="eastAsia" w:ascii="宋体" w:hAnsi="宋体" w:eastAsia="宋体" w:cs="宋体"/>
          <w:b/>
          <w:bCs/>
          <w:color w:val="auto"/>
          <w:szCs w:val="21"/>
          <w:highlight w:val="none"/>
          <w:lang w:val="zh-CN"/>
        </w:rPr>
        <w:t>。</w:t>
      </w:r>
    </w:p>
    <w:p w14:paraId="0F04D44C">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166DE10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2" w:name="_Toc28558"/>
      <w:bookmarkStart w:id="63" w:name="_Toc450662856"/>
      <w:bookmarkStart w:id="64" w:name="_Toc486167670"/>
      <w:bookmarkStart w:id="65" w:name="_Toc23483_WPSOffice_Level3"/>
      <w:bookmarkStart w:id="66" w:name="_Toc16009944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竞争性谈判文件的澄清及修改</w:t>
      </w:r>
      <w:bookmarkEnd w:id="62"/>
      <w:bookmarkEnd w:id="63"/>
      <w:bookmarkEnd w:id="64"/>
      <w:bookmarkEnd w:id="65"/>
      <w:bookmarkEnd w:id="66"/>
    </w:p>
    <w:p w14:paraId="157FF64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采购代理机构对已发出的竞争性谈判文件进行必要澄清或者修改的，将在竞争性谈判文件要求提交响应文件截止时间</w:t>
      </w:r>
      <w:r>
        <w:rPr>
          <w:rFonts w:ascii="宋体" w:hAnsi="宋体" w:eastAsia="宋体" w:cs="宋体"/>
          <w:color w:val="auto"/>
          <w:szCs w:val="21"/>
          <w:highlight w:val="none"/>
          <w:lang w:val="zh-CN"/>
        </w:rPr>
        <w:t>3个工作日</w:t>
      </w:r>
      <w:r>
        <w:rPr>
          <w:rFonts w:hint="eastAsia" w:ascii="宋体" w:hAnsi="宋体" w:eastAsia="宋体" w:cs="宋体"/>
          <w:color w:val="auto"/>
          <w:szCs w:val="21"/>
          <w:highlight w:val="none"/>
          <w:lang w:val="zh-CN"/>
        </w:rPr>
        <w:t>前，以书面形式通知所有竞争性谈判文件收受人，响应供应商应于收到该修改文件的当日内以书面形式给予确认。该澄清或者修改的内容为竞争性谈判文件的组成部分。</w:t>
      </w:r>
    </w:p>
    <w:p w14:paraId="7CF599A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项目特定情况下，采购代理机构必须延长响应文件提交截止时间和开启时间时，将在竞争性谈判文件要求提交响应文件的截止时间前，在采购信息发布媒介上发布变更公告。</w:t>
      </w:r>
    </w:p>
    <w:p w14:paraId="0614FE3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竞争性谈判文件的修改、补充通知在中国招标投标公共服务平台（www.cebpubservice.com）、东莞市水务环境投资控股集团有限公司网（www.dgswjt.cn）、招标代理机构网站（</w:t>
      </w:r>
      <w:r>
        <w:rPr>
          <w:rFonts w:hint="eastAsia" w:ascii="宋体" w:hAnsi="宋体" w:eastAsia="宋体" w:cs="Times New Roman"/>
          <w:bCs/>
          <w:color w:val="auto"/>
          <w:szCs w:val="21"/>
          <w:highlight w:val="none"/>
          <w:u w:val="none"/>
        </w:rPr>
        <w:t>www.sfcx.cn</w:t>
      </w:r>
      <w:r>
        <w:rPr>
          <w:rFonts w:hint="eastAsia" w:ascii="宋体" w:hAnsi="宋体" w:eastAsia="宋体" w:cs="宋体"/>
          <w:color w:val="auto"/>
          <w:szCs w:val="21"/>
          <w:highlight w:val="none"/>
          <w:lang w:val="zh-CN"/>
        </w:rPr>
        <w:t>）公布，请各供应商密切留意。</w:t>
      </w:r>
    </w:p>
    <w:p w14:paraId="6AE0B305">
      <w:pPr>
        <w:autoSpaceDE w:val="0"/>
        <w:autoSpaceDN w:val="0"/>
        <w:adjustRightInd w:val="0"/>
        <w:spacing w:line="360" w:lineRule="auto"/>
        <w:ind w:left="357" w:leftChars="-100" w:hanging="567"/>
        <w:rPr>
          <w:rFonts w:ascii="宋体" w:hAnsi="宋体" w:eastAsia="宋体" w:cs="宋体"/>
          <w:color w:val="auto"/>
          <w:szCs w:val="21"/>
          <w:highlight w:val="none"/>
        </w:rPr>
      </w:pPr>
    </w:p>
    <w:p w14:paraId="10E8BC58">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67" w:name="_Toc29659_WPSOffice_Level2"/>
      <w:bookmarkStart w:id="68" w:name="_Toc160099441"/>
      <w:bookmarkStart w:id="69" w:name="_Toc450662857"/>
      <w:bookmarkStart w:id="70" w:name="_Toc22325"/>
      <w:bookmarkStart w:id="71" w:name="_Toc140596880"/>
      <w:bookmarkStart w:id="72" w:name="_Toc486167671"/>
      <w:r>
        <w:rPr>
          <w:rFonts w:hint="eastAsia" w:ascii="宋体" w:hAnsi="宋体" w:eastAsia="宋体" w:cs="宋体"/>
          <w:b/>
          <w:bCs/>
          <w:color w:val="auto"/>
          <w:kern w:val="44"/>
          <w:szCs w:val="21"/>
          <w:highlight w:val="none"/>
          <w:lang w:val="zh-CN"/>
        </w:rPr>
        <w:t>三、响应文件的编制</w:t>
      </w:r>
      <w:bookmarkEnd w:id="67"/>
      <w:bookmarkEnd w:id="68"/>
      <w:bookmarkEnd w:id="69"/>
      <w:bookmarkEnd w:id="70"/>
      <w:bookmarkEnd w:id="71"/>
      <w:bookmarkEnd w:id="72"/>
    </w:p>
    <w:p w14:paraId="6D2574D1">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3" w:name="_Toc19448"/>
      <w:bookmarkStart w:id="74" w:name="_Toc486167672"/>
      <w:bookmarkStart w:id="75" w:name="_Toc450662858"/>
      <w:bookmarkStart w:id="76" w:name="_Toc10015_WPSOffice_Level3"/>
      <w:bookmarkStart w:id="77" w:name="_Toc16009944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lang w:val="zh-CN"/>
        </w:rPr>
        <w:t>使用的文字及度量衡单位</w:t>
      </w:r>
      <w:bookmarkEnd w:id="73"/>
      <w:bookmarkEnd w:id="74"/>
      <w:bookmarkEnd w:id="75"/>
      <w:bookmarkEnd w:id="76"/>
      <w:bookmarkEnd w:id="77"/>
    </w:p>
    <w:p w14:paraId="6C42839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响应供应商的响应文件以及响应供应商与采购代理机构就有关响应的所有往来函电均应使用简体中文。</w:t>
      </w:r>
    </w:p>
    <w:p w14:paraId="4C1C9FB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响应文件使用的度量衡单位采用中华人民共和国法定计量单位。</w:t>
      </w:r>
    </w:p>
    <w:p w14:paraId="709270F6">
      <w:pPr>
        <w:autoSpaceDE w:val="0"/>
        <w:autoSpaceDN w:val="0"/>
        <w:adjustRightInd w:val="0"/>
        <w:spacing w:line="360" w:lineRule="auto"/>
        <w:rPr>
          <w:rFonts w:ascii="宋体" w:hAnsi="宋体" w:eastAsia="宋体" w:cs="宋体"/>
          <w:color w:val="auto"/>
          <w:szCs w:val="21"/>
          <w:highlight w:val="none"/>
          <w:lang w:val="zh-CN"/>
        </w:rPr>
      </w:pPr>
    </w:p>
    <w:p w14:paraId="568D29FC">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78" w:name="_Toc1017"/>
      <w:bookmarkStart w:id="79" w:name="_Toc450662859"/>
      <w:bookmarkStart w:id="80" w:name="_Toc486167673"/>
      <w:bookmarkStart w:id="81" w:name="_Toc24916_WPSOffice_Level3"/>
      <w:bookmarkStart w:id="82" w:name="_Toc16009944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响应文件的组成</w:t>
      </w:r>
      <w:bookmarkEnd w:id="78"/>
      <w:bookmarkEnd w:id="79"/>
      <w:bookmarkEnd w:id="80"/>
      <w:bookmarkEnd w:id="81"/>
      <w:bookmarkEnd w:id="82"/>
    </w:p>
    <w:p w14:paraId="7B1A82C9">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响应文件的组成：</w:t>
      </w:r>
      <w:r>
        <w:rPr>
          <w:rFonts w:hint="eastAsia" w:ascii="宋体" w:hAnsi="宋体" w:eastAsia="宋体" w:cs="Times New Roman"/>
          <w:b/>
          <w:color w:val="auto"/>
          <w:kern w:val="0"/>
          <w:szCs w:val="21"/>
          <w:highlight w:val="none"/>
          <w:u w:val="single"/>
        </w:rPr>
        <w:t>商务文件、技术文件由响应供应商根据各自文件的实际情况决定是否分册装订，</w:t>
      </w:r>
      <w:r>
        <w:rPr>
          <w:rFonts w:hint="eastAsia" w:ascii="宋体" w:hAnsi="宋体" w:eastAsia="宋体" w:cs="Times New Roman"/>
          <w:b/>
          <w:color w:val="auto"/>
          <w:kern w:val="0"/>
          <w:szCs w:val="21"/>
          <w:highlight w:val="none"/>
          <w:u w:val="single"/>
          <w:lang w:eastAsia="zh-CN"/>
        </w:rPr>
        <w:t>竞争性</w:t>
      </w:r>
      <w:r>
        <w:rPr>
          <w:rFonts w:hint="eastAsia" w:ascii="宋体" w:hAnsi="宋体" w:eastAsia="宋体" w:cs="Times New Roman"/>
          <w:b/>
          <w:color w:val="auto"/>
          <w:kern w:val="0"/>
          <w:szCs w:val="21"/>
          <w:highlight w:val="none"/>
          <w:u w:val="single"/>
        </w:rPr>
        <w:t>谈判文件不做限制</w:t>
      </w:r>
      <w:r>
        <w:rPr>
          <w:rFonts w:hint="eastAsia" w:ascii="宋体" w:hAnsi="宋体" w:eastAsia="宋体" w:cs="Times New Roman"/>
          <w:b/>
          <w:color w:val="auto"/>
          <w:kern w:val="0"/>
          <w:szCs w:val="21"/>
          <w:highlight w:val="none"/>
        </w:rPr>
        <w:t>。</w:t>
      </w:r>
    </w:p>
    <w:p w14:paraId="29934483">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7EE04C9E">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7993393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（1）响应函；</w:t>
      </w:r>
    </w:p>
    <w:p w14:paraId="2F0E011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（2）响应承诺书；</w:t>
      </w:r>
    </w:p>
    <w:p w14:paraId="1576555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）首轮报价表(含</w:t>
      </w:r>
      <w:r>
        <w:rPr>
          <w:rFonts w:hint="eastAsia" w:ascii="宋体" w:hAnsi="宋体" w:eastAsia="宋体" w:cs="宋体"/>
          <w:color w:val="auto"/>
          <w:szCs w:val="21"/>
          <w:highlight w:val="none"/>
          <w:lang w:val="en-US" w:eastAsia="zh-CN"/>
        </w:rPr>
        <w:t>首轮响应</w:t>
      </w:r>
      <w:r>
        <w:rPr>
          <w:rFonts w:hint="eastAsia" w:ascii="宋体" w:hAnsi="宋体" w:eastAsia="宋体" w:cs="宋体"/>
          <w:color w:val="auto"/>
          <w:szCs w:val="21"/>
          <w:highlight w:val="none"/>
          <w:lang w:val="zh-CN"/>
        </w:rPr>
        <w:t>报价表</w:t>
      </w:r>
      <w:r>
        <w:rPr>
          <w:rFonts w:ascii="宋体" w:hAnsi="宋体" w:eastAsia="宋体" w:cs="宋体"/>
          <w:color w:val="auto"/>
          <w:szCs w:val="21"/>
          <w:highlight w:val="none"/>
          <w:lang w:val="zh-CN"/>
        </w:rPr>
        <w:t>和分项</w:t>
      </w:r>
      <w:r>
        <w:rPr>
          <w:rFonts w:hint="eastAsia" w:ascii="宋体" w:hAnsi="宋体" w:eastAsia="宋体" w:cs="宋体"/>
          <w:color w:val="auto"/>
          <w:szCs w:val="21"/>
          <w:highlight w:val="none"/>
          <w:lang w:val="zh-CN"/>
        </w:rPr>
        <w:t>报价</w:t>
      </w:r>
      <w:r>
        <w:rPr>
          <w:rFonts w:ascii="宋体" w:hAnsi="宋体" w:eastAsia="宋体" w:cs="宋体"/>
          <w:color w:val="auto"/>
          <w:szCs w:val="21"/>
          <w:highlight w:val="none"/>
          <w:lang w:val="zh-CN"/>
        </w:rPr>
        <w:t>表</w:t>
      </w:r>
      <w:r>
        <w:rPr>
          <w:rFonts w:hint="eastAsia" w:ascii="宋体" w:hAnsi="宋体" w:eastAsia="宋体" w:cs="宋体"/>
          <w:color w:val="auto"/>
          <w:szCs w:val="21"/>
          <w:highlight w:val="none"/>
          <w:lang w:val="zh-CN"/>
        </w:rPr>
        <w:t>)；</w:t>
      </w:r>
    </w:p>
    <w:p w14:paraId="1B98755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）响应供应商资格证明文件：</w:t>
      </w:r>
    </w:p>
    <w:p w14:paraId="19BC11AC">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3291614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开户许可证（基本存款账户）复印件</w:t>
      </w:r>
      <w:r>
        <w:rPr>
          <w:rFonts w:hint="eastAsia" w:ascii="宋体" w:hAnsi="宋体" w:eastAsia="宋体" w:cs="Times New Roman"/>
          <w:color w:val="auto"/>
          <w:szCs w:val="21"/>
          <w:highlight w:val="none"/>
          <w:lang w:val="zh-CN"/>
        </w:rPr>
        <w:t>，如响应供应商企业银行账户开户所在地区已取消企业银行账户许可，响应供应商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28C8779B">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w:t>
      </w:r>
      <w:r>
        <w:rPr>
          <w:rFonts w:hint="eastAsia" w:ascii="宋体" w:hAnsi="宋体" w:eastAsia="宋体" w:cs="Times New Roman"/>
          <w:color w:val="auto"/>
          <w:szCs w:val="21"/>
          <w:highlight w:val="none"/>
          <w:lang w:val="zh-CN"/>
        </w:rPr>
        <w:t>响应</w:t>
      </w:r>
      <w:r>
        <w:rPr>
          <w:rFonts w:ascii="宋体" w:hAnsi="宋体" w:eastAsia="宋体" w:cs="Times New Roman"/>
          <w:color w:val="auto"/>
          <w:szCs w:val="21"/>
          <w:highlight w:val="none"/>
          <w:lang w:val="zh-CN"/>
        </w:rPr>
        <w:t>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w:t>
      </w:r>
      <w:r>
        <w:rPr>
          <w:rFonts w:hint="eastAsia" w:ascii="宋体" w:hAnsi="宋体" w:eastAsia="宋体" w:cs="Times New Roman"/>
          <w:color w:val="auto"/>
          <w:szCs w:val="21"/>
          <w:highlight w:val="none"/>
          <w:lang w:val="zh-CN"/>
        </w:rPr>
        <w:t>响应</w:t>
      </w:r>
      <w:r>
        <w:rPr>
          <w:rFonts w:ascii="宋体" w:hAnsi="宋体" w:eastAsia="宋体" w:cs="Times New Roman"/>
          <w:color w:val="auto"/>
          <w:szCs w:val="21"/>
          <w:highlight w:val="none"/>
          <w:lang w:val="zh-CN"/>
        </w:rPr>
        <w:t>代表时同时提供法定代表人授权书）；</w:t>
      </w:r>
    </w:p>
    <w:p w14:paraId="67B630C5">
      <w:pPr>
        <w:spacing w:line="360" w:lineRule="auto"/>
        <w:ind w:left="283" w:hanging="283" w:hangingChars="135"/>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r>
        <w:rPr>
          <w:rFonts w:hint="eastAsia" w:ascii="宋体" w:hAnsi="宋体" w:eastAsia="宋体"/>
          <w:color w:val="auto"/>
          <w:szCs w:val="21"/>
          <w:highlight w:val="none"/>
        </w:rPr>
        <w:t>资格业绩【</w:t>
      </w:r>
      <w:r>
        <w:rPr>
          <w:rFonts w:hint="eastAsia" w:ascii="宋体" w:hAnsi="宋体" w:eastAsia="宋体"/>
          <w:color w:val="auto"/>
          <w:szCs w:val="21"/>
          <w:highlight w:val="none"/>
          <w:lang w:val="en-US" w:eastAsia="zh-CN"/>
        </w:rPr>
        <w:t>供应商</w:t>
      </w:r>
      <w:r>
        <w:rPr>
          <w:rFonts w:hint="eastAsia" w:ascii="宋体" w:hAnsi="宋体" w:eastAsia="宋体"/>
          <w:color w:val="auto"/>
          <w:szCs w:val="21"/>
          <w:highlight w:val="none"/>
        </w:rPr>
        <w:t>提供一份</w:t>
      </w:r>
      <w:r>
        <w:rPr>
          <w:rFonts w:hint="eastAsia" w:ascii="宋体" w:hAnsi="宋体" w:eastAsia="宋体"/>
          <w:b/>
          <w:bCs/>
          <w:color w:val="auto"/>
          <w:szCs w:val="21"/>
          <w:highlight w:val="none"/>
        </w:rPr>
        <w:t>20</w:t>
      </w:r>
      <w:r>
        <w:rPr>
          <w:rFonts w:hint="eastAsia" w:ascii="宋体" w:hAnsi="宋体" w:eastAsia="宋体"/>
          <w:b/>
          <w:bCs/>
          <w:color w:val="auto"/>
          <w:szCs w:val="21"/>
          <w:highlight w:val="none"/>
          <w:lang w:val="en-US" w:eastAsia="zh-CN"/>
        </w:rPr>
        <w:t>22</w:t>
      </w:r>
      <w:r>
        <w:rPr>
          <w:rFonts w:hint="eastAsia" w:ascii="宋体" w:hAnsi="宋体" w:eastAsia="宋体"/>
          <w:b/>
          <w:bCs/>
          <w:color w:val="auto"/>
          <w:szCs w:val="21"/>
          <w:highlight w:val="none"/>
        </w:rPr>
        <w:t>年1月1日以来</w:t>
      </w:r>
      <w:r>
        <w:rPr>
          <w:rFonts w:hint="eastAsia" w:ascii="宋体" w:hAnsi="宋体" w:eastAsia="宋体" w:cs="宋体"/>
          <w:b/>
          <w:color w:val="auto"/>
          <w:sz w:val="21"/>
          <w:szCs w:val="21"/>
          <w:highlight w:val="none"/>
        </w:rPr>
        <w:t>具有</w:t>
      </w:r>
      <w:r>
        <w:rPr>
          <w:rFonts w:hint="eastAsia" w:ascii="宋体" w:hAnsi="宋体" w:eastAsia="宋体" w:cs="宋体"/>
          <w:b/>
          <w:color w:val="auto"/>
          <w:sz w:val="21"/>
          <w:szCs w:val="21"/>
          <w:highlight w:val="none"/>
          <w:lang w:val="zh-CN"/>
        </w:rPr>
        <w:t>一份</w:t>
      </w:r>
      <w:r>
        <w:rPr>
          <w:rFonts w:hint="eastAsia" w:ascii="宋体" w:hAnsi="宋体" w:eastAsia="宋体" w:cs="宋体"/>
          <w:b/>
          <w:color w:val="auto"/>
          <w:sz w:val="21"/>
          <w:szCs w:val="21"/>
          <w:highlight w:val="none"/>
          <w:lang w:val="zh-CN" w:eastAsia="zh-CN"/>
        </w:rPr>
        <w:t>市政绿化迁移项目</w:t>
      </w:r>
      <w:r>
        <w:rPr>
          <w:rFonts w:hint="eastAsia" w:ascii="宋体" w:hAnsi="宋体" w:eastAsia="宋体" w:cs="宋体"/>
          <w:b/>
          <w:color w:val="auto"/>
          <w:sz w:val="21"/>
          <w:szCs w:val="21"/>
          <w:highlight w:val="none"/>
          <w:lang w:val="zh-CN"/>
        </w:rPr>
        <w:t>业绩</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合同签订日期为</w:t>
      </w:r>
      <w:r>
        <w:rPr>
          <w:rFonts w:hint="eastAsia" w:ascii="宋体" w:hAnsi="宋体" w:eastAsia="宋体"/>
          <w:b/>
          <w:bCs/>
          <w:color w:val="auto"/>
          <w:szCs w:val="21"/>
          <w:highlight w:val="none"/>
        </w:rPr>
        <w:t>20</w:t>
      </w:r>
      <w:r>
        <w:rPr>
          <w:rFonts w:hint="eastAsia" w:ascii="宋体" w:hAnsi="宋体" w:eastAsia="宋体"/>
          <w:b/>
          <w:bCs/>
          <w:color w:val="auto"/>
          <w:szCs w:val="21"/>
          <w:highlight w:val="none"/>
          <w:lang w:val="en-US" w:eastAsia="zh-CN"/>
        </w:rPr>
        <w:t>22</w:t>
      </w:r>
      <w:r>
        <w:rPr>
          <w:rFonts w:hint="eastAsia" w:ascii="宋体" w:hAnsi="宋体" w:eastAsia="宋体"/>
          <w:b/>
          <w:bCs/>
          <w:color w:val="auto"/>
          <w:szCs w:val="21"/>
          <w:highlight w:val="none"/>
        </w:rPr>
        <w:t>年1月1日</w:t>
      </w:r>
      <w:r>
        <w:rPr>
          <w:rFonts w:hint="eastAsia" w:ascii="宋体" w:hAnsi="宋体" w:eastAsia="宋体"/>
          <w:color w:val="auto"/>
          <w:szCs w:val="21"/>
          <w:highlight w:val="none"/>
        </w:rPr>
        <w:t>或以后），资格业绩证明材料提交要求详见</w:t>
      </w:r>
      <w:r>
        <w:rPr>
          <w:rFonts w:hint="eastAsia" w:ascii="宋体" w:hAnsi="宋体" w:eastAsia="宋体"/>
          <w:color w:val="auto"/>
          <w:szCs w:val="21"/>
          <w:highlight w:val="none"/>
          <w:lang w:val="en-US" w:eastAsia="zh-CN"/>
        </w:rPr>
        <w:t>谈判</w:t>
      </w:r>
      <w:r>
        <w:rPr>
          <w:rFonts w:hint="eastAsia" w:ascii="宋体" w:hAnsi="宋体" w:eastAsia="宋体"/>
          <w:color w:val="auto"/>
          <w:szCs w:val="21"/>
          <w:highlight w:val="none"/>
        </w:rPr>
        <w:t>文件第六篇</w:t>
      </w:r>
      <w:r>
        <w:rPr>
          <w:rFonts w:hint="eastAsia" w:ascii="宋体" w:hAnsi="宋体" w:eastAsia="宋体"/>
          <w:color w:val="auto"/>
          <w:szCs w:val="21"/>
          <w:highlight w:val="none"/>
          <w:lang w:val="en-US" w:eastAsia="zh-CN"/>
        </w:rPr>
        <w:t>响应</w:t>
      </w:r>
      <w:r>
        <w:rPr>
          <w:rFonts w:hint="eastAsia" w:ascii="宋体" w:hAnsi="宋体" w:eastAsia="宋体"/>
          <w:color w:val="auto"/>
          <w:szCs w:val="21"/>
          <w:highlight w:val="none"/>
        </w:rPr>
        <w:t>文件格式</w:t>
      </w:r>
      <w:r>
        <w:rPr>
          <w:rFonts w:hint="eastAsia" w:ascii="宋体" w:hAnsi="宋体" w:eastAsia="宋体"/>
          <w:color w:val="auto"/>
          <w:szCs w:val="21"/>
          <w:highlight w:val="none"/>
          <w:u w:val="single"/>
          <w:lang w:val="en-US" w:eastAsia="zh-CN"/>
        </w:rPr>
        <w:t>4</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4</w:t>
      </w:r>
      <w:r>
        <w:rPr>
          <w:rFonts w:hint="eastAsia" w:ascii="宋体" w:hAnsi="宋体" w:eastAsia="宋体"/>
          <w:color w:val="auto"/>
          <w:szCs w:val="21"/>
          <w:highlight w:val="none"/>
        </w:rPr>
        <w:t>】</w:t>
      </w:r>
    </w:p>
    <w:p w14:paraId="0D31742D">
      <w:pPr>
        <w:spacing w:line="360" w:lineRule="auto"/>
        <w:ind w:left="283" w:hanging="283" w:hangingChars="135"/>
        <w:rPr>
          <w:rFonts w:hint="eastAsia" w:ascii="宋体" w:hAnsi="宋体" w:eastAsia="宋体" w:cs="Times New Roman"/>
          <w:color w:val="auto"/>
          <w:sz w:val="21"/>
          <w:szCs w:val="21"/>
          <w:highlight w:val="none"/>
          <w:lang w:val="zh-CN"/>
        </w:rPr>
      </w:pPr>
      <w:r>
        <w:rPr>
          <w:rFonts w:hint="eastAsia" w:ascii="宋体" w:hAnsi="宋体" w:eastAsia="宋体"/>
          <w:color w:val="auto"/>
          <w:szCs w:val="21"/>
          <w:highlight w:val="none"/>
          <w:lang w:val="en-US" w:eastAsia="zh-CN"/>
        </w:rPr>
        <w:t>5）最近3年响应供应商牵涉的其他（失信和违法）处罚说明</w:t>
      </w:r>
      <w:r>
        <w:rPr>
          <w:rFonts w:hint="eastAsia" w:ascii="宋体" w:hAnsi="宋体" w:eastAsia="宋体" w:cs="Times New Roman"/>
          <w:color w:val="auto"/>
          <w:sz w:val="21"/>
          <w:szCs w:val="21"/>
          <w:highlight w:val="none"/>
          <w:lang w:val="zh-CN"/>
        </w:rPr>
        <w:t>；</w:t>
      </w:r>
    </w:p>
    <w:p w14:paraId="1F2A8F8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）供应商基本情况一览表；</w:t>
      </w:r>
    </w:p>
    <w:p w14:paraId="5E381D6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合同条款响应程度（合同条款偏离表）；</w:t>
      </w:r>
    </w:p>
    <w:p w14:paraId="4DFA65B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）响应保证金汇入情况说明；</w:t>
      </w:r>
    </w:p>
    <w:p w14:paraId="174A6169">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）响应供应商资格证明文件以外的其他资质证书、知识产权证书及获得的相关获奖、认证证书、社会评价资料证明文件复印件等响应供应商认为有需要证明其具备为本次</w:t>
      </w:r>
      <w:r>
        <w:rPr>
          <w:rFonts w:hint="eastAsia" w:ascii="宋体" w:hAnsi="宋体" w:eastAsia="宋体" w:cs="Times New Roman"/>
          <w:color w:val="auto"/>
          <w:kern w:val="0"/>
          <w:szCs w:val="21"/>
          <w:highlight w:val="none"/>
        </w:rPr>
        <w:t>采购</w:t>
      </w:r>
      <w:r>
        <w:rPr>
          <w:rFonts w:hint="eastAsia" w:ascii="宋体" w:hAnsi="宋体" w:eastAsia="宋体" w:cs="宋体"/>
          <w:color w:val="auto"/>
          <w:szCs w:val="21"/>
          <w:highlight w:val="none"/>
          <w:lang w:val="zh-CN"/>
        </w:rPr>
        <w:t>项目提供货物和服务能力的有关其它商务文件（不做强制要求）。</w:t>
      </w:r>
    </w:p>
    <w:p w14:paraId="28479791">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63E90ABB">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429406FD">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2469F369">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总体实施方案（供应商自行编写）</w:t>
      </w:r>
      <w:r>
        <w:rPr>
          <w:rFonts w:hint="eastAsia" w:ascii="宋体" w:hAnsi="宋体" w:eastAsia="宋体" w:cs="Times New Roman"/>
          <w:color w:val="auto"/>
          <w:kern w:val="0"/>
          <w:szCs w:val="21"/>
          <w:highlight w:val="none"/>
          <w:lang w:val="zh-CN"/>
        </w:rPr>
        <w:t>；</w:t>
      </w:r>
    </w:p>
    <w:p w14:paraId="63BDF693">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进度保障措施（供应商自行编写）</w:t>
      </w:r>
      <w:r>
        <w:rPr>
          <w:rFonts w:hint="eastAsia" w:ascii="宋体" w:hAnsi="宋体" w:eastAsia="宋体" w:cs="宋体"/>
          <w:color w:val="auto"/>
          <w:kern w:val="0"/>
          <w:szCs w:val="21"/>
          <w:highlight w:val="none"/>
        </w:rPr>
        <w:t>；</w:t>
      </w:r>
    </w:p>
    <w:p w14:paraId="05E551C2">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）应急处理方案（供应商自行编写）</w:t>
      </w:r>
      <w:r>
        <w:rPr>
          <w:rFonts w:hint="eastAsia" w:ascii="宋体" w:hAnsi="宋体" w:eastAsia="宋体" w:cs="宋体"/>
          <w:color w:val="auto"/>
          <w:kern w:val="0"/>
          <w:szCs w:val="21"/>
          <w:highlight w:val="none"/>
        </w:rPr>
        <w:t>；</w:t>
      </w:r>
    </w:p>
    <w:p w14:paraId="566EE2FC">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售后服务方案（供应商自行编写）</w:t>
      </w:r>
      <w:r>
        <w:rPr>
          <w:rFonts w:hint="eastAsia" w:ascii="宋体" w:hAnsi="宋体" w:eastAsia="宋体" w:cs="宋体"/>
          <w:color w:val="auto"/>
          <w:kern w:val="0"/>
          <w:szCs w:val="21"/>
          <w:highlight w:val="none"/>
        </w:rPr>
        <w:t>；</w:t>
      </w:r>
    </w:p>
    <w:p w14:paraId="3F6AAB5D">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）响应供应商认为有必要提供的其它材料（不做强制要求）。</w:t>
      </w:r>
    </w:p>
    <w:p w14:paraId="658701AE">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响应文件电子文件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4A4E7075">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（1）签字、盖章后的响应文件扫描版PDF格式电子文件。</w:t>
      </w:r>
    </w:p>
    <w:p w14:paraId="75E9112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响应供应商按照响应文件的组成目录编制响应文件应包括上述内容，但不限于上述内容。谈判文件提供了相关格式的，严格按照谈判文件的要求编制，响应文件未含格式的，响应供应商自行编制。响应文件编制中要求的复印件可为该资料扫描件的打印件。</w:t>
      </w:r>
    </w:p>
    <w:p w14:paraId="0B7BD72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响应文件中相关证件、证书、合同、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签字、盖章真实，否则视为无效证明材料；响应文件中存在外文资料的，响应供应商必须同时提供中文译本，且必须保证中文译本的准确，否则采购人不予认可，视为无效材料；响应供应商须承担因此对应造成响应无效，或评审时因无效证明材料不予认可，或拒绝接受响应的风险</w:t>
      </w:r>
      <w:r>
        <w:rPr>
          <w:rFonts w:hint="eastAsia" w:ascii="宋体" w:hAnsi="宋体" w:eastAsia="宋体" w:cs="宋体"/>
          <w:color w:val="auto"/>
          <w:szCs w:val="21"/>
          <w:highlight w:val="none"/>
          <w:lang w:val="zh-CN"/>
        </w:rPr>
        <w:t>。</w:t>
      </w:r>
    </w:p>
    <w:p w14:paraId="2D35A04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3E55899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3" w:name="_Toc486167674"/>
      <w:bookmarkStart w:id="84" w:name="_Toc160099444"/>
      <w:bookmarkStart w:id="85" w:name="_Toc450662860"/>
      <w:bookmarkStart w:id="86" w:name="_Toc3275"/>
      <w:bookmarkStart w:id="87" w:name="_Toc8675_WPSOffice_Level3"/>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响应函</w:t>
      </w:r>
      <w:bookmarkEnd w:id="83"/>
      <w:bookmarkEnd w:id="84"/>
      <w:bookmarkEnd w:id="85"/>
      <w:bookmarkEnd w:id="86"/>
      <w:bookmarkEnd w:id="87"/>
    </w:p>
    <w:p w14:paraId="22CCE3C1">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响应供应商应完整填写响应文件格式中规定的响应函。</w:t>
      </w:r>
    </w:p>
    <w:p w14:paraId="2021A8AD">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407D310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8" w:name="_Toc17607"/>
      <w:bookmarkStart w:id="89" w:name="_Toc160099445"/>
      <w:bookmarkStart w:id="90" w:name="_Toc4385_WPSOffice_Level3"/>
      <w:bookmarkStart w:id="91" w:name="_Toc486167675"/>
      <w:bookmarkStart w:id="92" w:name="_Toc450662861"/>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响应报价</w:t>
      </w:r>
      <w:bookmarkEnd w:id="88"/>
      <w:bookmarkEnd w:id="89"/>
      <w:bookmarkEnd w:id="90"/>
      <w:bookmarkEnd w:id="91"/>
      <w:bookmarkEnd w:id="92"/>
    </w:p>
    <w:p w14:paraId="424D29EB">
      <w:pPr>
        <w:tabs>
          <w:tab w:val="left" w:pos="567"/>
        </w:tabs>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本项目最终报价只允许有一个报价价格</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响应报价将不予接受，</w:t>
      </w:r>
      <w:r>
        <w:rPr>
          <w:rFonts w:hint="eastAsia" w:ascii="宋体" w:hAnsi="宋体" w:eastAsia="宋体" w:cs="Times New Roman"/>
          <w:b/>
          <w:color w:val="auto"/>
          <w:kern w:val="0"/>
          <w:szCs w:val="21"/>
          <w:highlight w:val="none"/>
          <w:lang w:val="zh-CN"/>
        </w:rPr>
        <w:t>作为非实质性响应响应而予以拒绝。</w:t>
      </w:r>
      <w:r>
        <w:rPr>
          <w:rFonts w:hint="eastAsia" w:ascii="宋体" w:hAnsi="宋体" w:eastAsia="宋体" w:cs="Times New Roman"/>
          <w:b/>
          <w:color w:val="auto"/>
          <w:kern w:val="0"/>
          <w:szCs w:val="21"/>
          <w:highlight w:val="none"/>
          <w:lang w:eastAsia="zh-CN"/>
        </w:rPr>
        <w:t>供应商</w:t>
      </w:r>
      <w:r>
        <w:rPr>
          <w:rFonts w:hint="eastAsia" w:ascii="宋体" w:hAnsi="宋体" w:eastAsia="宋体" w:cs="Times New Roman"/>
          <w:b/>
          <w:color w:val="auto"/>
          <w:kern w:val="0"/>
          <w:szCs w:val="21"/>
          <w:highlight w:val="none"/>
        </w:rPr>
        <w:t>不得以低于企业自身成本的价格竞投</w:t>
      </w:r>
      <w:r>
        <w:rPr>
          <w:rFonts w:hint="eastAsia" w:ascii="宋体" w:hAnsi="宋体" w:eastAsia="宋体" w:cs="宋体"/>
          <w:b/>
          <w:color w:val="auto"/>
          <w:szCs w:val="21"/>
          <w:highlight w:val="none"/>
          <w:lang w:val="zh-CN"/>
        </w:rPr>
        <w:t>。</w:t>
      </w:r>
    </w:p>
    <w:p w14:paraId="68C0CB11">
      <w:pPr>
        <w:tabs>
          <w:tab w:val="left" w:pos="567"/>
        </w:tabs>
        <w:autoSpaceDE w:val="0"/>
        <w:autoSpaceDN w:val="0"/>
        <w:adjustRightInd w:val="0"/>
        <w:spacing w:line="360" w:lineRule="auto"/>
        <w:ind w:left="420" w:leftChars="200" w:firstLine="272" w:firstLineChars="12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供应商出现超低报价，有可能影响服务质量和不能诚信履约的，谈判小组将要求该供应商作出书面说明并提供相关证明材料，以确定供应商是否以低于企业成本价报价。若供应商不能合理说明或不能提供相关证明材料的，谈判小组将认定其投标报价低于成本，同时否决其投标。</w:t>
      </w:r>
    </w:p>
    <w:p w14:paraId="54E1B0D3">
      <w:pPr>
        <w:tabs>
          <w:tab w:val="left" w:pos="567"/>
        </w:tabs>
        <w:autoSpaceDE w:val="0"/>
        <w:autoSpaceDN w:val="0"/>
        <w:adjustRightInd w:val="0"/>
        <w:spacing w:line="360" w:lineRule="auto"/>
        <w:ind w:left="420" w:leftChars="200" w:firstLine="272" w:firstLineChars="129"/>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对是否低于企业成本价报价的事宜有争议的投标文件，谈判小组成员将以记名方式表决，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的供应商才有资格进入下一阶段的评审，否则将按无效投标处理。</w:t>
      </w:r>
    </w:p>
    <w:p w14:paraId="593E87C2">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p>
    <w:p w14:paraId="165B2F0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本项目响应报价为不含税价，即为《中华人民共和国增值税暂行条例》（国务院令第6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谈判文件所称的不含税价和不含税合同价是指不含本采购项目供应商的销项税额，包含了响应供应商完成合同义务（含响应供应商代缴代扣、分包及委外服务、安装、采购货物等所产生的价税）的其他全部费用。本采购项目的销项税额由采购人承担，不计入响应报价。</w:t>
      </w:r>
      <w:r>
        <w:rPr>
          <w:rFonts w:hint="eastAsia" w:ascii="宋体" w:hAnsi="宋体" w:eastAsia="宋体" w:cs="宋体"/>
          <w:color w:val="auto"/>
          <w:kern w:val="0"/>
          <w:szCs w:val="21"/>
          <w:highlight w:val="none"/>
        </w:rPr>
        <w:t>本采购项目</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报价已含响应供应商履行本</w:t>
      </w:r>
      <w:r>
        <w:rPr>
          <w:rFonts w:hint="eastAsia" w:ascii="宋体" w:hAnsi="宋体" w:eastAsia="宋体" w:cs="Times New Roman"/>
          <w:color w:val="auto"/>
          <w:kern w:val="0"/>
          <w:szCs w:val="21"/>
          <w:highlight w:val="none"/>
        </w:rPr>
        <w:t>采购</w:t>
      </w:r>
      <w:r>
        <w:rPr>
          <w:rFonts w:hint="eastAsia" w:ascii="宋体" w:hAnsi="宋体" w:eastAsia="宋体" w:cs="宋体"/>
          <w:color w:val="auto"/>
          <w:kern w:val="0"/>
          <w:szCs w:val="21"/>
          <w:highlight w:val="none"/>
        </w:rPr>
        <w:t xml:space="preserve">内容全部义务的一切费用，包括但不限于： </w:t>
      </w:r>
    </w:p>
    <w:p w14:paraId="42B1661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）设备费用、人工费、种植、养护、保险、税费、交通费、差旅费等乙方在开展服务相应工作所产生的所有费用。</w:t>
      </w:r>
    </w:p>
    <w:p w14:paraId="1C6CAD16">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）合理利润、</w:t>
      </w:r>
      <w:r>
        <w:rPr>
          <w:rFonts w:hint="eastAsia" w:ascii="宋体" w:hAnsi="宋体" w:eastAsia="宋体" w:cs="宋体"/>
          <w:color w:val="auto"/>
          <w:szCs w:val="21"/>
          <w:highlight w:val="none"/>
          <w:lang w:val="en-US" w:eastAsia="zh-CN"/>
        </w:rPr>
        <w:t>成交人</w:t>
      </w:r>
      <w:r>
        <w:rPr>
          <w:rFonts w:hint="eastAsia" w:ascii="宋体" w:hAnsi="宋体" w:eastAsia="宋体" w:cs="宋体"/>
          <w:color w:val="auto"/>
          <w:szCs w:val="21"/>
          <w:highlight w:val="none"/>
          <w:lang w:val="zh-CN"/>
        </w:rPr>
        <w:t>销项税额以外的税费等；</w:t>
      </w:r>
    </w:p>
    <w:p w14:paraId="1047C8C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）法律法规、商业公认、谈判文件规定由响应供应商承担的其他直接及间接费用。</w:t>
      </w:r>
    </w:p>
    <w:p w14:paraId="0EACCF6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响应供应商根据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所报的价格分项仅供谈判小组评审时使用；在任何情况下不限制响应供应商以不同的条件成交的权利。</w:t>
      </w:r>
    </w:p>
    <w:p w14:paraId="2B223C89">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1E7449D5">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合同项下，采购人需要的货物及服务所需的费用，响应供应商都应计入响应报价总价。</w:t>
      </w:r>
    </w:p>
    <w:p w14:paraId="30AD5510">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响应供应商</w:t>
      </w:r>
      <w:r>
        <w:rPr>
          <w:rFonts w:hint="eastAsia" w:ascii="宋体" w:hAnsi="宋体" w:eastAsia="宋体" w:cs="Times New Roman"/>
          <w:b/>
          <w:bCs/>
          <w:color w:val="auto"/>
          <w:kern w:val="0"/>
          <w:szCs w:val="24"/>
          <w:highlight w:val="none"/>
          <w:u w:val="single"/>
        </w:rPr>
        <w:t>的</w:t>
      </w:r>
      <w:r>
        <w:rPr>
          <w:rFonts w:hint="eastAsia" w:ascii="宋体" w:hAnsi="宋体" w:eastAsia="宋体" w:cs="Times New Roman"/>
          <w:b/>
          <w:bCs/>
          <w:color w:val="auto"/>
          <w:kern w:val="0"/>
          <w:szCs w:val="24"/>
          <w:highlight w:val="none"/>
          <w:u w:val="single"/>
          <w:lang w:eastAsia="zh-CN"/>
        </w:rPr>
        <w:t>响应</w:t>
      </w:r>
      <w:r>
        <w:rPr>
          <w:rFonts w:hint="eastAsia" w:ascii="宋体" w:hAnsi="宋体" w:eastAsia="宋体" w:cs="Times New Roman"/>
          <w:b/>
          <w:bCs/>
          <w:color w:val="auto"/>
          <w:kern w:val="0"/>
          <w:szCs w:val="24"/>
          <w:highlight w:val="none"/>
          <w:u w:val="single"/>
        </w:rPr>
        <w:t>报价高于</w:t>
      </w:r>
      <w:r>
        <w:rPr>
          <w:rFonts w:hint="eastAsia" w:ascii="宋体" w:hAnsi="宋体" w:eastAsia="宋体" w:cs="Times New Roman"/>
          <w:b/>
          <w:bCs/>
          <w:color w:val="auto"/>
          <w:kern w:val="0"/>
          <w:szCs w:val="24"/>
          <w:highlight w:val="none"/>
          <w:u w:val="single"/>
          <w:lang w:eastAsia="zh-CN"/>
        </w:rPr>
        <w:t>响应</w:t>
      </w:r>
      <w:r>
        <w:rPr>
          <w:rFonts w:hint="eastAsia" w:ascii="宋体" w:hAnsi="宋体" w:eastAsia="宋体" w:cs="Times New Roman"/>
          <w:b/>
          <w:bCs/>
          <w:color w:val="auto"/>
          <w:kern w:val="0"/>
          <w:szCs w:val="24"/>
          <w:highlight w:val="none"/>
          <w:u w:val="single"/>
        </w:rPr>
        <w:t>最高限价的，该响应供应商的响应文件将被视为无效</w:t>
      </w:r>
      <w:r>
        <w:rPr>
          <w:rFonts w:hint="eastAsia" w:ascii="宋体" w:hAnsi="宋体" w:eastAsia="宋体" w:cs="Times New Roman"/>
          <w:b/>
          <w:bCs/>
          <w:color w:val="auto"/>
          <w:kern w:val="0"/>
          <w:szCs w:val="24"/>
          <w:highlight w:val="none"/>
          <w:u w:val="single"/>
          <w:lang w:eastAsia="zh-CN"/>
        </w:rPr>
        <w:t>响应</w:t>
      </w:r>
      <w:r>
        <w:rPr>
          <w:rFonts w:hint="eastAsia" w:ascii="宋体" w:hAnsi="宋体" w:eastAsia="宋体" w:cs="Times New Roman"/>
          <w:b/>
          <w:bCs/>
          <w:color w:val="auto"/>
          <w:kern w:val="0"/>
          <w:szCs w:val="24"/>
          <w:highlight w:val="none"/>
          <w:u w:val="single"/>
          <w:lang w:val="en-US" w:eastAsia="zh-CN"/>
        </w:rPr>
        <w:t>文件</w:t>
      </w:r>
      <w:r>
        <w:rPr>
          <w:rFonts w:hint="eastAsia" w:ascii="宋体" w:hAnsi="宋体" w:eastAsia="宋体" w:cs="宋体"/>
          <w:b/>
          <w:color w:val="auto"/>
          <w:szCs w:val="21"/>
          <w:highlight w:val="none"/>
          <w:u w:val="single"/>
          <w:lang w:val="zh-CN"/>
        </w:rPr>
        <w:t>。本项目的不含税响应最高限价</w:t>
      </w:r>
      <w:r>
        <w:rPr>
          <w:rFonts w:hint="eastAsia" w:ascii="宋体" w:hAnsi="宋体" w:eastAsia="宋体" w:cs="Times New Roman"/>
          <w:b/>
          <w:bCs/>
          <w:color w:val="auto"/>
          <w:szCs w:val="21"/>
          <w:highlight w:val="none"/>
          <w:u w:val="single"/>
          <w:lang w:val="zh-CN"/>
        </w:rPr>
        <w:t>为789,805.51元（大写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柒拾捌万玖仟捌佰零伍元伍角壹分</w:t>
      </w:r>
      <w:r>
        <w:rPr>
          <w:rFonts w:hint="eastAsia" w:ascii="宋体" w:hAnsi="宋体" w:eastAsia="宋体" w:cs="宋体"/>
          <w:b/>
          <w:color w:val="auto"/>
          <w:szCs w:val="21"/>
          <w:highlight w:val="none"/>
          <w:u w:val="single"/>
          <w:lang w:val="zh-CN"/>
        </w:rPr>
        <w:t>）。</w:t>
      </w:r>
    </w:p>
    <w:p w14:paraId="3371498C">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0DA95DF3">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93" w:name="_Toc30042_WPSOffice_Level3"/>
      <w:bookmarkStart w:id="94" w:name="_Toc450662862"/>
      <w:bookmarkStart w:id="95" w:name="_Toc13994"/>
      <w:bookmarkStart w:id="96" w:name="_Toc486167676"/>
      <w:bookmarkStart w:id="97" w:name="_Toc16009944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响应报价货币</w:t>
      </w:r>
      <w:bookmarkEnd w:id="93"/>
      <w:bookmarkEnd w:id="94"/>
      <w:bookmarkEnd w:id="95"/>
      <w:bookmarkEnd w:id="96"/>
      <w:bookmarkEnd w:id="97"/>
    </w:p>
    <w:p w14:paraId="05A95A0C">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响应</w:t>
      </w:r>
      <w:r>
        <w:rPr>
          <w:rFonts w:hint="eastAsia" w:ascii="宋体" w:hAnsi="宋体" w:eastAsia="宋体" w:cs="Times New Roman"/>
          <w:b/>
          <w:color w:val="auto"/>
          <w:szCs w:val="21"/>
          <w:highlight w:val="none"/>
          <w:lang w:val="zh-CN"/>
        </w:rPr>
        <w:t>报价须以人民币报价，以其它货币标价的响应将予以拒绝</w:t>
      </w:r>
      <w:r>
        <w:rPr>
          <w:rFonts w:hint="eastAsia" w:ascii="宋体" w:hAnsi="宋体" w:eastAsia="宋体" w:cs="宋体"/>
          <w:b/>
          <w:color w:val="auto"/>
          <w:szCs w:val="21"/>
          <w:highlight w:val="none"/>
          <w:lang w:val="zh-CN"/>
        </w:rPr>
        <w:t>。</w:t>
      </w:r>
    </w:p>
    <w:p w14:paraId="79E04DD1">
      <w:pPr>
        <w:autoSpaceDE w:val="0"/>
        <w:autoSpaceDN w:val="0"/>
        <w:adjustRightInd w:val="0"/>
        <w:spacing w:line="360" w:lineRule="auto"/>
        <w:ind w:left="265" w:leftChars="119" w:hanging="15"/>
        <w:rPr>
          <w:rFonts w:ascii="宋体" w:hAnsi="宋体" w:eastAsia="宋体" w:cs="宋体"/>
          <w:color w:val="auto"/>
          <w:szCs w:val="21"/>
          <w:highlight w:val="none"/>
        </w:rPr>
      </w:pPr>
    </w:p>
    <w:p w14:paraId="06864064">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8" w:name="_Toc9411_WPSOffice_Level3"/>
      <w:bookmarkStart w:id="99" w:name="_Toc8169"/>
      <w:bookmarkStart w:id="100" w:name="_Toc486167677"/>
      <w:bookmarkStart w:id="101" w:name="_Toc450662863"/>
      <w:bookmarkStart w:id="102" w:name="_Toc160099447"/>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证明响应供应商的合格性和资格的声明文件</w:t>
      </w:r>
      <w:bookmarkEnd w:id="98"/>
      <w:bookmarkEnd w:id="99"/>
      <w:bookmarkEnd w:id="100"/>
      <w:bookmarkEnd w:id="101"/>
      <w:bookmarkEnd w:id="102"/>
    </w:p>
    <w:p w14:paraId="7F9744E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根据第2条、第13.2款规定，响应供应商须提交证明其有资格进行响应和有能力履行合同的文件，作为响应文件的一部分。</w:t>
      </w:r>
    </w:p>
    <w:p w14:paraId="34F025C4">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13.2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供应商提供的履行合同的资格声明文件应符合：</w:t>
      </w:r>
    </w:p>
    <w:p w14:paraId="22826CFB">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文件合格供应商应当具备的条件；</w:t>
      </w:r>
    </w:p>
    <w:p w14:paraId="51641C88">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供应商具有履行本项目所必须的证明文件；</w:t>
      </w:r>
    </w:p>
    <w:p w14:paraId="668F753A">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供应商证明其相应资格符合或优于</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val="zh-CN"/>
        </w:rPr>
        <w:t>文件要求的其它文件。</w:t>
      </w:r>
    </w:p>
    <w:p w14:paraId="0181744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响应供应商</w:t>
      </w:r>
      <w:r>
        <w:rPr>
          <w:rFonts w:hint="eastAsia" w:ascii="宋体" w:hAnsi="宋体" w:eastAsia="宋体" w:cs="Times New Roman"/>
          <w:color w:val="auto"/>
          <w:szCs w:val="21"/>
          <w:highlight w:val="none"/>
          <w:lang w:val="zh-CN"/>
        </w:rPr>
        <w:t>根据谈判文件载明的货物和服务要求的实际情况，拟在成交后将成交项目的非主体、非关键性专业工作交由他人完成的，应当在响应文件中载明，并提供他人的资质、能力证明材料</w:t>
      </w:r>
      <w:r>
        <w:rPr>
          <w:rFonts w:hint="eastAsia" w:ascii="宋体" w:hAnsi="宋体" w:eastAsia="宋体" w:cs="宋体"/>
          <w:color w:val="auto"/>
          <w:szCs w:val="21"/>
          <w:highlight w:val="none"/>
          <w:lang w:val="zh-CN"/>
        </w:rPr>
        <w:t>。</w:t>
      </w:r>
    </w:p>
    <w:p w14:paraId="1AC4E0E8">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3BE5937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3" w:name="_Toc27771_WPSOffice_Level3"/>
      <w:bookmarkStart w:id="104" w:name="_Toc450662864"/>
      <w:bookmarkStart w:id="105" w:name="_Toc16937"/>
      <w:bookmarkStart w:id="106" w:name="_Toc486167678"/>
      <w:bookmarkStart w:id="107" w:name="_Toc16009944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证明货物和服务的合格性并符合谈判文件规定的声明文件</w:t>
      </w:r>
      <w:bookmarkEnd w:id="103"/>
      <w:bookmarkEnd w:id="104"/>
      <w:bookmarkEnd w:id="105"/>
      <w:bookmarkEnd w:id="106"/>
      <w:bookmarkEnd w:id="107"/>
    </w:p>
    <w:p w14:paraId="05E630AD">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条规定，响应供应商须提交证明其拟供货物的合格性并符合谈判文件规定的声明文件，作为响应文件的一部分。</w:t>
      </w:r>
    </w:p>
    <w:p w14:paraId="12448C5E">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w:t>
      </w:r>
      <w:r>
        <w:rPr>
          <w:rFonts w:hint="eastAsia" w:ascii="宋体" w:hAnsi="宋体" w:eastAsia="宋体" w:cs="宋体"/>
          <w:color w:val="auto"/>
          <w:szCs w:val="21"/>
          <w:highlight w:val="none"/>
          <w:lang w:val="zh-CN"/>
        </w:rPr>
        <w:t>和服务与谈判文件的要求相一致的文件可以是文字资料、图纸和数据资料。</w:t>
      </w:r>
    </w:p>
    <w:p w14:paraId="4F86B126">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供应商应注意本竞争性谈判文件在《用户需求书》中对服务要求的说明只是概括性的，不能理解为所需要的全部服务的要求，供应商应按国家、行业相关技术标准、规范和以往的服务经验，合格优质的完成采购内容和包含的全部服务。凡标有“★”的地方均被视为重要的技术指标要求或性能要求。供应商要特别加以注意，必须对此回答并完全满足这些要求，否则若有一项带“★”的条款未响应或不满足，将按无效响应处理。</w:t>
      </w:r>
    </w:p>
    <w:p w14:paraId="4B356FC5">
      <w:pPr>
        <w:autoSpaceDE w:val="0"/>
        <w:autoSpaceDN w:val="0"/>
        <w:adjustRightInd w:val="0"/>
        <w:spacing w:line="360" w:lineRule="auto"/>
        <w:rPr>
          <w:rFonts w:ascii="宋体" w:hAnsi="宋体" w:eastAsia="宋体" w:cs="Times New Roman"/>
          <w:color w:val="auto"/>
          <w:kern w:val="0"/>
          <w:sz w:val="24"/>
          <w:szCs w:val="24"/>
          <w:highlight w:val="none"/>
        </w:rPr>
      </w:pPr>
    </w:p>
    <w:p w14:paraId="330D594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8" w:name="_Toc5356_WPSOffice_Level3"/>
      <w:bookmarkStart w:id="109" w:name="_Toc486167679"/>
      <w:bookmarkStart w:id="110" w:name="_Toc160099449"/>
      <w:bookmarkStart w:id="111" w:name="_Toc12647"/>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响应保证金</w:t>
      </w:r>
      <w:bookmarkEnd w:id="108"/>
      <w:bookmarkEnd w:id="109"/>
      <w:bookmarkEnd w:id="110"/>
      <w:bookmarkEnd w:id="111"/>
    </w:p>
    <w:p w14:paraId="4C452F6B">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kern w:val="0"/>
          <w:szCs w:val="21"/>
          <w:highlight w:val="none"/>
          <w:lang w:eastAsia="zh-CN"/>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供应商响应时须附有响应保证金</w:t>
      </w:r>
      <w:r>
        <w:rPr>
          <w:rFonts w:hint="eastAsia" w:ascii="宋体" w:hAnsi="宋体" w:eastAsia="宋体" w:cs="宋体"/>
          <w:b/>
          <w:bCs/>
          <w:color w:val="auto"/>
          <w:kern w:val="0"/>
          <w:szCs w:val="21"/>
          <w:highlight w:val="none"/>
          <w:u w:val="single"/>
          <w:lang w:val="en-US" w:eastAsia="zh-CN"/>
        </w:rPr>
        <w:t>15,000.00</w:t>
      </w:r>
      <w:r>
        <w:rPr>
          <w:rFonts w:hint="eastAsia" w:ascii="宋体" w:hAnsi="宋体" w:eastAsia="宋体" w:cs="宋体"/>
          <w:b/>
          <w:bCs/>
          <w:color w:val="auto"/>
          <w:kern w:val="0"/>
          <w:szCs w:val="21"/>
          <w:highlight w:val="none"/>
          <w:u w:val="single"/>
          <w:lang w:val="zh-CN"/>
        </w:rPr>
        <w:t xml:space="preserve"> </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eastAsia="zh-CN"/>
        </w:rPr>
        <w:t>壹万伍仟元整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lang w:eastAsia="zh-CN"/>
        </w:rPr>
        <w:t>，本项目响应保证金适用所有包组，供应商参加本项目一个包或多个包的投标时，仅须提交一次响应保证金，无须按照本项目包组重复提交响应保证金。</w:t>
      </w:r>
    </w:p>
    <w:p w14:paraId="47360069">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供应商</w:t>
      </w:r>
      <w:r>
        <w:rPr>
          <w:rFonts w:hint="eastAsia" w:ascii="宋体" w:hAnsi="宋体" w:eastAsia="宋体" w:cs="宋体"/>
          <w:color w:val="auto"/>
          <w:kern w:val="0"/>
          <w:szCs w:val="21"/>
          <w:highlight w:val="none"/>
        </w:rPr>
        <w:t>应按要求提交</w:t>
      </w:r>
      <w:r>
        <w:rPr>
          <w:rFonts w:hint="eastAsia" w:ascii="宋体" w:hAnsi="宋体" w:eastAsia="宋体" w:cs="宋体"/>
          <w:color w:val="auto"/>
          <w:kern w:val="0"/>
          <w:szCs w:val="21"/>
          <w:highlight w:val="none"/>
          <w:lang w:eastAsia="zh-CN"/>
        </w:rPr>
        <w:t>响应保证金</w:t>
      </w:r>
      <w:r>
        <w:rPr>
          <w:rFonts w:hint="eastAsia" w:ascii="宋体" w:hAnsi="宋体" w:eastAsia="宋体" w:cs="宋体"/>
          <w:color w:val="auto"/>
          <w:kern w:val="0"/>
          <w:szCs w:val="21"/>
          <w:highlight w:val="none"/>
        </w:rPr>
        <w:t>，</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必须通过本单位银行基本账户采用银行转账、电汇形式缴交，</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与交款人名称必须一致，非</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缴纳的或未通过其基本账户提交的</w:t>
      </w:r>
      <w:r>
        <w:rPr>
          <w:rFonts w:hint="eastAsia" w:ascii="宋体" w:hAnsi="宋体" w:eastAsia="宋体" w:cs="Times New Roman"/>
          <w:b/>
          <w:color w:val="auto"/>
          <w:kern w:val="0"/>
          <w:szCs w:val="21"/>
          <w:highlight w:val="none"/>
          <w:u w:val="single"/>
          <w:lang w:eastAsia="zh-CN"/>
        </w:rPr>
        <w:t>响应保证金</w:t>
      </w:r>
      <w:r>
        <w:rPr>
          <w:rFonts w:hint="eastAsia" w:ascii="宋体" w:hAnsi="宋体" w:eastAsia="宋体" w:cs="Times New Roman"/>
          <w:b/>
          <w:color w:val="auto"/>
          <w:kern w:val="0"/>
          <w:szCs w:val="21"/>
          <w:highlight w:val="none"/>
          <w:u w:val="single"/>
        </w:rPr>
        <w:t>无效</w:t>
      </w:r>
      <w:r>
        <w:rPr>
          <w:rFonts w:hint="eastAsia" w:ascii="宋体" w:hAnsi="宋体" w:eastAsia="宋体" w:cs="宋体"/>
          <w:b/>
          <w:color w:val="auto"/>
          <w:kern w:val="0"/>
          <w:szCs w:val="21"/>
          <w:highlight w:val="none"/>
        </w:rPr>
        <w:t>。</w:t>
      </w:r>
    </w:p>
    <w:p w14:paraId="692E6245">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27A7DEB0">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并注明采购编号</w:t>
      </w:r>
      <w:r>
        <w:rPr>
          <w:rFonts w:hint="eastAsia" w:ascii="宋体" w:hAnsi="宋体" w:eastAsia="宋体" w:cs="宋体"/>
          <w:color w:val="auto"/>
          <w:kern w:val="0"/>
          <w:szCs w:val="21"/>
          <w:highlight w:val="none"/>
        </w:rPr>
        <w:t>。</w:t>
      </w:r>
    </w:p>
    <w:p w14:paraId="245CF97B">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开户名称：东莞市水务集团供水有限公司</w:t>
      </w:r>
    </w:p>
    <w:p w14:paraId="7889B8A5">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w:t>
      </w:r>
      <w:r>
        <w:rPr>
          <w:rFonts w:hint="eastAsia" w:ascii="宋体" w:hAnsi="宋体" w:eastAsia="宋体" w:cs="Times New Roman"/>
          <w:b w:val="0"/>
          <w:bCs w:val="0"/>
          <w:color w:val="auto"/>
          <w:kern w:val="0"/>
          <w:szCs w:val="21"/>
          <w:highlight w:val="none"/>
          <w:lang w:val="zh-CN"/>
        </w:rPr>
        <w:t>工商银行东莞城区支行</w:t>
      </w:r>
    </w:p>
    <w:p w14:paraId="2F3D66BF">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银行账号：2010020119000060928</w:t>
      </w:r>
    </w:p>
    <w:p w14:paraId="5057C415">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lang w:eastAsia="zh-CN"/>
        </w:rPr>
        <w:t>响应保证金</w:t>
      </w:r>
      <w:r>
        <w:rPr>
          <w:rFonts w:hint="eastAsia" w:ascii="宋体" w:hAnsi="宋体" w:eastAsia="宋体" w:cs="宋体"/>
          <w:b/>
          <w:color w:val="auto"/>
          <w:kern w:val="0"/>
          <w:szCs w:val="21"/>
          <w:highlight w:val="none"/>
          <w:u w:val="single"/>
        </w:rPr>
        <w:t>未按规定时间到达指定账户或提交金额不足的，将被视为无效</w:t>
      </w:r>
      <w:r>
        <w:rPr>
          <w:rFonts w:hint="eastAsia" w:ascii="宋体" w:hAnsi="宋体" w:eastAsia="宋体" w:cs="宋体"/>
          <w:b/>
          <w:color w:val="auto"/>
          <w:kern w:val="0"/>
          <w:szCs w:val="21"/>
          <w:highlight w:val="none"/>
          <w:u w:val="single"/>
          <w:lang w:eastAsia="zh-CN"/>
        </w:rPr>
        <w:t>响应保证金</w:t>
      </w:r>
      <w:r>
        <w:rPr>
          <w:rFonts w:hint="eastAsia" w:ascii="宋体" w:hAnsi="宋体" w:eastAsia="宋体" w:cs="宋体"/>
          <w:b/>
          <w:color w:val="auto"/>
          <w:kern w:val="0"/>
          <w:szCs w:val="21"/>
          <w:highlight w:val="none"/>
        </w:rPr>
        <w:t>。</w:t>
      </w:r>
    </w:p>
    <w:p w14:paraId="6B7880D7">
      <w:pPr>
        <w:autoSpaceDE w:val="0"/>
        <w:autoSpaceDN w:val="0"/>
        <w:adjustRightInd w:val="0"/>
        <w:spacing w:line="360" w:lineRule="auto"/>
        <w:ind w:left="357" w:leftChars="-100" w:hanging="567" w:hangingChars="270"/>
        <w:jc w:val="left"/>
        <w:rPr>
          <w:rFonts w:hint="eastAsia" w:ascii="宋体" w:hAnsi="宋体" w:eastAsia="宋体" w:cs="宋体"/>
          <w:b/>
          <w:bCs/>
          <w:color w:val="auto"/>
          <w:kern w:val="0"/>
          <w:szCs w:val="24"/>
          <w:highlight w:val="none"/>
          <w:lang w:eastAsia="zh-CN"/>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w:t>
      </w:r>
      <w:r>
        <w:rPr>
          <w:rFonts w:hint="eastAsia" w:ascii="宋体" w:hAnsi="宋体" w:eastAsia="宋体" w:cs="宋体"/>
          <w:b/>
          <w:color w:val="auto"/>
          <w:kern w:val="0"/>
          <w:szCs w:val="24"/>
          <w:highlight w:val="none"/>
          <w:u w:val="single"/>
          <w:lang w:eastAsia="zh-CN"/>
        </w:rPr>
        <w:t>响应保证金</w:t>
      </w:r>
      <w:r>
        <w:rPr>
          <w:rFonts w:hint="eastAsia" w:ascii="宋体" w:hAnsi="宋体" w:eastAsia="宋体" w:cs="宋体"/>
          <w:b/>
          <w:color w:val="auto"/>
          <w:kern w:val="0"/>
          <w:szCs w:val="24"/>
          <w:highlight w:val="none"/>
          <w:u w:val="single"/>
        </w:rPr>
        <w:t>的投标，将被视为无效投标</w:t>
      </w:r>
      <w:r>
        <w:rPr>
          <w:rFonts w:hint="eastAsia" w:ascii="宋体" w:hAnsi="宋体" w:eastAsia="宋体" w:cs="宋体"/>
          <w:b/>
          <w:color w:val="auto"/>
          <w:kern w:val="0"/>
          <w:szCs w:val="24"/>
          <w:highlight w:val="none"/>
        </w:rPr>
        <w:t>。为更快捷将响应保证金关联到本项目，供应商应在转账时注明采购编号及号，否则因此导致的无法识别响应保证金对应项目及等不利后果将由供应商承担</w:t>
      </w:r>
      <w:r>
        <w:rPr>
          <w:rFonts w:hint="eastAsia" w:ascii="宋体" w:hAnsi="宋体" w:eastAsia="宋体" w:cs="宋体"/>
          <w:b/>
          <w:color w:val="auto"/>
          <w:kern w:val="0"/>
          <w:szCs w:val="24"/>
          <w:highlight w:val="none"/>
          <w:lang w:eastAsia="zh-CN"/>
        </w:rPr>
        <w:t>。</w:t>
      </w:r>
    </w:p>
    <w:p w14:paraId="43901EF0">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成交</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响应保证金</w:t>
      </w:r>
      <w:r>
        <w:rPr>
          <w:rFonts w:hint="eastAsia" w:ascii="宋体" w:hAnsi="宋体" w:eastAsia="宋体" w:cs="宋体"/>
          <w:color w:val="auto"/>
          <w:kern w:val="0"/>
          <w:szCs w:val="21"/>
          <w:highlight w:val="none"/>
        </w:rPr>
        <w:t>，最迟应在本项目的书面合同签订后5日内，按照其</w:t>
      </w:r>
      <w:r>
        <w:rPr>
          <w:rFonts w:hint="eastAsia" w:ascii="宋体" w:hAnsi="宋体" w:eastAsia="宋体" w:cs="宋体"/>
          <w:color w:val="auto"/>
          <w:kern w:val="0"/>
          <w:szCs w:val="21"/>
          <w:highlight w:val="none"/>
          <w:lang w:eastAsia="zh-CN"/>
        </w:rPr>
        <w:t>响应保证金</w:t>
      </w:r>
      <w:r>
        <w:rPr>
          <w:rFonts w:hint="eastAsia" w:ascii="宋体" w:hAnsi="宋体" w:eastAsia="宋体" w:cs="宋体"/>
          <w:color w:val="auto"/>
          <w:kern w:val="0"/>
          <w:szCs w:val="21"/>
          <w:highlight w:val="none"/>
        </w:rPr>
        <w:t>支付凭证上注明的收款人名称和账号予以退还，除非</w:t>
      </w:r>
      <w:r>
        <w:rPr>
          <w:rFonts w:hint="eastAsia" w:ascii="宋体" w:hAnsi="宋体" w:eastAsia="宋体" w:cs="Times New Roman"/>
          <w:color w:val="auto"/>
          <w:kern w:val="0"/>
          <w:szCs w:val="21"/>
          <w:highlight w:val="none"/>
          <w:lang w:eastAsia="zh-CN"/>
        </w:rPr>
        <w:t>响应保证金</w:t>
      </w:r>
      <w:r>
        <w:rPr>
          <w:rFonts w:hint="eastAsia" w:ascii="宋体" w:hAnsi="宋体" w:eastAsia="宋体" w:cs="宋体"/>
          <w:color w:val="auto"/>
          <w:kern w:val="0"/>
          <w:szCs w:val="21"/>
          <w:highlight w:val="none"/>
        </w:rPr>
        <w:t>有效期已延长。</w:t>
      </w:r>
    </w:p>
    <w:p w14:paraId="31B9F56A">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lang w:eastAsia="zh-CN"/>
        </w:rPr>
        <w:t>成交人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响应保证金</w:t>
      </w:r>
      <w:r>
        <w:rPr>
          <w:rFonts w:hint="eastAsia" w:ascii="宋体" w:hAnsi="宋体" w:eastAsia="宋体" w:cs="宋体"/>
          <w:color w:val="auto"/>
          <w:kern w:val="0"/>
          <w:szCs w:val="21"/>
          <w:highlight w:val="none"/>
        </w:rPr>
        <w:t>，满足下列要求，并最迟应在本项目的书面合同签订后5日内退还。</w:t>
      </w:r>
    </w:p>
    <w:p w14:paraId="3D5C62D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成交人</w:t>
      </w:r>
      <w:r>
        <w:rPr>
          <w:rFonts w:hint="eastAsia" w:ascii="宋体" w:hAnsi="宋体" w:eastAsia="宋体" w:cs="宋体"/>
          <w:color w:val="auto"/>
          <w:szCs w:val="21"/>
          <w:highlight w:val="none"/>
          <w:lang w:val="zh-CN"/>
        </w:rPr>
        <w:t>提交了履约担保；</w:t>
      </w:r>
    </w:p>
    <w:p w14:paraId="3918D995">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w:t>
      </w:r>
      <w:r>
        <w:rPr>
          <w:rFonts w:hint="eastAsia" w:ascii="宋体" w:hAnsi="宋体" w:eastAsia="宋体" w:cs="宋体"/>
          <w:color w:val="auto"/>
          <w:kern w:val="0"/>
          <w:szCs w:val="21"/>
          <w:highlight w:val="none"/>
          <w:lang w:val="en-US" w:eastAsia="zh-CN"/>
        </w:rPr>
        <w:t>谈判</w:t>
      </w:r>
      <w:r>
        <w:rPr>
          <w:rFonts w:hint="eastAsia" w:ascii="宋体" w:hAnsi="宋体" w:eastAsia="宋体" w:cs="宋体"/>
          <w:color w:val="auto"/>
          <w:kern w:val="0"/>
          <w:szCs w:val="21"/>
          <w:highlight w:val="none"/>
        </w:rPr>
        <w:t>文件或《中华人民共和国招标投标法》及其实施条例等规定的行为。</w:t>
      </w:r>
    </w:p>
    <w:p w14:paraId="1EE67243">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w:t>
      </w:r>
      <w:r>
        <w:rPr>
          <w:rFonts w:hint="eastAsia" w:ascii="宋体" w:hAnsi="宋体" w:eastAsia="宋体" w:cs="宋体"/>
          <w:color w:val="auto"/>
          <w:kern w:val="0"/>
          <w:szCs w:val="20"/>
          <w:highlight w:val="none"/>
          <w:lang w:eastAsia="zh-CN"/>
        </w:rPr>
        <w:t>采购人</w:t>
      </w:r>
      <w:r>
        <w:rPr>
          <w:rFonts w:hint="eastAsia" w:ascii="宋体" w:hAnsi="宋体" w:eastAsia="宋体" w:cs="宋体"/>
          <w:color w:val="auto"/>
          <w:kern w:val="0"/>
          <w:szCs w:val="20"/>
          <w:highlight w:val="none"/>
        </w:rPr>
        <w:t>在书面通知</w:t>
      </w:r>
      <w:r>
        <w:rPr>
          <w:rFonts w:hint="eastAsia" w:ascii="宋体" w:hAnsi="宋体" w:eastAsia="宋体" w:cs="宋体"/>
          <w:color w:val="auto"/>
          <w:kern w:val="0"/>
          <w:szCs w:val="20"/>
          <w:highlight w:val="none"/>
          <w:lang w:eastAsia="zh-CN"/>
        </w:rPr>
        <w:t>供应商</w:t>
      </w:r>
      <w:r>
        <w:rPr>
          <w:rFonts w:hint="eastAsia" w:ascii="宋体" w:hAnsi="宋体" w:eastAsia="宋体" w:cs="宋体"/>
          <w:color w:val="auto"/>
          <w:kern w:val="0"/>
          <w:szCs w:val="20"/>
          <w:highlight w:val="none"/>
        </w:rPr>
        <w:t>（或</w:t>
      </w:r>
      <w:r>
        <w:rPr>
          <w:rFonts w:hint="eastAsia" w:ascii="宋体" w:hAnsi="宋体" w:eastAsia="宋体" w:cs="宋体"/>
          <w:color w:val="auto"/>
          <w:kern w:val="0"/>
          <w:szCs w:val="20"/>
          <w:highlight w:val="none"/>
          <w:lang w:eastAsia="zh-CN"/>
        </w:rPr>
        <w:t>成交人</w:t>
      </w:r>
      <w:r>
        <w:rPr>
          <w:rFonts w:hint="eastAsia" w:ascii="宋体" w:hAnsi="宋体" w:eastAsia="宋体" w:cs="宋体"/>
          <w:color w:val="auto"/>
          <w:kern w:val="0"/>
          <w:szCs w:val="20"/>
          <w:highlight w:val="none"/>
        </w:rPr>
        <w:t>）后有权不予退还</w:t>
      </w:r>
      <w:r>
        <w:rPr>
          <w:rFonts w:hint="eastAsia" w:ascii="宋体" w:hAnsi="宋体" w:eastAsia="宋体" w:cs="宋体"/>
          <w:color w:val="auto"/>
          <w:kern w:val="0"/>
          <w:szCs w:val="20"/>
          <w:highlight w:val="none"/>
          <w:lang w:eastAsia="zh-CN"/>
        </w:rPr>
        <w:t>响应保证金</w:t>
      </w:r>
      <w:r>
        <w:rPr>
          <w:rFonts w:hint="eastAsia" w:ascii="宋体" w:hAnsi="宋体" w:eastAsia="宋体" w:cs="宋体"/>
          <w:color w:val="auto"/>
          <w:kern w:val="0"/>
          <w:szCs w:val="20"/>
          <w:highlight w:val="none"/>
        </w:rPr>
        <w:t>：</w:t>
      </w:r>
    </w:p>
    <w:p w14:paraId="45B186AC">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成交</w:t>
      </w:r>
      <w:r>
        <w:rPr>
          <w:rFonts w:hint="eastAsia" w:ascii="宋体" w:hAnsi="宋体" w:eastAsia="宋体" w:cs="宋体"/>
          <w:color w:val="auto"/>
          <w:kern w:val="0"/>
          <w:szCs w:val="24"/>
          <w:highlight w:val="none"/>
        </w:rPr>
        <w:t>人）：</w:t>
      </w:r>
    </w:p>
    <w:p w14:paraId="57A5BD8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szCs w:val="21"/>
          <w:highlight w:val="none"/>
          <w:lang w:val="zh-CN"/>
        </w:rPr>
        <w:t>在规定的投标截止时间后至投标有效期满之前撤销或修改其投标文件；</w:t>
      </w:r>
    </w:p>
    <w:p w14:paraId="166F4D9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（2）成交人未能在规定期限内提交履约担保；</w:t>
      </w:r>
    </w:p>
    <w:p w14:paraId="19A6595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4E072C4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lang w:val="zh-CN"/>
        </w:rPr>
        <w:t>项目转让给他人，或者在投标文件中未说明，且未经采购人同意，将</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lang w:val="zh-CN"/>
        </w:rPr>
        <w:t>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26D5CEB5">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38213220">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28FF7C9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2" w:name="_Toc450662865"/>
      <w:bookmarkStart w:id="113" w:name="_Toc22649_WPSOffice_Level3"/>
      <w:bookmarkStart w:id="114" w:name="_Toc160099450"/>
      <w:bookmarkStart w:id="115" w:name="_Toc20961"/>
      <w:bookmarkStart w:id="116" w:name="_Toc48616768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响应有效期</w:t>
      </w:r>
      <w:bookmarkEnd w:id="112"/>
      <w:bookmarkEnd w:id="113"/>
      <w:bookmarkEnd w:id="114"/>
      <w:bookmarkEnd w:id="115"/>
      <w:bookmarkEnd w:id="116"/>
    </w:p>
    <w:p w14:paraId="66FA7625">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响应文件的有效期为从响应文件提交截止之日起90</w:t>
      </w:r>
      <w:r>
        <w:rPr>
          <w:rFonts w:hint="eastAsia" w:ascii="宋体" w:hAnsi="宋体" w:eastAsia="宋体" w:cs="宋体"/>
          <w:b/>
          <w:bCs/>
          <w:color w:val="auto"/>
          <w:szCs w:val="21"/>
          <w:highlight w:val="none"/>
          <w:u w:val="single"/>
          <w:lang w:val="en-US" w:eastAsia="zh-CN"/>
        </w:rPr>
        <w:t>个</w:t>
      </w:r>
      <w:r>
        <w:rPr>
          <w:rFonts w:hint="eastAsia" w:ascii="宋体" w:hAnsi="宋体" w:eastAsia="宋体" w:cs="宋体"/>
          <w:b/>
          <w:bCs/>
          <w:color w:val="auto"/>
          <w:szCs w:val="21"/>
          <w:highlight w:val="none"/>
          <w:u w:val="single"/>
          <w:lang w:val="zh-CN"/>
        </w:rPr>
        <w:t>日历天。响应有效期比规定时间短的可以视为无效响应</w:t>
      </w:r>
      <w:r>
        <w:rPr>
          <w:rFonts w:hint="eastAsia" w:ascii="宋体" w:hAnsi="宋体" w:eastAsia="宋体" w:cs="宋体"/>
          <w:b/>
          <w:bCs/>
          <w:color w:val="auto"/>
          <w:szCs w:val="21"/>
          <w:highlight w:val="none"/>
          <w:lang w:val="zh-CN"/>
        </w:rPr>
        <w:t>。</w:t>
      </w:r>
    </w:p>
    <w:p w14:paraId="36EDFC3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成交人的响应文件作为合同附件，合同失效时同时失效。</w:t>
      </w:r>
    </w:p>
    <w:p w14:paraId="11A9D9E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在特殊情况下，采购代理机构可于响应有效期满之前要求响应供应商同意延长响应文件有效期。要求与答复均应为书面形式往来。响应供应商可以拒绝上述要求</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采购人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其响应保证金。对于同意该要求的响应供应商，既不要求也不允许其修改响应文件，但将要求其相应延长响应保证金的有效期。第15条响应保证金的有关规定在响应保证金延长期内仍适用。</w:t>
      </w:r>
    </w:p>
    <w:p w14:paraId="14EE0C94">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5CC3E91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7" w:name="_Toc25637_WPSOffice_Level3"/>
      <w:bookmarkStart w:id="118" w:name="_Toc160099451"/>
      <w:bookmarkStart w:id="119" w:name="_Toc486167681"/>
      <w:bookmarkStart w:id="120" w:name="_Toc5444"/>
      <w:bookmarkStart w:id="121" w:name="_Toc450662866"/>
      <w:bookmarkStart w:id="122" w:name="_Toc22356_WPSOffice_Level2"/>
      <w:bookmarkStart w:id="123" w:name="_Toc140596891"/>
      <w:bookmarkStart w:id="124" w:name="_Toc486167682"/>
      <w:bookmarkStart w:id="125" w:name="_Toc160099452"/>
      <w:bookmarkStart w:id="126" w:name="_Toc450662867"/>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响应文件的式样和签署</w:t>
      </w:r>
      <w:bookmarkEnd w:id="117"/>
      <w:bookmarkEnd w:id="118"/>
      <w:bookmarkEnd w:id="119"/>
      <w:bookmarkEnd w:id="120"/>
      <w:bookmarkEnd w:id="121"/>
    </w:p>
    <w:p w14:paraId="6B81CD8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响应供应商应准备</w:t>
      </w:r>
      <w:r>
        <w:rPr>
          <w:rFonts w:hint="eastAsia" w:ascii="宋体" w:hAnsi="宋体" w:eastAsia="宋体" w:cs="Times New Roman"/>
          <w:b/>
          <w:color w:val="auto"/>
          <w:szCs w:val="21"/>
          <w:highlight w:val="none"/>
          <w:u w:val="single"/>
          <w:lang w:val="zh-CN"/>
        </w:rPr>
        <w:t>一份响应文件电子文件、</w:t>
      </w:r>
      <w:r>
        <w:rPr>
          <w:rFonts w:hint="eastAsia" w:ascii="宋体" w:hAnsi="宋体" w:eastAsia="宋体" w:cs="宋体"/>
          <w:b/>
          <w:color w:val="auto"/>
          <w:szCs w:val="21"/>
          <w:highlight w:val="none"/>
          <w:u w:val="single"/>
          <w:lang w:val="zh-CN"/>
        </w:rPr>
        <w:t>一份正本和五份副本“响应文件”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在每一份纸质响应文件上编上目录（目录内的页码必须与实际内容对应）、页次，装订成册（不允许使用活页夹），并要明确注明“正本”或“副本”，一旦正本和副本发现差异，以正本为准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4B7211A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响应文件正本和副本须打印或用不褪色墨水书写，谈判文件提供的格式文件或响应文件中明确要求签署的，由响应供应商法定代表人或其授权代表签字（或盖私章），后者须将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以书面形式附在响应文件中。</w:t>
      </w:r>
      <w:r>
        <w:rPr>
          <w:rFonts w:hint="eastAsia" w:ascii="宋体" w:hAnsi="宋体" w:eastAsia="宋体" w:cs="Times New Roman"/>
          <w:color w:val="auto"/>
          <w:szCs w:val="21"/>
          <w:highlight w:val="none"/>
          <w:lang w:val="zh-CN"/>
        </w:rPr>
        <w:t>副本文件可由正本文件复印而成。</w:t>
      </w:r>
    </w:p>
    <w:p w14:paraId="7D7D428F">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除响应供应商对错处作必要修改外，响应文件中不许有加行、涂抹或改写。</w:t>
      </w:r>
      <w:r>
        <w:rPr>
          <w:rFonts w:hint="eastAsia" w:ascii="宋体" w:hAnsi="宋体" w:eastAsia="宋体" w:cs="宋体"/>
          <w:bCs/>
          <w:color w:val="auto"/>
          <w:szCs w:val="21"/>
          <w:highlight w:val="none"/>
          <w:lang w:val="zh-CN"/>
        </w:rPr>
        <w:t>若有修改须由签署响应文件的人进行签字（或盖私章），并加盖响应供应商</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429FC459">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响应文件的封面应注明“项目名称、采购编号、响应供应商名称、响应日期等”。</w:t>
      </w:r>
    </w:p>
    <w:p w14:paraId="5509D463">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响应文件</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内（若电子文件单独密封，其包装封面需注明项目名称、采购编号、响应供应商单位名称，并加盖响应供应商法人公章）</w:t>
      </w:r>
      <w:r>
        <w:rPr>
          <w:rFonts w:hint="eastAsia" w:ascii="宋体" w:hAnsi="宋体" w:eastAsia="宋体" w:cs="宋体"/>
          <w:color w:val="auto"/>
          <w:szCs w:val="21"/>
          <w:highlight w:val="none"/>
          <w:lang w:val="zh-CN"/>
        </w:rPr>
        <w:t>。</w:t>
      </w:r>
    </w:p>
    <w:p w14:paraId="2428510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lang w:val="zh-CN"/>
        </w:rPr>
        <w:t>概不接受。</w:t>
      </w:r>
    </w:p>
    <w:p w14:paraId="2D5069F9">
      <w:pPr>
        <w:autoSpaceDE w:val="0"/>
        <w:autoSpaceDN w:val="0"/>
        <w:adjustRightInd w:val="0"/>
        <w:jc w:val="left"/>
        <w:rPr>
          <w:rFonts w:ascii="宋体" w:hAnsi="宋体" w:eastAsia="宋体" w:cs="宋体"/>
          <w:color w:val="auto"/>
          <w:kern w:val="0"/>
          <w:sz w:val="24"/>
          <w:szCs w:val="24"/>
          <w:highlight w:val="none"/>
        </w:rPr>
      </w:pPr>
    </w:p>
    <w:p w14:paraId="1F0349EB">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27" w:name="_Toc20056"/>
      <w:r>
        <w:rPr>
          <w:rFonts w:hint="eastAsia" w:ascii="宋体" w:hAnsi="宋体" w:eastAsia="宋体" w:cs="宋体"/>
          <w:b/>
          <w:bCs/>
          <w:color w:val="auto"/>
          <w:kern w:val="44"/>
          <w:szCs w:val="21"/>
          <w:highlight w:val="none"/>
          <w:lang w:val="zh-CN"/>
        </w:rPr>
        <w:t>四、响应文件的递交</w:t>
      </w:r>
      <w:bookmarkEnd w:id="122"/>
      <w:bookmarkEnd w:id="123"/>
      <w:bookmarkEnd w:id="124"/>
      <w:bookmarkEnd w:id="125"/>
      <w:bookmarkEnd w:id="126"/>
      <w:bookmarkEnd w:id="127"/>
    </w:p>
    <w:p w14:paraId="6DF4857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8" w:name="_Toc160099453"/>
      <w:bookmarkStart w:id="129" w:name="_Toc486167683"/>
      <w:bookmarkStart w:id="130" w:name="_Toc450662868"/>
      <w:bookmarkStart w:id="131" w:name="_Toc12192_WPSOffice_Level3"/>
      <w:bookmarkStart w:id="132" w:name="_Toc1106"/>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响应文件的密封和标记</w:t>
      </w:r>
      <w:bookmarkEnd w:id="128"/>
      <w:bookmarkEnd w:id="129"/>
      <w:bookmarkEnd w:id="130"/>
      <w:bookmarkEnd w:id="131"/>
      <w:bookmarkEnd w:id="132"/>
    </w:p>
    <w:p w14:paraId="169984D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响应供应商应将正本和副本响应文件密封在不透明的外层封装中。</w:t>
      </w:r>
    </w:p>
    <w:p w14:paraId="1CA2CE7F">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响应文件密封封装标记：</w:t>
      </w:r>
    </w:p>
    <w:p w14:paraId="6807B331">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）外层密封封装表面应正确注明项目名称、采购编号、响应供应商单位名称、并注明响应文件递交截止时间之前不得开封（在封口位置的封条上标注注明），封口位置的封条上须加盖响应供应商法人公章；</w:t>
      </w:r>
    </w:p>
    <w:p w14:paraId="25858202">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）响应文件已密封但不按前述标志封包，由此而引起的提前开封或错放责任由响应供应商承担；</w:t>
      </w:r>
    </w:p>
    <w:p w14:paraId="0A0647A7">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（3）不足以造成响应文件可以从外包装内散出而导致响应文件泄密的，不认定为响应文件未密封。</w:t>
      </w:r>
    </w:p>
    <w:p w14:paraId="66DB944D">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18.3</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密封封装未按本款规定密封和标记，采购代理机构对响应文件的误投或提前拆封不负责任。</w:t>
      </w:r>
    </w:p>
    <w:p w14:paraId="57261D8E">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5F0A2EF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3" w:name="_Toc15857"/>
      <w:bookmarkStart w:id="134" w:name="_Toc160099454"/>
      <w:bookmarkStart w:id="135" w:name="_Toc450662869"/>
      <w:bookmarkStart w:id="136" w:name="_Toc486167684"/>
      <w:bookmarkStart w:id="137" w:name="_Toc29665_WPSOffice_Level3"/>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递交响应文件的截止日期</w:t>
      </w:r>
      <w:bookmarkEnd w:id="133"/>
      <w:bookmarkEnd w:id="134"/>
      <w:bookmarkEnd w:id="135"/>
      <w:bookmarkEnd w:id="136"/>
      <w:bookmarkEnd w:id="137"/>
    </w:p>
    <w:p w14:paraId="0A622C1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采购代理机构</w:t>
      </w:r>
      <w:r>
        <w:rPr>
          <w:rFonts w:hint="eastAsia" w:ascii="宋体" w:hAnsi="宋体" w:eastAsia="宋体" w:cs="Times New Roman"/>
          <w:color w:val="auto"/>
          <w:szCs w:val="21"/>
          <w:highlight w:val="none"/>
          <w:lang w:val="zh-CN"/>
        </w:rPr>
        <w:t>收到响应文件的时间不得迟于第一篇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竞争性谈判公告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5602109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采购代理机构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条的规定修改谈判文件并酌情延长递交响应文件的截止时间，因此，已规定的采购代理机构和响应供应商的一切权利和义务将按延期后的递交响应文件截止时间履行</w:t>
      </w:r>
      <w:r>
        <w:rPr>
          <w:rFonts w:hint="eastAsia" w:ascii="宋体" w:hAnsi="宋体" w:eastAsia="宋体" w:cs="宋体"/>
          <w:color w:val="auto"/>
          <w:szCs w:val="21"/>
          <w:highlight w:val="none"/>
          <w:lang w:val="zh-CN"/>
        </w:rPr>
        <w:t>。</w:t>
      </w:r>
    </w:p>
    <w:p w14:paraId="6B382A93">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6A6817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38" w:name="_Toc450662870"/>
      <w:bookmarkStart w:id="139" w:name="_Toc16604"/>
      <w:bookmarkStart w:id="140" w:name="_Toc160099455"/>
      <w:bookmarkStart w:id="141" w:name="_Toc486167685"/>
      <w:bookmarkStart w:id="142" w:name="_Toc22431_WPSOffice_Level3"/>
      <w:r>
        <w:rPr>
          <w:rFonts w:hint="eastAsia" w:ascii="宋体" w:hAnsi="宋体" w:eastAsia="宋体" w:cs="宋体"/>
          <w:color w:val="auto"/>
          <w:szCs w:val="21"/>
          <w:highlight w:val="none"/>
          <w:lang w:val="zh-CN"/>
        </w:rPr>
        <w:t>20 迟交的响应文件</w:t>
      </w:r>
      <w:bookmarkEnd w:id="138"/>
      <w:bookmarkEnd w:id="139"/>
      <w:bookmarkEnd w:id="140"/>
      <w:bookmarkEnd w:id="141"/>
      <w:bookmarkEnd w:id="142"/>
    </w:p>
    <w:p w14:paraId="0A2083F1">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根据第19条规定，采购代理机构将拒绝任何晚于递交响应文件的截止时间交到的响应文件。</w:t>
      </w:r>
    </w:p>
    <w:p w14:paraId="17AD8102">
      <w:pPr>
        <w:autoSpaceDE w:val="0"/>
        <w:autoSpaceDN w:val="0"/>
        <w:adjustRightInd w:val="0"/>
        <w:jc w:val="left"/>
        <w:rPr>
          <w:rFonts w:ascii="宋体" w:hAnsi="宋体" w:eastAsia="宋体" w:cs="宋体"/>
          <w:color w:val="auto"/>
          <w:kern w:val="0"/>
          <w:sz w:val="24"/>
          <w:szCs w:val="24"/>
          <w:highlight w:val="none"/>
        </w:rPr>
      </w:pPr>
    </w:p>
    <w:p w14:paraId="53F1C71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486167686"/>
      <w:bookmarkStart w:id="144" w:name="_Toc4883_WPSOffice_Level3"/>
      <w:bookmarkStart w:id="145" w:name="_Toc8568"/>
      <w:bookmarkStart w:id="146" w:name="_Toc450662871"/>
      <w:bookmarkStart w:id="147" w:name="_Toc160099456"/>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响应文件的修改和撤回</w:t>
      </w:r>
      <w:bookmarkEnd w:id="143"/>
      <w:bookmarkEnd w:id="144"/>
      <w:bookmarkEnd w:id="145"/>
      <w:bookmarkEnd w:id="146"/>
      <w:bookmarkEnd w:id="147"/>
    </w:p>
    <w:p w14:paraId="4A127FF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响应供应商在提交响应文件后可对其响应文件进行修改或撤回，但采购代理机构须在提交响应文件截止时间前收到该修改或撤回的书面通知。</w:t>
      </w:r>
    </w:p>
    <w:p w14:paraId="0C195A0D">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响应供应商对响应文件的修改或撤回的通知应按第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1B5853CD">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递交响应文件截止时间后不得修改响应文件。</w:t>
      </w:r>
    </w:p>
    <w:p w14:paraId="370424DC">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响应供应商不得在递交响应文件截止时间起至第16条规定的响应文件有效期期满前撤销响应文件。</w:t>
      </w:r>
      <w:r>
        <w:rPr>
          <w:rFonts w:hint="eastAsia" w:ascii="宋体" w:hAnsi="宋体" w:eastAsia="宋体" w:cs="宋体"/>
          <w:color w:val="auto"/>
          <w:szCs w:val="21"/>
          <w:highlight w:val="none"/>
          <w:lang w:val="en-US" w:eastAsia="zh-CN"/>
        </w:rPr>
        <w:t xml:space="preserve">     </w:t>
      </w:r>
    </w:p>
    <w:p w14:paraId="110EBBA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ADC533C">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48" w:name="_Toc140596896"/>
      <w:bookmarkStart w:id="149" w:name="_Toc486167687"/>
      <w:bookmarkStart w:id="150" w:name="_Toc1049_WPSOffice_Level2"/>
      <w:bookmarkStart w:id="151" w:name="_Toc160099457"/>
      <w:bookmarkStart w:id="152" w:name="_Toc450662872"/>
      <w:bookmarkStart w:id="153" w:name="_Toc6525"/>
      <w:r>
        <w:rPr>
          <w:rFonts w:hint="eastAsia" w:ascii="宋体" w:hAnsi="宋体" w:eastAsia="宋体" w:cs="宋体"/>
          <w:b/>
          <w:bCs/>
          <w:color w:val="auto"/>
          <w:kern w:val="44"/>
          <w:szCs w:val="21"/>
          <w:highlight w:val="none"/>
          <w:lang w:val="zh-CN"/>
        </w:rPr>
        <w:t>五、</w:t>
      </w:r>
      <w:bookmarkEnd w:id="148"/>
      <w:bookmarkEnd w:id="149"/>
      <w:bookmarkEnd w:id="150"/>
      <w:bookmarkEnd w:id="151"/>
      <w:bookmarkEnd w:id="152"/>
      <w:r>
        <w:rPr>
          <w:rFonts w:hint="eastAsia" w:ascii="宋体" w:hAnsi="宋体" w:eastAsia="宋体" w:cs="宋体"/>
          <w:b/>
          <w:bCs/>
          <w:color w:val="auto"/>
          <w:kern w:val="44"/>
          <w:szCs w:val="21"/>
          <w:highlight w:val="none"/>
          <w:lang w:val="zh-CN"/>
        </w:rPr>
        <w:t>竞争性谈判流程</w:t>
      </w:r>
      <w:bookmarkEnd w:id="153"/>
    </w:p>
    <w:p w14:paraId="3F3B83E3">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bookmarkStart w:id="154" w:name="_Toc160099458"/>
      <w:bookmarkStart w:id="155" w:name="_Toc450662873"/>
      <w:bookmarkStart w:id="156" w:name="_Toc486167688"/>
      <w:bookmarkStart w:id="157" w:name="_Toc144_WPSOffice_Level3"/>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bookmarkEnd w:id="154"/>
      <w:bookmarkEnd w:id="155"/>
      <w:bookmarkEnd w:id="156"/>
      <w:bookmarkEnd w:id="157"/>
      <w:r>
        <w:rPr>
          <w:rFonts w:hint="eastAsia" w:ascii="宋体" w:hAnsi="宋体" w:eastAsia="宋体" w:cs="宋体"/>
          <w:color w:val="auto"/>
          <w:szCs w:val="21"/>
          <w:highlight w:val="none"/>
          <w:lang w:val="zh-CN"/>
        </w:rPr>
        <w:t>响应文件密封性检查</w:t>
      </w:r>
    </w:p>
    <w:p w14:paraId="6C417DE0">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采购代理机构在供应商代表自愿出席的情况下，在第一篇“竞争性谈判公告”规定的地点和时 间进行响应文件密封性检查，出席代表需登记以示出席。</w:t>
      </w:r>
    </w:p>
    <w:p w14:paraId="1A43FE7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供应商对响应文件密封性检查有异议的，应当在密封性检查现场提出，采购代理机构应当当场作出答复，并制作记录。</w:t>
      </w:r>
    </w:p>
    <w:p w14:paraId="5A83B9E8">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采购代理机构将做密封性检查记录，记录包括第22.2款发生的异议及答复的全部内容</w:t>
      </w:r>
    </w:p>
    <w:p w14:paraId="3A8D2BE7">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0B0FB3DB">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谈判过程的保密性</w:t>
      </w:r>
    </w:p>
    <w:p w14:paraId="2D9A8E1D">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递交响应文件后，直至向成交人授予合同时止，凡与审查、澄清、谈判、评估和比较响应报价 的有关资料以及意见等，均不得向供应商及与谈判无关的其他人透露，否则追究有关当事人的 法律责任。</w:t>
      </w:r>
    </w:p>
    <w:p w14:paraId="3D4FD81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在谈判过程中，如果供应商试图在响应文件审查、澄清、谈判、比较及授予合同方面向采购代 理机构和采购人施加任何影响，其响应文件将被拒绝。</w:t>
      </w:r>
    </w:p>
    <w:p w14:paraId="4E774A68">
      <w:pPr>
        <w:tabs>
          <w:tab w:val="left" w:pos="567"/>
        </w:tabs>
        <w:autoSpaceDE w:val="0"/>
        <w:autoSpaceDN w:val="0"/>
        <w:adjustRightInd w:val="0"/>
        <w:spacing w:line="360" w:lineRule="auto"/>
        <w:ind w:right="15" w:rightChars="7"/>
        <w:rPr>
          <w:rFonts w:ascii="宋体" w:hAnsi="宋体" w:eastAsia="宋体" w:cs="宋体"/>
          <w:color w:val="auto"/>
          <w:szCs w:val="21"/>
          <w:highlight w:val="none"/>
          <w:lang w:val="zh-CN"/>
        </w:rPr>
      </w:pPr>
    </w:p>
    <w:p w14:paraId="325135D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8" w:name="_Toc15565_WPSOffice_Level3"/>
      <w:bookmarkStart w:id="159" w:name="_Toc160099460"/>
      <w:bookmarkStart w:id="160" w:name="_Toc486167690"/>
      <w:bookmarkStart w:id="161" w:name="_Toc8720"/>
      <w:bookmarkStart w:id="162" w:name="_Toc450662875"/>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谈判小组</w:t>
      </w:r>
      <w:bookmarkEnd w:id="158"/>
      <w:bookmarkEnd w:id="159"/>
      <w:bookmarkEnd w:id="160"/>
      <w:bookmarkEnd w:id="161"/>
      <w:bookmarkEnd w:id="162"/>
    </w:p>
    <w:p w14:paraId="165B5AC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依法组建谈判小组。谈判小组的成员在评审过程中必须严格遵守国家及地方招标投标的有关规定。</w:t>
      </w:r>
    </w:p>
    <w:p w14:paraId="06C2579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谈判小组依法根据谈判文件的规定，进行响应文件的评审、得出评审结果，并向采购人推荐成交候选人。</w:t>
      </w:r>
    </w:p>
    <w:p w14:paraId="42E5263B">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6741A5FB">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63" w:name="_Toc450662876"/>
      <w:bookmarkStart w:id="164" w:name="_Toc15327"/>
      <w:bookmarkStart w:id="165" w:name="_Toc160099461"/>
      <w:bookmarkStart w:id="166" w:name="_Toc486167691"/>
      <w:bookmarkStart w:id="167" w:name="_Toc28910_WPSOffice_Level3"/>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响应文件的初审</w:t>
      </w:r>
      <w:bookmarkEnd w:id="163"/>
      <w:bookmarkEnd w:id="164"/>
      <w:bookmarkEnd w:id="165"/>
      <w:bookmarkEnd w:id="166"/>
      <w:bookmarkEnd w:id="167"/>
    </w:p>
    <w:p w14:paraId="6B24B1EC">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资格性检查：依据法律法规和谈判文件的规定，对响应文件中的资格证明、响应保证金等进行审查，以确定响应供应商是否具备响应资格。</w:t>
      </w:r>
    </w:p>
    <w:p w14:paraId="71E6C997">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符合性检查：依据谈判文件的规定，从响应文件的有效性、完整性和对谈判文件的响应程度进行审查，以确定是否对谈判文件的实质性要求作出响应。</w:t>
      </w:r>
    </w:p>
    <w:p w14:paraId="3E7796C4">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2F4AE9A6">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8" w:name="_Toc160099462"/>
      <w:bookmarkStart w:id="169" w:name="_Toc338_WPSOffice_Level3"/>
      <w:bookmarkStart w:id="170" w:name="_Toc486167692"/>
      <w:bookmarkStart w:id="171" w:name="_Toc906"/>
      <w:bookmarkStart w:id="172" w:name="_Toc450662877"/>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响应文件的澄清</w:t>
      </w:r>
      <w:bookmarkEnd w:id="168"/>
      <w:bookmarkEnd w:id="169"/>
      <w:bookmarkEnd w:id="170"/>
      <w:bookmarkEnd w:id="171"/>
      <w:bookmarkEnd w:id="172"/>
    </w:p>
    <w:p w14:paraId="3C3A7C1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响应文件中含义不明确、同类问题表述不一致或者有明显文字和计算错误的内容，谈判小组可以书面形式（应当由谈判小组专家签字）要求响应供应商作出必要的澄清、说明或者纠正。响应供应商的澄清、说明或者补正应当采用书面形式，由其授权的代表签字，并不得超出响应文件的范围或者改变响应文件的实质性内容。</w:t>
      </w:r>
    </w:p>
    <w:p w14:paraId="37A6A5F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ascii="宋体" w:hAnsi="宋体" w:eastAsia="宋体" w:cs="宋体"/>
          <w:color w:val="auto"/>
          <w:szCs w:val="21"/>
          <w:highlight w:val="none"/>
          <w:lang w:val="zh-CN"/>
        </w:rPr>
        <w:t>26.2</w:t>
      </w:r>
      <w:bookmarkStart w:id="173" w:name="_Toc450662879"/>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评审结果公示前，响应供应商法定代表人或法定代表人授权书列明的被授权人的联系电话应保持开机状态，以便在评审期间，谈判小组要求响应供应商对响应文件进行澄清时能够收到有关通知，否则视为响应供应商放弃澄清的权利，对谈判小组就该项内容的评审意见无异议</w:t>
      </w:r>
      <w:r>
        <w:rPr>
          <w:rFonts w:hint="eastAsia" w:ascii="宋体" w:hAnsi="宋体" w:eastAsia="宋体" w:cs="宋体"/>
          <w:color w:val="auto"/>
          <w:szCs w:val="21"/>
          <w:highlight w:val="none"/>
          <w:lang w:val="zh-CN"/>
        </w:rPr>
        <w:t>。</w:t>
      </w:r>
    </w:p>
    <w:bookmarkEnd w:id="173"/>
    <w:p w14:paraId="02936DEA">
      <w:pPr>
        <w:tabs>
          <w:tab w:val="left" w:pos="525"/>
        </w:tabs>
        <w:autoSpaceDE w:val="0"/>
        <w:autoSpaceDN w:val="0"/>
        <w:adjustRightInd w:val="0"/>
        <w:spacing w:line="360" w:lineRule="auto"/>
        <w:ind w:left="357" w:leftChars="-100" w:hanging="567"/>
        <w:jc w:val="left"/>
        <w:outlineLvl w:val="9"/>
        <w:rPr>
          <w:rFonts w:ascii="宋体" w:hAnsi="宋体" w:eastAsia="宋体" w:cs="宋体"/>
          <w:color w:val="auto"/>
          <w:szCs w:val="21"/>
          <w:highlight w:val="none"/>
          <w:lang w:val="zh-CN"/>
        </w:rPr>
      </w:pPr>
      <w:bookmarkStart w:id="174" w:name="_Toc521918096"/>
      <w:bookmarkStart w:id="175" w:name="_Toc522047355"/>
      <w:bookmarkStart w:id="176" w:name="_Toc18368_WPSOffice_Level3"/>
    </w:p>
    <w:p w14:paraId="42522776">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7" w:name="_Toc160099463"/>
      <w:bookmarkStart w:id="178" w:name="_Toc773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bookmarkEnd w:id="174"/>
      <w:bookmarkEnd w:id="175"/>
      <w:bookmarkEnd w:id="176"/>
      <w:r>
        <w:rPr>
          <w:rFonts w:hint="eastAsia" w:ascii="宋体" w:hAnsi="宋体" w:eastAsia="宋体" w:cs="宋体"/>
          <w:color w:val="auto"/>
          <w:szCs w:val="21"/>
          <w:highlight w:val="none"/>
          <w:lang w:val="zh-CN"/>
        </w:rPr>
        <w:t>谈判</w:t>
      </w:r>
      <w:bookmarkEnd w:id="177"/>
      <w:bookmarkEnd w:id="178"/>
    </w:p>
    <w:p w14:paraId="0690D27B">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谈判小组所有成员应当集中与单一供应商分别进行谈判，并给予所有参加谈判的供应商平等的谈判机会。</w:t>
      </w:r>
    </w:p>
    <w:p w14:paraId="2DA4D1C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在谈判过程中，谈判小组可以根据谈判文件和谈判情况实质性变动采购需求中的技术、服务要求以及合同草案条款，但不得变动谈判文件中的其他内容。实质性变动的内容，须经采购人代表确认。</w:t>
      </w:r>
    </w:p>
    <w:p w14:paraId="3FA8376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对谈判文件作出的实质性变动是谈判文件的有效组成部分，谈判小组应当及时、同时通知所有参加谈判的供应商。</w:t>
      </w:r>
    </w:p>
    <w:p w14:paraId="5E01AE2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供应商应当按照谈判文件的变动情况和谈判小组的要求进行最终报价或重新提交响应文件，并由其法定代表人或授权代表签字或者加盖公章。</w:t>
      </w:r>
    </w:p>
    <w:p w14:paraId="4F875698">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179" w:name="_Toc522047356"/>
      <w:bookmarkStart w:id="180" w:name="_Toc521918097"/>
    </w:p>
    <w:p w14:paraId="45AC0A1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1" w:name="_Toc21460_WPSOffice_Level3"/>
      <w:bookmarkStart w:id="182" w:name="_Toc9832"/>
      <w:bookmarkStart w:id="183" w:name="_Toc160099464"/>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bookmarkEnd w:id="179"/>
      <w:bookmarkEnd w:id="180"/>
      <w:bookmarkEnd w:id="181"/>
      <w:r>
        <w:rPr>
          <w:rFonts w:hint="eastAsia" w:ascii="宋体" w:hAnsi="宋体" w:eastAsia="宋体" w:cs="宋体"/>
          <w:color w:val="auto"/>
          <w:szCs w:val="21"/>
          <w:highlight w:val="none"/>
          <w:lang w:val="zh-CN"/>
        </w:rPr>
        <w:t>最后报价</w:t>
      </w:r>
      <w:bookmarkEnd w:id="182"/>
      <w:bookmarkEnd w:id="183"/>
    </w:p>
    <w:p w14:paraId="1DE6513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谈判结束后，谈判小组应当要求所有实质性响应的供应商在规定时间内提交最后报价。每一轮报价不能高于前一轮报价。最后报价是供应商响应文件的有效组成部分。</w:t>
      </w:r>
    </w:p>
    <w:p w14:paraId="1E3405E4">
      <w:pPr>
        <w:tabs>
          <w:tab w:val="left" w:pos="360"/>
        </w:tabs>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谈判结束后，已提交响应文件的供应商，</w:t>
      </w:r>
      <w:r>
        <w:rPr>
          <w:rFonts w:hint="eastAsia" w:ascii="宋体" w:hAnsi="宋体" w:eastAsia="宋体" w:cs="宋体"/>
          <w:b/>
          <w:bCs/>
          <w:color w:val="auto"/>
          <w:szCs w:val="21"/>
          <w:highlight w:val="none"/>
          <w:lang w:val="zh-CN"/>
        </w:rPr>
        <w:t>如无实质性变动采购需求中的技术、服务要求以及合同草案条款的，供应商若不参与二次报价环节的，则默认第一次报价为最后报价。</w:t>
      </w:r>
      <w:r>
        <w:rPr>
          <w:rFonts w:hint="eastAsia" w:ascii="宋体" w:hAnsi="宋体" w:eastAsia="宋体" w:cs="宋体"/>
          <w:color w:val="auto"/>
          <w:szCs w:val="21"/>
          <w:highlight w:val="none"/>
          <w:lang w:val="zh-CN"/>
        </w:rPr>
        <w:t>如有实质性变动采购需求中的技术、服务要求以及合同草案条款的，在提交最后报价之前，供应商可以根据谈判情况退出谈判。</w:t>
      </w:r>
    </w:p>
    <w:p w14:paraId="30B35334">
      <w:pPr>
        <w:tabs>
          <w:tab w:val="left" w:pos="360"/>
        </w:tabs>
        <w:spacing w:line="360" w:lineRule="auto"/>
        <w:ind w:left="330" w:leftChars="-100" w:right="44" w:rightChars="21" w:hanging="540"/>
        <w:rPr>
          <w:rFonts w:ascii="宋体" w:hAnsi="宋体" w:cs="宋体"/>
          <w:b/>
          <w:bCs/>
          <w:color w:val="auto"/>
          <w:sz w:val="21"/>
          <w:szCs w:val="21"/>
          <w:highlight w:val="none"/>
        </w:rPr>
      </w:pPr>
      <w:r>
        <w:rPr>
          <w:rFonts w:hint="eastAsia" w:ascii="宋体" w:hAnsi="宋体" w:cs="宋体"/>
          <w:color w:val="auto"/>
          <w:sz w:val="21"/>
          <w:szCs w:val="21"/>
          <w:highlight w:val="none"/>
          <w:lang w:val="zh-CN"/>
        </w:rPr>
        <w:t>28.3</w:t>
      </w:r>
      <w:r>
        <w:rPr>
          <w:rFonts w:hint="eastAsia"/>
          <w:b/>
          <w:bCs/>
          <w:color w:val="auto"/>
          <w:sz w:val="21"/>
          <w:szCs w:val="21"/>
          <w:highlight w:val="none"/>
        </w:rPr>
        <w:t xml:space="preserve"> </w:t>
      </w:r>
      <w:r>
        <w:rPr>
          <w:rFonts w:hint="eastAsia" w:ascii="宋体" w:hAnsi="宋体" w:eastAsia="宋体" w:cs="宋体"/>
          <w:b/>
          <w:bCs/>
          <w:color w:val="auto"/>
          <w:szCs w:val="21"/>
          <w:highlight w:val="none"/>
          <w:lang w:val="zh-CN"/>
        </w:rPr>
        <w:t>若本次采购过程中有效响应供应商不足三个时，本项目竞争性谈判失败。</w:t>
      </w:r>
    </w:p>
    <w:p w14:paraId="6EDE546B">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5B29FAC4">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4" w:name="_Toc160099465"/>
      <w:bookmarkStart w:id="185" w:name="_Toc15777"/>
      <w:bookmarkStart w:id="186" w:name="_Toc486167694"/>
      <w:bookmarkStart w:id="187" w:name="_Toc465358969"/>
      <w:bookmarkStart w:id="188" w:name="_Toc466882017"/>
      <w:bookmarkStart w:id="189" w:name="_Toc32498_WPSOffice_Level3"/>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评审结果公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w:t>
      </w:r>
      <w:r>
        <w:rPr>
          <w:rFonts w:hint="eastAsia" w:ascii="宋体" w:hAnsi="宋体" w:eastAsia="宋体" w:cs="宋体"/>
          <w:color w:val="auto"/>
          <w:szCs w:val="21"/>
          <w:highlight w:val="none"/>
          <w:lang w:val="en-US" w:eastAsia="zh-CN"/>
        </w:rPr>
        <w:t>质疑</w:t>
      </w:r>
      <w:r>
        <w:rPr>
          <w:rFonts w:hint="eastAsia" w:ascii="宋体" w:hAnsi="宋体" w:eastAsia="宋体" w:cs="宋体"/>
          <w:color w:val="auto"/>
          <w:szCs w:val="21"/>
          <w:highlight w:val="none"/>
          <w:lang w:val="zh-CN"/>
        </w:rPr>
        <w:t>、投诉</w:t>
      </w:r>
      <w:bookmarkEnd w:id="184"/>
      <w:bookmarkEnd w:id="185"/>
      <w:bookmarkEnd w:id="186"/>
      <w:bookmarkEnd w:id="187"/>
      <w:bookmarkEnd w:id="188"/>
      <w:bookmarkEnd w:id="189"/>
    </w:p>
    <w:p w14:paraId="7203AC2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采购代理机构将以书面形式通知响应供应商评审结果。响应供应商或者其他利害关系人对评审结果有</w:t>
      </w:r>
      <w:r>
        <w:rPr>
          <w:rFonts w:hint="eastAsia" w:ascii="宋体" w:hAnsi="宋体" w:eastAsia="宋体" w:cs="Times New Roman"/>
          <w:color w:val="auto"/>
          <w:szCs w:val="21"/>
          <w:highlight w:val="none"/>
          <w:lang w:val="en-US" w:eastAsia="zh-CN"/>
        </w:rPr>
        <w:t>质疑</w:t>
      </w:r>
      <w:r>
        <w:rPr>
          <w:rFonts w:hint="eastAsia" w:ascii="宋体" w:hAnsi="宋体" w:eastAsia="宋体" w:cs="Times New Roman"/>
          <w:color w:val="auto"/>
          <w:szCs w:val="21"/>
          <w:highlight w:val="none"/>
          <w:lang w:val="zh-CN"/>
        </w:rPr>
        <w:t>的，应当在</w:t>
      </w:r>
      <w:r>
        <w:rPr>
          <w:rFonts w:hint="eastAsia" w:ascii="宋体" w:hAnsi="宋体" w:eastAsia="宋体" w:cs="Times New Roman"/>
          <w:color w:val="auto"/>
          <w:szCs w:val="21"/>
          <w:highlight w:val="none"/>
        </w:rPr>
        <w:t>评审结果通知的规定时间内</w:t>
      </w:r>
      <w:r>
        <w:rPr>
          <w:rFonts w:hint="eastAsia" w:ascii="宋体" w:hAnsi="宋体" w:eastAsia="宋体" w:cs="Times New Roman"/>
          <w:color w:val="auto"/>
          <w:szCs w:val="21"/>
          <w:highlight w:val="none"/>
          <w:lang w:val="zh-CN"/>
        </w:rPr>
        <w:t>向采购代理机构以书面形式提出，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w:t>
      </w:r>
      <w:r>
        <w:rPr>
          <w:rFonts w:hint="eastAsia" w:ascii="宋体" w:hAnsi="宋体" w:eastAsia="宋体" w:cs="Times New Roman"/>
          <w:color w:val="auto"/>
          <w:szCs w:val="21"/>
          <w:highlight w:val="none"/>
          <w:lang w:val="en-US" w:eastAsia="zh-CN"/>
        </w:rPr>
        <w:t>质疑</w:t>
      </w:r>
      <w:r>
        <w:rPr>
          <w:rFonts w:hint="eastAsia" w:ascii="宋体" w:hAnsi="宋体" w:eastAsia="宋体" w:cs="Times New Roman"/>
          <w:color w:val="auto"/>
          <w:szCs w:val="21"/>
          <w:highlight w:val="none"/>
          <w:lang w:val="zh-CN"/>
        </w:rPr>
        <w:t>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达采购代理机构，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对评审结果无</w:t>
      </w:r>
      <w:r>
        <w:rPr>
          <w:rFonts w:hint="eastAsia" w:ascii="宋体" w:hAnsi="宋体" w:eastAsia="宋体" w:cs="Times New Roman"/>
          <w:color w:val="auto"/>
          <w:szCs w:val="21"/>
          <w:highlight w:val="none"/>
          <w:lang w:val="en-US" w:eastAsia="zh-CN"/>
        </w:rPr>
        <w:t>质疑</w:t>
      </w:r>
      <w:r>
        <w:rPr>
          <w:rFonts w:hint="eastAsia" w:ascii="宋体" w:hAnsi="宋体" w:eastAsia="宋体" w:cs="Times New Roman"/>
          <w:color w:val="auto"/>
          <w:szCs w:val="21"/>
          <w:highlight w:val="none"/>
          <w:lang w:val="zh-CN"/>
        </w:rPr>
        <w:t>。超出提交</w:t>
      </w:r>
      <w:r>
        <w:rPr>
          <w:rFonts w:hint="eastAsia" w:ascii="宋体" w:hAnsi="宋体" w:eastAsia="宋体" w:cs="Times New Roman"/>
          <w:color w:val="auto"/>
          <w:szCs w:val="21"/>
          <w:highlight w:val="none"/>
          <w:lang w:val="en-US" w:eastAsia="zh-CN"/>
        </w:rPr>
        <w:t>质疑</w:t>
      </w:r>
      <w:r>
        <w:rPr>
          <w:rFonts w:hint="eastAsia" w:ascii="宋体" w:hAnsi="宋体" w:eastAsia="宋体" w:cs="Times New Roman"/>
          <w:color w:val="auto"/>
          <w:szCs w:val="21"/>
          <w:highlight w:val="none"/>
          <w:lang w:val="zh-CN"/>
        </w:rPr>
        <w:t>截止时间而提出的任何疑问，采购代理机构可不予答复</w:t>
      </w:r>
      <w:r>
        <w:rPr>
          <w:rFonts w:hint="eastAsia" w:ascii="宋体" w:hAnsi="宋体" w:eastAsia="宋体" w:cs="宋体"/>
          <w:color w:val="auto"/>
          <w:szCs w:val="21"/>
          <w:highlight w:val="none"/>
          <w:lang w:val="zh-CN"/>
        </w:rPr>
        <w:t>。</w:t>
      </w:r>
    </w:p>
    <w:p w14:paraId="7D4AE983">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采购代理机构将拒收未能提供完整书面材料的质疑，完整的质疑书面材料必须同时包含：质疑书（加盖法人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，并注明联系人、联系电话、联系地址）、授权提交质疑的法定代表人授权书原件、反映质疑人主体资格的营业执照复印件（加盖法人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220D318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.2 响应供应商或者其他利害关系人认为采购活动不符合法律、行政法规规定的，可以自知道或者应当知道之日起10日内，按程序向采购人采购活动的监督部门投诉。投诉应当提供纸质投诉书及必要的证明材料。投诉书应当包括下列内容：</w:t>
      </w:r>
    </w:p>
    <w:p w14:paraId="50BA337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7CC956B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（二）质疑和质疑答复情况说明及相关证明材料；</w:t>
      </w:r>
    </w:p>
    <w:p w14:paraId="14B378E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787FE3F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1FF7018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62C5991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737187F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3B0201D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投诉人投诉的事项不得超出已质疑事项的范围，但基于质疑答复内容提出的投诉事项除外。</w:t>
      </w:r>
    </w:p>
    <w:p w14:paraId="23B9F1C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监督部门：东莞市水务环境投资控股集团有限公司，联系人：莫先生，联系电话：0769-28823251。</w:t>
      </w:r>
    </w:p>
    <w:p w14:paraId="4C4C6496">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3E360E4C">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190" w:name="_Toc486167695"/>
      <w:bookmarkStart w:id="191" w:name="_Toc1848_WPSOffice_Level3"/>
      <w:bookmarkStart w:id="192" w:name="_Toc465358970"/>
      <w:bookmarkStart w:id="193" w:name="_Toc466882018"/>
      <w:bookmarkStart w:id="194" w:name="_Toc160099466"/>
      <w:bookmarkStart w:id="195" w:name="_Toc32548"/>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190"/>
      <w:bookmarkEnd w:id="191"/>
      <w:bookmarkEnd w:id="192"/>
      <w:bookmarkEnd w:id="193"/>
      <w:bookmarkEnd w:id="194"/>
      <w:bookmarkEnd w:id="195"/>
    </w:p>
    <w:p w14:paraId="07C1C83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授予合同前，采购人（或其委托的采购代理机构）、或谈判小组有权组织对响应供应商的真实性审查</w:t>
      </w: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rPr>
        <w:t>包括对响应供应商的资格证明文件、业绩证明文件、对谈判文件实质性条款响应文件、履约能力证明文件的原件真实性进行核查。采购人</w:t>
      </w:r>
      <w:r>
        <w:rPr>
          <w:rFonts w:hint="eastAsia" w:ascii="宋体" w:hAnsi="宋体" w:eastAsia="宋体" w:cs="Times New Roman"/>
          <w:b/>
          <w:color w:val="auto"/>
          <w:szCs w:val="21"/>
          <w:highlight w:val="none"/>
          <w:lang w:val="zh-CN"/>
        </w:rPr>
        <w:t>如有需要，响应供应商有义务提供响应文件外其他相关证明资料原件（包括但不限于业绩合同对应的发票等）供采购人核查。</w:t>
      </w:r>
      <w:r>
        <w:rPr>
          <w:rFonts w:hint="eastAsia" w:ascii="宋体" w:hAnsi="宋体" w:eastAsia="宋体" w:cs="Times New Roman"/>
          <w:b/>
          <w:color w:val="auto"/>
          <w:kern w:val="0"/>
          <w:szCs w:val="21"/>
          <w:highlight w:val="none"/>
        </w:rPr>
        <w:t>若发现响应供应商提供虚假证明文件、虚假响应文件等弄虚作假行为的，或经审查确认其经营、财务状况发生较大变化（或者存在违法行为）导致无法按照响应文件的承诺履约的，或其明确表示不按照响应文件承诺履约的，等影响</w:t>
      </w:r>
      <w:r>
        <w:rPr>
          <w:rFonts w:hint="eastAsia" w:ascii="宋体" w:hAnsi="宋体" w:eastAsia="宋体" w:cs="Times New Roman"/>
          <w:b/>
          <w:color w:val="auto"/>
          <w:kern w:val="0"/>
          <w:szCs w:val="21"/>
          <w:highlight w:val="none"/>
          <w:lang w:eastAsia="zh-CN"/>
        </w:rPr>
        <w:t>成交</w:t>
      </w:r>
      <w:r>
        <w:rPr>
          <w:rFonts w:hint="eastAsia" w:ascii="宋体" w:hAnsi="宋体" w:eastAsia="宋体" w:cs="Times New Roman"/>
          <w:b/>
          <w:color w:val="auto"/>
          <w:kern w:val="0"/>
          <w:szCs w:val="21"/>
          <w:highlight w:val="none"/>
        </w:rPr>
        <w:t>结果的行为，采购人有权按照谈判小组提出的成交候选人名单排序依次确定其他成交候选人为成交人或重新采购</w:t>
      </w:r>
      <w:r>
        <w:rPr>
          <w:rFonts w:hint="eastAsia" w:ascii="宋体" w:hAnsi="宋体" w:eastAsia="宋体" w:cs="宋体"/>
          <w:b/>
          <w:color w:val="auto"/>
          <w:szCs w:val="21"/>
          <w:highlight w:val="none"/>
        </w:rPr>
        <w:t>。</w:t>
      </w:r>
    </w:p>
    <w:p w14:paraId="46A29438">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响应供应商</w:t>
      </w:r>
      <w:r>
        <w:rPr>
          <w:rFonts w:hint="eastAsia" w:ascii="宋体" w:hAnsi="宋体" w:eastAsia="宋体" w:cs="Times New Roman"/>
          <w:b/>
          <w:color w:val="auto"/>
          <w:kern w:val="0"/>
          <w:szCs w:val="21"/>
          <w:highlight w:val="none"/>
        </w:rPr>
        <w:t>在采购人（或其委托的采购代理机构）、或谈判小组通知其提供</w:t>
      </w:r>
      <w:r>
        <w:rPr>
          <w:rFonts w:hint="eastAsia" w:ascii="宋体" w:hAnsi="宋体" w:eastAsia="宋体" w:cs="Times New Roman"/>
          <w:b/>
          <w:color w:val="auto"/>
          <w:szCs w:val="21"/>
          <w:highlight w:val="none"/>
          <w:lang w:val="zh-CN"/>
        </w:rPr>
        <w:t>上述响应文件或响应文件外其他相关（包括但不限于业绩合同对应的发票等）的证明资料原件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进行核查的要求后，未能在约定的时间内提供原件进行核查的，视为响应供应商无法提供真实的资料，采购人有权按照谈判小组提出的成交候选人名单排序依次确定其他成交候选人为成交人或重新采购</w:t>
      </w:r>
      <w:r>
        <w:rPr>
          <w:rFonts w:hint="eastAsia" w:ascii="宋体" w:hAnsi="宋体" w:eastAsia="宋体" w:cs="宋体"/>
          <w:b/>
          <w:color w:val="auto"/>
          <w:szCs w:val="21"/>
          <w:highlight w:val="none"/>
        </w:rPr>
        <w:t>。</w:t>
      </w:r>
    </w:p>
    <w:p w14:paraId="79123EB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若响应供应商在</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谈判文件要求等弄虚作假行为，</w:t>
      </w:r>
      <w:r>
        <w:rPr>
          <w:rFonts w:ascii="宋体" w:hAnsi="宋体" w:eastAsia="宋体" w:cs="宋体"/>
          <w:b/>
          <w:color w:val="auto"/>
          <w:szCs w:val="21"/>
          <w:highlight w:val="none"/>
        </w:rPr>
        <w:t>或不按照响应文件承诺履约</w:t>
      </w:r>
      <w:r>
        <w:rPr>
          <w:rFonts w:hint="eastAsia" w:ascii="宋体" w:hAnsi="宋体" w:eastAsia="宋体" w:cs="宋体"/>
          <w:b/>
          <w:color w:val="auto"/>
          <w:szCs w:val="21"/>
          <w:highlight w:val="none"/>
        </w:rPr>
        <w:t>或撤回</w:t>
      </w:r>
      <w:r>
        <w:rPr>
          <w:rFonts w:hint="eastAsia" w:ascii="宋体" w:hAnsi="宋体" w:eastAsia="宋体" w:cs="宋体"/>
          <w:b/>
          <w:color w:val="auto"/>
          <w:szCs w:val="21"/>
          <w:highlight w:val="none"/>
          <w:lang w:val="en-US" w:eastAsia="zh-CN"/>
        </w:rPr>
        <w:t>响应文件</w:t>
      </w:r>
      <w:r>
        <w:rPr>
          <w:rFonts w:hint="eastAsia" w:ascii="宋体" w:hAnsi="宋体" w:eastAsia="宋体" w:cs="宋体"/>
          <w:b/>
          <w:color w:val="auto"/>
          <w:szCs w:val="21"/>
          <w:highlight w:val="none"/>
        </w:rPr>
        <w:t>或放弃</w:t>
      </w:r>
      <w:r>
        <w:rPr>
          <w:rFonts w:hint="eastAsia" w:ascii="宋体" w:hAnsi="宋体" w:eastAsia="宋体" w:cs="宋体"/>
          <w:b/>
          <w:color w:val="auto"/>
          <w:szCs w:val="21"/>
          <w:highlight w:val="none"/>
          <w:lang w:val="en-US" w:eastAsia="zh-CN"/>
        </w:rPr>
        <w:t>成交</w:t>
      </w:r>
      <w:r>
        <w:rPr>
          <w:rFonts w:hint="eastAsia" w:ascii="宋体" w:hAnsi="宋体" w:eastAsia="宋体" w:cs="宋体"/>
          <w:b/>
          <w:color w:val="auto"/>
          <w:szCs w:val="21"/>
          <w:highlight w:val="none"/>
        </w:rPr>
        <w:t>资格或</w:t>
      </w:r>
      <w:r>
        <w:rPr>
          <w:rFonts w:ascii="宋体" w:hAnsi="宋体" w:eastAsia="宋体" w:cs="宋体"/>
          <w:b/>
          <w:color w:val="auto"/>
          <w:szCs w:val="21"/>
          <w:highlight w:val="none"/>
        </w:rPr>
        <w:t>不按要求与采购人签订合同等影响</w:t>
      </w:r>
      <w:r>
        <w:rPr>
          <w:rFonts w:hint="eastAsia" w:ascii="宋体" w:hAnsi="宋体" w:eastAsia="宋体" w:cs="宋体"/>
          <w:b/>
          <w:color w:val="auto"/>
          <w:szCs w:val="21"/>
          <w:highlight w:val="none"/>
          <w:lang w:eastAsia="zh-CN"/>
        </w:rPr>
        <w:t>成交</w:t>
      </w:r>
      <w:r>
        <w:rPr>
          <w:rFonts w:ascii="宋体" w:hAnsi="宋体" w:eastAsia="宋体" w:cs="宋体"/>
          <w:b/>
          <w:color w:val="auto"/>
          <w:szCs w:val="21"/>
          <w:highlight w:val="none"/>
        </w:rPr>
        <w:t>结果的行为</w:t>
      </w:r>
      <w:r>
        <w:rPr>
          <w:rFonts w:hint="eastAsia" w:ascii="宋体" w:hAnsi="宋体" w:eastAsia="宋体" w:cs="宋体"/>
          <w:b/>
          <w:color w:val="auto"/>
          <w:szCs w:val="21"/>
          <w:highlight w:val="none"/>
        </w:rPr>
        <w:t>，采购人有权将响应供应商纳入</w:t>
      </w:r>
      <w:r>
        <w:rPr>
          <w:rFonts w:hint="eastAsia" w:ascii="宋体" w:hAnsi="宋体" w:eastAsia="宋体" w:cs="宋体"/>
          <w:b/>
          <w:color w:val="auto"/>
          <w:szCs w:val="21"/>
          <w:highlight w:val="none"/>
          <w:lang w:eastAsia="zh-CN"/>
        </w:rPr>
        <w:t>东莞市水务环境投资控股集团有限公司</w:t>
      </w:r>
      <w:r>
        <w:rPr>
          <w:rFonts w:hint="eastAsia" w:ascii="宋体" w:hAnsi="宋体" w:eastAsia="宋体" w:cs="宋体"/>
          <w:b/>
          <w:color w:val="auto"/>
          <w:szCs w:val="21"/>
          <w:highlight w:val="none"/>
        </w:rPr>
        <w:t>（含其全资子公司、控股公司、由其管理的参股公司）招标、采购、征集供应商或合作方采购的‘黑名单’中，因此导致响应供应商无法参与</w:t>
      </w:r>
      <w:r>
        <w:rPr>
          <w:rFonts w:hint="eastAsia" w:ascii="宋体" w:hAnsi="宋体" w:eastAsia="宋体" w:cs="宋体"/>
          <w:b/>
          <w:color w:val="auto"/>
          <w:szCs w:val="21"/>
          <w:highlight w:val="none"/>
          <w:lang w:eastAsia="zh-CN"/>
        </w:rPr>
        <w:t>东莞市水务环境投资控股集团有限公司</w:t>
      </w:r>
      <w:r>
        <w:rPr>
          <w:rFonts w:hint="eastAsia" w:ascii="宋体" w:hAnsi="宋体" w:eastAsia="宋体" w:cs="宋体"/>
          <w:b/>
          <w:color w:val="auto"/>
          <w:szCs w:val="21"/>
          <w:highlight w:val="none"/>
        </w:rPr>
        <w:t>相关招标采购等活动的，由响应供应商自行承担全部后果。</w:t>
      </w:r>
    </w:p>
    <w:p w14:paraId="18914F04">
      <w:pPr>
        <w:autoSpaceDE w:val="0"/>
        <w:autoSpaceDN w:val="0"/>
        <w:adjustRightInd w:val="0"/>
        <w:snapToGrid w:val="0"/>
        <w:spacing w:line="360" w:lineRule="auto"/>
        <w:jc w:val="left"/>
        <w:rPr>
          <w:rFonts w:ascii="宋体" w:hAnsi="宋体" w:eastAsia="宋体" w:cs="宋体"/>
          <w:color w:val="auto"/>
          <w:szCs w:val="21"/>
          <w:highlight w:val="none"/>
        </w:rPr>
      </w:pPr>
      <w:bookmarkStart w:id="196" w:name="_Toc466882019"/>
      <w:bookmarkStart w:id="197" w:name="_Toc465358971"/>
    </w:p>
    <w:p w14:paraId="63B1BFCC">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198" w:name="_Toc160099467"/>
      <w:bookmarkStart w:id="199" w:name="_Toc486167696"/>
      <w:bookmarkStart w:id="200" w:name="_Toc10867_WPSOffice_Level3"/>
      <w:bookmarkStart w:id="201" w:name="_Toc8449"/>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谈判小组和采购人接受或拒绝任何响应或所有响应的权利</w:t>
      </w:r>
      <w:bookmarkEnd w:id="196"/>
      <w:bookmarkEnd w:id="197"/>
      <w:bookmarkEnd w:id="198"/>
      <w:bookmarkEnd w:id="199"/>
      <w:bookmarkEnd w:id="200"/>
      <w:bookmarkEnd w:id="201"/>
    </w:p>
    <w:p w14:paraId="084625D5">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在授予合同前的任何时候，采购人仍保留接受或拒绝任何</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，宣布采购程序无效或拒绝所有</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的权利，无需向受影响的响应供应商承担任何责任。</w:t>
      </w:r>
    </w:p>
    <w:p w14:paraId="2FFAB831">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02" w:name="_Toc450662880"/>
    </w:p>
    <w:p w14:paraId="1049E936">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03" w:name="_Toc16848_WPSOffice_Level2"/>
      <w:bookmarkStart w:id="204" w:name="_Toc140596907"/>
      <w:bookmarkStart w:id="205" w:name="_Toc21611"/>
      <w:bookmarkStart w:id="206" w:name="_Toc160099468"/>
      <w:bookmarkStart w:id="207" w:name="_Toc486167697"/>
      <w:r>
        <w:rPr>
          <w:rFonts w:hint="eastAsia" w:ascii="宋体" w:hAnsi="宋体" w:eastAsia="宋体" w:cs="宋体"/>
          <w:b/>
          <w:bCs/>
          <w:color w:val="auto"/>
          <w:kern w:val="44"/>
          <w:szCs w:val="21"/>
          <w:highlight w:val="none"/>
          <w:lang w:val="zh-CN"/>
        </w:rPr>
        <w:t>六、授予合同</w:t>
      </w:r>
      <w:bookmarkEnd w:id="202"/>
      <w:bookmarkEnd w:id="203"/>
      <w:bookmarkEnd w:id="204"/>
      <w:bookmarkEnd w:id="205"/>
      <w:bookmarkEnd w:id="206"/>
      <w:bookmarkEnd w:id="207"/>
    </w:p>
    <w:p w14:paraId="12A65C9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8" w:name="_Toc160099469"/>
      <w:bookmarkStart w:id="209" w:name="_Toc486167698"/>
      <w:bookmarkStart w:id="210" w:name="_Toc450662881"/>
      <w:bookmarkStart w:id="211" w:name="_Toc6401_WPSOffice_Level3"/>
      <w:bookmarkStart w:id="212" w:name="_Toc19100"/>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08"/>
      <w:bookmarkEnd w:id="209"/>
      <w:bookmarkEnd w:id="210"/>
      <w:bookmarkEnd w:id="211"/>
      <w:bookmarkEnd w:id="212"/>
    </w:p>
    <w:p w14:paraId="15F4C84D">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条规定外，采购人将合同授予其响应文件符合谈判文件要求，并且能承诺履行合同，对采购人最为有利的响应供应商。</w:t>
      </w:r>
    </w:p>
    <w:p w14:paraId="07A15F5C">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采购人依法</w:t>
      </w:r>
      <w:r>
        <w:rPr>
          <w:rFonts w:hint="eastAsia" w:ascii="宋体" w:hAnsi="宋体" w:eastAsia="宋体" w:cs="宋体"/>
          <w:color w:val="auto"/>
          <w:kern w:val="0"/>
          <w:szCs w:val="21"/>
          <w:highlight w:val="none"/>
        </w:rPr>
        <w:t>按照评审报告中推荐的成交候选人顺序</w:t>
      </w:r>
      <w:r>
        <w:rPr>
          <w:rFonts w:hint="eastAsia" w:ascii="宋体" w:hAnsi="宋体" w:eastAsia="宋体" w:cs="宋体"/>
          <w:color w:val="auto"/>
          <w:szCs w:val="21"/>
          <w:highlight w:val="none"/>
          <w:lang w:val="zh-CN"/>
        </w:rPr>
        <w:t>确定成交人。</w:t>
      </w:r>
    </w:p>
    <w:p w14:paraId="735DF4A6">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或约定时间内与采购人签订合同、成交人放弃成交、成交资格被依法确认无效的，采购人可以按照谈判小组提出的成交候选人名单排序依次确定其他成交候选人为成交人或重新采购</w:t>
      </w:r>
      <w:r>
        <w:rPr>
          <w:rFonts w:hint="eastAsia" w:ascii="宋体" w:hAnsi="宋体" w:eastAsia="宋体" w:cs="宋体"/>
          <w:b w:val="0"/>
          <w:bCs/>
          <w:color w:val="auto"/>
          <w:kern w:val="0"/>
          <w:szCs w:val="21"/>
          <w:highlight w:val="none"/>
        </w:rPr>
        <w:t>。</w:t>
      </w:r>
    </w:p>
    <w:p w14:paraId="738BED4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13" w:name="_Toc450662885"/>
    </w:p>
    <w:p w14:paraId="4548F5AA">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4" w:name="_Toc6726_WPSOffice_Level3"/>
      <w:bookmarkStart w:id="215" w:name="_Toc486167699"/>
      <w:bookmarkStart w:id="216" w:name="_Toc25705"/>
      <w:bookmarkStart w:id="217" w:name="_Toc160099470"/>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成交通知</w:t>
      </w:r>
      <w:bookmarkEnd w:id="213"/>
      <w:bookmarkEnd w:id="214"/>
      <w:bookmarkEnd w:id="215"/>
      <w:bookmarkEnd w:id="216"/>
      <w:bookmarkEnd w:id="217"/>
    </w:p>
    <w:p w14:paraId="5BDB8FE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18"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采购代理机构向成交人发出书面通知，成交通知书是合同的一个组成部分。</w:t>
      </w:r>
    </w:p>
    <w:p w14:paraId="75B99DC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采购代理机构向成交人发出书面通知的同时，采购代理机构通知落选的响应供应商其响应文件未被接受而不提原因。</w:t>
      </w:r>
    </w:p>
    <w:p w14:paraId="5A52299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51671C7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9" w:name="_Toc486167700"/>
      <w:bookmarkStart w:id="220" w:name="_Toc22735"/>
      <w:bookmarkStart w:id="221" w:name="_Toc9694_WPSOffice_Level3"/>
      <w:bookmarkStart w:id="222" w:name="_Toc160099471"/>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218"/>
      <w:bookmarkEnd w:id="219"/>
      <w:bookmarkEnd w:id="220"/>
      <w:bookmarkEnd w:id="221"/>
      <w:bookmarkEnd w:id="222"/>
    </w:p>
    <w:p w14:paraId="310ABDF1">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成交人在自成交通知书发出之日起30日内，按照竞争性谈判文件和成交人的响应文件的约定</w:t>
      </w:r>
      <w:r>
        <w:rPr>
          <w:rFonts w:hint="eastAsia" w:ascii="宋体" w:hAnsi="宋体" w:eastAsia="宋体" w:cs="宋体"/>
          <w:b w:val="0"/>
          <w:bCs w:val="0"/>
          <w:color w:val="auto"/>
          <w:szCs w:val="21"/>
          <w:highlight w:val="none"/>
          <w:lang w:val="zh-CN"/>
        </w:rPr>
        <w:t>（详见用户需求书），</w:t>
      </w:r>
      <w:r>
        <w:rPr>
          <w:rFonts w:hint="eastAsia" w:ascii="宋体" w:hAnsi="宋体" w:eastAsia="宋体" w:cs="宋体"/>
          <w:b/>
          <w:bCs/>
          <w:color w:val="auto"/>
          <w:szCs w:val="21"/>
          <w:highlight w:val="none"/>
          <w:lang w:val="zh-CN"/>
        </w:rPr>
        <w:t>与采购人签订书面合同，具体签订方式以采购人通知为准。否则采购人有权取消成交资格并按竞争性谈判文件及法律、法规的规定进行处理。</w:t>
      </w:r>
    </w:p>
    <w:p w14:paraId="7DD4E5E4">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在签署合同前，采购人可对成交人响应报价明细及附表内的算术性错误进行修正，修正原则为：</w:t>
      </w:r>
    </w:p>
    <w:p w14:paraId="62C9B504">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2）当总报价金额与按综合单价计算的总价不一致的，以综合单价计算结果为准，单项金额小数点有明显错位的，应以总价为准，并修正综合单价金额；（3）按前述修正原则排序依次进行修正至唯一值后的报价表经双方确认后，作为合同文件的组成部分。</w:t>
      </w:r>
    </w:p>
    <w:p w14:paraId="5AE9679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7B65EC35">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3" w:name="_Toc450662887"/>
      <w:bookmarkStart w:id="224" w:name="_Toc20839"/>
      <w:bookmarkStart w:id="225" w:name="_Toc486167701"/>
      <w:bookmarkStart w:id="226" w:name="_Toc10513_WPSOffice_Level3"/>
      <w:bookmarkStart w:id="227" w:name="_Toc160099472"/>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223"/>
      <w:bookmarkEnd w:id="224"/>
      <w:bookmarkEnd w:id="225"/>
      <w:bookmarkEnd w:id="226"/>
      <w:bookmarkEnd w:id="227"/>
    </w:p>
    <w:p w14:paraId="67C865CC">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228" w:name="_Toc465358977"/>
      <w:bookmarkStart w:id="229"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成交人应在签订合同前，按本谈判文件规定金额及形式要求，向采购人提交不可撤销银行履约保函（或履约保证金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或担保公司履约担保书），作为履约担保（所需费用由成交人自行承担），</w:t>
      </w:r>
      <w:r>
        <w:rPr>
          <w:rFonts w:ascii="宋体" w:hAnsi="宋体" w:eastAsia="宋体" w:cs="Arial"/>
          <w:b/>
          <w:bCs/>
          <w:color w:val="auto"/>
          <w:kern w:val="0"/>
          <w:szCs w:val="24"/>
          <w:highlight w:val="none"/>
          <w:u w:val="single"/>
        </w:rPr>
        <w:t>否则采购人可取消成交人的</w:t>
      </w:r>
      <w:r>
        <w:rPr>
          <w:rFonts w:hint="eastAsia" w:ascii="宋体" w:hAnsi="宋体" w:eastAsia="宋体" w:cs="Arial"/>
          <w:b/>
          <w:bCs/>
          <w:color w:val="auto"/>
          <w:kern w:val="0"/>
          <w:szCs w:val="24"/>
          <w:highlight w:val="none"/>
          <w:u w:val="single"/>
          <w:lang w:eastAsia="zh-CN"/>
        </w:rPr>
        <w:t>成交</w:t>
      </w:r>
      <w:r>
        <w:rPr>
          <w:rFonts w:ascii="宋体" w:hAnsi="宋体" w:eastAsia="宋体" w:cs="Arial"/>
          <w:b/>
          <w:bCs/>
          <w:color w:val="auto"/>
          <w:kern w:val="0"/>
          <w:szCs w:val="24"/>
          <w:highlight w:val="none"/>
          <w:u w:val="single"/>
        </w:rPr>
        <w:t>资格</w:t>
      </w:r>
      <w:r>
        <w:rPr>
          <w:rFonts w:hint="eastAsia" w:ascii="宋体" w:hAnsi="宋体" w:eastAsia="宋体" w:cs="Arial"/>
          <w:b/>
          <w:bCs/>
          <w:color w:val="auto"/>
          <w:kern w:val="0"/>
          <w:szCs w:val="24"/>
          <w:highlight w:val="none"/>
          <w:u w:val="single"/>
        </w:rPr>
        <w:t>。</w:t>
      </w:r>
      <w:r>
        <w:rPr>
          <w:rFonts w:hint="eastAsia" w:ascii="宋体" w:hAnsi="宋体" w:eastAsia="宋体" w:cs="Times New Roman"/>
          <w:b/>
          <w:bCs/>
          <w:color w:val="auto"/>
          <w:szCs w:val="21"/>
          <w:highlight w:val="none"/>
          <w:u w:val="single"/>
          <w:lang w:val="zh-CN"/>
        </w:rPr>
        <w:t>其中，采用履约保证金（银行转账形式）的金额为合同暂定价（</w:t>
      </w:r>
      <w:r>
        <w:rPr>
          <w:rFonts w:hint="eastAsia" w:ascii="宋体" w:hAnsi="宋体" w:eastAsia="宋体" w:cs="宋体"/>
          <w:b/>
          <w:color w:val="auto"/>
          <w:szCs w:val="21"/>
          <w:highlight w:val="none"/>
          <w:u w:val="single"/>
          <w:lang w:val="zh-CN"/>
        </w:rPr>
        <w:t>不</w:t>
      </w:r>
      <w:r>
        <w:rPr>
          <w:rFonts w:hint="eastAsia" w:ascii="宋体" w:hAnsi="宋体" w:eastAsia="宋体" w:cs="Times New Roman"/>
          <w:b/>
          <w:bCs/>
          <w:color w:val="auto"/>
          <w:szCs w:val="21"/>
          <w:highlight w:val="none"/>
          <w:u w:val="single"/>
          <w:lang w:val="zh-CN"/>
        </w:rPr>
        <w:t>含税）的</w:t>
      </w:r>
      <w:r>
        <w:rPr>
          <w:rFonts w:hint="eastAsia" w:ascii="宋体" w:hAnsi="宋体" w:eastAsia="宋体" w:cs="Times New Roman"/>
          <w:b/>
          <w:bCs/>
          <w:color w:val="auto"/>
          <w:szCs w:val="21"/>
          <w:highlight w:val="none"/>
          <w:u w:val="single"/>
          <w:lang w:val="en-US" w:eastAsia="zh-CN"/>
        </w:rPr>
        <w:t>5</w:t>
      </w:r>
      <w:r>
        <w:rPr>
          <w:rFonts w:hint="eastAsia" w:ascii="宋体" w:hAnsi="宋体" w:eastAsia="宋体" w:cs="Times New Roman"/>
          <w:b/>
          <w:bCs/>
          <w:color w:val="auto"/>
          <w:szCs w:val="21"/>
          <w:highlight w:val="none"/>
          <w:u w:val="single"/>
          <w:lang w:val="zh-CN"/>
        </w:rPr>
        <w:t>%，采用不可撤销银行履约保函</w:t>
      </w:r>
      <w:r>
        <w:rPr>
          <w:rFonts w:hint="eastAsia" w:ascii="宋体" w:hAnsi="宋体" w:eastAsia="宋体" w:cs="Times New Roman"/>
          <w:b/>
          <w:bCs/>
          <w:color w:val="auto"/>
          <w:szCs w:val="21"/>
          <w:highlight w:val="none"/>
          <w:u w:val="single"/>
          <w:lang w:val="zh-CN" w:eastAsia="zh"/>
        </w:rPr>
        <w:t>或履约保证保险</w:t>
      </w:r>
      <w:r>
        <w:rPr>
          <w:rFonts w:hint="eastAsia" w:ascii="宋体" w:hAnsi="宋体" w:eastAsia="宋体" w:cs="Times New Roman"/>
          <w:b/>
          <w:bCs/>
          <w:color w:val="auto"/>
          <w:szCs w:val="21"/>
          <w:highlight w:val="none"/>
          <w:u w:val="single"/>
          <w:lang w:val="zh-CN"/>
        </w:rPr>
        <w:t>形式的金额为合同暂定价（</w:t>
      </w:r>
      <w:r>
        <w:rPr>
          <w:rFonts w:hint="eastAsia" w:ascii="宋体" w:hAnsi="宋体" w:eastAsia="宋体" w:cs="宋体"/>
          <w:b/>
          <w:color w:val="auto"/>
          <w:szCs w:val="21"/>
          <w:highlight w:val="none"/>
          <w:u w:val="single"/>
          <w:lang w:val="zh-CN"/>
        </w:rPr>
        <w:t>不</w:t>
      </w:r>
      <w:r>
        <w:rPr>
          <w:rFonts w:hint="eastAsia" w:ascii="宋体" w:hAnsi="宋体" w:eastAsia="宋体" w:cs="Times New Roman"/>
          <w:b/>
          <w:bCs/>
          <w:color w:val="auto"/>
          <w:szCs w:val="21"/>
          <w:highlight w:val="none"/>
          <w:u w:val="single"/>
          <w:lang w:val="zh-CN"/>
        </w:rPr>
        <w:t>含税）的</w:t>
      </w:r>
      <w:r>
        <w:rPr>
          <w:rFonts w:hint="eastAsia" w:ascii="宋体" w:hAnsi="宋体" w:eastAsia="宋体" w:cs="Times New Roman"/>
          <w:b/>
          <w:bCs/>
          <w:color w:val="auto"/>
          <w:szCs w:val="21"/>
          <w:highlight w:val="none"/>
          <w:u w:val="single"/>
        </w:rPr>
        <w:t>5</w:t>
      </w:r>
      <w:r>
        <w:rPr>
          <w:rFonts w:hint="eastAsia" w:ascii="宋体" w:hAnsi="宋体" w:eastAsia="宋体" w:cs="Times New Roman"/>
          <w:b/>
          <w:bCs/>
          <w:color w:val="auto"/>
          <w:szCs w:val="21"/>
          <w:highlight w:val="none"/>
          <w:u w:val="single"/>
          <w:lang w:val="zh-CN"/>
        </w:rPr>
        <w:t>%，采用担保公司履约担保书形式的金额为合同暂定价（</w:t>
      </w:r>
      <w:r>
        <w:rPr>
          <w:rFonts w:hint="eastAsia" w:ascii="宋体" w:hAnsi="宋体" w:eastAsia="宋体" w:cs="宋体"/>
          <w:b/>
          <w:color w:val="auto"/>
          <w:szCs w:val="21"/>
          <w:highlight w:val="none"/>
          <w:u w:val="single"/>
          <w:lang w:val="zh-CN"/>
        </w:rPr>
        <w:t>不</w:t>
      </w:r>
      <w:r>
        <w:rPr>
          <w:rFonts w:hint="eastAsia" w:ascii="宋体" w:hAnsi="宋体" w:eastAsia="宋体" w:cs="Times New Roman"/>
          <w:b/>
          <w:bCs/>
          <w:color w:val="auto"/>
          <w:szCs w:val="21"/>
          <w:highlight w:val="none"/>
          <w:u w:val="single"/>
          <w:lang w:val="zh-CN"/>
        </w:rPr>
        <w:t>含税）的</w:t>
      </w:r>
      <w:r>
        <w:rPr>
          <w:rFonts w:hint="eastAsia" w:ascii="宋体" w:hAnsi="宋体" w:eastAsia="宋体" w:cs="Times New Roman"/>
          <w:b/>
          <w:bCs/>
          <w:color w:val="auto"/>
          <w:szCs w:val="21"/>
          <w:highlight w:val="none"/>
          <w:u w:val="single"/>
        </w:rPr>
        <w:t>8</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合同履行过程中，成交人</w:t>
      </w:r>
      <w:r>
        <w:rPr>
          <w:rFonts w:hint="eastAsia" w:ascii="宋体" w:hAnsi="宋体" w:eastAsia="宋体" w:cs="Arial"/>
          <w:color w:val="auto"/>
          <w:kern w:val="0"/>
          <w:szCs w:val="24"/>
          <w:highlight w:val="none"/>
        </w:rPr>
        <w:t>给采购人造成的损失超过履约担保数额的，成交人还应当对超过部分予以赔偿，采购人并依法追究成交人的相应责任。</w:t>
      </w:r>
    </w:p>
    <w:p w14:paraId="6169322E">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履约担保用于补偿采购人因成交人不能完全履行其合同义务而蒙受的损失或其他合同约定的事项。如发生下列任一情况时，采购人有权依合同追究违约责任外，同时有权提取履约担保并进行相应处理</w:t>
      </w:r>
      <w:r>
        <w:rPr>
          <w:rFonts w:hint="eastAsia" w:ascii="宋体" w:hAnsi="宋体" w:eastAsia="宋体" w:cs="宋体"/>
          <w:color w:val="auto"/>
          <w:kern w:val="0"/>
          <w:szCs w:val="21"/>
          <w:highlight w:val="none"/>
        </w:rPr>
        <w:t>：</w:t>
      </w:r>
    </w:p>
    <w:p w14:paraId="2790B06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成交人将合同项下成交人的权利义务全部转让给第三方，或未经采购人书面同意将部分权利义务转让给第三方的，采购人有权没收其履约担保。</w:t>
      </w:r>
    </w:p>
    <w:p w14:paraId="56EF7F3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2）在合同履行期间，因成交人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服务质量问题造成损害、侵权损失（包括但不限于采购人经济损失、第三人人身财产损失等）、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拖欠原材料供应商货款或与其所雇用员工发生劳资纠纷、上访、闹事或其他影响采购人生产经营等情况而其未及时妥善处理的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采购人有权使用履约担保予以支付或作出相应处理，由此产生的一切法律后果由成交人承担。</w:t>
      </w:r>
    </w:p>
    <w:p w14:paraId="0BB5001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rPr>
        <w:t>）在合同履行期间，成交人违约产生的违约金、赔偿、罚款或其他应付费用等款项，采购人有权直接从未付款项中直接扣除或启用履约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5573924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4</w:t>
      </w:r>
      <w:r>
        <w:rPr>
          <w:rFonts w:ascii="宋体" w:hAnsi="宋体" w:eastAsia="宋体" w:cs="Times New Roman"/>
          <w:color w:val="auto"/>
          <w:kern w:val="0"/>
          <w:szCs w:val="21"/>
          <w:highlight w:val="none"/>
        </w:rPr>
        <w:t>）合同期内，成交人不能及时完成合同某项义务的，采购人有权提取履约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5DE95A4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5</w:t>
      </w:r>
      <w:r>
        <w:rPr>
          <w:rFonts w:ascii="宋体" w:hAnsi="宋体" w:eastAsia="宋体" w:cs="Times New Roman"/>
          <w:color w:val="auto"/>
          <w:kern w:val="0"/>
          <w:szCs w:val="21"/>
          <w:highlight w:val="none"/>
        </w:rPr>
        <w:t>）其他根据本项目合同约定或法律规定，采购人可启用履约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297F6EFF">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3EDD4E3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支行一级以上机构，并经采购人同意，执行本款时所发生的费用由成交人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066A198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履约担保格式应采用谈判文件中提供的（格式参见第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响应供应商如以履约保函（或履约保证保险或担保公司履约担保书）形式提供履约担保的，</w:t>
      </w:r>
      <w:r>
        <w:rPr>
          <w:rFonts w:hint="eastAsia" w:ascii="宋体" w:hAnsi="宋体" w:eastAsia="宋体" w:cs="Times New Roman"/>
          <w:color w:val="auto"/>
          <w:kern w:val="0"/>
          <w:szCs w:val="21"/>
          <w:highlight w:val="none"/>
          <w:lang w:eastAsia="zh-CN"/>
        </w:rPr>
        <w:t>响应</w:t>
      </w:r>
      <w:r>
        <w:rPr>
          <w:rFonts w:hint="eastAsia" w:ascii="宋体" w:hAnsi="宋体" w:eastAsia="宋体" w:cs="Times New Roman"/>
          <w:color w:val="auto"/>
          <w:kern w:val="0"/>
          <w:szCs w:val="21"/>
          <w:highlight w:val="none"/>
        </w:rPr>
        <w:t>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或担保）机构落实履约保函（或履约保证保险或担保公司履约担保书）格式情况，以确保能按本谈判文件规定的格式提供保函。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，须事先经采购人的书面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79FC595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本市国有企业，或政府性融资担保机构（成交人须提供能证明其属于政府性融资担保机构的证明文件），并经采购人同意，执行本款时所发生的费用由成交人承担。如采购人合同条款接受担保公司预付款担保函的，对担保机构要求参照本条执行</w:t>
      </w:r>
      <w:r>
        <w:rPr>
          <w:rFonts w:ascii="宋体" w:hAnsi="宋体" w:eastAsia="宋体" w:cs="Times New Roman"/>
          <w:color w:val="auto"/>
          <w:kern w:val="0"/>
          <w:szCs w:val="21"/>
          <w:highlight w:val="none"/>
        </w:rPr>
        <w:t>。</w:t>
      </w:r>
    </w:p>
    <w:p w14:paraId="1023F5A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成交人</w:t>
      </w:r>
      <w:r>
        <w:rPr>
          <w:rFonts w:ascii="宋体" w:hAnsi="宋体" w:eastAsia="宋体" w:cs="Times New Roman"/>
          <w:color w:val="auto"/>
          <w:kern w:val="0"/>
          <w:szCs w:val="21"/>
          <w:highlight w:val="none"/>
        </w:rPr>
        <w:t>提交的履约担保的有效期届满时间先于谈判文件、合同文件要求的，</w:t>
      </w:r>
      <w:r>
        <w:rPr>
          <w:rFonts w:hint="eastAsia" w:ascii="宋体" w:hAnsi="宋体" w:eastAsia="宋体" w:cs="Times New Roman"/>
          <w:color w:val="auto"/>
          <w:kern w:val="0"/>
          <w:szCs w:val="21"/>
          <w:highlight w:val="none"/>
        </w:rPr>
        <w:t>成交人</w:t>
      </w:r>
      <w:r>
        <w:rPr>
          <w:rFonts w:ascii="宋体" w:hAnsi="宋体" w:eastAsia="宋体" w:cs="Times New Roman"/>
          <w:color w:val="auto"/>
          <w:kern w:val="0"/>
          <w:szCs w:val="21"/>
          <w:highlight w:val="none"/>
        </w:rPr>
        <w:t>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符合采购人要求的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成交人</w:t>
      </w:r>
      <w:r>
        <w:rPr>
          <w:rFonts w:ascii="宋体" w:hAnsi="宋体" w:eastAsia="宋体" w:cs="Times New Roman"/>
          <w:color w:val="auto"/>
          <w:kern w:val="0"/>
          <w:szCs w:val="21"/>
          <w:highlight w:val="none"/>
        </w:rPr>
        <w:t>违约，</w:t>
      </w:r>
      <w:r>
        <w:rPr>
          <w:rFonts w:hint="eastAsia" w:ascii="宋体" w:hAnsi="宋体" w:eastAsia="宋体" w:cs="Times New Roman"/>
          <w:color w:val="auto"/>
          <w:kern w:val="0"/>
          <w:szCs w:val="21"/>
          <w:highlight w:val="none"/>
        </w:rPr>
        <w:t>采购人</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在不可撤销银行履约保函（或履约保证保险或担保公司履约担保书）到期后成交人未按采购人要求重新提供的，采购人有权要求成交人以履约担保金额为限承担违约金，违约金可直接从未付合同款中扣除</w:t>
      </w:r>
      <w:r>
        <w:rPr>
          <w:rFonts w:ascii="宋体" w:hAnsi="宋体" w:eastAsia="宋体" w:cs="Times New Roman"/>
          <w:color w:val="auto"/>
          <w:kern w:val="0"/>
          <w:szCs w:val="21"/>
          <w:highlight w:val="none"/>
        </w:rPr>
        <w:t>。</w:t>
      </w:r>
    </w:p>
    <w:p w14:paraId="136B442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）在合同履行过程中，不论何种原因导致履约保</w:t>
      </w:r>
      <w:r>
        <w:rPr>
          <w:rFonts w:hint="eastAsia" w:ascii="宋体" w:hAnsi="宋体" w:eastAsia="宋体" w:cs="Times New Roman"/>
          <w:color w:val="auto"/>
          <w:kern w:val="0"/>
          <w:szCs w:val="21"/>
          <w:highlight w:val="none"/>
          <w:lang w:val="en-US" w:eastAsia="zh-CN"/>
        </w:rPr>
        <w:t>证</w:t>
      </w:r>
      <w:r>
        <w:rPr>
          <w:rFonts w:hint="eastAsia" w:ascii="宋体" w:hAnsi="宋体" w:eastAsia="宋体" w:cs="Times New Roman"/>
          <w:color w:val="auto"/>
          <w:kern w:val="0"/>
          <w:szCs w:val="21"/>
          <w:highlight w:val="none"/>
        </w:rPr>
        <w:t>金数额不符合谈判文件要求的，成交人应当在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采购人有权按需补足的金额要求成交人承担违约金，并要求限期补足。如成交人仍不补足的，采购人有权单方解除合同，违约金可直接从未付合同款或履约担保中扣除。</w:t>
      </w:r>
    </w:p>
    <w:p w14:paraId="36305F6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w:t>
      </w:r>
      <w:r>
        <w:rPr>
          <w:rFonts w:hint="eastAsia" w:ascii="宋体" w:hAnsi="宋体" w:eastAsia="宋体" w:cs="Times New Roman"/>
          <w:color w:val="auto"/>
          <w:kern w:val="0"/>
          <w:szCs w:val="21"/>
          <w:highlight w:val="none"/>
        </w:rPr>
        <w:t>（或履约保证保险或担保公司履约担保书）应</w:t>
      </w:r>
      <w:r>
        <w:rPr>
          <w:rFonts w:hint="eastAsia" w:ascii="宋体" w:hAnsi="宋体" w:eastAsia="宋体" w:cs="宋体"/>
          <w:b w:val="0"/>
          <w:bCs w:val="0"/>
          <w:color w:val="auto"/>
          <w:kern w:val="0"/>
          <w:sz w:val="21"/>
          <w:szCs w:val="21"/>
          <w:highlight w:val="none"/>
          <w:lang w:val="en-US" w:eastAsia="zh-CN" w:bidi="ar"/>
        </w:rPr>
        <w:t>从合同签订之日起至合同期限届满并完成合同全部服务义务后二十八（28）日内保持有效</w:t>
      </w:r>
      <w:r>
        <w:rPr>
          <w:rFonts w:hint="eastAsia" w:ascii="宋体" w:hAnsi="宋体" w:eastAsia="宋体" w:cs="宋体"/>
          <w:color w:val="auto"/>
          <w:kern w:val="0"/>
          <w:szCs w:val="21"/>
          <w:highlight w:val="none"/>
        </w:rPr>
        <w:t>。</w:t>
      </w:r>
    </w:p>
    <w:p w14:paraId="03EB110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w:t>
      </w:r>
      <w:r>
        <w:rPr>
          <w:rFonts w:hint="eastAsia" w:ascii="宋体" w:hAnsi="宋体" w:eastAsia="宋体" w:cs="宋体"/>
          <w:color w:val="auto"/>
          <w:kern w:val="0"/>
          <w:szCs w:val="21"/>
          <w:highlight w:val="none"/>
          <w:lang w:val="en-US" w:eastAsia="zh-CN"/>
        </w:rPr>
        <w:t>证金</w:t>
      </w:r>
      <w:r>
        <w:rPr>
          <w:rFonts w:hint="eastAsia" w:ascii="宋体" w:hAnsi="宋体" w:eastAsia="宋体" w:cs="宋体"/>
          <w:color w:val="auto"/>
          <w:kern w:val="0"/>
          <w:szCs w:val="21"/>
          <w:highlight w:val="none"/>
        </w:rPr>
        <w:t>应用本合同货币。</w:t>
      </w:r>
    </w:p>
    <w:p w14:paraId="03BCA45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成交人</w:t>
      </w:r>
      <w:r>
        <w:rPr>
          <w:rFonts w:ascii="宋体" w:hAnsi="宋体" w:eastAsia="宋体" w:cs="Times New Roman"/>
          <w:color w:val="auto"/>
          <w:kern w:val="0"/>
          <w:szCs w:val="21"/>
          <w:highlight w:val="none"/>
        </w:rPr>
        <w:t>也可以按谈判文件约定的额度和时间，向采购人交纳同等数额的履约保证金作为履约担保。如成交人提交的履约保证金是其分支机构以转账形式转入的，要提交</w:t>
      </w:r>
      <w:r>
        <w:rPr>
          <w:rFonts w:hint="eastAsia" w:ascii="宋体" w:hAnsi="宋体" w:eastAsia="宋体" w:cs="Times New Roman"/>
          <w:color w:val="auto"/>
          <w:kern w:val="0"/>
          <w:szCs w:val="21"/>
          <w:highlight w:val="none"/>
        </w:rPr>
        <w:t>成交人</w:t>
      </w:r>
      <w:r>
        <w:rPr>
          <w:rFonts w:ascii="宋体" w:hAnsi="宋体" w:eastAsia="宋体" w:cs="Times New Roman"/>
          <w:color w:val="auto"/>
          <w:kern w:val="0"/>
          <w:szCs w:val="21"/>
          <w:highlight w:val="none"/>
        </w:rPr>
        <w:t>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。履约保证金应以存入采购人指定的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0EFC62FD">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（特别提醒，本账户非响应保证金汇入账户）</w:t>
      </w:r>
    </w:p>
    <w:p w14:paraId="3FBD939C">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rPr>
        <w:t>开户名称：</w:t>
      </w:r>
      <w:r>
        <w:rPr>
          <w:rFonts w:hint="eastAsia" w:ascii="宋体" w:hAnsi="宋体" w:eastAsia="宋体" w:cs="宋体"/>
          <w:b/>
          <w:color w:val="auto"/>
          <w:kern w:val="0"/>
          <w:szCs w:val="21"/>
          <w:highlight w:val="none"/>
          <w:lang w:eastAsia="zh-CN"/>
        </w:rPr>
        <w:t>东莞市水务集团供水有限公司</w:t>
      </w:r>
    </w:p>
    <w:p w14:paraId="51A634AB">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银行账号：4400 1778 8080 5999 9998</w:t>
      </w:r>
    </w:p>
    <w:p w14:paraId="7BC7E7C9">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开户银行：建行东莞分行营业部</w:t>
      </w:r>
    </w:p>
    <w:p w14:paraId="13666CDD">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成交人</w:t>
      </w:r>
      <w:r>
        <w:rPr>
          <w:rFonts w:hint="eastAsia" w:ascii="宋体" w:hAnsi="宋体" w:eastAsia="宋体" w:cs="Times New Roman"/>
          <w:color w:val="auto"/>
          <w:kern w:val="0"/>
          <w:szCs w:val="24"/>
          <w:highlight w:val="none"/>
        </w:rPr>
        <w:t>提交了履约担保后，当履约保证金转达采购人履约保证金账户后，</w:t>
      </w:r>
      <w:r>
        <w:rPr>
          <w:rFonts w:hint="eastAsia" w:ascii="宋体" w:hAnsi="宋体" w:eastAsia="宋体" w:cs="Times New Roman"/>
          <w:color w:val="auto"/>
          <w:szCs w:val="21"/>
          <w:highlight w:val="none"/>
          <w:lang w:val="zh-CN"/>
        </w:rPr>
        <w:t>成交人</w:t>
      </w:r>
      <w:r>
        <w:rPr>
          <w:rFonts w:hint="eastAsia" w:ascii="宋体" w:hAnsi="宋体" w:eastAsia="宋体" w:cs="Times New Roman"/>
          <w:color w:val="auto"/>
          <w:kern w:val="0"/>
          <w:szCs w:val="24"/>
          <w:highlight w:val="none"/>
        </w:rPr>
        <w:t>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采购编号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成交人</w:t>
      </w:r>
      <w:r>
        <w:rPr>
          <w:rFonts w:hint="eastAsia" w:ascii="宋体" w:hAnsi="宋体" w:eastAsia="宋体" w:cs="Times New Roman"/>
          <w:color w:val="auto"/>
          <w:kern w:val="0"/>
          <w:szCs w:val="24"/>
          <w:highlight w:val="none"/>
        </w:rPr>
        <w:t>的公章送采购代理机构，[或当成交人采取不可撤销银行履约保函（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或担保公司履约担保书）的方式缴纳履约担保时，成交人将不可撤销银行履约保函（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交给采购人，由采购人在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注明“原件已收”及签收人、日期后，成交人在每份复印件上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成交人</w:t>
      </w:r>
      <w:r>
        <w:rPr>
          <w:rFonts w:hint="eastAsia" w:ascii="宋体" w:hAnsi="宋体" w:eastAsia="宋体" w:cs="Times New Roman"/>
          <w:color w:val="auto"/>
          <w:kern w:val="0"/>
          <w:szCs w:val="24"/>
          <w:highlight w:val="none"/>
        </w:rPr>
        <w:t>的公章，送采购代理机构]</w:t>
      </w:r>
      <w:r>
        <w:rPr>
          <w:rFonts w:hint="eastAsia" w:ascii="宋体" w:hAnsi="宋体" w:eastAsia="宋体" w:cs="宋体"/>
          <w:color w:val="auto"/>
          <w:kern w:val="0"/>
          <w:szCs w:val="21"/>
          <w:highlight w:val="none"/>
        </w:rPr>
        <w:t>。</w:t>
      </w:r>
    </w:p>
    <w:p w14:paraId="605ADBA3">
      <w:pPr>
        <w:autoSpaceDE w:val="0"/>
        <w:autoSpaceDN w:val="0"/>
        <w:adjustRightInd w:val="0"/>
        <w:spacing w:line="360" w:lineRule="auto"/>
        <w:ind w:left="420" w:leftChars="-100" w:hanging="630" w:hangingChars="30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Times New Roman"/>
          <w:color w:val="auto"/>
          <w:kern w:val="0"/>
          <w:szCs w:val="24"/>
          <w:highlight w:val="none"/>
        </w:rPr>
        <w:t>成交人以履约保证金（银行转账形式）提供履约担保的，在</w:t>
      </w:r>
      <w:r>
        <w:rPr>
          <w:rFonts w:hint="eastAsia" w:ascii="宋体" w:hAnsi="宋体" w:eastAsia="宋体" w:cs="宋体"/>
          <w:b w:val="0"/>
          <w:bCs w:val="0"/>
          <w:color w:val="auto"/>
          <w:kern w:val="0"/>
          <w:sz w:val="21"/>
          <w:szCs w:val="21"/>
          <w:highlight w:val="none"/>
          <w:lang w:val="en-US" w:eastAsia="zh-CN" w:bidi="ar"/>
        </w:rPr>
        <w:t>从合同签订之日起至合同项目最终整体竣工验收合格</w:t>
      </w:r>
      <w:r>
        <w:rPr>
          <w:rFonts w:hint="eastAsia" w:ascii="宋体" w:hAnsi="宋体" w:eastAsia="宋体" w:cs="Times New Roman"/>
          <w:color w:val="auto"/>
          <w:kern w:val="0"/>
          <w:szCs w:val="24"/>
          <w:highlight w:val="none"/>
        </w:rPr>
        <w:t>后经采购人确认，成交人可向采购人提交退回履约担保的申请。采购人审核无异议后，办理履约担保退还手续，履约保证金形式提交的履约担保退回时一律以银行转账的形式无息退回到成交人的账户。</w:t>
      </w:r>
    </w:p>
    <w:p w14:paraId="14D2D14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72AABC80">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0" w:name="_Toc21686"/>
      <w:bookmarkStart w:id="231" w:name="_Toc160099473"/>
      <w:bookmarkStart w:id="232" w:name="_Toc48616770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228"/>
      <w:bookmarkEnd w:id="229"/>
      <w:bookmarkEnd w:id="230"/>
      <w:bookmarkEnd w:id="231"/>
      <w:bookmarkEnd w:id="232"/>
    </w:p>
    <w:p w14:paraId="0E0F13D5">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采购人在合同约定的范围内，采购人有权根据项目实际情况及有关法律法规、政策的规定对采购范围进行变更调整，变更采购范围后，响应供应商应遵照执行。</w:t>
      </w:r>
    </w:p>
    <w:p w14:paraId="74455B7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33" w:name="_Toc450662888"/>
    </w:p>
    <w:p w14:paraId="60D7A8F0">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4" w:name="_Toc30777"/>
      <w:bookmarkStart w:id="235" w:name="_Toc160099474"/>
      <w:bookmarkStart w:id="236" w:name="_Toc486167703"/>
      <w:bookmarkStart w:id="237" w:name="_Toc28921_WPSOffice_Level3"/>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成交服务费</w:t>
      </w:r>
      <w:bookmarkEnd w:id="233"/>
      <w:bookmarkEnd w:id="234"/>
      <w:bookmarkEnd w:id="235"/>
      <w:bookmarkEnd w:id="236"/>
      <w:bookmarkEnd w:id="237"/>
    </w:p>
    <w:p w14:paraId="5C5F6E87">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37.1 成交供应商应按向招标代理机构一次性交纳成交服务费（成交服务费参照国家计委《关于印发〈招标代理服务收费管理暂行办法〉的通知》（计价格〔2002〕1980号）及《国家发展改革委关于降低部分建设项目收费标准规范收费行为等有关问题的通知》（发改价格〔2011〕534号）等标准的80%计算。本项目以成交价作为计费额，本项目业务性质：按服务类招标代理服务收费。</w:t>
      </w:r>
    </w:p>
    <w:p w14:paraId="0FEAEECA">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zh-CN"/>
        </w:rPr>
        <w:t>成交</w:t>
      </w:r>
      <w:r>
        <w:rPr>
          <w:rFonts w:hint="eastAsia" w:ascii="宋体" w:hAnsi="宋体" w:eastAsia="宋体" w:cs="宋体"/>
          <w:color w:val="auto"/>
          <w:szCs w:val="21"/>
          <w:highlight w:val="none"/>
        </w:rPr>
        <w:t>人收到</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通知后，须在15日内向招标代理机构交纳</w:t>
      </w:r>
      <w:r>
        <w:rPr>
          <w:rFonts w:hint="eastAsia" w:ascii="宋体" w:hAnsi="宋体" w:eastAsia="宋体" w:cs="宋体"/>
          <w:color w:val="auto"/>
          <w:szCs w:val="21"/>
          <w:highlight w:val="none"/>
          <w:lang w:val="zh-CN"/>
        </w:rPr>
        <w:t>成交</w:t>
      </w:r>
      <w:r>
        <w:rPr>
          <w:rFonts w:hint="eastAsia" w:ascii="宋体" w:hAnsi="宋体" w:eastAsia="宋体" w:cs="宋体"/>
          <w:color w:val="auto"/>
          <w:szCs w:val="21"/>
          <w:highlight w:val="none"/>
        </w:rPr>
        <w:t>服务费用。</w:t>
      </w:r>
    </w:p>
    <w:p w14:paraId="577A4E4F">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zh-CN"/>
        </w:rPr>
        <w:t>成交</w:t>
      </w:r>
      <w:r>
        <w:rPr>
          <w:rFonts w:hint="eastAsia" w:ascii="宋体" w:hAnsi="宋体" w:eastAsia="宋体" w:cs="宋体"/>
          <w:color w:val="auto"/>
          <w:szCs w:val="21"/>
          <w:highlight w:val="none"/>
        </w:rPr>
        <w:t>服务费只接受以银行转账、电汇方式交纳。</w:t>
      </w:r>
    </w:p>
    <w:p w14:paraId="4F1F5BC1">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成交</w:t>
      </w:r>
      <w:r>
        <w:rPr>
          <w:rFonts w:hint="eastAsia" w:ascii="宋体" w:hAnsi="宋体" w:eastAsia="宋体" w:cs="宋体"/>
          <w:color w:val="auto"/>
          <w:szCs w:val="21"/>
          <w:highlight w:val="none"/>
        </w:rPr>
        <w:t>服务费汇入账号（特别提醒，本账户非</w:t>
      </w:r>
      <w:r>
        <w:rPr>
          <w:rFonts w:hint="eastAsia" w:ascii="宋体" w:hAnsi="宋体" w:eastAsia="宋体" w:cs="宋体"/>
          <w:color w:val="auto"/>
          <w:szCs w:val="21"/>
          <w:highlight w:val="none"/>
          <w:lang w:eastAsia="zh-CN"/>
        </w:rPr>
        <w:t>响应保证金</w:t>
      </w:r>
      <w:r>
        <w:rPr>
          <w:rFonts w:hint="eastAsia" w:ascii="宋体" w:hAnsi="宋体" w:eastAsia="宋体" w:cs="宋体"/>
          <w:color w:val="auto"/>
          <w:szCs w:val="21"/>
          <w:highlight w:val="none"/>
        </w:rPr>
        <w:t>汇入账户)：</w:t>
      </w:r>
    </w:p>
    <w:p w14:paraId="76DF2FAE">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开户名称：</w:t>
      </w:r>
      <w:r>
        <w:rPr>
          <w:rFonts w:hint="eastAsia" w:ascii="宋体" w:hAnsi="宋体" w:eastAsia="宋体"/>
          <w:color w:val="auto"/>
          <w:sz w:val="21"/>
          <w:szCs w:val="21"/>
          <w:highlight w:val="none"/>
        </w:rPr>
        <w:t>三方诚信招标有限公司东莞分公司</w:t>
      </w:r>
      <w:r>
        <w:rPr>
          <w:rFonts w:hint="eastAsia" w:ascii="宋体" w:hAnsi="宋体" w:eastAsia="宋体" w:cs="宋体"/>
          <w:color w:val="auto"/>
          <w:szCs w:val="21"/>
          <w:highlight w:val="none"/>
        </w:rPr>
        <w:t xml:space="preserve">                                          </w:t>
      </w:r>
    </w:p>
    <w:p w14:paraId="4BBCF728">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银行帐号：2010021309900018461                                   </w:t>
      </w:r>
    </w:p>
    <w:p w14:paraId="16A9E8FC">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开户银行：</w:t>
      </w:r>
      <w:r>
        <w:rPr>
          <w:rFonts w:hint="eastAsia" w:ascii="宋体" w:hAnsi="宋体" w:eastAsia="宋体"/>
          <w:color w:val="auto"/>
          <w:sz w:val="21"/>
          <w:szCs w:val="21"/>
          <w:highlight w:val="none"/>
        </w:rPr>
        <w:t>中国工商银行东莞市分行</w:t>
      </w:r>
      <w:r>
        <w:rPr>
          <w:rFonts w:hint="eastAsia" w:ascii="宋体" w:hAnsi="宋体" w:eastAsia="宋体" w:cs="宋体"/>
          <w:color w:val="auto"/>
          <w:szCs w:val="21"/>
          <w:highlight w:val="none"/>
        </w:rPr>
        <w:t xml:space="preserve">                                     </w:t>
      </w:r>
    </w:p>
    <w:p w14:paraId="0ADF2D57">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如未按第3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.1款、第3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.2款规定办理，将不予退还其</w:t>
      </w:r>
      <w:r>
        <w:rPr>
          <w:rFonts w:hint="eastAsia" w:ascii="宋体" w:hAnsi="宋体" w:eastAsia="宋体" w:cs="宋体"/>
          <w:color w:val="auto"/>
          <w:szCs w:val="21"/>
          <w:highlight w:val="none"/>
          <w:lang w:eastAsia="zh-CN"/>
        </w:rPr>
        <w:t>响应保证金</w:t>
      </w:r>
      <w:r>
        <w:rPr>
          <w:rFonts w:hint="eastAsia" w:ascii="宋体" w:hAnsi="宋体" w:eastAsia="宋体" w:cs="宋体"/>
          <w:color w:val="auto"/>
          <w:szCs w:val="21"/>
          <w:highlight w:val="none"/>
        </w:rPr>
        <w:t>。</w:t>
      </w:r>
    </w:p>
    <w:p w14:paraId="75C34AF2">
      <w:pPr>
        <w:autoSpaceDE w:val="0"/>
        <w:autoSpaceDN w:val="0"/>
        <w:adjustRightInd w:val="0"/>
        <w:snapToGrid w:val="0"/>
        <w:spacing w:line="360" w:lineRule="auto"/>
        <w:jc w:val="left"/>
        <w:rPr>
          <w:rFonts w:ascii="宋体" w:hAnsi="宋体" w:eastAsia="宋体" w:cs="宋体"/>
          <w:color w:val="auto"/>
          <w:szCs w:val="21"/>
          <w:highlight w:val="none"/>
          <w:lang w:val="zh-CN"/>
        </w:rPr>
      </w:pPr>
      <w:bookmarkStart w:id="238" w:name="_Toc450662889"/>
    </w:p>
    <w:p w14:paraId="15899005">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9" w:name="_Toc6764_WPSOffice_Level3"/>
      <w:bookmarkStart w:id="240" w:name="_Toc26447"/>
      <w:bookmarkStart w:id="241" w:name="_Toc160099475"/>
      <w:bookmarkStart w:id="242" w:name="_Toc486167704"/>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238"/>
      <w:bookmarkEnd w:id="239"/>
      <w:bookmarkEnd w:id="240"/>
      <w:bookmarkEnd w:id="241"/>
      <w:bookmarkEnd w:id="242"/>
    </w:p>
    <w:p w14:paraId="207F9F71">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该项目获得成交的成交人在执行合同过程中，向采购人（或采购人的权属</w:t>
      </w:r>
      <w:r>
        <w:rPr>
          <w:rFonts w:hint="eastAsia" w:ascii="宋体" w:hAnsi="宋体" w:eastAsia="宋体" w:cs="Times New Roman"/>
          <w:color w:val="auto"/>
          <w:szCs w:val="21"/>
          <w:highlight w:val="none"/>
        </w:rPr>
        <w:t>子</w:t>
      </w:r>
      <w:r>
        <w:rPr>
          <w:rFonts w:hint="eastAsia" w:ascii="宋体" w:hAnsi="宋体" w:eastAsia="宋体" w:cs="Times New Roman"/>
          <w:color w:val="auto"/>
          <w:szCs w:val="21"/>
          <w:highlight w:val="none"/>
          <w:lang w:val="zh-CN"/>
        </w:rPr>
        <w:t>公司）出具的发票必须是由成交人开具，不得以其他单位或个人名义出具，本项目成交人向采购人（或采购人的权属子公司）出具的发票类型为</w:t>
      </w:r>
      <w:r>
        <w:rPr>
          <w:rFonts w:hint="eastAsia" w:ascii="宋体" w:hAnsi="宋体" w:eastAsia="宋体" w:cs="Times New Roman"/>
          <w:color w:val="auto"/>
          <w:szCs w:val="21"/>
          <w:highlight w:val="none"/>
          <w:lang w:val="zh-CN" w:eastAsia="zh-CN"/>
        </w:rPr>
        <w:t>增值税</w:t>
      </w:r>
      <w:r>
        <w:rPr>
          <w:rFonts w:hint="eastAsia" w:ascii="宋体" w:hAnsi="宋体" w:eastAsia="宋体" w:cs="Times New Roman"/>
          <w:color w:val="auto"/>
          <w:szCs w:val="21"/>
          <w:highlight w:val="none"/>
          <w:lang w:val="zh-CN"/>
        </w:rPr>
        <w:t>普通发票。</w:t>
      </w:r>
      <w:bookmarkStart w:id="243" w:name="_Toc486167705"/>
      <w:bookmarkStart w:id="244" w:name="_Toc31106_WPSOffice_Level3"/>
    </w:p>
    <w:p w14:paraId="413FF456">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245" w:name="_Toc27075"/>
      <w:bookmarkStart w:id="246" w:name="_Toc24547"/>
      <w:bookmarkStart w:id="247" w:name="_Toc8619"/>
      <w:bookmarkStart w:id="248" w:name="_Toc142508356"/>
    </w:p>
    <w:p w14:paraId="7709EEEE">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249" w:name="_Toc10074"/>
      <w:r>
        <w:rPr>
          <w:rFonts w:ascii="宋体" w:hAnsi="宋体" w:eastAsia="宋体" w:cs="宋体"/>
          <w:b/>
          <w:color w:val="auto"/>
          <w:szCs w:val="21"/>
          <w:highlight w:val="none"/>
        </w:rPr>
        <w:t xml:space="preserve">39 </w:t>
      </w:r>
      <w:r>
        <w:rPr>
          <w:rFonts w:hint="eastAsia" w:ascii="宋体" w:hAnsi="宋体" w:eastAsia="宋体" w:cs="宋体"/>
          <w:b/>
          <w:color w:val="auto"/>
          <w:szCs w:val="21"/>
          <w:highlight w:val="none"/>
          <w:lang w:eastAsia="zh-CN"/>
        </w:rPr>
        <w:t>采购</w:t>
      </w:r>
      <w:r>
        <w:rPr>
          <w:rFonts w:ascii="宋体" w:hAnsi="宋体" w:eastAsia="宋体" w:cs="宋体"/>
          <w:b/>
          <w:color w:val="auto"/>
          <w:szCs w:val="21"/>
          <w:highlight w:val="none"/>
        </w:rPr>
        <w:t>相关补充约定</w:t>
      </w:r>
      <w:bookmarkEnd w:id="245"/>
      <w:bookmarkEnd w:id="246"/>
      <w:bookmarkEnd w:id="247"/>
      <w:bookmarkEnd w:id="248"/>
      <w:bookmarkEnd w:id="249"/>
    </w:p>
    <w:p w14:paraId="79FCEC78">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w:t>
      </w:r>
      <w:r>
        <w:rPr>
          <w:rFonts w:hint="eastAsia" w:ascii="宋体" w:hAnsi="宋体" w:eastAsia="宋体" w:cs="Times New Roman"/>
          <w:b/>
          <w:color w:val="auto"/>
          <w:szCs w:val="21"/>
          <w:highlight w:val="none"/>
          <w:lang w:eastAsia="zh-CN"/>
        </w:rPr>
        <w:t>供应商</w:t>
      </w:r>
      <w:r>
        <w:rPr>
          <w:rFonts w:ascii="宋体" w:hAnsi="宋体" w:eastAsia="宋体" w:cs="Times New Roman"/>
          <w:b/>
          <w:color w:val="auto"/>
          <w:szCs w:val="21"/>
          <w:highlight w:val="none"/>
        </w:rPr>
        <w:t>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时间以认定文件的落款时间为准</w:t>
      </w:r>
      <w:r>
        <w:rPr>
          <w:rFonts w:ascii="宋体" w:hAnsi="宋体" w:eastAsia="宋体" w:cs="Times New Roman"/>
          <w:b/>
          <w:color w:val="auto"/>
          <w:szCs w:val="21"/>
          <w:highlight w:val="none"/>
        </w:rPr>
        <w:t>。开标结束后，有关</w:t>
      </w:r>
      <w:r>
        <w:rPr>
          <w:rFonts w:hint="eastAsia" w:ascii="宋体" w:hAnsi="宋体" w:eastAsia="宋体" w:cs="Times New Roman"/>
          <w:b/>
          <w:color w:val="auto"/>
          <w:szCs w:val="21"/>
          <w:highlight w:val="none"/>
          <w:lang w:eastAsia="zh-CN"/>
        </w:rPr>
        <w:t>供应商</w:t>
      </w:r>
      <w:r>
        <w:rPr>
          <w:rFonts w:ascii="宋体" w:hAnsi="宋体" w:eastAsia="宋体" w:cs="Times New Roman"/>
          <w:b/>
          <w:color w:val="auto"/>
          <w:szCs w:val="21"/>
          <w:highlight w:val="none"/>
        </w:rPr>
        <w:t>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w:t>
      </w:r>
      <w:r>
        <w:rPr>
          <w:rFonts w:hint="eastAsia" w:ascii="宋体" w:hAnsi="宋体" w:eastAsia="宋体" w:cs="Times New Roman"/>
          <w:b/>
          <w:color w:val="auto"/>
          <w:szCs w:val="21"/>
          <w:highlight w:val="none"/>
          <w:lang w:eastAsia="zh-CN"/>
        </w:rPr>
        <w:t>供应商</w:t>
      </w:r>
      <w:r>
        <w:rPr>
          <w:rFonts w:ascii="宋体" w:hAnsi="宋体" w:eastAsia="宋体" w:cs="Times New Roman"/>
          <w:b/>
          <w:color w:val="auto"/>
          <w:szCs w:val="21"/>
          <w:highlight w:val="none"/>
        </w:rPr>
        <w:t>对有关</w:t>
      </w:r>
      <w:r>
        <w:rPr>
          <w:rFonts w:hint="eastAsia" w:ascii="宋体" w:hAnsi="宋体" w:eastAsia="宋体" w:cs="Times New Roman"/>
          <w:b/>
          <w:color w:val="auto"/>
          <w:szCs w:val="21"/>
          <w:highlight w:val="none"/>
          <w:lang w:eastAsia="zh-CN"/>
        </w:rPr>
        <w:t>供应商</w:t>
      </w:r>
      <w:r>
        <w:rPr>
          <w:rFonts w:ascii="宋体" w:hAnsi="宋体" w:eastAsia="宋体" w:cs="Times New Roman"/>
          <w:b/>
          <w:color w:val="auto"/>
          <w:szCs w:val="21"/>
          <w:highlight w:val="none"/>
        </w:rPr>
        <w:t>的行政处罚信息存在异议，但不涉及第一</w:t>
      </w:r>
      <w:r>
        <w:rPr>
          <w:rFonts w:hint="eastAsia" w:ascii="宋体" w:hAnsi="宋体" w:eastAsia="宋体" w:cs="Times New Roman"/>
          <w:b/>
          <w:color w:val="auto"/>
          <w:szCs w:val="21"/>
          <w:highlight w:val="none"/>
          <w:lang w:eastAsia="zh-CN"/>
        </w:rPr>
        <w:t>成交</w:t>
      </w:r>
      <w:r>
        <w:rPr>
          <w:rFonts w:ascii="宋体" w:hAnsi="宋体" w:eastAsia="宋体" w:cs="Times New Roman"/>
          <w:b/>
          <w:color w:val="auto"/>
          <w:szCs w:val="21"/>
          <w:highlight w:val="none"/>
        </w:rPr>
        <w:t>候选人的，视为对</w:t>
      </w:r>
      <w:r>
        <w:rPr>
          <w:rFonts w:hint="eastAsia" w:ascii="宋体" w:hAnsi="宋体" w:eastAsia="宋体" w:cs="Times New Roman"/>
          <w:b/>
          <w:color w:val="auto"/>
          <w:szCs w:val="21"/>
          <w:highlight w:val="none"/>
          <w:lang w:eastAsia="zh-CN"/>
        </w:rPr>
        <w:t>成交</w:t>
      </w:r>
      <w:r>
        <w:rPr>
          <w:rFonts w:ascii="宋体" w:hAnsi="宋体" w:eastAsia="宋体" w:cs="Times New Roman"/>
          <w:b/>
          <w:color w:val="auto"/>
          <w:szCs w:val="21"/>
          <w:highlight w:val="none"/>
        </w:rPr>
        <w:t>结果没有造成实质影响。</w:t>
      </w:r>
    </w:p>
    <w:p w14:paraId="07C21E89">
      <w:pPr>
        <w:outlineLvl w:val="9"/>
        <w:rPr>
          <w:color w:val="auto"/>
          <w:highlight w:val="none"/>
          <w:lang w:val="zh-CN"/>
        </w:rPr>
      </w:pPr>
    </w:p>
    <w:p w14:paraId="0A7CF7C0">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250" w:name="_Toc12482"/>
      <w:bookmarkStart w:id="251" w:name="_Toc160099476"/>
      <w:r>
        <w:rPr>
          <w:rFonts w:hint="eastAsia" w:ascii="宋体" w:hAnsi="宋体" w:eastAsia="宋体" w:cs="宋体"/>
          <w:color w:val="auto"/>
          <w:szCs w:val="21"/>
          <w:highlight w:val="none"/>
          <w:lang w:val="en-US" w:eastAsia="zh-CN"/>
        </w:rPr>
        <w:t>40</w:t>
      </w:r>
      <w:r>
        <w:rPr>
          <w:rFonts w:hint="eastAsia" w:ascii="宋体" w:hAnsi="宋体" w:eastAsia="宋体" w:cs="宋体"/>
          <w:color w:val="auto"/>
          <w:szCs w:val="21"/>
          <w:highlight w:val="none"/>
        </w:rPr>
        <w:t xml:space="preserve"> 本次采购活动的最终解释权归采购代理机构及采购人所有。</w:t>
      </w:r>
      <w:bookmarkEnd w:id="243"/>
      <w:bookmarkEnd w:id="244"/>
      <w:bookmarkEnd w:id="250"/>
      <w:bookmarkEnd w:id="251"/>
    </w:p>
    <w:p w14:paraId="4DA2C583">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252" w:name="_Toc160099477"/>
      <w:bookmarkStart w:id="253" w:name="_Toc27939_WPSOffice_Level1"/>
      <w:bookmarkStart w:id="254" w:name="_Toc486167706"/>
      <w:bookmarkStart w:id="255" w:name="_Toc450662891"/>
      <w:bookmarkStart w:id="256" w:name="_Toc9125"/>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252"/>
      <w:bookmarkEnd w:id="253"/>
      <w:bookmarkEnd w:id="254"/>
      <w:bookmarkEnd w:id="255"/>
      <w:bookmarkEnd w:id="256"/>
    </w:p>
    <w:p w14:paraId="2613EDCE">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一、项目背景</w:t>
      </w:r>
    </w:p>
    <w:p w14:paraId="2D9D60E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障城区供水用水安全，消除易爆管段，进一步降低供水管网漏损率，切实提高供水质量，我公司委托东莞市水务集团建设管理有限公司代建管理的东莞市供水管网更新改造一期工程-东城标段。该项目涉及东莞市东城街道东宝路及东城东路段中间绿化带供水管网改造施工，施工区域现状存在市政绿化，需迁移后方能开展管网改造作业。现需通过竞争性谈判选定具备市政绿化迁移经验的绿化迁移单位，负责上述施工范围内绿化迁移及养护工作，确保迁移过程符合城市绿化管理规范，最大限度减少对城市景观及生态环境的影响。</w:t>
      </w:r>
    </w:p>
    <w:p w14:paraId="2E6A14A3">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p>
    <w:p w14:paraId="5A73F18B">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二、项目概况</w:t>
      </w:r>
    </w:p>
    <w:p w14:paraId="3DDBCE1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1.项目名称：</w:t>
      </w:r>
      <w:r>
        <w:rPr>
          <w:rFonts w:hint="eastAsia" w:ascii="宋体" w:hAnsi="宋体" w:eastAsia="宋体" w:cs="宋体"/>
          <w:color w:val="auto"/>
          <w:sz w:val="21"/>
          <w:szCs w:val="21"/>
          <w:highlight w:val="none"/>
        </w:rPr>
        <w:t>东莞市东宝路、东城东路中间绿化带苗木移栽项目</w:t>
      </w:r>
    </w:p>
    <w:p w14:paraId="26EA3A4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2.项目地点：东莞市东城街道东宝路及东城东路段中间绿化带</w:t>
      </w:r>
    </w:p>
    <w:p w14:paraId="2251A6E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3.项目内容：实施范围内现状市政绿化（含乔木、灌木等）移栽至采购人指定地点（详见附件）、临时保护（如需）、运输及后期一个月期限的养护管理。</w:t>
      </w:r>
    </w:p>
    <w:p w14:paraId="4E9B3CF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4.工期要求：移栽总工期不超过</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lang w:val="en-US" w:eastAsia="zh-CN"/>
        </w:rPr>
        <w:t>日历天（如遇台风、暴雨等恶劣天气可顺延），工期从采购人完成绿化迁移行政审批手续并通知供应商起算。或结合东莞市供水管网更新改造一期工程-东城标段进度需求，并经采购人审核同意的工期。</w:t>
      </w:r>
    </w:p>
    <w:p w14:paraId="729F2F15">
      <w:pPr>
        <w:keepNext w:val="0"/>
        <w:keepLines w:val="0"/>
        <w:pageBreakBefore w:val="0"/>
        <w:kinsoku/>
        <w:wordWrap/>
        <w:overflowPunct/>
        <w:topLinePunct w:val="0"/>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5.移栽地点：广东省东莞市石碣镇鹤田厦村富田路第四水厂</w:t>
      </w:r>
    </w:p>
    <w:p w14:paraId="6373FB1D">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p>
    <w:p w14:paraId="5663C7F3">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三、用户需求核心内容</w:t>
      </w:r>
    </w:p>
    <w:p w14:paraId="0ED09F7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（一）工作范围及内容</w:t>
      </w:r>
    </w:p>
    <w:p w14:paraId="68B3B05B">
      <w:pPr>
        <w:keepNext w:val="0"/>
        <w:keepLines w:val="0"/>
        <w:pageBreakBefore w:val="0"/>
        <w:kinsoku/>
        <w:wordWrap/>
        <w:overflowPunct/>
        <w:topLinePunct w:val="0"/>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供应商需完成包括不限于以下全部工作：</w:t>
      </w:r>
    </w:p>
    <w:p w14:paraId="017B399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1.现状调查及清单编制</w:t>
      </w:r>
    </w:p>
    <w:p w14:paraId="0FF7847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通知书发出后3日内，组织专业人员对施工范围内绿化现状根据采购人提供的移栽清单（详见附件），核实清单内绿植情况，如乔木（品种、规格、数量）、灌木（品种、密度）、是否存在病虫害影响移栽成活率的情况等，编制《绿化移栽现状清单核对表》（含照片、位置及绿化对应移栽地点），经采购人确认后作为后续结算依据之一。同时须对采购人指定移栽地点进行移栽的绿植生长条件、立地条件、周围环境等进行调查研究，如存在不适宜移栽的情况，供应商须在移栽前书面向采购人提出，确保移栽绿植成活率。</w:t>
      </w:r>
    </w:p>
    <w:p w14:paraId="178C9A5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（2）胸径≥20cm的落叶和阔叶乔木（如木棉树等）、株高6m以上或地径在18cm以上的针叶常绿乔木，属于大树移植范围的绿植需特别关注，并满足大树移植的相关要求。</w:t>
      </w:r>
    </w:p>
    <w:p w14:paraId="49A1030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2.绿化移栽实施</w:t>
      </w:r>
    </w:p>
    <w:p w14:paraId="22FDA03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（1）按照《园林绿化工程施工及验收规范》（CJJ 82-2012）及现行有关标准规定，对现状绿化进行规范迁移，包括但不限于：乔木类提前进行断根处理（必要时采用专业断根技术），修剪枝叶，起挖时保留完整土球，运输过程中采取防震、保湿措施（如包裹草绳、喷水等）；灌木类带土球起挖，修剪过密枝条，轻装轻卸。所有绿植移栽后需用不低于茅竹标准材料设置四角桩支撑等固定措施。</w:t>
      </w:r>
    </w:p>
    <w:p w14:paraId="291080D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（2）因移栽正值夏季，气温较高，供应商投标时需考虑提高移栽绿植成活率措施，如点滴灌浇营养液、覆盖保湿布、生根剂、伤口愈合剂等。</w:t>
      </w:r>
    </w:p>
    <w:p w14:paraId="20DD0D2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（3）本项目按一个月养护考虑，</w:t>
      </w:r>
      <w:r>
        <w:rPr>
          <w:rFonts w:hint="eastAsia" w:ascii="宋体" w:hAnsi="宋体" w:eastAsia="宋体" w:cs="宋体"/>
          <w:color w:val="auto"/>
          <w:szCs w:val="21"/>
          <w:highlight w:val="none"/>
        </w:rPr>
        <w:t>养护用水由</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提供，养护用水所需的管道及安装由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Cs w:val="21"/>
          <w:highlight w:val="none"/>
        </w:rPr>
        <w:t>负责。</w:t>
      </w:r>
    </w:p>
    <w:p w14:paraId="35899FB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（4）迁移过程中需对周边其他设施（如路灯、井盖及地下管线等）进行保护，按道路行政主管部门要求，做好相关文明施工措施，并安排专人疏导交通。</w:t>
      </w:r>
    </w:p>
    <w:p w14:paraId="75C79D1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（5）供应商应根据项目需求提交移栽方案及总体实施进度计划，实施过程现场</w:t>
      </w:r>
      <w:r>
        <w:rPr>
          <w:rFonts w:hint="eastAsia" w:ascii="宋体" w:hAnsi="宋体" w:eastAsia="宋体" w:cs="宋体"/>
          <w:color w:val="auto"/>
          <w:sz w:val="21"/>
          <w:szCs w:val="21"/>
          <w:highlight w:val="none"/>
        </w:rPr>
        <w:t>管理人</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做好每天的</w:t>
      </w:r>
      <w:r>
        <w:rPr>
          <w:rFonts w:hint="eastAsia" w:ascii="宋体" w:hAnsi="宋体" w:eastAsia="宋体" w:cs="宋体"/>
          <w:color w:val="auto"/>
          <w:sz w:val="21"/>
          <w:szCs w:val="21"/>
          <w:highlight w:val="none"/>
          <w:lang w:val="en-US" w:eastAsia="zh-CN"/>
        </w:rPr>
        <w:t>工作日报</w:t>
      </w:r>
      <w:r>
        <w:rPr>
          <w:rFonts w:hint="eastAsia" w:ascii="宋体" w:hAnsi="宋体" w:eastAsia="宋体" w:cs="宋体"/>
          <w:color w:val="auto"/>
          <w:sz w:val="21"/>
          <w:szCs w:val="21"/>
          <w:highlight w:val="none"/>
        </w:rPr>
        <w:t>，并及时上报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；上报资料须完整无缺、如实反映，不得弄虚作假。</w:t>
      </w:r>
    </w:p>
    <w:p w14:paraId="3B6C862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3.废物处理</w:t>
      </w:r>
    </w:p>
    <w:p w14:paraId="19CEDA3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迁移过程中产生的枯枝、残土等废弃物需分类收集处理，不得随意丢弃。</w:t>
      </w:r>
    </w:p>
    <w:p w14:paraId="3394982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4.其他工作</w:t>
      </w:r>
    </w:p>
    <w:p w14:paraId="7661F203">
      <w:pPr>
        <w:keepNext w:val="0"/>
        <w:keepLines w:val="0"/>
        <w:pageBreakBefore w:val="0"/>
        <w:kinsoku/>
        <w:wordWrap/>
        <w:overflowPunct/>
        <w:topLinePunct w:val="0"/>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供应商需负责移栽点杂草清除及地面平整等移栽前的必要工作，报价时须综合考虑上述成本。移栽地点</w:t>
      </w:r>
      <w:r>
        <w:rPr>
          <w:rFonts w:hint="default" w:ascii="宋体" w:hAnsi="宋体" w:eastAsia="宋体" w:cs="宋体"/>
          <w:color w:val="auto"/>
          <w:sz w:val="21"/>
          <w:szCs w:val="21"/>
          <w:highlight w:val="none"/>
          <w:lang w:val="en-US" w:eastAsia="zh-CN"/>
        </w:rPr>
        <w:t>目前杂草较多且茂盛，</w:t>
      </w:r>
      <w:r>
        <w:rPr>
          <w:rFonts w:hint="eastAsia" w:ascii="宋体" w:hAnsi="宋体" w:eastAsia="宋体" w:cs="宋体"/>
          <w:color w:val="auto"/>
          <w:sz w:val="21"/>
          <w:szCs w:val="21"/>
          <w:highlight w:val="none"/>
          <w:lang w:val="en-US" w:eastAsia="zh-CN"/>
        </w:rPr>
        <w:t>且</w:t>
      </w:r>
      <w:r>
        <w:rPr>
          <w:rFonts w:hint="default" w:ascii="宋体" w:hAnsi="宋体" w:eastAsia="宋体" w:cs="宋体"/>
          <w:color w:val="auto"/>
          <w:sz w:val="21"/>
          <w:szCs w:val="21"/>
          <w:highlight w:val="none"/>
          <w:lang w:val="en-US" w:eastAsia="zh-CN"/>
        </w:rPr>
        <w:t>地面为泥地</w:t>
      </w:r>
      <w:r>
        <w:rPr>
          <w:rFonts w:hint="eastAsia" w:ascii="宋体" w:hAnsi="宋体" w:eastAsia="宋体" w:cs="宋体"/>
          <w:color w:val="auto"/>
          <w:sz w:val="21"/>
          <w:szCs w:val="21"/>
          <w:highlight w:val="none"/>
          <w:lang w:val="en-US" w:eastAsia="zh-CN"/>
        </w:rPr>
        <w:t>，部分位置</w:t>
      </w:r>
      <w:r>
        <w:rPr>
          <w:rFonts w:hint="default" w:ascii="宋体" w:hAnsi="宋体" w:eastAsia="宋体" w:cs="宋体"/>
          <w:color w:val="auto"/>
          <w:sz w:val="21"/>
          <w:szCs w:val="21"/>
          <w:highlight w:val="none"/>
          <w:lang w:val="en-US" w:eastAsia="zh-CN"/>
        </w:rPr>
        <w:t>坑洼不平，不便于大型车辆进入及树木种植</w:t>
      </w:r>
      <w:r>
        <w:rPr>
          <w:rFonts w:hint="eastAsia" w:ascii="宋体" w:hAnsi="宋体" w:eastAsia="宋体" w:cs="宋体"/>
          <w:color w:val="auto"/>
          <w:sz w:val="21"/>
          <w:szCs w:val="21"/>
          <w:highlight w:val="none"/>
          <w:lang w:val="en-US" w:eastAsia="zh-CN"/>
        </w:rPr>
        <w:t>。</w:t>
      </w:r>
    </w:p>
    <w:p w14:paraId="37FE332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（二）技术要求</w:t>
      </w:r>
    </w:p>
    <w:p w14:paraId="6828381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执行《园林绿化工程施工及验收规范》（CJJ 82-2012）、《东莞市城市绿化管理办法》及地方现行有关标准规定，移栽方案需报采购人及当地园林主管部门审批后方可实施。</w:t>
      </w:r>
    </w:p>
    <w:p w14:paraId="3E5791D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（三）交付成果资料</w:t>
      </w:r>
    </w:p>
    <w:p w14:paraId="5918A43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1.《绿化迁移现状清单核对表》（含现场照片、位置图及绿化对应移栽地点）及采购人确认文件；</w:t>
      </w:r>
    </w:p>
    <w:p w14:paraId="38986A6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2.迁移过程记录（含乔木断根、起挖、运输照片，运输车辆信息等）；</w:t>
      </w:r>
    </w:p>
    <w:p w14:paraId="73C4E69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3.绿化移栽完成后的验收确认单（含成活率、养护记录）；</w:t>
      </w:r>
    </w:p>
    <w:p w14:paraId="058607A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4.其他资料。</w:t>
      </w:r>
    </w:p>
    <w:p w14:paraId="0CB689C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（四）进度要求</w:t>
      </w:r>
    </w:p>
    <w:p w14:paraId="7DD5CA24">
      <w:pPr>
        <w:keepNext w:val="0"/>
        <w:keepLines w:val="0"/>
        <w:pageBreakBefore w:val="0"/>
        <w:kinsoku/>
        <w:wordWrap/>
        <w:overflowPunct/>
        <w:topLinePunct w:val="0"/>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移栽总工期不超过</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lang w:val="en-US" w:eastAsia="zh-CN"/>
        </w:rPr>
        <w:t>日历天（如遇台风、暴雨等恶劣天气可顺延），工期从采购人完成绿化迁移行政审批手续起算。或结合东莞市供水管网更新改造一期工程-东城标段进度需求，并经采购人审核同意的工期。</w:t>
      </w:r>
    </w:p>
    <w:p w14:paraId="6C24B4E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1.成交通知书发出后 7 日历天内提交《绿化迁移方案》及《绿化移栽现状清单核对表》；</w:t>
      </w:r>
    </w:p>
    <w:p w14:paraId="0028FCA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2.整体工期延误需按合同约定承担违约责任，每延迟1日扣减合同金额0.1%。</w:t>
      </w:r>
    </w:p>
    <w:p w14:paraId="1AB81CE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（五）质量及验收</w:t>
      </w:r>
    </w:p>
    <w:p w14:paraId="77C72144">
      <w:pPr>
        <w:keepNext w:val="0"/>
        <w:keepLines w:val="0"/>
        <w:pageBreakBefore w:val="0"/>
        <w:kinsoku/>
        <w:wordWrap/>
        <w:overflowPunct/>
        <w:topLinePunct w:val="0"/>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1.质量标准：移栽养护期满后成活率应不低于95%。</w:t>
      </w:r>
    </w:p>
    <w:p w14:paraId="5B745EB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2.验收流程：</w:t>
      </w:r>
    </w:p>
    <w:p w14:paraId="5ACC8DA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分阶段验收：移栽完成后由采购人现场确认苗木数量及状态；养护期后由采购人组织进行最终验收，验收合格后签署验收资料。</w:t>
      </w:r>
    </w:p>
    <w:p w14:paraId="2EF4B99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（六）人员要求</w:t>
      </w:r>
    </w:p>
    <w:p w14:paraId="1609666F">
      <w:pPr>
        <w:keepNext w:val="0"/>
        <w:keepLines w:val="0"/>
        <w:pageBreakBefore w:val="0"/>
        <w:kinsoku/>
        <w:wordWrap/>
        <w:overflowPunct/>
        <w:topLinePunct w:val="0"/>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供应商项目负责人需具备市政/园林绿化相关专业中级工程师或以上职称。（投标时须提供对应职称证书及</w:t>
      </w:r>
      <w:r>
        <w:rPr>
          <w:rFonts w:hint="eastAsia" w:ascii="宋体" w:hAnsi="宋体" w:eastAsia="宋体" w:cs="宋体"/>
          <w:color w:val="auto"/>
          <w:sz w:val="21"/>
          <w:szCs w:val="21"/>
          <w:highlight w:val="none"/>
          <w:u w:val="none"/>
          <w:lang w:val="zh-CN"/>
        </w:rPr>
        <w:t>社保部门出具的供应商为其购买的</w:t>
      </w:r>
      <w:r>
        <w:rPr>
          <w:rFonts w:hint="eastAsia" w:ascii="宋体" w:hAnsi="宋体" w:eastAsia="宋体" w:cs="宋体"/>
          <w:color w:val="auto"/>
          <w:sz w:val="21"/>
          <w:szCs w:val="21"/>
          <w:highlight w:val="none"/>
          <w:u w:val="none"/>
          <w:lang w:val="en-US" w:eastAsia="zh-CN"/>
        </w:rPr>
        <w:t>2025年4月至6月份</w:t>
      </w:r>
      <w:r>
        <w:rPr>
          <w:rFonts w:hint="eastAsia" w:ascii="宋体" w:hAnsi="宋体" w:eastAsia="宋体" w:cs="宋体"/>
          <w:color w:val="auto"/>
          <w:sz w:val="21"/>
          <w:szCs w:val="21"/>
          <w:highlight w:val="none"/>
          <w:u w:val="none"/>
          <w:lang w:val="zh-CN"/>
        </w:rPr>
        <w:t>社会保险证明材料加盖供应商公章。</w:t>
      </w:r>
      <w:r>
        <w:rPr>
          <w:rFonts w:hint="eastAsia" w:ascii="宋体" w:hAnsi="宋体" w:eastAsia="宋体" w:cs="宋体"/>
          <w:color w:val="auto"/>
          <w:sz w:val="21"/>
          <w:szCs w:val="21"/>
          <w:highlight w:val="none"/>
          <w:u w:val="none"/>
          <w:lang w:val="en-US" w:eastAsia="zh-CN"/>
        </w:rPr>
        <w:t>）</w:t>
      </w:r>
    </w:p>
    <w:p w14:paraId="12F8E5F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（七）其他要求</w:t>
      </w:r>
    </w:p>
    <w:p w14:paraId="68D2571F">
      <w:pPr>
        <w:keepNext w:val="0"/>
        <w:keepLines w:val="0"/>
        <w:pageBreakBefore w:val="0"/>
        <w:kinsoku/>
        <w:wordWrap/>
        <w:overflowPunct/>
        <w:topLinePunct w:val="0"/>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全文明施工：需遵守《建设工程安全生产管理条例》，设置安全警示标志（如“绿化迁移施工”围挡标语），施工人员需佩戴安全帽、反光衣等安全措施；迁移过程不得破坏周边道路、管线（如燃气、电力）及其他市政设施，若因施工导致损坏需无偿修复并承担相应责任。运输吊装苗木的机具和车辆的工作吨位，必须满足苗木吊装、运输的需求，并应制定相应的安全操作措施。供应商在作业时，必须认真负责，并注意安全操作，因供应商原因导致发生任何意外，供应商负责事故处理和一切费用，概与采购人无关。</w:t>
      </w:r>
    </w:p>
    <w:p w14:paraId="524B08A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2.环保要求：运输车辆需覆盖篷布，防止土球散落；修剪枝叶需集中堆放并及时清运，不得焚烧；施工噪音需符合《建筑施工场界环境噪声排放标准》（GB12523），夜间（22:00-6:00）禁止高噪音作业。</w:t>
      </w:r>
    </w:p>
    <w:p w14:paraId="79A53F30">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p>
    <w:p w14:paraId="278358A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四、结算方式</w:t>
      </w:r>
    </w:p>
    <w:p w14:paraId="35A9508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1、按照供应商成交价按实结算。即按实际移栽绿植、地面平整及杂草清运的数量，结合养护期满后绿植成活情况结算。</w:t>
      </w:r>
      <w:r>
        <w:rPr>
          <w:rFonts w:hint="eastAsia" w:ascii="宋体" w:hAnsi="宋体" w:eastAsia="宋体" w:cs="宋体"/>
          <w:color w:val="auto"/>
          <w:sz w:val="21"/>
          <w:szCs w:val="21"/>
          <w:highlight w:val="none"/>
        </w:rPr>
        <w:t>移栽养护期满后成活率应不低于95%。如成活率低于95%，已移栽死亡绿植均不支付</w:t>
      </w:r>
      <w:r>
        <w:rPr>
          <w:rFonts w:hint="eastAsia" w:ascii="宋体" w:hAnsi="宋体" w:eastAsia="宋体" w:cs="宋体"/>
          <w:color w:val="auto"/>
          <w:sz w:val="21"/>
          <w:szCs w:val="21"/>
          <w:highlight w:val="none"/>
          <w:lang w:val="en-US" w:eastAsia="zh-CN"/>
        </w:rPr>
        <w:t>相应</w:t>
      </w:r>
      <w:r>
        <w:rPr>
          <w:rFonts w:hint="eastAsia" w:ascii="宋体" w:hAnsi="宋体" w:eastAsia="宋体" w:cs="宋体"/>
          <w:color w:val="auto"/>
          <w:sz w:val="21"/>
          <w:szCs w:val="21"/>
          <w:highlight w:val="none"/>
        </w:rPr>
        <w:t>移植</w:t>
      </w:r>
      <w:r>
        <w:rPr>
          <w:rFonts w:hint="eastAsia" w:ascii="宋体" w:hAnsi="宋体" w:eastAsia="宋体" w:cs="宋体"/>
          <w:color w:val="auto"/>
          <w:sz w:val="21"/>
          <w:szCs w:val="21"/>
          <w:highlight w:val="none"/>
          <w:lang w:val="en-US" w:eastAsia="zh-CN"/>
        </w:rPr>
        <w:t>和养护</w:t>
      </w:r>
      <w:r>
        <w:rPr>
          <w:rFonts w:hint="eastAsia" w:ascii="宋体" w:hAnsi="宋体" w:eastAsia="宋体" w:cs="宋体"/>
          <w:color w:val="auto"/>
          <w:sz w:val="21"/>
          <w:szCs w:val="21"/>
          <w:highlight w:val="none"/>
        </w:rPr>
        <w:t>费用。</w:t>
      </w:r>
    </w:p>
    <w:p w14:paraId="5BC25E94">
      <w:pPr>
        <w:keepNext w:val="0"/>
        <w:keepLines w:val="0"/>
        <w:pageBreakBefore w:val="0"/>
        <w:kinsoku/>
        <w:wordWrap/>
        <w:overflowPunct/>
        <w:topLinePunct w:val="0"/>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各项目单价在合同期限内不因</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及外部市场等原因而变化。本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价款包括（但不限于）设备费用、人工费、种植、养护、保险、税费、交通费、差旅费等</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在开展服务相应工作所产生的所有费用。</w:t>
      </w:r>
    </w:p>
    <w:p w14:paraId="56CB109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p>
    <w:p w14:paraId="6345F4AA">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五、付款方式</w:t>
      </w:r>
    </w:p>
    <w:p w14:paraId="26169C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1、本合同签订后，</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要求提交请款资料（包括但不限于请款报告、等额有效的发票等），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lang w:eastAsia="zh-CN"/>
        </w:rPr>
        <w:t>合同含税价</w:t>
      </w:r>
      <w:r>
        <w:rPr>
          <w:rFonts w:hint="eastAsia" w:ascii="宋体" w:hAnsi="宋体" w:eastAsia="宋体" w:cs="宋体"/>
          <w:color w:val="auto"/>
          <w:sz w:val="21"/>
          <w:szCs w:val="21"/>
          <w:highlight w:val="none"/>
        </w:rPr>
        <w:t>的20%费用。</w:t>
      </w:r>
    </w:p>
    <w:p w14:paraId="0235CA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清单范围内绿化移栽完并经过</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确认后，</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提交请款资料（包括但不限于请款报告、等额有效的发票等），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lang w:eastAsia="zh-CN"/>
        </w:rPr>
        <w:t>合同含税价</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0%费用。</w:t>
      </w:r>
    </w:p>
    <w:p w14:paraId="1DA489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3、养护期后经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最终验收合</w:t>
      </w:r>
      <w:r>
        <w:rPr>
          <w:rFonts w:hint="eastAsia" w:ascii="宋体" w:hAnsi="宋体" w:eastAsia="宋体" w:cs="宋体"/>
          <w:color w:val="auto"/>
          <w:sz w:val="21"/>
          <w:szCs w:val="21"/>
          <w:highlight w:val="none"/>
          <w:lang w:eastAsia="zh-CN"/>
        </w:rPr>
        <w:t>后进行结算，</w:t>
      </w:r>
      <w:r>
        <w:rPr>
          <w:rFonts w:hint="eastAsia" w:ascii="宋体" w:hAnsi="宋体" w:eastAsia="宋体" w:cs="宋体"/>
          <w:color w:val="auto"/>
          <w:sz w:val="21"/>
          <w:szCs w:val="21"/>
          <w:highlight w:val="none"/>
          <w:lang w:val="en-US" w:eastAsia="zh-CN"/>
        </w:rPr>
        <w:t>结算完毕</w:t>
      </w:r>
      <w:r>
        <w:rPr>
          <w:rFonts w:hint="eastAsia" w:ascii="宋体" w:hAnsi="宋体" w:eastAsia="宋体" w:cs="宋体"/>
          <w:color w:val="auto"/>
          <w:sz w:val="21"/>
          <w:szCs w:val="21"/>
          <w:highlight w:val="none"/>
        </w:rPr>
        <w:t>后，</w:t>
      </w:r>
      <w:r>
        <w:rPr>
          <w:rFonts w:hint="eastAsia" w:ascii="宋体" w:hAnsi="宋体" w:eastAsia="宋体" w:cs="宋体"/>
          <w:color w:val="auto"/>
          <w:szCs w:val="21"/>
          <w:highlight w:val="none"/>
        </w:rPr>
        <w:t>如</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仍需向乙方支付价款的，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提供全部成果资料、请款资料（包括但不限于请款报告、等额有效的发票等），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确认无误后向</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Cs w:val="21"/>
          <w:highlight w:val="none"/>
        </w:rPr>
        <w:t>支付剩余费用，如结算的合同总价款低于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已付金额，</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Cs w:val="21"/>
          <w:highlight w:val="none"/>
        </w:rPr>
        <w:t>应在收到</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通知后15个工作日内将差额部分款项返还给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p>
    <w:p w14:paraId="0A60C9AA">
      <w:pPr>
        <w:spacing w:line="360" w:lineRule="auto"/>
        <w:rPr>
          <w:rFonts w:ascii="宋体" w:hAnsi="宋体" w:eastAsia="宋体" w:cs="Times New Roman"/>
          <w:b/>
          <w:color w:val="auto"/>
          <w:szCs w:val="21"/>
          <w:highlight w:val="none"/>
          <w:lang w:val="zh-CN"/>
        </w:rPr>
      </w:pPr>
    </w:p>
    <w:p w14:paraId="2B1AF243">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color w:val="auto"/>
          <w:sz w:val="21"/>
          <w:szCs w:val="21"/>
          <w:highlight w:val="none"/>
        </w:rPr>
      </w:pPr>
      <w:bookmarkStart w:id="257" w:name="_Hlt142304394"/>
      <w:bookmarkEnd w:id="257"/>
      <w:bookmarkStart w:id="258" w:name="_Toc513109871"/>
      <w:bookmarkStart w:id="259" w:name="_Toc515871321"/>
      <w:bookmarkStart w:id="260" w:name="_Toc518657825"/>
      <w:bookmarkStart w:id="261" w:name="_Toc513280030"/>
      <w:r>
        <w:rPr>
          <w:rFonts w:hint="eastAsia" w:ascii="宋体" w:hAnsi="宋体" w:eastAsia="宋体" w:cs="宋体"/>
          <w:b/>
          <w:color w:val="auto"/>
          <w:sz w:val="21"/>
          <w:szCs w:val="21"/>
          <w:highlight w:val="none"/>
        </w:rPr>
        <w:br w:type="page"/>
      </w:r>
    </w:p>
    <w:tbl>
      <w:tblPr>
        <w:tblStyle w:val="4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613"/>
        <w:gridCol w:w="1589"/>
        <w:gridCol w:w="1551"/>
        <w:gridCol w:w="1413"/>
        <w:gridCol w:w="908"/>
        <w:gridCol w:w="1869"/>
        <w:gridCol w:w="1744"/>
      </w:tblGrid>
      <w:tr w14:paraId="4A4C3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5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15D9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附件：东莞市东宝路、东城东路中间绿化带苗木移栽项目清单表</w:t>
            </w:r>
          </w:p>
        </w:tc>
      </w:tr>
      <w:tr w14:paraId="29FF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1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86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w:t>
            </w:r>
            <w:r>
              <w:rPr>
                <w:rStyle w:val="120"/>
                <w:rFonts w:hint="eastAsia" w:ascii="宋体" w:hAnsi="宋体" w:eastAsia="宋体" w:cs="宋体"/>
                <w:b/>
                <w:bCs/>
                <w:color w:val="auto"/>
                <w:sz w:val="21"/>
                <w:szCs w:val="21"/>
                <w:highlight w:val="none"/>
                <w:lang w:val="en-US" w:eastAsia="zh-CN" w:bidi="ar"/>
              </w:rPr>
              <w:t xml:space="preserve">          </w:t>
            </w:r>
            <w:r>
              <w:rPr>
                <w:rStyle w:val="122"/>
                <w:rFonts w:hint="eastAsia" w:ascii="宋体" w:hAnsi="宋体" w:eastAsia="宋体" w:cs="宋体"/>
                <w:b/>
                <w:bCs/>
                <w:color w:val="auto"/>
                <w:sz w:val="21"/>
                <w:szCs w:val="21"/>
                <w:highlight w:val="none"/>
                <w:lang w:val="en-US" w:eastAsia="zh-CN" w:bidi="ar"/>
              </w:rPr>
              <w:t>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B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胸径/冠径*高度</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0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C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移栽数量</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01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不含税全费用综合单价（元）</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4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不含税合价（元）</w:t>
            </w:r>
          </w:p>
        </w:tc>
      </w:tr>
      <w:tr w14:paraId="1BAC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F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B800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树木品种</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7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山茶花</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7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150*120CM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12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0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D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1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15759.41 </w:t>
            </w:r>
          </w:p>
        </w:tc>
      </w:tr>
      <w:tr w14:paraId="3BBF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7E8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AA4F4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0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海桐球</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1F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150*120CM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61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96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4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1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3392.16 </w:t>
            </w:r>
          </w:p>
        </w:tc>
      </w:tr>
      <w:tr w14:paraId="0840F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47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70A7F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BF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非洲茉莉</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B3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150*120CM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6B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7F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3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F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1766.75 </w:t>
            </w:r>
          </w:p>
        </w:tc>
      </w:tr>
      <w:tr w14:paraId="2AFF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1E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B9713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95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黄花风铃木（黄钟木）</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04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7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0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A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358.33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F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26158.09 </w:t>
            </w:r>
          </w:p>
        </w:tc>
      </w:tr>
      <w:tr w14:paraId="7F02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0F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B4278A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FAA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50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D1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3B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4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514.33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3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5143.30 </w:t>
            </w:r>
          </w:p>
        </w:tc>
      </w:tr>
      <w:tr w14:paraId="55B2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E5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CB8D9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9A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露兜树</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5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0E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A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0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341.67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9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9908.43 </w:t>
            </w:r>
          </w:p>
        </w:tc>
      </w:tr>
      <w:tr w14:paraId="0430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17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795333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B5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A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B2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2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E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494.33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1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21750.52 </w:t>
            </w:r>
          </w:p>
        </w:tc>
      </w:tr>
      <w:tr w14:paraId="75DE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79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1E0AA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D79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8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0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3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7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620.00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E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1860.00 </w:t>
            </w:r>
          </w:p>
        </w:tc>
      </w:tr>
      <w:tr w14:paraId="6CCE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02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72717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459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D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A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81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B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718.33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C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2154.99 </w:t>
            </w:r>
          </w:p>
        </w:tc>
      </w:tr>
      <w:tr w14:paraId="32F7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46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DD6DB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FE9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F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51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60CM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8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6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2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993.33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A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2979.99 </w:t>
            </w:r>
          </w:p>
        </w:tc>
      </w:tr>
      <w:tr w14:paraId="4C78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74B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0B2EF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8E6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6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E2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3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9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1863.33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A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1863.33 </w:t>
            </w:r>
          </w:p>
        </w:tc>
      </w:tr>
      <w:tr w14:paraId="203D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CD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8E64F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BB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木棉树</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2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9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3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F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1050.40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1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24159.20 </w:t>
            </w:r>
          </w:p>
        </w:tc>
      </w:tr>
      <w:tr w14:paraId="7C837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05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A0C172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ABF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0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51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60CM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2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E8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8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1296.67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E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75206.86 </w:t>
            </w:r>
          </w:p>
        </w:tc>
      </w:tr>
      <w:tr w14:paraId="4B12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2F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C61F0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24F3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5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61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70CM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4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7C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8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1568.33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5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108214.77 </w:t>
            </w:r>
          </w:p>
        </w:tc>
      </w:tr>
      <w:tr w14:paraId="569F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CB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46F09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E21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60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71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80CM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08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D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3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1853.33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3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46333.25 </w:t>
            </w:r>
          </w:p>
        </w:tc>
      </w:tr>
      <w:tr w14:paraId="33C5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457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3A8DA8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6005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7B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81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90CM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74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52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3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2194.33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4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2194.33 </w:t>
            </w:r>
          </w:p>
        </w:tc>
      </w:tr>
      <w:tr w14:paraId="2F363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85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BF237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44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鸡蛋花</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8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8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D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1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326.67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D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103881.06 </w:t>
            </w:r>
          </w:p>
        </w:tc>
      </w:tr>
      <w:tr w14:paraId="2B5D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C5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57D8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47A7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8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C6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C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D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481.00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8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4329.00 </w:t>
            </w:r>
          </w:p>
        </w:tc>
      </w:tr>
      <w:tr w14:paraId="4A61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5A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CC00E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A6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非洲火焰树（瓶干树）</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C0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5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1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7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341.67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2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1366.68 </w:t>
            </w:r>
          </w:p>
        </w:tc>
      </w:tr>
      <w:tr w14:paraId="74D3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5C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14D08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E3E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5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3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4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6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527.67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4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16357.77 </w:t>
            </w:r>
          </w:p>
        </w:tc>
      </w:tr>
      <w:tr w14:paraId="7239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E6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F2024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A87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3A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D5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6D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2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768.33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5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768.33 </w:t>
            </w:r>
          </w:p>
        </w:tc>
      </w:tr>
      <w:tr w14:paraId="5A10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2B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6EE7C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93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伞型小叶榕</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D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7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A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9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375.00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A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4500.00 </w:t>
            </w:r>
          </w:p>
        </w:tc>
      </w:tr>
      <w:tr w14:paraId="2D74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C2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402D8D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1D4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A6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2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0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A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483.11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3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20773.73 </w:t>
            </w:r>
          </w:p>
        </w:tc>
      </w:tr>
      <w:tr w14:paraId="3B9A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2C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C8D34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AB0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0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1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B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7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783.33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2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5483.31 </w:t>
            </w:r>
          </w:p>
        </w:tc>
      </w:tr>
      <w:tr w14:paraId="6812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7B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46100F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81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宫粉紫荆</w:t>
            </w:r>
          </w:p>
          <w:p w14:paraId="64CE8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（羊蹄甲）</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F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C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E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3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341.67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B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15716.82 </w:t>
            </w:r>
          </w:p>
        </w:tc>
      </w:tr>
      <w:tr w14:paraId="50016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36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C0622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1A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B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2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44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A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497.67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3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10451.07 </w:t>
            </w:r>
          </w:p>
        </w:tc>
      </w:tr>
      <w:tr w14:paraId="2AFC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CD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C5A5F2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13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铁冬青</w:t>
            </w:r>
          </w:p>
          <w:p w14:paraId="6847E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（高山榕）</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A6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C3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C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7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497.67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2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1493.01 </w:t>
            </w:r>
          </w:p>
        </w:tc>
      </w:tr>
      <w:tr w14:paraId="44CF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66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94FA4C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6BD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7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6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4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C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716.67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4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2866.68 </w:t>
            </w:r>
          </w:p>
        </w:tc>
      </w:tr>
      <w:tr w14:paraId="2D58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3A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235FB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F83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7C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80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1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3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988.33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6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1976.66 </w:t>
            </w:r>
          </w:p>
        </w:tc>
      </w:tr>
      <w:tr w14:paraId="2E53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AF8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ADDA7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8F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红花风铃木（重阳木）</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8A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A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4A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9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358.33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8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64857.73 </w:t>
            </w:r>
          </w:p>
        </w:tc>
      </w:tr>
      <w:tr w14:paraId="1F91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848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930E8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CFA4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7D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0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9F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8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511.00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F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7665.00 </w:t>
            </w:r>
          </w:p>
        </w:tc>
      </w:tr>
      <w:tr w14:paraId="4EA2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D6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D9B56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0C13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59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5B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91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E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783.33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A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783.33 </w:t>
            </w:r>
          </w:p>
        </w:tc>
      </w:tr>
      <w:tr w14:paraId="7869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01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EB28E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51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油棕</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5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3F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8A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B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716.67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F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2150.01 </w:t>
            </w:r>
          </w:p>
        </w:tc>
      </w:tr>
      <w:tr w14:paraId="4271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6F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7F308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C83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3C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3B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5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A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853.33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6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18773.26 </w:t>
            </w:r>
          </w:p>
        </w:tc>
      </w:tr>
      <w:tr w14:paraId="6252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4D6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53678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843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7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51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60CM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30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96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5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1065.00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A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14910.00 </w:t>
            </w:r>
          </w:p>
        </w:tc>
      </w:tr>
      <w:tr w14:paraId="4714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D2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1538B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B55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8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61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70CM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C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56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A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1368.33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D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2736.66 </w:t>
            </w:r>
          </w:p>
        </w:tc>
      </w:tr>
      <w:tr w14:paraId="286F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9E0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D39F3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E38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8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81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90CM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CB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1C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4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2423.33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F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2423.33 </w:t>
            </w:r>
          </w:p>
        </w:tc>
      </w:tr>
      <w:tr w14:paraId="297E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FE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E3D18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9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海枣</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A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36</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9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8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D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591.21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46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1773.63 </w:t>
            </w:r>
          </w:p>
        </w:tc>
      </w:tr>
      <w:tr w14:paraId="3AEE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2A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719929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0B5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9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B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5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4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986.67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E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17760.06 </w:t>
            </w:r>
          </w:p>
        </w:tc>
      </w:tr>
      <w:tr w14:paraId="52C8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58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E0047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97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A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51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60CM</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C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E8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7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1165.00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E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3495.00 </w:t>
            </w:r>
          </w:p>
        </w:tc>
      </w:tr>
      <w:tr w14:paraId="20B96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3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A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一个月养护费</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35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2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株（棵）/月</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C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9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7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47668.00 </w:t>
            </w:r>
          </w:p>
        </w:tc>
      </w:tr>
      <w:tr w14:paraId="5030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D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A8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地面平整及杂草清运</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9C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7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2"/>
                <w:szCs w:val="22"/>
                <w:highlight w:val="none"/>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E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30000</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2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0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66000.00 </w:t>
            </w:r>
          </w:p>
        </w:tc>
      </w:tr>
      <w:tr w14:paraId="39CB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2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0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不含税合计：</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51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CEF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5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D3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备注：</w:t>
            </w:r>
            <w:r>
              <w:rPr>
                <w:rStyle w:val="217"/>
                <w:rFonts w:hint="eastAsia" w:ascii="宋体" w:hAnsi="宋体" w:eastAsia="宋体" w:cs="宋体"/>
                <w:color w:val="auto"/>
                <w:highlight w:val="none"/>
                <w:lang w:val="en-US" w:eastAsia="zh-CN" w:bidi="ar"/>
              </w:rPr>
              <w:br w:type="textWrapping"/>
            </w:r>
            <w:r>
              <w:rPr>
                <w:rStyle w:val="217"/>
                <w:rFonts w:hint="eastAsia" w:ascii="宋体" w:hAnsi="宋体" w:eastAsia="宋体" w:cs="宋体"/>
                <w:color w:val="auto"/>
                <w:highlight w:val="none"/>
                <w:lang w:val="en-US" w:eastAsia="zh-CN" w:bidi="ar"/>
              </w:rPr>
              <w:t>1、</w:t>
            </w:r>
            <w:r>
              <w:rPr>
                <w:rFonts w:hint="eastAsia" w:ascii="宋体" w:hAnsi="宋体" w:eastAsia="宋体" w:cs="宋体"/>
                <w:color w:val="auto"/>
                <w:sz w:val="20"/>
                <w:szCs w:val="20"/>
                <w:highlight w:val="none"/>
                <w:lang w:val="en-US" w:eastAsia="zh-CN" w:bidi="ar"/>
              </w:rPr>
              <w:t>截干下来的树枝清运费已包含在单价中，运距由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0"/>
                <w:szCs w:val="20"/>
                <w:highlight w:val="none"/>
                <w:lang w:val="en-US" w:eastAsia="zh-CN" w:bidi="ar"/>
              </w:rPr>
              <w:t>综合考虑。</w:t>
            </w:r>
            <w:r>
              <w:rPr>
                <w:rStyle w:val="217"/>
                <w:rFonts w:hint="eastAsia" w:ascii="宋体" w:hAnsi="宋体" w:eastAsia="宋体" w:cs="宋体"/>
                <w:color w:val="auto"/>
                <w:highlight w:val="none"/>
                <w:lang w:val="en-US" w:eastAsia="zh-CN" w:bidi="ar"/>
              </w:rPr>
              <w:br w:type="textWrapping"/>
            </w:r>
            <w:r>
              <w:rPr>
                <w:rStyle w:val="217"/>
                <w:rFonts w:hint="eastAsia" w:ascii="宋体" w:hAnsi="宋体" w:eastAsia="宋体" w:cs="宋体"/>
                <w:color w:val="auto"/>
                <w:highlight w:val="none"/>
                <w:lang w:val="en-US" w:eastAsia="zh-CN" w:bidi="ar"/>
              </w:rPr>
              <w:t>2、本项目按一个月养护考虑，</w:t>
            </w:r>
            <w:r>
              <w:rPr>
                <w:rFonts w:hint="eastAsia" w:ascii="宋体" w:hAnsi="宋体" w:eastAsia="宋体" w:cs="宋体"/>
                <w:color w:val="auto"/>
                <w:szCs w:val="21"/>
                <w:highlight w:val="none"/>
              </w:rPr>
              <w:t>养护用水由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提供，养护用水所需的管道及安装由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Cs w:val="21"/>
                <w:highlight w:val="none"/>
              </w:rPr>
              <w:t>负责。</w:t>
            </w:r>
            <w:r>
              <w:rPr>
                <w:rStyle w:val="217"/>
                <w:rFonts w:hint="eastAsia" w:ascii="宋体" w:hAnsi="宋体" w:eastAsia="宋体" w:cs="宋体"/>
                <w:color w:val="auto"/>
                <w:highlight w:val="none"/>
                <w:lang w:val="en-US" w:eastAsia="zh-CN" w:bidi="ar"/>
              </w:rPr>
              <w:br w:type="textWrapping"/>
            </w:r>
            <w:r>
              <w:rPr>
                <w:rStyle w:val="217"/>
                <w:rFonts w:hint="eastAsia" w:ascii="宋体" w:hAnsi="宋体" w:eastAsia="宋体" w:cs="宋体"/>
                <w:color w:val="auto"/>
                <w:highlight w:val="none"/>
                <w:lang w:val="en-US" w:eastAsia="zh-CN" w:bidi="ar"/>
              </w:rPr>
              <w:t>3、乔木、棕榈种植时采用茅竹支撑，按6米内考虑。</w:t>
            </w:r>
            <w:r>
              <w:rPr>
                <w:rStyle w:val="217"/>
                <w:rFonts w:hint="eastAsia" w:ascii="宋体" w:hAnsi="宋体" w:eastAsia="宋体" w:cs="宋体"/>
                <w:color w:val="auto"/>
                <w:highlight w:val="none"/>
                <w:lang w:val="en-US" w:eastAsia="zh-CN" w:bidi="ar"/>
              </w:rPr>
              <w:br w:type="textWrapping"/>
            </w:r>
            <w:r>
              <w:rPr>
                <w:rStyle w:val="218"/>
                <w:rFonts w:hint="eastAsia" w:ascii="宋体" w:hAnsi="宋体" w:eastAsia="宋体" w:cs="宋体"/>
                <w:color w:val="auto"/>
                <w:highlight w:val="none"/>
                <w:lang w:val="en-US" w:eastAsia="zh-CN" w:bidi="ar"/>
              </w:rPr>
              <w:t>4、移栽地点为广东省东莞市石碣镇鹤田厦村富田路第四水厂，运距约为7公里。</w:t>
            </w:r>
          </w:p>
        </w:tc>
      </w:tr>
    </w:tbl>
    <w:p w14:paraId="64FB1E96">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p>
    <w:bookmarkEnd w:id="258"/>
    <w:bookmarkEnd w:id="259"/>
    <w:bookmarkEnd w:id="260"/>
    <w:bookmarkEnd w:id="261"/>
    <w:p w14:paraId="64FC0EEC">
      <w:pPr>
        <w:keepNext w:val="0"/>
        <w:keepLines w:val="0"/>
        <w:pageBreakBefore w:val="0"/>
        <w:kinsoku/>
        <w:wordWrap/>
        <w:overflowPunct/>
        <w:topLinePunct w:val="0"/>
        <w:bidi w:val="0"/>
        <w:spacing w:line="360" w:lineRule="auto"/>
        <w:ind w:firstLine="420" w:firstLineChars="200"/>
        <w:textAlignment w:val="auto"/>
        <w:rPr>
          <w:rFonts w:hint="eastAsia"/>
          <w:color w:val="auto"/>
          <w:highlight w:val="none"/>
        </w:rPr>
      </w:pPr>
    </w:p>
    <w:p w14:paraId="58DC541F">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262" w:name="_Toc11281_WPSOffice_Level1"/>
      <w:bookmarkStart w:id="263" w:name="_Toc160099479"/>
      <w:bookmarkStart w:id="264" w:name="_Toc6811"/>
      <w:bookmarkStart w:id="265" w:name="_Toc450662892"/>
      <w:bookmarkStart w:id="266" w:name="_Toc486167707"/>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262"/>
      <w:bookmarkEnd w:id="263"/>
      <w:bookmarkEnd w:id="264"/>
      <w:bookmarkEnd w:id="265"/>
      <w:bookmarkEnd w:id="266"/>
    </w:p>
    <w:p w14:paraId="010DE32F">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04F60429">
      <w:pPr>
        <w:spacing w:line="360" w:lineRule="auto"/>
        <w:jc w:val="center"/>
        <w:rPr>
          <w:rFonts w:hint="eastAsia" w:ascii="宋体" w:hAnsi="宋体" w:eastAsia="宋体" w:cs="宋体"/>
          <w:color w:val="auto"/>
          <w:highlight w:val="none"/>
        </w:rPr>
      </w:pPr>
    </w:p>
    <w:p w14:paraId="780E3860">
      <w:pPr>
        <w:autoSpaceDE w:val="0"/>
        <w:autoSpaceDN w:val="0"/>
        <w:adjustRightInd w:val="0"/>
        <w:snapToGrid w:val="0"/>
        <w:spacing w:line="360" w:lineRule="auto"/>
        <w:jc w:val="center"/>
        <w:rPr>
          <w:rFonts w:hint="eastAsia" w:ascii="宋体" w:hAnsi="宋体" w:eastAsia="宋体" w:cs="Times New Roman"/>
          <w:color w:val="auto"/>
          <w:kern w:val="0"/>
          <w:sz w:val="24"/>
          <w:szCs w:val="24"/>
          <w:highlight w:val="none"/>
        </w:rPr>
      </w:pPr>
    </w:p>
    <w:p w14:paraId="7A7B1B6E">
      <w:pPr>
        <w:autoSpaceDE w:val="0"/>
        <w:autoSpaceDN w:val="0"/>
        <w:adjustRightInd w:val="0"/>
        <w:snapToGrid w:val="0"/>
        <w:spacing w:line="360" w:lineRule="auto"/>
        <w:jc w:val="center"/>
        <w:rPr>
          <w:rFonts w:hint="eastAsia" w:ascii="宋体" w:hAnsi="宋体" w:eastAsia="宋体" w:cs="Times New Roman"/>
          <w:color w:val="auto"/>
          <w:kern w:val="0"/>
          <w:sz w:val="24"/>
          <w:szCs w:val="24"/>
          <w:highlight w:val="none"/>
        </w:rPr>
      </w:pPr>
    </w:p>
    <w:p w14:paraId="6CD4CA93">
      <w:pPr>
        <w:autoSpaceDE w:val="0"/>
        <w:autoSpaceDN w:val="0"/>
        <w:adjustRightInd w:val="0"/>
        <w:snapToGrid w:val="0"/>
        <w:spacing w:line="360" w:lineRule="auto"/>
        <w:jc w:val="center"/>
        <w:rPr>
          <w:rFonts w:hint="eastAsia" w:ascii="宋体" w:hAnsi="宋体" w:eastAsia="宋体" w:cs="Times New Roman"/>
          <w:color w:val="auto"/>
          <w:kern w:val="0"/>
          <w:sz w:val="24"/>
          <w:szCs w:val="24"/>
          <w:highlight w:val="none"/>
        </w:rPr>
      </w:pPr>
    </w:p>
    <w:p w14:paraId="761FEEED">
      <w:pPr>
        <w:spacing w:line="360" w:lineRule="auto"/>
        <w:jc w:val="center"/>
        <w:rPr>
          <w:rFonts w:hint="eastAsia" w:ascii="Times New Roman"/>
          <w:color w:val="auto"/>
          <w:highlight w:val="none"/>
        </w:rPr>
      </w:pPr>
    </w:p>
    <w:p w14:paraId="35047A29">
      <w:pPr>
        <w:spacing w:line="360" w:lineRule="auto"/>
        <w:jc w:val="center"/>
        <w:rPr>
          <w:rFonts w:hint="eastAsia" w:ascii="Times New Roman"/>
          <w:color w:val="auto"/>
          <w:highlight w:val="none"/>
        </w:rPr>
      </w:pPr>
    </w:p>
    <w:p w14:paraId="2BF07820">
      <w:pPr>
        <w:spacing w:line="360" w:lineRule="auto"/>
        <w:jc w:val="center"/>
        <w:rPr>
          <w:rFonts w:hint="eastAsia" w:ascii="Times New Roman"/>
          <w:color w:val="auto"/>
          <w:highlight w:val="none"/>
        </w:rPr>
      </w:pPr>
    </w:p>
    <w:p w14:paraId="6CE8CDDF">
      <w:pPr>
        <w:spacing w:line="360" w:lineRule="auto"/>
        <w:jc w:val="center"/>
        <w:rPr>
          <w:rFonts w:hint="eastAsia" w:ascii="Times New Roman"/>
          <w:color w:val="auto"/>
          <w:highlight w:val="none"/>
        </w:rPr>
      </w:pPr>
    </w:p>
    <w:p w14:paraId="706717FD">
      <w:pPr>
        <w:spacing w:line="360" w:lineRule="auto"/>
        <w:jc w:val="center"/>
        <w:rPr>
          <w:rFonts w:hint="eastAsia" w:ascii="宋体" w:hAnsi="宋体" w:eastAsia="宋体" w:cs="宋体"/>
          <w:color w:val="auto"/>
          <w:highlight w:val="none"/>
        </w:rPr>
      </w:pPr>
    </w:p>
    <w:p w14:paraId="673FBA2C">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东莞市东宝路、东城东路中间绿化带</w:t>
      </w:r>
    </w:p>
    <w:p w14:paraId="1BCA1D5C">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44"/>
          <w:szCs w:val="44"/>
          <w:highlight w:val="none"/>
        </w:rPr>
        <w:t>苗木移栽合同</w:t>
      </w:r>
    </w:p>
    <w:p w14:paraId="22C500A4">
      <w:pPr>
        <w:spacing w:line="360" w:lineRule="auto"/>
        <w:rPr>
          <w:rFonts w:hint="eastAsia" w:ascii="宋体" w:hAnsi="宋体" w:eastAsia="宋体" w:cs="宋体"/>
          <w:color w:val="auto"/>
          <w:highlight w:val="none"/>
        </w:rPr>
      </w:pPr>
    </w:p>
    <w:p w14:paraId="14704114">
      <w:pPr>
        <w:spacing w:line="360" w:lineRule="auto"/>
        <w:rPr>
          <w:rFonts w:hint="eastAsia" w:ascii="宋体" w:hAnsi="宋体" w:eastAsia="宋体" w:cs="宋体"/>
          <w:color w:val="auto"/>
          <w:highlight w:val="none"/>
        </w:rPr>
      </w:pPr>
    </w:p>
    <w:p w14:paraId="18D349C3">
      <w:pPr>
        <w:spacing w:line="360" w:lineRule="auto"/>
        <w:rPr>
          <w:rFonts w:hint="eastAsia" w:ascii="宋体" w:hAnsi="宋体" w:eastAsia="宋体" w:cs="宋体"/>
          <w:color w:val="auto"/>
          <w:highlight w:val="none"/>
        </w:rPr>
      </w:pPr>
    </w:p>
    <w:p w14:paraId="541DF9B1">
      <w:pPr>
        <w:spacing w:line="360" w:lineRule="auto"/>
        <w:rPr>
          <w:rFonts w:hint="eastAsia" w:ascii="宋体" w:hAnsi="宋体" w:eastAsia="宋体" w:cs="宋体"/>
          <w:color w:val="auto"/>
          <w:highlight w:val="none"/>
        </w:rPr>
      </w:pPr>
    </w:p>
    <w:p w14:paraId="1A86A6E5">
      <w:pPr>
        <w:spacing w:line="360" w:lineRule="auto"/>
        <w:rPr>
          <w:rFonts w:hint="eastAsia" w:ascii="宋体" w:hAnsi="宋体" w:eastAsia="宋体" w:cs="宋体"/>
          <w:color w:val="auto"/>
          <w:highlight w:val="none"/>
        </w:rPr>
      </w:pPr>
    </w:p>
    <w:p w14:paraId="77ED7BAA">
      <w:pPr>
        <w:spacing w:line="360" w:lineRule="auto"/>
        <w:rPr>
          <w:rFonts w:hint="eastAsia" w:ascii="宋体" w:hAnsi="宋体" w:eastAsia="宋体" w:cs="宋体"/>
          <w:color w:val="auto"/>
          <w:highlight w:val="none"/>
        </w:rPr>
      </w:pPr>
    </w:p>
    <w:p w14:paraId="57D9E836">
      <w:pPr>
        <w:spacing w:line="360" w:lineRule="auto"/>
        <w:jc w:val="center"/>
        <w:rPr>
          <w:rFonts w:hint="eastAsia" w:ascii="宋体" w:hAnsi="宋体" w:eastAsia="宋体" w:cs="宋体"/>
          <w:color w:val="auto"/>
          <w:highlight w:val="none"/>
        </w:rPr>
      </w:pPr>
    </w:p>
    <w:p w14:paraId="74B618F9">
      <w:pPr>
        <w:spacing w:line="360" w:lineRule="auto"/>
        <w:jc w:val="center"/>
        <w:rPr>
          <w:rFonts w:hint="eastAsia" w:ascii="宋体" w:hAnsi="宋体" w:eastAsia="宋体" w:cs="宋体"/>
          <w:color w:val="auto"/>
          <w:highlight w:val="none"/>
        </w:rPr>
      </w:pPr>
    </w:p>
    <w:p w14:paraId="787B71C3">
      <w:pPr>
        <w:spacing w:line="360" w:lineRule="auto"/>
        <w:jc w:val="center"/>
        <w:rPr>
          <w:rFonts w:hint="eastAsia" w:ascii="宋体" w:hAnsi="宋体" w:eastAsia="宋体" w:cs="宋体"/>
          <w:color w:val="auto"/>
          <w:highlight w:val="none"/>
        </w:rPr>
      </w:pPr>
    </w:p>
    <w:p w14:paraId="6C0AF05C">
      <w:pPr>
        <w:spacing w:line="360" w:lineRule="auto"/>
        <w:rPr>
          <w:rFonts w:hint="eastAsia" w:ascii="宋体" w:hAnsi="宋体" w:eastAsia="宋体" w:cs="宋体"/>
          <w:color w:val="auto"/>
          <w:highlight w:val="none"/>
        </w:rPr>
      </w:pPr>
    </w:p>
    <w:p w14:paraId="57BDCD8F">
      <w:pPr>
        <w:spacing w:line="360" w:lineRule="auto"/>
        <w:ind w:firstLine="1800" w:firstLineChars="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甲方：</w:t>
      </w:r>
      <w:r>
        <w:rPr>
          <w:rFonts w:hint="eastAsia" w:ascii="宋体" w:hAnsi="宋体" w:eastAsia="宋体" w:cs="宋体"/>
          <w:color w:val="auto"/>
          <w:sz w:val="30"/>
          <w:szCs w:val="30"/>
          <w:highlight w:val="none"/>
          <w:u w:val="single"/>
        </w:rPr>
        <w:t>东莞市水务集团供水有限公司</w:t>
      </w:r>
    </w:p>
    <w:p w14:paraId="2A57DC2D">
      <w:pPr>
        <w:spacing w:line="360" w:lineRule="auto"/>
        <w:ind w:firstLine="1800" w:firstLineChars="60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乙方：</w:t>
      </w:r>
      <w:r>
        <w:rPr>
          <w:rFonts w:hint="eastAsia" w:ascii="宋体" w:hAnsi="宋体" w:eastAsia="宋体" w:cs="宋体"/>
          <w:color w:val="auto"/>
          <w:sz w:val="30"/>
          <w:szCs w:val="30"/>
          <w:highlight w:val="none"/>
          <w:u w:val="single"/>
        </w:rPr>
        <w:t xml:space="preserve">                          </w:t>
      </w:r>
    </w:p>
    <w:p w14:paraId="3A596689">
      <w:pPr>
        <w:tabs>
          <w:tab w:val="left" w:pos="4253"/>
        </w:tabs>
        <w:spacing w:line="360" w:lineRule="auto"/>
        <w:ind w:firstLine="1800" w:firstLineChars="600"/>
        <w:rPr>
          <w:rFonts w:hint="eastAsia" w:ascii="宋体" w:hAnsi="宋体" w:eastAsia="宋体" w:cs="宋体"/>
          <w:color w:val="auto"/>
          <w:sz w:val="40"/>
          <w:szCs w:val="40"/>
          <w:highlight w:val="none"/>
        </w:rPr>
      </w:pPr>
      <w:r>
        <w:rPr>
          <w:rFonts w:hint="eastAsia" w:ascii="宋体" w:hAnsi="宋体" w:eastAsia="宋体" w:cs="宋体"/>
          <w:color w:val="auto"/>
          <w:sz w:val="30"/>
          <w:szCs w:val="30"/>
          <w:highlight w:val="none"/>
        </w:rPr>
        <w:t>签订日期：</w:t>
      </w: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page"/>
      </w:r>
    </w:p>
    <w:p w14:paraId="5B4F0574">
      <w:pPr>
        <w:autoSpaceDE w:val="0"/>
        <w:autoSpaceDN w:val="0"/>
        <w:adjustRightInd w:val="0"/>
        <w:spacing w:line="4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甲方：</w:t>
      </w:r>
      <w:r>
        <w:rPr>
          <w:rFonts w:hint="eastAsia" w:ascii="宋体" w:hAnsi="宋体" w:eastAsia="宋体" w:cs="宋体"/>
          <w:color w:val="auto"/>
          <w:kern w:val="0"/>
          <w:szCs w:val="21"/>
          <w:highlight w:val="none"/>
          <w:u w:val="single"/>
          <w:lang w:bidi="ar"/>
        </w:rPr>
        <w:t>东莞市水务集团供水有限公司</w:t>
      </w:r>
    </w:p>
    <w:p w14:paraId="3F4B190C">
      <w:pPr>
        <w:autoSpaceDE w:val="0"/>
        <w:autoSpaceDN w:val="0"/>
        <w:adjustRightInd w:val="0"/>
        <w:spacing w:line="4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乙方：</w:t>
      </w:r>
      <w:r>
        <w:rPr>
          <w:rFonts w:hint="eastAsia" w:ascii="宋体" w:hAnsi="宋体" w:eastAsia="宋体" w:cs="宋体"/>
          <w:color w:val="auto"/>
          <w:kern w:val="0"/>
          <w:szCs w:val="21"/>
          <w:highlight w:val="none"/>
          <w:u w:val="single"/>
          <w:lang w:bidi="ar"/>
        </w:rPr>
        <w:t xml:space="preserve">                          </w:t>
      </w:r>
    </w:p>
    <w:p w14:paraId="1272524B">
      <w:pPr>
        <w:autoSpaceDE w:val="0"/>
        <w:autoSpaceDN w:val="0"/>
        <w:adjustRightIn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根据《中华人民共和国民法典》，甲乙双方经协商一致，由乙方负责东莞市东宝路、东城东路中间绿化带苗木移栽项目。为明确双方责任，结合相关规定及该项目工作内容具体情况订立本合同。</w:t>
      </w:r>
    </w:p>
    <w:p w14:paraId="7304695D">
      <w:pPr>
        <w:spacing w:line="360" w:lineRule="auto"/>
        <w:ind w:firstLine="422" w:firstLineChars="200"/>
        <w:rPr>
          <w:rFonts w:hint="eastAsia" w:ascii="宋体" w:hAnsi="宋体" w:eastAsia="宋体" w:cs="宋体"/>
          <w:b/>
          <w:bCs/>
          <w:color w:val="auto"/>
          <w:szCs w:val="21"/>
          <w:highlight w:val="none"/>
        </w:rPr>
      </w:pPr>
    </w:p>
    <w:p w14:paraId="119AAED5">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一、项目概况</w:t>
      </w:r>
    </w:p>
    <w:p w14:paraId="594185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1、项目名称：东莞市东宝路、东城东路中间绿化带苗木移栽项目</w:t>
      </w:r>
    </w:p>
    <w:p w14:paraId="658C88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2、项目地点：东莞市东城街道东宝路及东城东路段中间绿化带</w:t>
      </w:r>
    </w:p>
    <w:p w14:paraId="3DF527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3、项目内容：实施甲方清单范围内现状市政绿化（含乔木、灌木等）移栽至甲方指定地点（详见附件）、临时保护（如需）、运输及后期一个月期限的养护管理期。</w:t>
      </w:r>
    </w:p>
    <w:p w14:paraId="771E38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期要求：移栽总工期不超过30日历天（台风、暴雨等恶劣天气可顺延），自甲方完成绿化迁移行政审批手续并通知乙方起算。如需结合东莞市供水管网更新改造一期工程-东城标段进度需求分阶段进行迁移，移栽总工期以甲方审核同意的工期为准。</w:t>
      </w:r>
    </w:p>
    <w:p w14:paraId="57AEEB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通知书发出后7日历天内乙方提交《绿化迁移方案》及《绿化移栽现状清单核对表》；</w:t>
      </w:r>
    </w:p>
    <w:p w14:paraId="4AFBD4D2">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二、工作范围及内容</w:t>
      </w:r>
    </w:p>
    <w:p w14:paraId="100036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乙方需完成包括不限于以下全部工作：</w:t>
      </w:r>
    </w:p>
    <w:p w14:paraId="166AC9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1、现状调查及清单编制</w:t>
      </w:r>
    </w:p>
    <w:p w14:paraId="357043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通知书发出后3日内，乙方组织专业人员对施工范围内绿化现状根据甲方提供的移栽清单（详见附件），核实清单内绿植情况，如乔木（品种、规格、数量）、灌木（品种、密度）、是否存在病虫害影响移栽成活率的情况等，编制《绿化移栽现状清单核对表》（含照片、位置及绿化对应移栽地点），经甲方确认后作为后续结算依据之一。同时须对甲方指定移栽地点进行移栽的绿植生长条件、立地条件、周围环境等进行调查研究，如存在不适宜移栽的情况，乙方须在移栽前书面向甲方提出，确保移栽绿植成活率。</w:t>
      </w:r>
    </w:p>
    <w:p w14:paraId="107D7A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（2）胸径≥20cm的落叶和阔叶乔木（如木棉树等）、株高6m以上或地径在18cm以上的针叶常绿乔木，属于大树移植范围的绿植需特别关注，并满足大树移植的相关要求。</w:t>
      </w:r>
    </w:p>
    <w:p w14:paraId="59E491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2、绿化移栽实施</w:t>
      </w:r>
    </w:p>
    <w:p w14:paraId="52B30B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（1）按照《园林绿化工程施工及验收规范》（CJJ 82-2012）及现行有关标准规定，对现状绿化进行规范迁移，包括但不限于：乔木类提前进行断根处理（必要时采用专业断根技术），修剪枝叶，起挖时保留完整土球，运输过程中采取防震、保湿措施（如包裹草绳、喷水等）；灌木类带土球起挖，修剪过密枝条，轻装轻卸。所有绿植移栽后需用不低于茅竹标准材料设置四角桩支撑等固定措施。</w:t>
      </w:r>
    </w:p>
    <w:p w14:paraId="49684D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（2）因移栽正值夏季，气温较高，乙方投标时需考虑提高移栽绿植成活率措施，如点滴灌浇营养液、覆盖保湿布、生根剂、伤口愈合剂等。</w:t>
      </w:r>
    </w:p>
    <w:p w14:paraId="783FF2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（3）乙方移栽后还需提供一个月的养护期，养护用水由甲方提供，养护用水所需的管道及安装由乙方负责。</w:t>
      </w:r>
    </w:p>
    <w:p w14:paraId="29CD6F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（4）迁移过程中需对周边其他设施（如路灯、井盖及地下管线等）进行保护，按道路行政主管部门要求，做好相关文明施工措施，并安排专人疏导交通。</w:t>
      </w:r>
    </w:p>
    <w:p w14:paraId="4C2219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（5）乙方应根据项目需求提交移栽方案及总体实施进度计划，实施过程现场管理人应做好每天的工作日报，并及时上报甲方；上报资料须完整无缺、如实反映，不得弄虚作假。</w:t>
      </w:r>
    </w:p>
    <w:p w14:paraId="159E0A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3、废物处理</w:t>
      </w:r>
    </w:p>
    <w:p w14:paraId="1E6942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迁移过程中产生的枯枝、残土等废弃物需分类收集处理，不得随意丢弃。</w:t>
      </w:r>
    </w:p>
    <w:p w14:paraId="33A793DF">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三、技术要求</w:t>
      </w:r>
    </w:p>
    <w:p w14:paraId="79CD6E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执行《园林绿化工程施工及验收规范》（CJJ 82-2012）、《东莞市城市绿化管理办法》及地方现行有关标准规定，移栽方案需报甲方及当地园林主管部门审批后方可实施。</w:t>
      </w:r>
    </w:p>
    <w:p w14:paraId="027CC776">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四、交付成果资料</w:t>
      </w:r>
    </w:p>
    <w:p w14:paraId="2B7369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1、《绿化迁移现状清单核对表》（含现场照片、位置图及绿化对应移栽地点）及甲方确认文件；</w:t>
      </w:r>
    </w:p>
    <w:p w14:paraId="171DC6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2、迁移过程记录（含乔木断根、起挖、运输照片，运输车辆信息等）；</w:t>
      </w:r>
    </w:p>
    <w:p w14:paraId="19B0F3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3、绿化移栽完成后的验收确认单（含成活率、养护记录）；</w:t>
      </w:r>
    </w:p>
    <w:p w14:paraId="6F4D1B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4、其他资料。</w:t>
      </w:r>
    </w:p>
    <w:p w14:paraId="6FFEF513">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五、质量标准与验收</w:t>
      </w:r>
    </w:p>
    <w:p w14:paraId="5AE61B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1、质量标准：移栽养护期满后成活率应不低于95%。</w:t>
      </w:r>
    </w:p>
    <w:p w14:paraId="61348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2、验收流程：</w:t>
      </w:r>
    </w:p>
    <w:p w14:paraId="35F4C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分阶段验收：移栽完成后由甲方现场确认苗木数量及状态；养护期满后由甲方组织进行最终验收，验收合格后，甲乙双方共同签署验收资料。</w:t>
      </w:r>
    </w:p>
    <w:p w14:paraId="4EB597EE">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六、人员要求</w:t>
      </w:r>
    </w:p>
    <w:p w14:paraId="144584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乙方项目负责人需具备市政/园林绿化相关专业中级工程师或以上职称。</w:t>
      </w:r>
    </w:p>
    <w:p w14:paraId="1CBE05F6">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七、其他要求</w:t>
      </w:r>
    </w:p>
    <w:p w14:paraId="539109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需遵守《建设工程安全生产管理条例》，设置安全警示标志（如“绿化迁移施工”围挡标语），施工人员需佩戴安全帽、反光衣等安全措施；迁移过程不得破坏周边道路、管线（如燃气、电力）及其他市政设施，若因施工导致损坏需无偿修复并承担相应责任。运输吊装苗木的机具和车辆的工作吨位，必须满足苗木吊装、运输的需求，并应制定相应的安全操作措施。乙方在作业时，必须认真负责，并注意安全操作，因乙方原因导致的任何事故、安全问题，乙方负责处理并承担全部责任及费用，概与甲方无关。</w:t>
      </w:r>
    </w:p>
    <w:p w14:paraId="5E36CA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2、环保要求：运输车辆需覆盖篷布，防止土球散落；修剪枝叶需集中堆放并及时清运，不得焚烧；施工噪音需符合《建筑施工场界环境噪声排放标准》（GB12523），夜间（22:00-6:00）禁止高噪音作业。</w:t>
      </w:r>
    </w:p>
    <w:p w14:paraId="2D3E4409">
      <w:pPr>
        <w:spacing w:line="360" w:lineRule="auto"/>
        <w:ind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八、合同价款与结算</w:t>
      </w:r>
    </w:p>
    <w:p w14:paraId="2036098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1、合同价（不含乙方销项税额）为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在本合同履行过程中，</w:t>
      </w:r>
      <w:r>
        <w:rPr>
          <w:rFonts w:hint="eastAsia" w:ascii="宋体" w:hAnsi="宋体" w:eastAsia="宋体" w:cs="宋体"/>
          <w:color w:val="auto"/>
          <w:szCs w:val="21"/>
          <w:highlight w:val="none"/>
        </w:rPr>
        <w:t>前述</w:t>
      </w:r>
      <w:r>
        <w:rPr>
          <w:rFonts w:hint="eastAsia" w:ascii="宋体" w:hAnsi="宋体" w:eastAsia="宋体" w:cs="宋体"/>
          <w:color w:val="auto"/>
          <w:szCs w:val="21"/>
          <w:highlight w:val="none"/>
          <w:lang w:val="zh-CN"/>
        </w:rPr>
        <w:t>合同</w:t>
      </w:r>
      <w:r>
        <w:rPr>
          <w:rFonts w:hint="eastAsia" w:ascii="宋体" w:hAnsi="宋体" w:eastAsia="宋体" w:cs="宋体"/>
          <w:color w:val="auto"/>
          <w:szCs w:val="21"/>
          <w:highlight w:val="none"/>
        </w:rPr>
        <w:t>价（不含乙方销项税额）</w:t>
      </w:r>
      <w:r>
        <w:rPr>
          <w:rFonts w:hint="eastAsia" w:ascii="宋体" w:hAnsi="宋体" w:eastAsia="宋体" w:cs="宋体"/>
          <w:color w:val="auto"/>
          <w:szCs w:val="21"/>
          <w:highlight w:val="none"/>
          <w:lang w:val="zh-CN"/>
        </w:rPr>
        <w:t>不随法律法规政策、物价人工、工期调整而进行调整，</w:t>
      </w:r>
      <w:r>
        <w:rPr>
          <w:rFonts w:hint="eastAsia" w:ascii="宋体" w:hAnsi="宋体" w:eastAsia="宋体" w:cs="宋体"/>
          <w:color w:val="auto"/>
          <w:szCs w:val="21"/>
          <w:highlight w:val="none"/>
        </w:rPr>
        <w:t>未经甲方书面确认，乙方无权增加任何费用。</w:t>
      </w:r>
    </w:p>
    <w:p w14:paraId="1141E6B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2、依法计得并根据本合同约定确定的销项税额由甲方承担。根据</w:t>
      </w:r>
      <w:r>
        <w:rPr>
          <w:rFonts w:hint="eastAsia" w:ascii="宋体" w:hAnsi="宋体" w:eastAsia="宋体" w:cs="宋体"/>
          <w:color w:val="auto"/>
          <w:szCs w:val="21"/>
          <w:highlight w:val="none"/>
          <w:lang w:val="zh-CN"/>
        </w:rPr>
        <w:t>《中华人民共和国增值税</w:t>
      </w:r>
      <w:r>
        <w:rPr>
          <w:rFonts w:hint="eastAsia" w:ascii="宋体" w:hAnsi="宋体" w:eastAsia="宋体" w:cs="宋体"/>
          <w:color w:val="auto"/>
          <w:szCs w:val="21"/>
          <w:highlight w:val="none"/>
        </w:rPr>
        <w:t>暂行</w:t>
      </w:r>
      <w:r>
        <w:rPr>
          <w:rFonts w:hint="eastAsia" w:ascii="宋体" w:hAnsi="宋体" w:eastAsia="宋体" w:cs="宋体"/>
          <w:color w:val="auto"/>
          <w:szCs w:val="21"/>
          <w:highlight w:val="none"/>
          <w:lang w:val="zh-CN"/>
        </w:rPr>
        <w:t>条例》（国务院令第691号修订版）</w:t>
      </w:r>
      <w:r>
        <w:rPr>
          <w:rFonts w:hint="eastAsia" w:ascii="宋体" w:hAnsi="宋体" w:eastAsia="宋体" w:cs="宋体"/>
          <w:color w:val="auto"/>
          <w:szCs w:val="21"/>
          <w:highlight w:val="none"/>
        </w:rPr>
        <w:t>及当前税务部门的相关规定，本合同项目的增值税税率为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，对应的销项税额为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在本合同履行过程中，税收政策变动导致</w:t>
      </w:r>
      <w:r>
        <w:rPr>
          <w:rFonts w:hint="eastAsia" w:ascii="宋体" w:hAnsi="宋体" w:eastAsia="宋体" w:cs="宋体"/>
          <w:color w:val="auto"/>
          <w:szCs w:val="21"/>
          <w:highlight w:val="none"/>
        </w:rPr>
        <w:t>增值税</w:t>
      </w:r>
      <w:r>
        <w:rPr>
          <w:rFonts w:hint="eastAsia" w:ascii="宋体" w:hAnsi="宋体" w:eastAsia="宋体" w:cs="宋体"/>
          <w:color w:val="auto"/>
          <w:szCs w:val="21"/>
          <w:highlight w:val="none"/>
          <w:lang w:val="zh-CN"/>
        </w:rPr>
        <w:t>税率调整，依法应调整</w:t>
      </w:r>
      <w:r>
        <w:rPr>
          <w:rFonts w:hint="eastAsia" w:ascii="宋体" w:hAnsi="宋体" w:eastAsia="宋体" w:cs="宋体"/>
          <w:color w:val="auto"/>
          <w:szCs w:val="21"/>
          <w:highlight w:val="none"/>
        </w:rPr>
        <w:t>销项税额的，依法调整；但因乙方未按合同约定时间完成</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、未根据合同约定提供合法、完整的请款资料、项目验收不合格导致的返工或退货、项目验收合格前的非正常损耗等原因导致销项税额增加的，相应损失由乙方承担。</w:t>
      </w:r>
    </w:p>
    <w:p w14:paraId="0E8EF9C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因乙方未按法定税率计算税额或未根据本合同约定出具对应税额的</w:t>
      </w:r>
      <w:r>
        <w:rPr>
          <w:rFonts w:hint="default" w:ascii="Times New Roman" w:hAnsi="Times New Roman" w:eastAsia="宋体" w:cs="Times New Roman"/>
          <w:color w:val="auto"/>
          <w:kern w:val="2"/>
          <w:sz w:val="22"/>
          <w:szCs w:val="22"/>
          <w:highlight w:val="none"/>
          <w:lang w:val="en-US" w:eastAsia="zh-CN" w:bidi="ar-SA"/>
        </w:rPr>
        <w:t>增值税</w:t>
      </w:r>
      <w:r>
        <w:rPr>
          <w:rFonts w:hint="eastAsia" w:ascii="宋体" w:hAnsi="宋体" w:eastAsia="宋体" w:cs="宋体"/>
          <w:color w:val="auto"/>
          <w:szCs w:val="21"/>
          <w:highlight w:val="none"/>
          <w:lang w:eastAsia="zh-CN"/>
        </w:rPr>
        <w:t>普通</w:t>
      </w:r>
      <w:r>
        <w:rPr>
          <w:rFonts w:hint="eastAsia" w:ascii="宋体" w:hAnsi="宋体" w:eastAsia="宋体" w:cs="宋体"/>
          <w:color w:val="auto"/>
          <w:szCs w:val="21"/>
          <w:highlight w:val="none"/>
        </w:rPr>
        <w:t>发票等乙方原因导致甲方多支付税额的，乙方必须退还甲方，给甲方造成损失的，乙方须向甲方赔偿相应损失。</w:t>
      </w:r>
    </w:p>
    <w:p w14:paraId="608764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3、合同价税合计为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），合同履行期间根据本条第2项规定调整销项税额的，结算合同价税合计对应调整。</w:t>
      </w:r>
    </w:p>
    <w:p w14:paraId="0BAF3E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根据</w:t>
      </w:r>
      <w:r>
        <w:rPr>
          <w:rFonts w:hint="eastAsia" w:ascii="宋体" w:hAnsi="宋体" w:eastAsia="宋体" w:cs="宋体"/>
          <w:color w:val="auto"/>
          <w:szCs w:val="21"/>
          <w:highlight w:val="none"/>
        </w:rPr>
        <w:t>采购清单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详见附件一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中移栽服务</w:t>
      </w:r>
      <w:bookmarkStart w:id="267" w:name="OLE_LINK1"/>
      <w:r>
        <w:rPr>
          <w:rFonts w:hint="eastAsia" w:ascii="宋体" w:hAnsi="宋体" w:eastAsia="宋体" w:cs="宋体"/>
          <w:color w:val="auto"/>
          <w:szCs w:val="21"/>
          <w:highlight w:val="none"/>
          <w:lang w:val="en-US" w:eastAsia="zh-CN"/>
        </w:rPr>
        <w:t>不</w:t>
      </w:r>
      <w:bookmarkEnd w:id="267"/>
      <w:r>
        <w:rPr>
          <w:rFonts w:hint="eastAsia" w:ascii="宋体" w:hAnsi="宋体" w:eastAsia="宋体" w:cs="宋体"/>
          <w:color w:val="auto"/>
          <w:szCs w:val="21"/>
          <w:highlight w:val="none"/>
        </w:rPr>
        <w:t>含税</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单价，以实际移栽</w:t>
      </w:r>
      <w:r>
        <w:rPr>
          <w:rFonts w:hint="eastAsia" w:ascii="宋体" w:hAnsi="宋体" w:eastAsia="宋体" w:cs="宋体"/>
          <w:color w:val="auto"/>
          <w:szCs w:val="21"/>
          <w:highlight w:val="none"/>
          <w:lang w:val="en-US" w:eastAsia="zh-CN"/>
        </w:rPr>
        <w:t>绿植、地面平整及杂草清运的</w:t>
      </w:r>
      <w:r>
        <w:rPr>
          <w:rFonts w:hint="eastAsia" w:ascii="宋体" w:hAnsi="宋体" w:eastAsia="宋体" w:cs="宋体"/>
          <w:color w:val="auto"/>
          <w:szCs w:val="21"/>
          <w:highlight w:val="none"/>
        </w:rPr>
        <w:t>数量，并结合移栽养护期满后</w:t>
      </w:r>
      <w:r>
        <w:rPr>
          <w:rFonts w:hint="eastAsia" w:ascii="宋体" w:hAnsi="宋体" w:eastAsia="宋体" w:cs="宋体"/>
          <w:color w:val="auto"/>
          <w:szCs w:val="21"/>
          <w:highlight w:val="none"/>
          <w:lang w:val="en-US" w:eastAsia="zh-CN"/>
        </w:rPr>
        <w:t>苗木</w:t>
      </w:r>
      <w:r>
        <w:rPr>
          <w:rFonts w:hint="eastAsia" w:ascii="宋体" w:hAnsi="宋体" w:eastAsia="宋体" w:cs="宋体"/>
          <w:color w:val="auto"/>
          <w:szCs w:val="21"/>
          <w:highlight w:val="none"/>
        </w:rPr>
        <w:t>成活情况进行结算。移栽养护期满后成活率应不低于95%，如成活率低于95%，</w:t>
      </w:r>
      <w:r>
        <w:rPr>
          <w:rFonts w:hint="eastAsia" w:ascii="宋体" w:hAnsi="宋体" w:eastAsia="宋体" w:cs="宋体"/>
          <w:color w:val="auto"/>
          <w:szCs w:val="21"/>
          <w:highlight w:val="none"/>
          <w:lang w:val="en-US" w:eastAsia="zh-CN"/>
        </w:rPr>
        <w:t>根据</w:t>
      </w:r>
      <w:r>
        <w:rPr>
          <w:rFonts w:hint="eastAsia" w:ascii="宋体" w:hAnsi="宋体" w:eastAsia="宋体" w:cs="宋体"/>
          <w:color w:val="auto"/>
          <w:szCs w:val="21"/>
          <w:highlight w:val="none"/>
        </w:rPr>
        <w:t>死亡</w:t>
      </w:r>
      <w:r>
        <w:rPr>
          <w:rFonts w:hint="eastAsia" w:ascii="宋体" w:hAnsi="宋体" w:eastAsia="宋体" w:cs="宋体"/>
          <w:color w:val="auto"/>
          <w:szCs w:val="21"/>
          <w:highlight w:val="none"/>
          <w:lang w:val="en-US" w:eastAsia="zh-CN"/>
        </w:rPr>
        <w:t>苗木</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种类及数量核减对</w:t>
      </w:r>
      <w:r>
        <w:rPr>
          <w:rFonts w:hint="eastAsia" w:ascii="宋体" w:hAnsi="宋体" w:eastAsia="宋体" w:cs="宋体"/>
          <w:color w:val="auto"/>
          <w:szCs w:val="21"/>
          <w:highlight w:val="none"/>
        </w:rPr>
        <w:t>应的移植</w:t>
      </w:r>
      <w:r>
        <w:rPr>
          <w:rFonts w:hint="eastAsia" w:ascii="宋体" w:hAnsi="宋体" w:eastAsia="宋体" w:cs="宋体"/>
          <w:color w:val="auto"/>
          <w:szCs w:val="21"/>
          <w:highlight w:val="none"/>
          <w:lang w:val="en-US" w:eastAsia="zh-CN"/>
        </w:rPr>
        <w:t>和养护</w:t>
      </w:r>
      <w:r>
        <w:rPr>
          <w:rFonts w:hint="eastAsia" w:ascii="宋体" w:hAnsi="宋体" w:eastAsia="宋体" w:cs="宋体"/>
          <w:color w:val="auto"/>
          <w:szCs w:val="21"/>
          <w:highlight w:val="none"/>
        </w:rPr>
        <w:t>费用。</w:t>
      </w:r>
    </w:p>
    <w:p w14:paraId="639F15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、本合同签订后，乙方按甲方要求提交请款资料（包括但不限于请款报告、等额有效的发票等），甲方向乙方支付至</w:t>
      </w:r>
      <w:r>
        <w:rPr>
          <w:rFonts w:hint="eastAsia" w:ascii="宋体" w:hAnsi="宋体" w:eastAsia="宋体" w:cs="宋体"/>
          <w:color w:val="auto"/>
          <w:szCs w:val="21"/>
          <w:highlight w:val="none"/>
          <w:lang w:eastAsia="zh-CN"/>
        </w:rPr>
        <w:t>合同含税价</w:t>
      </w:r>
      <w:r>
        <w:rPr>
          <w:rFonts w:hint="eastAsia" w:ascii="宋体" w:hAnsi="宋体" w:eastAsia="宋体" w:cs="宋体"/>
          <w:color w:val="auto"/>
          <w:szCs w:val="21"/>
          <w:highlight w:val="none"/>
        </w:rPr>
        <w:t>的20%费用。</w:t>
      </w:r>
    </w:p>
    <w:p w14:paraId="69B222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、乙方对甲方清单范围内的绿化带苗木移栽完并经过甲方确认后，乙方向甲方提交请款资料（包括但不限于请款报告、等额有效的发票等），甲方向乙方支付至</w:t>
      </w:r>
      <w:r>
        <w:rPr>
          <w:rFonts w:hint="eastAsia" w:ascii="宋体" w:hAnsi="宋体" w:eastAsia="宋体" w:cs="宋体"/>
          <w:color w:val="auto"/>
          <w:szCs w:val="21"/>
          <w:highlight w:val="none"/>
          <w:lang w:eastAsia="zh-CN"/>
        </w:rPr>
        <w:t>合同含税价</w:t>
      </w:r>
      <w:r>
        <w:rPr>
          <w:rFonts w:hint="eastAsia" w:ascii="宋体" w:hAnsi="宋体" w:eastAsia="宋体" w:cs="宋体"/>
          <w:color w:val="auto"/>
          <w:szCs w:val="21"/>
          <w:highlight w:val="none"/>
        </w:rPr>
        <w:t>的50%费用。</w:t>
      </w:r>
    </w:p>
    <w:p w14:paraId="684737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养护期满经甲方最终验收后进行结算，结算完毕后，如甲方仍需向乙方支付价款的，乙方向甲方提供全部成果资料、请款资料（包括但不限于请款报告、等额有效的发票等），甲方确认无误后向乙方支付剩余费用，如结算的合同总价款低于甲方已付金额，乙方应在收到甲方通知后15个工作日内将差额部分款项返还给甲方。</w:t>
      </w:r>
    </w:p>
    <w:p w14:paraId="684059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乙方的收款账户信息如下：</w:t>
      </w:r>
    </w:p>
    <w:p w14:paraId="2823CC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账户名称：</w:t>
      </w:r>
    </w:p>
    <w:p w14:paraId="2AC311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p w14:paraId="170C85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账户账号： </w:t>
      </w:r>
    </w:p>
    <w:p w14:paraId="510BCC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如收款账户信息发生变更的，乙方须自变更之日起2个工作日内书面通知甲方。如因乙方未及时通知导致款项支付错误、延误或其他损失的，乙方自行承担责任。</w:t>
      </w:r>
    </w:p>
    <w:p w14:paraId="73961F2E">
      <w:pPr>
        <w:adjustRightInd w:val="0"/>
        <w:spacing w:line="360" w:lineRule="auto"/>
        <w:ind w:firstLine="0" w:firstLineChars="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九、履约担保</w:t>
      </w:r>
    </w:p>
    <w:p w14:paraId="624B411B">
      <w:pPr>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9.1乙方应当根据</w:t>
      </w:r>
      <w:r>
        <w:rPr>
          <w:rFonts w:hint="eastAsia" w:ascii="宋体" w:hAnsi="宋体" w:eastAsia="宋体" w:cs="宋体"/>
          <w:color w:val="auto"/>
          <w:kern w:val="0"/>
          <w:szCs w:val="21"/>
          <w:highlight w:val="none"/>
          <w:lang w:val="en-US" w:eastAsia="zh-CN"/>
        </w:rPr>
        <w:t>谈判</w:t>
      </w:r>
      <w:r>
        <w:rPr>
          <w:rFonts w:hint="eastAsia" w:ascii="宋体" w:hAnsi="宋体" w:eastAsia="宋体" w:cs="宋体"/>
          <w:color w:val="auto"/>
          <w:kern w:val="0"/>
          <w:szCs w:val="21"/>
          <w:highlight w:val="none"/>
        </w:rPr>
        <w:t>文件的规定在签订本合同前向甲方提供履约担保，履约担保形式及金额由乙方从以下方式中任选一种：</w:t>
      </w:r>
    </w:p>
    <w:p w14:paraId="0DD92E50">
      <w:pPr>
        <w:spacing w:line="360" w:lineRule="auto"/>
        <w:ind w:firstLine="371" w:firstLineChars="17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履约保证金（银行转账形式）金额为¥     元，大写人民币      元整；</w:t>
      </w:r>
    </w:p>
    <w:p w14:paraId="17B4BBB5">
      <w:pPr>
        <w:spacing w:line="360" w:lineRule="auto"/>
        <w:ind w:firstLine="371" w:firstLineChars="177"/>
        <w:rPr>
          <w:rFonts w:hint="eastAsia" w:ascii="宋体" w:hAnsi="宋体" w:eastAsia="宋体" w:cs="宋体"/>
          <w:color w:val="auto"/>
          <w:szCs w:val="21"/>
          <w:highlight w:val="none"/>
          <w:u w:val="single"/>
        </w:rPr>
      </w:pPr>
      <w:bookmarkStart w:id="268" w:name="_Hlk32915973"/>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不可撤销银行履约保函金额为¥     元，大写人民币      </w:t>
      </w:r>
      <w:bookmarkEnd w:id="268"/>
      <w:r>
        <w:rPr>
          <w:rFonts w:hint="eastAsia" w:ascii="宋体" w:hAnsi="宋体" w:eastAsia="宋体" w:cs="宋体"/>
          <w:color w:val="auto"/>
          <w:szCs w:val="21"/>
          <w:highlight w:val="none"/>
          <w:u w:val="single"/>
        </w:rPr>
        <w:t>元整；</w:t>
      </w:r>
    </w:p>
    <w:p w14:paraId="3E013A6F">
      <w:pPr>
        <w:widowControl w:val="0"/>
        <w:autoSpaceDE w:val="0"/>
        <w:autoSpaceDN w:val="0"/>
        <w:adjustRightInd w:val="0"/>
        <w:spacing w:line="360" w:lineRule="auto"/>
        <w:ind w:right="-26" w:firstLine="371" w:firstLineChars="177"/>
        <w:jc w:val="left"/>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u w:val="single"/>
          <w:lang w:val="en-US" w:eastAsia="zh-CN" w:bidi="ar-SA"/>
        </w:rPr>
        <w:t>履约保证保险金额为¥     元，大写人民币      元整；</w:t>
      </w:r>
    </w:p>
    <w:p w14:paraId="2B1F1589">
      <w:pPr>
        <w:widowControl w:val="0"/>
        <w:autoSpaceDE w:val="0"/>
        <w:autoSpaceDN w:val="0"/>
        <w:adjustRightInd w:val="0"/>
        <w:spacing w:line="360" w:lineRule="auto"/>
        <w:ind w:right="-26" w:firstLine="371" w:firstLineChars="177"/>
        <w:jc w:val="left"/>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u w:val="single"/>
          <w:lang w:val="en-US" w:eastAsia="zh-CN" w:bidi="ar-SA"/>
        </w:rPr>
        <w:t>担保公司履约担保书金额为¥     元，大写人民币      元整。</w:t>
      </w:r>
    </w:p>
    <w:p w14:paraId="4DB6E4E0">
      <w:pPr>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 履约担保用于补偿甲方或甲方权属分公司因乙方不能完全履行其合同义务而蒙受的损失或其他合同约定的事项。如发生下列任一情况时，甲方除有权依据合同追究乙方给甲方或甲方权属分公司造成的损失责任外，同时有权提取履约担保并按下列情况进行相应处理：</w:t>
      </w:r>
    </w:p>
    <w:p w14:paraId="44A6E1BF">
      <w:pPr>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9.2.1乙方将合同项下的权利义务全部转让给第三方，或未经甲方书面同意将部分权利义务转让给第三方的，甲方有权没收其履约担保。</w:t>
      </w:r>
    </w:p>
    <w:p w14:paraId="77CD833C">
      <w:pPr>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9.2.2在合同履行期间，因乙方原因造成损害、侵权损失（包括但不限于甲方或甲方权属分公司</w:t>
      </w:r>
      <w:r>
        <w:rPr>
          <w:rFonts w:hint="eastAsia" w:ascii="宋体" w:hAnsi="宋体" w:eastAsia="宋体" w:cs="宋体"/>
          <w:color w:val="auto"/>
          <w:szCs w:val="21"/>
          <w:highlight w:val="none"/>
        </w:rPr>
        <w:t>（含其人员）</w:t>
      </w:r>
      <w:r>
        <w:rPr>
          <w:rFonts w:hint="eastAsia" w:ascii="宋体" w:hAnsi="宋体" w:eastAsia="宋体" w:cs="宋体"/>
          <w:color w:val="auto"/>
          <w:kern w:val="0"/>
          <w:szCs w:val="21"/>
          <w:highlight w:val="none"/>
        </w:rPr>
        <w:t>经济损失、</w:t>
      </w:r>
      <w:r>
        <w:rPr>
          <w:rFonts w:hint="eastAsia" w:ascii="宋体" w:hAnsi="宋体" w:eastAsia="宋体" w:cs="宋体"/>
          <w:color w:val="auto"/>
          <w:szCs w:val="21"/>
          <w:highlight w:val="none"/>
        </w:rPr>
        <w:t>乙方所雇佣人员及</w:t>
      </w:r>
      <w:r>
        <w:rPr>
          <w:rFonts w:hint="eastAsia" w:ascii="宋体" w:hAnsi="宋体" w:eastAsia="宋体" w:cs="宋体"/>
          <w:color w:val="auto"/>
          <w:kern w:val="0"/>
          <w:szCs w:val="21"/>
          <w:highlight w:val="none"/>
        </w:rPr>
        <w:t>第三人人身财产损失等）或与其所雇用员工发生劳资纠纷、上访、闹事或其他影响甲方或甲方权属分公司生产经营等情况而其未及时妥善处理的，甲方有权使用履约担保予以支付或作出相应处理，由此产生的法律后果由乙方承担。</w:t>
      </w:r>
    </w:p>
    <w:p w14:paraId="48FB3CDE">
      <w:pPr>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9.2.3在合同履行期间，乙方违约产生的违约金、赔偿、罚款或其他应付费用等款项，甲方有权直接从未付款项中直接扣除或启用履约担保予以支付。</w:t>
      </w:r>
    </w:p>
    <w:p w14:paraId="5ED908F3">
      <w:pPr>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9.2.4合同期内，乙方不能及时完成合同某项义务的，甲方有权使用履约担保用于处理该项工作。</w:t>
      </w:r>
    </w:p>
    <w:p w14:paraId="2B37CFA5">
      <w:pPr>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9.2.5其他根据本合同约定或法律规定，甲方可使用履约担保的情形。</w:t>
      </w:r>
    </w:p>
    <w:p w14:paraId="019A2D97">
      <w:pPr>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 在乙方完成本合同下全部义务，且在合同期限届满并完成</w:t>
      </w:r>
      <w:r>
        <w:rPr>
          <w:rFonts w:hint="eastAsia" w:ascii="宋体" w:hAnsi="宋体" w:eastAsia="宋体" w:cs="Times New Roman"/>
          <w:color w:val="auto"/>
          <w:kern w:val="0"/>
          <w:szCs w:val="21"/>
          <w:highlight w:val="none"/>
        </w:rPr>
        <w:t>本合同及本合同下所有补充协议的全部服务义务后二十八（28）日</w:t>
      </w:r>
      <w:r>
        <w:rPr>
          <w:rFonts w:hint="eastAsia" w:ascii="宋体" w:hAnsi="宋体" w:eastAsia="宋体" w:cs="宋体"/>
          <w:color w:val="auto"/>
          <w:kern w:val="0"/>
          <w:szCs w:val="21"/>
          <w:highlight w:val="none"/>
        </w:rPr>
        <w:t>内，甲方将履约担保余额无息退还乙方。</w:t>
      </w:r>
    </w:p>
    <w:p w14:paraId="0AC15E1E">
      <w:pPr>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如乙方提供不可撤销履约银行保函或履约保证保险或担保公司履约担保书作为履约担保的，不可撤销银行履约保函或履约保证保险或担保公司履约担保书应从合同签订之日起至合同期限届满并且经甲方最终验收以及乙方完成本合同下所有补充协议（如有）的全部服务义务后的二十八（28）日内保持有效。如不可撤销银行履约保函或履约保证保险或担保公司履约担保书在规定有效期届满时而乙方未完成全部服务义务的，乙方必须在不可撤销银行履约保函或履约保证保险或担保公司履约担保书到期15日前无条件办理办妥符合甲方要求的延期手续或重新提供不可撤销银行履约保函或重新提供履约保证保险或重新提供担保公司履约保函；否则视为乙方违约，甲方有权在不可撤销银行履约保函或履约保证保险或担保公司履约担保书到期前向出具履约担保的机构提取履约保证金。在不可撤销银行履约保函或履约保证保险或担保公司履约担保书到期后乙方未按甲方要求重新提供的，甲方有权要求乙方以履约担保金额为限承担违约金。</w:t>
      </w:r>
    </w:p>
    <w:p w14:paraId="6CC0C53D">
      <w:pPr>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9.5 在合同履行过程中，不论何种原因导致履约担保金数额不符合</w:t>
      </w:r>
      <w:r>
        <w:rPr>
          <w:rFonts w:hint="eastAsia" w:ascii="宋体" w:hAnsi="宋体" w:eastAsia="宋体" w:cs="宋体"/>
          <w:color w:val="auto"/>
          <w:kern w:val="0"/>
          <w:szCs w:val="21"/>
          <w:highlight w:val="none"/>
          <w:lang w:eastAsia="zh-CN"/>
        </w:rPr>
        <w:t>谈判</w:t>
      </w:r>
      <w:r>
        <w:rPr>
          <w:rFonts w:hint="eastAsia" w:ascii="宋体" w:hAnsi="宋体" w:eastAsia="宋体" w:cs="宋体"/>
          <w:color w:val="auto"/>
          <w:kern w:val="0"/>
          <w:szCs w:val="21"/>
          <w:highlight w:val="none"/>
        </w:rPr>
        <w:t>文件要求的，乙方应当在5日内予以补足。逾期不予补足的，甲方有权按需补足的金额要求乙方承担违约金，并要求限期补足。如乙方仍不补足的，甲方有权单方解除合同。</w:t>
      </w:r>
    </w:p>
    <w:p w14:paraId="1B57F0D5">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9.6 本合同中提及的“启用履约担保”、“提取履约担保”、“没收履约担保”、“使用履约担保予以支付”等，如履约担保为保证金形式的，则该含义为没收保证金、直接使用保证金等；如履约担保为不可撤销银行履约保函（或履约保证保险或担保公司履约担保书），则该含义为：要求乙方承担与保函或履约保证保险或履约担保书同等金额的违约金，并向银行或保险公司或担保公司索赔。</w:t>
      </w:r>
    </w:p>
    <w:p w14:paraId="0D7436B5">
      <w:pPr>
        <w:spacing w:line="360" w:lineRule="auto"/>
        <w:ind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十、违约责任</w:t>
      </w:r>
    </w:p>
    <w:p w14:paraId="3F840A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1、若乙方未按约定工期完成移栽，每延迟1日，按</w:t>
      </w:r>
      <w:r>
        <w:rPr>
          <w:rFonts w:hint="eastAsia" w:ascii="宋体" w:hAnsi="宋体" w:eastAsia="宋体" w:cs="宋体"/>
          <w:color w:val="auto"/>
          <w:szCs w:val="21"/>
          <w:highlight w:val="none"/>
          <w:lang w:eastAsia="zh-CN"/>
        </w:rPr>
        <w:t>合同含税价</w:t>
      </w:r>
      <w:r>
        <w:rPr>
          <w:rFonts w:hint="eastAsia" w:ascii="宋体" w:hAnsi="宋体" w:eastAsia="宋体" w:cs="宋体"/>
          <w:color w:val="auto"/>
          <w:szCs w:val="21"/>
          <w:highlight w:val="none"/>
        </w:rPr>
        <w:t>的0.1%向甲方支付违约金；若延迟超过30日，甲方有权解除合同，乙方按</w:t>
      </w:r>
      <w:r>
        <w:rPr>
          <w:rFonts w:hint="eastAsia" w:ascii="宋体" w:hAnsi="宋体" w:eastAsia="宋体" w:cs="宋体"/>
          <w:color w:val="auto"/>
          <w:szCs w:val="21"/>
          <w:highlight w:val="none"/>
          <w:lang w:eastAsia="zh-CN"/>
        </w:rPr>
        <w:t>合同含税价</w:t>
      </w:r>
      <w:r>
        <w:rPr>
          <w:rFonts w:hint="eastAsia" w:ascii="宋体" w:hAnsi="宋体" w:eastAsia="宋体" w:cs="宋体"/>
          <w:color w:val="auto"/>
          <w:szCs w:val="21"/>
          <w:highlight w:val="none"/>
        </w:rPr>
        <w:t>的5%向甲方支付违约金，违约金不足以弥补甲方实际损失的，乙方还应就不足部分继续赔偿。</w:t>
      </w:r>
    </w:p>
    <w:p w14:paraId="1B094F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2、因乙方原因损坏周边设施的，乙方需承担全部修复费用及由此导致的第三方索赔。</w:t>
      </w:r>
    </w:p>
    <w:p w14:paraId="3B9343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3、除本合同另有约定外，因乙方违反本合同任一约定均视为违约，甲方有权要求乙方限期整改，如乙方拒绝整改或整改后仍未达到本合同要求的，甲方有权解除本合同，并有权要求乙方支付</w:t>
      </w:r>
      <w:r>
        <w:rPr>
          <w:rFonts w:hint="eastAsia" w:ascii="宋体" w:hAnsi="宋体" w:eastAsia="宋体" w:cs="宋体"/>
          <w:color w:val="auto"/>
          <w:szCs w:val="21"/>
          <w:highlight w:val="none"/>
          <w:lang w:eastAsia="zh-CN"/>
        </w:rPr>
        <w:t>合同含税价</w:t>
      </w:r>
      <w:r>
        <w:rPr>
          <w:rFonts w:hint="eastAsia" w:ascii="宋体" w:hAnsi="宋体" w:eastAsia="宋体" w:cs="宋体"/>
          <w:color w:val="auto"/>
          <w:szCs w:val="21"/>
          <w:highlight w:val="none"/>
        </w:rPr>
        <w:t>的5%的违约金，违约金不足以弥补甲方因此而遭受的全部损失和支出费用的，不足部分乙方应当继续赔偿。</w:t>
      </w:r>
    </w:p>
    <w:p w14:paraId="494C40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4、上述各项乙方须支付的违约金、赔偿金及相关费用甲方均有权直接在履约担保或应付未付的款项中予以扣除。违约金、赔偿金不足以弥补甲方损失的，甲方有权要求乙方补足。</w:t>
      </w:r>
    </w:p>
    <w:p w14:paraId="29911CB2">
      <w:pPr>
        <w:spacing w:line="360" w:lineRule="auto"/>
        <w:ind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十一、不可抗力</w:t>
      </w:r>
    </w:p>
    <w:p w14:paraId="223CE0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7572E2C0">
      <w:pPr>
        <w:spacing w:line="360" w:lineRule="auto"/>
        <w:ind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十二、争议解决</w:t>
      </w:r>
    </w:p>
    <w:p w14:paraId="2298CB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本合同履行过程中发生的争议，双方应协商解决；协商不成的，任何一方可向</w:t>
      </w:r>
      <w:r>
        <w:rPr>
          <w:rFonts w:hint="eastAsia" w:ascii="宋体" w:hAnsi="宋体" w:eastAsia="宋体" w:cs="宋体"/>
          <w:color w:val="auto"/>
          <w:szCs w:val="21"/>
          <w:highlight w:val="none"/>
          <w:lang w:val="en-US" w:eastAsia="zh-CN"/>
        </w:rPr>
        <w:t>甲方所在地</w:t>
      </w:r>
      <w:r>
        <w:rPr>
          <w:rFonts w:hint="eastAsia" w:ascii="宋体" w:hAnsi="宋体" w:eastAsia="宋体" w:cs="宋体"/>
          <w:color w:val="auto"/>
          <w:szCs w:val="21"/>
          <w:highlight w:val="none"/>
        </w:rPr>
        <w:t>人民法院提起诉讼。</w:t>
      </w:r>
    </w:p>
    <w:p w14:paraId="6A358AAC">
      <w:pPr>
        <w:spacing w:line="360" w:lineRule="auto"/>
        <w:ind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十三、其他</w:t>
      </w:r>
    </w:p>
    <w:p w14:paraId="42BBB5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1、本合同一式肆份皆为正本，双方各执两份，自双方</w:t>
      </w:r>
      <w:r>
        <w:rPr>
          <w:rFonts w:hint="eastAsia" w:ascii="宋体" w:hAnsi="宋体" w:eastAsia="宋体" w:cs="宋体"/>
          <w:color w:val="auto"/>
          <w:szCs w:val="21"/>
          <w:highlight w:val="none"/>
          <w:lang w:val="en-US" w:eastAsia="zh-CN"/>
        </w:rPr>
        <w:t>法定代表人或负责人</w:t>
      </w:r>
      <w:r>
        <w:rPr>
          <w:rFonts w:hint="eastAsia" w:ascii="宋体" w:hAnsi="宋体" w:eastAsia="宋体" w:cs="宋体"/>
          <w:color w:val="auto"/>
          <w:szCs w:val="21"/>
          <w:highlight w:val="none"/>
        </w:rPr>
        <w:t>签字并盖章之日起生效。</w:t>
      </w:r>
    </w:p>
    <w:p w14:paraId="28A700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2、本合同未尽事宜，可签订补充协议，补充协议与本合同具有同等法律效力。</w:t>
      </w:r>
    </w:p>
    <w:p w14:paraId="0FE007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3、本合同附件：1.《东莞市东宝路、东城东路中间绿化带苗木移栽项目清单》</w:t>
      </w:r>
    </w:p>
    <w:p w14:paraId="23E4ECF1">
      <w:pPr>
        <w:spacing w:line="360" w:lineRule="auto"/>
        <w:ind w:firstLine="2100" w:firstLineChars="1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2.《廉洁协议</w:t>
      </w:r>
      <w:r>
        <w:rPr>
          <w:rFonts w:hint="eastAsia" w:ascii="宋体" w:hAnsi="宋体" w:eastAsia="宋体" w:cs="宋体"/>
          <w:color w:val="auto"/>
          <w:szCs w:val="21"/>
          <w:highlight w:val="none"/>
          <w:lang w:eastAsia="zh-CN"/>
        </w:rPr>
        <w:t>书</w:t>
      </w:r>
      <w:r>
        <w:rPr>
          <w:rFonts w:hint="eastAsia" w:ascii="宋体" w:hAnsi="宋体" w:eastAsia="宋体" w:cs="宋体"/>
          <w:color w:val="auto"/>
          <w:szCs w:val="21"/>
          <w:highlight w:val="none"/>
        </w:rPr>
        <w:t>》</w:t>
      </w:r>
    </w:p>
    <w:p w14:paraId="3C4C6062">
      <w:pPr>
        <w:spacing w:line="360" w:lineRule="auto"/>
        <w:ind w:firstLine="2100" w:firstLineChars="10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3.《安全文明施工管理协议书》</w:t>
      </w:r>
    </w:p>
    <w:p w14:paraId="7545A36F">
      <w:pPr>
        <w:spacing w:line="360" w:lineRule="auto"/>
        <w:ind w:firstLine="2100" w:firstLineChars="1000"/>
        <w:rPr>
          <w:rFonts w:hint="eastAsia" w:ascii="宋体" w:hAnsi="宋体" w:eastAsia="宋体" w:cs="宋体"/>
          <w:color w:val="auto"/>
          <w:szCs w:val="21"/>
          <w:highlight w:val="none"/>
        </w:rPr>
      </w:pPr>
    </w:p>
    <w:p w14:paraId="61AC69F8">
      <w:pPr>
        <w:autoSpaceDE w:val="0"/>
        <w:autoSpaceDN w:val="0"/>
        <w:adjustRightInd w:val="0"/>
        <w:spacing w:line="356" w:lineRule="exact"/>
        <w:jc w:val="left"/>
        <w:rPr>
          <w:rFonts w:hint="eastAsia" w:ascii="宋体" w:hAnsi="宋体" w:eastAsia="宋体" w:cs="宋体"/>
          <w:color w:val="auto"/>
          <w:kern w:val="0"/>
          <w:szCs w:val="21"/>
          <w:highlight w:val="none"/>
          <w:lang w:bidi="ar"/>
        </w:rPr>
      </w:pPr>
    </w:p>
    <w:p w14:paraId="10A84B2C">
      <w:pPr>
        <w:autoSpaceDE w:val="0"/>
        <w:autoSpaceDN w:val="0"/>
        <w:adjustRightInd w:val="0"/>
        <w:spacing w:line="356"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tbl>
      <w:tblPr>
        <w:tblStyle w:val="46"/>
        <w:tblW w:w="4999" w:type="pct"/>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0"/>
        <w:gridCol w:w="5294"/>
      </w:tblGrid>
      <w:tr w14:paraId="6691182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428" w:type="pct"/>
            <w:tcBorders>
              <w:top w:val="nil"/>
              <w:left w:val="nil"/>
              <w:bottom w:val="nil"/>
              <w:right w:val="nil"/>
            </w:tcBorders>
          </w:tcPr>
          <w:p w14:paraId="633A3E72">
            <w:pPr>
              <w:pStyle w:val="41"/>
              <w:keepNext w:val="0"/>
              <w:keepLines w:val="0"/>
              <w:widowControl w:val="0"/>
              <w:suppressLineNumbers w:val="0"/>
              <w:autoSpaceDE w:val="0"/>
              <w:spacing w:before="120" w:beforeLines="50" w:beforeAutospacing="0" w:after="120" w:afterLines="50" w:afterAutospacing="0"/>
              <w:ind w:left="0" w:right="0"/>
              <w:jc w:val="both"/>
              <w:rPr>
                <w:rFonts w:hint="eastAsia" w:eastAsia="宋体" w:cs="宋体"/>
                <w:color w:val="auto"/>
                <w:kern w:val="0"/>
                <w:sz w:val="21"/>
                <w:szCs w:val="21"/>
                <w:highlight w:val="none"/>
              </w:rPr>
            </w:pPr>
            <w:r>
              <w:rPr>
                <w:rFonts w:hint="eastAsia" w:eastAsia="宋体" w:cs="宋体"/>
                <w:color w:val="auto"/>
                <w:kern w:val="0"/>
                <w:sz w:val="21"/>
                <w:szCs w:val="21"/>
                <w:highlight w:val="none"/>
                <w:lang w:bidi="ar"/>
              </w:rPr>
              <w:t>甲方：东莞市水务集团供水有限公司</w:t>
            </w:r>
          </w:p>
          <w:p w14:paraId="5DEBF148">
            <w:pPr>
              <w:pStyle w:val="41"/>
              <w:keepNext w:val="0"/>
              <w:keepLines w:val="0"/>
              <w:widowControl w:val="0"/>
              <w:suppressLineNumbers w:val="0"/>
              <w:autoSpaceDE w:val="0"/>
              <w:spacing w:before="120" w:beforeLines="50" w:beforeAutospacing="0" w:after="120" w:afterLines="50" w:afterAutospacing="0"/>
              <w:ind w:left="0" w:right="0"/>
              <w:jc w:val="both"/>
              <w:rPr>
                <w:rFonts w:hint="eastAsia" w:eastAsia="宋体" w:cs="宋体"/>
                <w:color w:val="auto"/>
                <w:kern w:val="0"/>
                <w:sz w:val="21"/>
                <w:szCs w:val="21"/>
                <w:highlight w:val="none"/>
              </w:rPr>
            </w:pPr>
          </w:p>
        </w:tc>
        <w:tc>
          <w:tcPr>
            <w:tcW w:w="2571" w:type="pct"/>
            <w:tcBorders>
              <w:top w:val="nil"/>
              <w:left w:val="nil"/>
              <w:bottom w:val="nil"/>
              <w:right w:val="nil"/>
            </w:tcBorders>
          </w:tcPr>
          <w:p w14:paraId="46439CE1">
            <w:pPr>
              <w:pStyle w:val="41"/>
              <w:keepNext w:val="0"/>
              <w:keepLines w:val="0"/>
              <w:widowControl w:val="0"/>
              <w:suppressLineNumbers w:val="0"/>
              <w:autoSpaceDE w:val="0"/>
              <w:spacing w:before="120" w:beforeLines="50" w:beforeAutospacing="0" w:after="120" w:afterLines="50" w:afterAutospacing="0"/>
              <w:ind w:left="0" w:right="0"/>
              <w:jc w:val="both"/>
              <w:rPr>
                <w:rFonts w:hint="eastAsia" w:eastAsia="宋体" w:cs="宋体"/>
                <w:color w:val="auto"/>
                <w:kern w:val="0"/>
                <w:sz w:val="21"/>
                <w:szCs w:val="21"/>
                <w:highlight w:val="none"/>
              </w:rPr>
            </w:pPr>
            <w:r>
              <w:rPr>
                <w:rFonts w:hint="eastAsia" w:eastAsia="宋体" w:cs="宋体"/>
                <w:color w:val="auto"/>
                <w:kern w:val="0"/>
                <w:sz w:val="21"/>
                <w:szCs w:val="21"/>
                <w:highlight w:val="none"/>
                <w:lang w:bidi="ar"/>
              </w:rPr>
              <w:t>乙方：</w:t>
            </w:r>
          </w:p>
        </w:tc>
      </w:tr>
      <w:tr w14:paraId="48275FA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2428" w:type="pct"/>
            <w:tcBorders>
              <w:top w:val="nil"/>
              <w:left w:val="nil"/>
              <w:bottom w:val="nil"/>
              <w:right w:val="nil"/>
            </w:tcBorders>
          </w:tcPr>
          <w:p w14:paraId="2A21ED5B">
            <w:pPr>
              <w:pStyle w:val="41"/>
              <w:keepNext w:val="0"/>
              <w:keepLines w:val="0"/>
              <w:widowControl w:val="0"/>
              <w:suppressLineNumbers w:val="0"/>
              <w:autoSpaceDE w:val="0"/>
              <w:spacing w:before="120" w:beforeLines="50" w:beforeAutospacing="0" w:after="120" w:afterLines="50" w:afterAutospacing="0"/>
              <w:ind w:left="0" w:right="0"/>
              <w:jc w:val="both"/>
              <w:rPr>
                <w:rFonts w:hint="eastAsia" w:eastAsia="宋体" w:cs="宋体"/>
                <w:color w:val="auto"/>
                <w:kern w:val="0"/>
                <w:sz w:val="21"/>
                <w:szCs w:val="21"/>
                <w:highlight w:val="none"/>
              </w:rPr>
            </w:pPr>
            <w:r>
              <w:rPr>
                <w:rFonts w:hint="eastAsia" w:eastAsia="宋体" w:cs="宋体"/>
                <w:color w:val="auto"/>
                <w:kern w:val="0"/>
                <w:sz w:val="21"/>
                <w:szCs w:val="21"/>
                <w:highlight w:val="none"/>
                <w:lang w:bidi="ar"/>
              </w:rPr>
              <w:t>法定代表（或负责）人：</w:t>
            </w:r>
          </w:p>
          <w:p w14:paraId="7AD00957">
            <w:pPr>
              <w:pStyle w:val="41"/>
              <w:keepNext w:val="0"/>
              <w:keepLines w:val="0"/>
              <w:widowControl w:val="0"/>
              <w:suppressLineNumbers w:val="0"/>
              <w:autoSpaceDE w:val="0"/>
              <w:spacing w:before="120" w:beforeLines="50" w:beforeAutospacing="0" w:after="120" w:afterLines="50" w:afterAutospacing="0"/>
              <w:ind w:left="0" w:right="0"/>
              <w:jc w:val="both"/>
              <w:rPr>
                <w:rFonts w:hint="eastAsia" w:eastAsia="宋体" w:cs="宋体"/>
                <w:color w:val="auto"/>
                <w:kern w:val="0"/>
                <w:sz w:val="21"/>
                <w:szCs w:val="21"/>
                <w:highlight w:val="none"/>
              </w:rPr>
            </w:pPr>
          </w:p>
        </w:tc>
        <w:tc>
          <w:tcPr>
            <w:tcW w:w="2571" w:type="pct"/>
            <w:tcBorders>
              <w:top w:val="nil"/>
              <w:left w:val="nil"/>
              <w:bottom w:val="nil"/>
              <w:right w:val="nil"/>
            </w:tcBorders>
          </w:tcPr>
          <w:p w14:paraId="75B8E6C3">
            <w:pPr>
              <w:pStyle w:val="41"/>
              <w:keepNext w:val="0"/>
              <w:keepLines w:val="0"/>
              <w:widowControl w:val="0"/>
              <w:suppressLineNumbers w:val="0"/>
              <w:autoSpaceDE w:val="0"/>
              <w:spacing w:before="120" w:beforeLines="50" w:beforeAutospacing="0" w:after="120" w:afterLines="50" w:afterAutospacing="0"/>
              <w:ind w:left="0" w:right="0"/>
              <w:jc w:val="both"/>
              <w:rPr>
                <w:rFonts w:hint="eastAsia" w:eastAsia="宋体" w:cs="宋体"/>
                <w:color w:val="auto"/>
                <w:kern w:val="0"/>
                <w:sz w:val="21"/>
                <w:szCs w:val="21"/>
                <w:highlight w:val="none"/>
              </w:rPr>
            </w:pPr>
            <w:r>
              <w:rPr>
                <w:rFonts w:hint="eastAsia" w:eastAsia="宋体" w:cs="宋体"/>
                <w:color w:val="auto"/>
                <w:kern w:val="0"/>
                <w:sz w:val="21"/>
                <w:szCs w:val="21"/>
                <w:highlight w:val="none"/>
                <w:lang w:bidi="ar"/>
              </w:rPr>
              <w:t>法定代表（或负责）人：</w:t>
            </w:r>
          </w:p>
        </w:tc>
      </w:tr>
      <w:tr w14:paraId="58A92A8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428" w:type="pct"/>
            <w:tcBorders>
              <w:top w:val="nil"/>
              <w:left w:val="nil"/>
              <w:bottom w:val="nil"/>
              <w:right w:val="nil"/>
            </w:tcBorders>
          </w:tcPr>
          <w:p w14:paraId="5ECE4253">
            <w:pPr>
              <w:pStyle w:val="41"/>
              <w:keepNext w:val="0"/>
              <w:keepLines w:val="0"/>
              <w:widowControl w:val="0"/>
              <w:suppressLineNumbers w:val="0"/>
              <w:autoSpaceDE w:val="0"/>
              <w:spacing w:before="120" w:beforeLines="50" w:beforeAutospacing="0" w:after="120" w:afterLines="50" w:afterAutospacing="0"/>
              <w:ind w:left="0" w:right="0"/>
              <w:jc w:val="both"/>
              <w:rPr>
                <w:rFonts w:hint="eastAsia" w:eastAsia="宋体" w:cs="宋体"/>
                <w:color w:val="auto"/>
                <w:kern w:val="0"/>
                <w:sz w:val="21"/>
                <w:szCs w:val="21"/>
                <w:highlight w:val="none"/>
              </w:rPr>
            </w:pPr>
          </w:p>
        </w:tc>
        <w:tc>
          <w:tcPr>
            <w:tcW w:w="2571" w:type="pct"/>
            <w:tcBorders>
              <w:top w:val="nil"/>
              <w:left w:val="nil"/>
              <w:bottom w:val="nil"/>
              <w:right w:val="nil"/>
            </w:tcBorders>
            <w:vAlign w:val="center"/>
          </w:tcPr>
          <w:p w14:paraId="67976BDA">
            <w:pPr>
              <w:pStyle w:val="41"/>
              <w:keepNext w:val="0"/>
              <w:keepLines w:val="0"/>
              <w:widowControl w:val="0"/>
              <w:suppressLineNumbers w:val="0"/>
              <w:autoSpaceDE w:val="0"/>
              <w:spacing w:before="120" w:beforeLines="50" w:beforeAutospacing="0" w:after="120" w:afterLines="50" w:afterAutospacing="0"/>
              <w:ind w:left="0" w:right="0"/>
              <w:jc w:val="both"/>
              <w:rPr>
                <w:rFonts w:hint="eastAsia" w:eastAsia="宋体" w:cs="宋体"/>
                <w:color w:val="auto"/>
                <w:kern w:val="0"/>
                <w:sz w:val="21"/>
                <w:szCs w:val="21"/>
                <w:highlight w:val="none"/>
                <w:lang w:bidi="ar"/>
              </w:rPr>
            </w:pPr>
            <w:r>
              <w:rPr>
                <w:rFonts w:hint="eastAsia" w:eastAsia="宋体" w:cs="宋体"/>
                <w:color w:val="auto"/>
                <w:kern w:val="0"/>
                <w:sz w:val="21"/>
                <w:szCs w:val="21"/>
                <w:highlight w:val="none"/>
                <w:lang w:bidi="ar"/>
              </w:rPr>
              <w:t xml:space="preserve">   签订时间：</w:t>
            </w:r>
          </w:p>
        </w:tc>
      </w:tr>
      <w:tr w14:paraId="362F6CB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2428" w:type="pct"/>
            <w:tcBorders>
              <w:top w:val="nil"/>
              <w:left w:val="nil"/>
              <w:bottom w:val="nil"/>
              <w:right w:val="nil"/>
            </w:tcBorders>
          </w:tcPr>
          <w:p w14:paraId="26219AA1">
            <w:pPr>
              <w:pStyle w:val="41"/>
              <w:keepNext w:val="0"/>
              <w:keepLines w:val="0"/>
              <w:widowControl w:val="0"/>
              <w:suppressLineNumbers w:val="0"/>
              <w:autoSpaceDE w:val="0"/>
              <w:spacing w:before="120" w:beforeLines="50" w:beforeAutospacing="0" w:after="120" w:afterLines="50" w:afterAutospacing="0"/>
              <w:ind w:left="0" w:right="0"/>
              <w:jc w:val="both"/>
              <w:rPr>
                <w:rFonts w:hint="eastAsia" w:eastAsia="宋体" w:cs="宋体"/>
                <w:color w:val="auto"/>
                <w:kern w:val="0"/>
                <w:sz w:val="21"/>
                <w:szCs w:val="21"/>
                <w:highlight w:val="none"/>
              </w:rPr>
            </w:pPr>
          </w:p>
        </w:tc>
        <w:tc>
          <w:tcPr>
            <w:tcW w:w="2571" w:type="pct"/>
            <w:tcBorders>
              <w:top w:val="nil"/>
              <w:left w:val="nil"/>
              <w:bottom w:val="nil"/>
              <w:right w:val="nil"/>
            </w:tcBorders>
            <w:vAlign w:val="center"/>
          </w:tcPr>
          <w:p w14:paraId="4BB5C7C8">
            <w:pPr>
              <w:keepNext w:val="0"/>
              <w:keepLines w:val="0"/>
              <w:suppressLineNumbers w:val="0"/>
              <w:autoSpaceDE w:val="0"/>
              <w:autoSpaceDN w:val="0"/>
              <w:adjustRightInd w:val="0"/>
              <w:spacing w:before="0" w:beforeAutospacing="0" w:after="0" w:afterAutospacing="0" w:line="360" w:lineRule="auto"/>
              <w:ind w:left="0" w:right="0" w:firstLine="210" w:firstLineChars="100"/>
              <w:rPr>
                <w:rFonts w:hint="eastAsia" w:ascii="宋体" w:hAnsi="宋体" w:eastAsia="宋体" w:cs="宋体"/>
                <w:color w:val="auto"/>
                <w:kern w:val="0"/>
                <w:szCs w:val="21"/>
                <w:highlight w:val="none"/>
                <w:lang w:bidi="ar"/>
              </w:rPr>
            </w:pPr>
          </w:p>
          <w:p w14:paraId="440864CE">
            <w:pPr>
              <w:keepNext w:val="0"/>
              <w:keepLines w:val="0"/>
              <w:suppressLineNumbers w:val="0"/>
              <w:autoSpaceDE w:val="0"/>
              <w:autoSpaceDN w:val="0"/>
              <w:adjustRightInd w:val="0"/>
              <w:spacing w:before="0" w:beforeAutospacing="0" w:after="0" w:afterAutospacing="0" w:line="360" w:lineRule="auto"/>
              <w:ind w:left="0" w:right="0" w:firstLine="210" w:firstLineChars="1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 签订地点：广东省东莞市</w:t>
            </w:r>
          </w:p>
        </w:tc>
      </w:tr>
    </w:tbl>
    <w:p w14:paraId="6DDE3907">
      <w:pPr>
        <w:keepNext w:val="0"/>
        <w:keepLines w:val="0"/>
        <w:widowControl w:val="0"/>
        <w:suppressLineNumbers w:val="0"/>
        <w:autoSpaceDE w:val="0"/>
        <w:autoSpaceDN w:val="0"/>
        <w:adjustRightInd w:val="0"/>
        <w:spacing w:before="0" w:beforeLines="0" w:beforeAutospacing="0" w:after="0" w:afterLines="0" w:afterAutospacing="0" w:line="360" w:lineRule="auto"/>
        <w:ind w:left="420" w:right="0" w:hanging="21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37BCB2FC">
      <w:pPr>
        <w:keepNext w:val="0"/>
        <w:keepLines w:val="0"/>
        <w:widowControl/>
        <w:suppressLineNumbers w:val="0"/>
        <w:autoSpaceDE/>
        <w:autoSpaceDN/>
        <w:adjustRightInd/>
        <w:spacing w:before="0" w:beforeLines="-2147483648" w:beforeAutospacing="0" w:after="0" w:afterLines="-2147483648" w:afterAutospacing="0" w:line="240" w:lineRule="auto"/>
        <w:ind w:left="0" w:right="0"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br w:type="page"/>
      </w:r>
    </w:p>
    <w:p w14:paraId="74F7431E">
      <w:pPr>
        <w:autoSpaceDE w:val="0"/>
        <w:autoSpaceDN w:val="0"/>
        <w:spacing w:line="360" w:lineRule="auto"/>
        <w:jc w:val="left"/>
        <w:rPr>
          <w:rFonts w:ascii="宋体" w:hAnsi="宋体" w:eastAsia="宋体" w:cs="Times New Roman"/>
          <w:b/>
          <w:bCs/>
          <w:color w:val="auto"/>
          <w:kern w:val="0"/>
          <w:szCs w:val="21"/>
          <w:highlight w:val="none"/>
        </w:rPr>
      </w:pPr>
      <w:r>
        <w:rPr>
          <w:rFonts w:hint="eastAsia" w:ascii="宋体" w:hAnsi="宋体" w:eastAsia="宋体" w:cs="宋体"/>
          <w:b/>
          <w:bCs/>
          <w:color w:val="auto"/>
          <w:kern w:val="0"/>
          <w:szCs w:val="21"/>
          <w:highlight w:val="none"/>
          <w:lang w:bidi="ar"/>
        </w:rPr>
        <w:t>附件</w:t>
      </w:r>
      <w:r>
        <w:rPr>
          <w:rFonts w:hint="eastAsia" w:ascii="宋体" w:hAnsi="宋体" w:eastAsia="宋体" w:cs="宋体"/>
          <w:b/>
          <w:bCs/>
          <w:color w:val="auto"/>
          <w:kern w:val="0"/>
          <w:szCs w:val="21"/>
          <w:highlight w:val="none"/>
          <w:lang w:val="en-US" w:eastAsia="zh-CN" w:bidi="ar"/>
        </w:rPr>
        <w:t>1</w:t>
      </w:r>
      <w:r>
        <w:rPr>
          <w:rFonts w:hint="eastAsia" w:ascii="宋体" w:hAnsi="宋体" w:eastAsia="宋体" w:cs="宋体"/>
          <w:b/>
          <w:bCs/>
          <w:color w:val="auto"/>
          <w:kern w:val="0"/>
          <w:szCs w:val="21"/>
          <w:highlight w:val="none"/>
          <w:lang w:bidi="ar"/>
        </w:rPr>
        <w:t>：东莞市东宝路、东城东路中间绿化带苗木移栽项目清单</w:t>
      </w:r>
    </w:p>
    <w:tbl>
      <w:tblPr>
        <w:tblStyle w:val="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496"/>
        <w:gridCol w:w="2316"/>
        <w:gridCol w:w="1693"/>
        <w:gridCol w:w="1426"/>
        <w:gridCol w:w="1060"/>
        <w:gridCol w:w="1629"/>
        <w:gridCol w:w="1038"/>
      </w:tblGrid>
      <w:tr w14:paraId="3AF0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00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53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w:t>
            </w:r>
            <w:r>
              <w:rPr>
                <w:rFonts w:hint="eastAsia" w:ascii="宋体" w:hAnsi="宋体" w:eastAsia="宋体" w:cs="宋体"/>
                <w:b/>
                <w:bCs/>
                <w:color w:val="auto"/>
                <w:sz w:val="21"/>
                <w:szCs w:val="21"/>
                <w:highlight w:val="none"/>
                <w:u w:val="none"/>
                <w:lang w:val="en-US" w:eastAsia="zh-CN" w:bidi="ar"/>
              </w:rPr>
              <w:t xml:space="preserve">          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AF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胸径/冠径*高度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99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13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移栽数量</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E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不含税成交单价（元）</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5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合计金额（含税，元）</w:t>
            </w:r>
          </w:p>
        </w:tc>
      </w:tr>
      <w:tr w14:paraId="1201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5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040F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树木品种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F4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山茶花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4F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150*120CM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8D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F9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7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4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5A8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32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E1F4A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BB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海桐球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D7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150*120CM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C7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C4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46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0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75D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1E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0CF72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CA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非洲茉莉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CA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150*120CM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68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8C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E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8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4D5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4B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62153F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51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黄花风铃木（黄钟木）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3A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9F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ED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D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2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F27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7D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05FF9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40B6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D8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BC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C0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4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D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B58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06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7D93F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03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露兜树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CC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F7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B2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E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D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3EB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C0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39AD2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DC4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6D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3B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27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0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7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44B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4C8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03B7E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8ED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EC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B8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D8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F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B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1C8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9C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4099F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5BE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B1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20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FA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1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A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CEB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80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23A0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6FC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A0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51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60CM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81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BC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5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6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C48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90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421C1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A93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C5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CB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F9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8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3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D59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00F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612AB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E3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木棉树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16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81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97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9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B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524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D2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B74D2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F36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5B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51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60CM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BE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9B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7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5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925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DA7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A51873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3EF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50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61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70CM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A9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FE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5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5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8D9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15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6C2C8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774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F1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71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80CM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7E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F0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A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F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9A1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00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B96BD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00F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EF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81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90CM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02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38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1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1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5C8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06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784F0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26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鸡蛋花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DC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07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0D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A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E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4561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87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A7937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EB9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3E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F1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19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C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A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2609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A5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3273F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63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非洲火焰树（瓶干树）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86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56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93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6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3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4B0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EF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3174B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A16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AF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BD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56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E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7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A6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00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31423D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CFB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A8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D1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81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A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5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394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2F6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5B01C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41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伞型小叶榕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2A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1F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52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4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8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582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47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34142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25C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11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45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20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B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2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7F5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84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7C5EF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8D79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94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B0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8F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F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1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E42F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9A0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D9ECE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92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宫粉紫荆</w:t>
            </w:r>
          </w:p>
          <w:p w14:paraId="05E99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（羊蹄甲）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C0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7C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D2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1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3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C3C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8D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37995A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313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7B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6C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ED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E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2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D61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53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58BF4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46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铁冬青</w:t>
            </w:r>
          </w:p>
          <w:p w14:paraId="56B66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（高山榕）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38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CB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F4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3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2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47A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2D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7F8D4E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3A9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5E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AE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2E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2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2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F92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D57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D1AABA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C23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4A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75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BE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4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A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D03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17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CBA04F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D4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红花风铃木（重阳木）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D7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E8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F5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E2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B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2F2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95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D2A0C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C72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BB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8F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85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5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F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F6D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8A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E4C41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31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A0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44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D9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1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7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C61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73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1B131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EF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6E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26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DE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F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C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9F8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64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AB47E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48DD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7D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61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F9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B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A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D02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7C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2D9522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681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D1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51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60CM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33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E7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A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8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4C4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CC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A5054E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CFD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ED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61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70CM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D9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34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C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4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4CC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D8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FD74F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18CF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55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81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90CM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60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54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7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D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970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28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DC999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6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62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36</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E2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B5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C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5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46C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CB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02387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1C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AD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E1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D4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D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D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ED0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CE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0B49F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8C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0E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51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D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32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0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3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26A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B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7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一个月养护费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6DD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E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2"/>
                <w:szCs w:val="22"/>
                <w:highlight w:val="none"/>
                <w:lang w:val="en-US" w:eastAsia="zh-CN" w:bidi="ar"/>
              </w:rPr>
              <w:t>株（棵）/月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C05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1402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D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1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77A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D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AB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地面平整及杂草清运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8DDD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6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2"/>
                <w:szCs w:val="22"/>
                <w:highlight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34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E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8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878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1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6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含税合计：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3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DD6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4C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auto"/>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备注：</w:t>
            </w:r>
            <w:r>
              <w:rPr>
                <w:rFonts w:hint="eastAsia" w:ascii="宋体" w:hAnsi="宋体" w:eastAsia="宋体" w:cs="宋体"/>
                <w:color w:val="auto"/>
                <w:sz w:val="20"/>
                <w:szCs w:val="20"/>
                <w:highlight w:val="none"/>
                <w:u w:val="none"/>
                <w:lang w:val="en-US" w:eastAsia="zh-CN" w:bidi="ar"/>
              </w:rPr>
              <w:br w:type="textWrapping"/>
            </w:r>
            <w:r>
              <w:rPr>
                <w:rFonts w:hint="eastAsia" w:ascii="宋体" w:hAnsi="宋体" w:eastAsia="宋体" w:cs="宋体"/>
                <w:color w:val="auto"/>
                <w:sz w:val="20"/>
                <w:szCs w:val="20"/>
                <w:highlight w:val="none"/>
                <w:u w:val="none"/>
                <w:lang w:val="en-US" w:eastAsia="zh-CN" w:bidi="ar"/>
              </w:rPr>
              <w:t>1、</w:t>
            </w:r>
            <w:r>
              <w:rPr>
                <w:rFonts w:hint="eastAsia" w:ascii="宋体" w:hAnsi="宋体" w:eastAsia="宋体" w:cs="宋体"/>
                <w:color w:val="auto"/>
                <w:sz w:val="20"/>
                <w:szCs w:val="20"/>
                <w:highlight w:val="none"/>
                <w:lang w:val="en-US" w:eastAsia="zh-CN" w:bidi="ar"/>
              </w:rPr>
              <w:t>截干下来的树枝清运费已包含在单价中，运距由乙方综合考虑。</w:t>
            </w:r>
            <w:r>
              <w:rPr>
                <w:rFonts w:hint="eastAsia" w:ascii="宋体" w:hAnsi="宋体" w:eastAsia="宋体" w:cs="宋体"/>
                <w:color w:val="auto"/>
                <w:sz w:val="20"/>
                <w:szCs w:val="20"/>
                <w:highlight w:val="none"/>
                <w:u w:val="none"/>
                <w:lang w:val="en-US" w:eastAsia="zh-CN" w:bidi="ar"/>
              </w:rPr>
              <w:br w:type="textWrapping"/>
            </w:r>
            <w:r>
              <w:rPr>
                <w:rFonts w:hint="eastAsia" w:ascii="宋体" w:hAnsi="宋体" w:eastAsia="宋体" w:cs="宋体"/>
                <w:color w:val="auto"/>
                <w:sz w:val="20"/>
                <w:szCs w:val="20"/>
                <w:highlight w:val="none"/>
                <w:u w:val="none"/>
                <w:lang w:val="en-US" w:eastAsia="zh-CN" w:bidi="ar"/>
              </w:rPr>
              <w:t>2、本项目按一个月养护考虑，</w:t>
            </w:r>
            <w:r>
              <w:rPr>
                <w:rFonts w:hint="eastAsia" w:ascii="宋体" w:hAnsi="宋体" w:eastAsia="宋体" w:cs="宋体"/>
                <w:color w:val="auto"/>
                <w:szCs w:val="21"/>
                <w:highlight w:val="none"/>
              </w:rPr>
              <w:t>养护用水由甲方提供，养护用水所需的管道及安装由乙方负责。</w:t>
            </w:r>
            <w:r>
              <w:rPr>
                <w:rFonts w:hint="eastAsia" w:ascii="宋体" w:hAnsi="宋体" w:eastAsia="宋体" w:cs="宋体"/>
                <w:color w:val="auto"/>
                <w:sz w:val="20"/>
                <w:szCs w:val="20"/>
                <w:highlight w:val="none"/>
                <w:u w:val="none"/>
                <w:lang w:val="en-US" w:eastAsia="zh-CN" w:bidi="ar"/>
              </w:rPr>
              <w:br w:type="textWrapping"/>
            </w:r>
            <w:r>
              <w:rPr>
                <w:rFonts w:hint="eastAsia" w:ascii="宋体" w:hAnsi="宋体" w:eastAsia="宋体" w:cs="宋体"/>
                <w:color w:val="auto"/>
                <w:sz w:val="20"/>
                <w:szCs w:val="20"/>
                <w:highlight w:val="none"/>
                <w:u w:val="none"/>
                <w:lang w:val="en-US" w:eastAsia="zh-CN" w:bidi="ar"/>
              </w:rPr>
              <w:t>3、乔木、棕榈种植时采用茅竹支撑，按6米内考虑。</w:t>
            </w:r>
            <w:r>
              <w:rPr>
                <w:rFonts w:hint="eastAsia" w:ascii="宋体" w:hAnsi="宋体" w:eastAsia="宋体" w:cs="宋体"/>
                <w:color w:val="auto"/>
                <w:sz w:val="20"/>
                <w:szCs w:val="20"/>
                <w:highlight w:val="none"/>
                <w:u w:val="none"/>
                <w:lang w:val="en-US" w:eastAsia="zh-CN" w:bidi="ar"/>
              </w:rPr>
              <w:br w:type="textWrapping"/>
            </w:r>
            <w:r>
              <w:rPr>
                <w:rFonts w:hint="eastAsia" w:ascii="宋体" w:hAnsi="宋体" w:eastAsia="宋体" w:cs="宋体"/>
                <w:b/>
                <w:bCs/>
                <w:color w:val="auto"/>
                <w:sz w:val="20"/>
                <w:szCs w:val="20"/>
                <w:highlight w:val="none"/>
                <w:u w:val="none"/>
                <w:lang w:val="en-US" w:eastAsia="zh-CN" w:bidi="ar"/>
              </w:rPr>
              <w:t>4、移栽地点为广东省东莞市石碣镇鹤田厦村富田路第四水厂，运距约为7公里。</w:t>
            </w:r>
          </w:p>
          <w:p w14:paraId="6EE915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0"/>
                <w:szCs w:val="20"/>
                <w:highlight w:val="none"/>
                <w:u w:val="none"/>
                <w:lang w:val="en-US" w:eastAsia="zh-CN" w:bidi="ar"/>
              </w:rPr>
              <w:t>5、本项目税率为   %。</w:t>
            </w:r>
          </w:p>
        </w:tc>
      </w:tr>
    </w:tbl>
    <w:p w14:paraId="7F033019">
      <w:pPr>
        <w:autoSpaceDE/>
        <w:autoSpaceDN/>
        <w:spacing w:line="240" w:lineRule="auto"/>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br w:type="page"/>
      </w:r>
    </w:p>
    <w:p w14:paraId="2EF3C602">
      <w:pPr>
        <w:autoSpaceDE w:val="0"/>
        <w:autoSpaceDN w:val="0"/>
        <w:spacing w:line="360" w:lineRule="auto"/>
        <w:jc w:val="left"/>
        <w:rPr>
          <w:rFonts w:ascii="宋体" w:hAnsi="宋体" w:eastAsia="宋体" w:cs="Times New Roman"/>
          <w:b/>
          <w:bCs/>
          <w:color w:val="auto"/>
          <w:kern w:val="0"/>
          <w:szCs w:val="21"/>
          <w:highlight w:val="none"/>
        </w:rPr>
      </w:pPr>
      <w:r>
        <w:rPr>
          <w:rFonts w:hint="eastAsia" w:ascii="宋体" w:hAnsi="宋体" w:eastAsia="宋体" w:cs="宋体"/>
          <w:b/>
          <w:bCs/>
          <w:color w:val="auto"/>
          <w:kern w:val="0"/>
          <w:szCs w:val="21"/>
          <w:highlight w:val="none"/>
          <w:lang w:bidi="ar"/>
        </w:rPr>
        <w:t>附件2：廉洁协议书</w:t>
      </w:r>
    </w:p>
    <w:p w14:paraId="1E8BF399">
      <w:pPr>
        <w:keepNext w:val="0"/>
        <w:keepLines w:val="0"/>
        <w:pageBreakBefore w:val="0"/>
        <w:widowControl w:val="0"/>
        <w:kinsoku/>
        <w:wordWrap/>
        <w:overflowPunct/>
        <w:topLinePunct w:val="0"/>
        <w:autoSpaceDE/>
        <w:autoSpaceDN/>
        <w:bidi w:val="0"/>
        <w:adjustRightInd/>
        <w:snapToGrid/>
        <w:spacing w:line="360" w:lineRule="auto"/>
        <w:ind w:right="31" w:rightChars="15"/>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廉洁协议书</w:t>
      </w:r>
    </w:p>
    <w:p w14:paraId="54388836">
      <w:pPr>
        <w:keepNext w:val="0"/>
        <w:keepLines w:val="0"/>
        <w:pageBreakBefore w:val="0"/>
        <w:widowControl w:val="0"/>
        <w:kinsoku/>
        <w:wordWrap/>
        <w:overflowPunct/>
        <w:topLinePunct w:val="0"/>
        <w:autoSpaceDE/>
        <w:autoSpaceDN/>
        <w:bidi w:val="0"/>
        <w:adjustRightInd/>
        <w:snapToGrid/>
        <w:spacing w:line="360" w:lineRule="auto"/>
        <w:ind w:right="31" w:rightChars="15"/>
        <w:jc w:val="both"/>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bidi="ar"/>
        </w:rPr>
        <w:t>项目名称：</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en-US" w:eastAsia="zh-CN" w:bidi="ar"/>
        </w:rPr>
        <w:t>采购</w:t>
      </w:r>
      <w:r>
        <w:rPr>
          <w:rFonts w:hint="eastAsia" w:ascii="宋体" w:hAnsi="宋体" w:eastAsia="宋体" w:cs="宋体"/>
          <w:color w:val="auto"/>
          <w:szCs w:val="21"/>
          <w:highlight w:val="none"/>
          <w:lang w:bidi="ar"/>
        </w:rPr>
        <w:t>编号：</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34A58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甲方（业主单位）：</w:t>
      </w:r>
    </w:p>
    <w:p w14:paraId="77977B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乙方：</w:t>
      </w:r>
    </w:p>
    <w:p w14:paraId="60A21A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2EAD2A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第一条  甲乙双方的权利和义务</w:t>
      </w:r>
    </w:p>
    <w:p w14:paraId="047B08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（一）严格遵守党和国家有关法律法规等有关廉洁从业规定。</w:t>
      </w:r>
    </w:p>
    <w:p w14:paraId="4BB3EE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（二）严格执行本项目的合同文件，自觉按合同办事。</w:t>
      </w:r>
    </w:p>
    <w:p w14:paraId="02C712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7637BA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（四）建立健全廉洁制度，开展廉洁教育，设立廉洁监督公示牌，公布举报电话，监督并认真查处违法违纪行为。</w:t>
      </w:r>
    </w:p>
    <w:p w14:paraId="579C25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（五）发现对方在业务活动中有违反廉洁规定的行为，有及时提醒对方纠正的权利和义务。</w:t>
      </w:r>
    </w:p>
    <w:p w14:paraId="21AA96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（六）发现对方严重违反本协议义务条款的行为，有向其上级有关部门举报、建议给予处理并要求告知处理结果的权利。</w:t>
      </w:r>
    </w:p>
    <w:p w14:paraId="49DF00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第二条  甲方的义务</w:t>
      </w:r>
    </w:p>
    <w:p w14:paraId="36A2B9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（一）甲方及其工作人员不得索要或接受乙方的礼金、有价证券和贵重物品，不得在乙方报销任何应由甲方或个人支付的费用。</w:t>
      </w:r>
    </w:p>
    <w:p w14:paraId="59E1BF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（二）甲方工作人员不得参加乙方安排的高消费宴请和娱乐活动；不得接受乙方提供的通讯工具、交通工具和高档办公用品。</w:t>
      </w:r>
    </w:p>
    <w:p w14:paraId="5D865F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（三）甲方及其工作人员不得要求或者接受乙方为其住房装修、婚丧嫁娶活动、家属或亲友的工作安排以及出国出境、旅游等提供方便。</w:t>
      </w:r>
    </w:p>
    <w:p w14:paraId="36714C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（四）甲方工作人员不得向乙方介绍其家属或者亲友（包括家属或亲友开办的公司企业）从事于本项目涉及的经济业务活动。</w:t>
      </w:r>
    </w:p>
    <w:p w14:paraId="749C59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（五）甲方及其工作人员不得以任何理由向乙方推荐分包单位，不得要求乙方购买合同规定外的材料和设备。</w:t>
      </w:r>
    </w:p>
    <w:p w14:paraId="4777B2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（六）甲方及其工作人员不得进行违反廉洁规定的其他活动。</w:t>
      </w:r>
    </w:p>
    <w:p w14:paraId="4702D6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7E49AE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第三条  乙方义务</w:t>
      </w:r>
    </w:p>
    <w:p w14:paraId="78974F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（一）乙方不得以任何理由向甲方及其工作人员馈赠礼金、有价证券、贵重礼品，或报销应由甲方单位或个人支付的任何费用。</w:t>
      </w:r>
    </w:p>
    <w:p w14:paraId="120A5E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（二）乙方及其工作人员不得以考察、参观、洽谈业务、签订合同等的借口邀请甲方及其工作人员参加高消费的宴请、娱乐和健身等活动。</w:t>
      </w:r>
    </w:p>
    <w:p w14:paraId="7113B3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（三）乙方不得为甲方单位和个人购置或提供通讯工具、交通工具和高档办公用品等。</w:t>
      </w:r>
    </w:p>
    <w:p w14:paraId="0B17B8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（四）乙方及其工作人员不得为甲方工作人员购买、装修、维修私人住房、汽车等。</w:t>
      </w:r>
    </w:p>
    <w:p w14:paraId="7C5071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（五）乙方及其工作人员不得为甲方工作人员的婚丧嫁娶、家属或亲友的工作安排，及出国出境提供方便以及报销任何私人消费的费用。</w:t>
      </w:r>
    </w:p>
    <w:p w14:paraId="30FA42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（六）乙方及其工作人员不得进行影响甲方及其工作人员公正执行合同和履行职务的其他活动。</w:t>
      </w:r>
    </w:p>
    <w:p w14:paraId="09F53C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FA414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第四条  违约责任</w:t>
      </w:r>
    </w:p>
    <w:p w14:paraId="52D22A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（一）甲方违反本协议第一、第二条给乙方单位造成经济损失的，应予以赔偿。</w:t>
      </w:r>
    </w:p>
    <w:p w14:paraId="3B0B15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（二）乙方违反本协议第一、第三条给甲方单位造成经济损失的，应予以赔偿。</w:t>
      </w:r>
    </w:p>
    <w:p w14:paraId="5C3367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第五条  监督检查</w:t>
      </w:r>
    </w:p>
    <w:p w14:paraId="023D4B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甲乙双方的廉洁从业行为由甲乙双方或甲乙双方上级单位的纪检、监察部门负责监督，对本协议履行情况进行检查。</w:t>
      </w:r>
    </w:p>
    <w:p w14:paraId="169F99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第六条 举报信访受理</w:t>
      </w:r>
    </w:p>
    <w:p w14:paraId="204147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（一）举报受理部门：</w:t>
      </w:r>
      <w:r>
        <w:rPr>
          <w:rFonts w:hint="eastAsia" w:ascii="宋体" w:hAnsi="宋体" w:eastAsia="宋体" w:cs="宋体"/>
          <w:color w:val="auto"/>
          <w:szCs w:val="21"/>
          <w:highlight w:val="none"/>
          <w:lang w:eastAsia="zh-CN" w:bidi="ar"/>
        </w:rPr>
        <w:t>东莞市水务环境投资控股集团有限公司</w:t>
      </w:r>
      <w:r>
        <w:rPr>
          <w:rFonts w:hint="eastAsia" w:ascii="宋体" w:hAnsi="宋体" w:eastAsia="宋体" w:cs="宋体"/>
          <w:color w:val="auto"/>
          <w:szCs w:val="21"/>
          <w:highlight w:val="none"/>
          <w:lang w:bidi="ar"/>
        </w:rPr>
        <w:t>纪检监察部。</w:t>
      </w:r>
    </w:p>
    <w:p w14:paraId="3A1BF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（二）举报电话：（0769）23076092。</w:t>
      </w:r>
    </w:p>
    <w:p w14:paraId="087950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u w:val="none"/>
        </w:rPr>
        <w:t>jcsj@dgswjt.cn。</w:t>
      </w:r>
      <w:r>
        <w:rPr>
          <w:rFonts w:hint="eastAsia" w:ascii="宋体" w:hAnsi="宋体" w:eastAsia="宋体" w:cs="宋体"/>
          <w:color w:val="auto"/>
          <w:sz w:val="21"/>
          <w:szCs w:val="21"/>
          <w:highlight w:val="none"/>
          <w:u w:val="none"/>
        </w:rPr>
        <w:fldChar w:fldCharType="end"/>
      </w:r>
    </w:p>
    <w:p w14:paraId="7CF51F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（四）信访地址：广东省东莞市东城街道育华路1号。</w:t>
      </w:r>
    </w:p>
    <w:p w14:paraId="2B934A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第七条 其他</w:t>
      </w:r>
    </w:p>
    <w:p w14:paraId="03CD84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份，甲、乙双方上级主管部门各执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363648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D9780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甲方（盖章）：                乙方（盖章）： </w:t>
      </w:r>
    </w:p>
    <w:p w14:paraId="48AC3D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4B636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法定代表（或负责）人：           法定代表（或负责）人：</w:t>
      </w:r>
    </w:p>
    <w:p w14:paraId="43647B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2549166">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210" w:firstLineChars="1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bidi="ar"/>
        </w:rPr>
        <w:t>签订日期：    年  月  日</w:t>
      </w:r>
      <w:r>
        <w:rPr>
          <w:rFonts w:hint="eastAsia" w:ascii="宋体" w:hAnsi="宋体" w:eastAsia="宋体" w:cs="宋体"/>
          <w:color w:val="auto"/>
          <w:kern w:val="0"/>
          <w:sz w:val="21"/>
          <w:szCs w:val="21"/>
          <w:highlight w:val="none"/>
          <w:lang w:val="en-US" w:eastAsia="zh-CN" w:bidi="ar"/>
        </w:rPr>
        <w:t xml:space="preserve">        </w:t>
      </w:r>
    </w:p>
    <w:p w14:paraId="7AEA9AC9">
      <w:pPr>
        <w:autoSpaceDE w:val="0"/>
        <w:autoSpaceDN w:val="0"/>
        <w:spacing w:line="360" w:lineRule="auto"/>
        <w:jc w:val="left"/>
        <w:rPr>
          <w:rFonts w:ascii="宋体" w:hAnsi="宋体" w:eastAsia="宋体" w:cs="Times New Roman"/>
          <w:b/>
          <w:bCs/>
          <w:color w:val="auto"/>
          <w:kern w:val="0"/>
          <w:szCs w:val="21"/>
          <w:highlight w:val="none"/>
        </w:rPr>
      </w:pPr>
      <w:r>
        <w:rPr>
          <w:rFonts w:hint="eastAsia" w:ascii="宋体" w:hAnsi="宋体" w:eastAsia="宋体" w:cs="宋体"/>
          <w:b/>
          <w:bCs/>
          <w:color w:val="auto"/>
          <w:kern w:val="0"/>
          <w:szCs w:val="21"/>
          <w:highlight w:val="none"/>
          <w:lang w:bidi="ar"/>
        </w:rPr>
        <w:t>附件</w:t>
      </w:r>
      <w:r>
        <w:rPr>
          <w:rFonts w:hint="eastAsia" w:ascii="宋体" w:hAnsi="宋体" w:eastAsia="宋体" w:cs="宋体"/>
          <w:b/>
          <w:bCs/>
          <w:color w:val="auto"/>
          <w:kern w:val="0"/>
          <w:szCs w:val="21"/>
          <w:highlight w:val="none"/>
          <w:lang w:val="en-US" w:eastAsia="zh-CN" w:bidi="ar"/>
        </w:rPr>
        <w:t>3</w:t>
      </w:r>
      <w:r>
        <w:rPr>
          <w:rFonts w:hint="eastAsia" w:ascii="宋体" w:hAnsi="宋体" w:eastAsia="宋体" w:cs="宋体"/>
          <w:b/>
          <w:bCs/>
          <w:color w:val="auto"/>
          <w:kern w:val="0"/>
          <w:szCs w:val="21"/>
          <w:highlight w:val="none"/>
          <w:lang w:bidi="ar"/>
        </w:rPr>
        <w:t>：安全文明施工管理协议书</w:t>
      </w:r>
    </w:p>
    <w:p w14:paraId="1D0EADA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安全文明施工</w:t>
      </w:r>
      <w:r>
        <w:rPr>
          <w:rFonts w:hint="eastAsia" w:ascii="宋体" w:hAnsi="宋体" w:eastAsia="宋体" w:cs="宋体"/>
          <w:b/>
          <w:bCs/>
          <w:color w:val="auto"/>
          <w:sz w:val="32"/>
          <w:szCs w:val="32"/>
          <w:highlight w:val="none"/>
          <w:lang w:val="en-US" w:eastAsia="zh-CN"/>
        </w:rPr>
        <w:t>管理</w:t>
      </w:r>
      <w:r>
        <w:rPr>
          <w:rFonts w:hint="eastAsia" w:ascii="宋体" w:hAnsi="宋体" w:eastAsia="宋体" w:cs="宋体"/>
          <w:b/>
          <w:bCs/>
          <w:color w:val="auto"/>
          <w:sz w:val="32"/>
          <w:szCs w:val="32"/>
          <w:highlight w:val="none"/>
        </w:rPr>
        <w:t>协议书</w:t>
      </w:r>
    </w:p>
    <w:p w14:paraId="1417EE6E">
      <w:pPr>
        <w:rPr>
          <w:rFonts w:hint="eastAsia" w:ascii="仿宋_GB2312" w:hAnsi="仿宋_GB2312" w:eastAsia="仿宋_GB2312" w:cs="仿宋_GB2312"/>
          <w:color w:val="auto"/>
          <w:sz w:val="28"/>
          <w:szCs w:val="28"/>
          <w:highlight w:val="none"/>
        </w:rPr>
      </w:pPr>
    </w:p>
    <w:p w14:paraId="327467D2">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lang w:eastAsia="zh-CN"/>
        </w:rPr>
        <w:t>东莞市</w:t>
      </w:r>
      <w:r>
        <w:rPr>
          <w:rFonts w:hint="eastAsia" w:ascii="宋体" w:hAnsi="宋体" w:eastAsia="宋体" w:cs="宋体"/>
          <w:color w:val="auto"/>
          <w:sz w:val="21"/>
          <w:szCs w:val="21"/>
          <w:highlight w:val="none"/>
          <w:u w:val="single"/>
          <w:lang w:val="en-US" w:eastAsia="zh-CN"/>
        </w:rPr>
        <w:t>水务集团供水</w:t>
      </w:r>
      <w:r>
        <w:rPr>
          <w:rFonts w:hint="eastAsia" w:ascii="宋体" w:hAnsi="宋体" w:eastAsia="宋体" w:cs="宋体"/>
          <w:color w:val="auto"/>
          <w:sz w:val="21"/>
          <w:szCs w:val="21"/>
          <w:highlight w:val="none"/>
          <w:u w:val="single"/>
          <w:lang w:eastAsia="zh-CN"/>
        </w:rPr>
        <w:t>有限公司</w:t>
      </w:r>
      <w:r>
        <w:rPr>
          <w:rFonts w:hint="eastAsia" w:ascii="宋体" w:hAnsi="宋体" w:eastAsia="宋体" w:cs="宋体"/>
          <w:color w:val="auto"/>
          <w:sz w:val="21"/>
          <w:szCs w:val="21"/>
          <w:highlight w:val="none"/>
        </w:rPr>
        <w:t>（以下简称甲方）</w:t>
      </w:r>
    </w:p>
    <w:p w14:paraId="7DF3B5E7">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（以下简称乙方）</w:t>
      </w:r>
    </w:p>
    <w:p w14:paraId="36E99BCF">
      <w:pPr>
        <w:widowControl w:val="0"/>
        <w:spacing w:line="360" w:lineRule="auto"/>
        <w:ind w:left="0" w:leftChars="0" w:firstLine="420" w:firstLineChars="200"/>
        <w:jc w:val="left"/>
        <w:rPr>
          <w:rFonts w:hint="eastAsia" w:ascii="宋体" w:hAnsi="宋体" w:eastAsia="宋体" w:cs="宋体"/>
          <w:color w:val="auto"/>
          <w:kern w:val="2"/>
          <w:sz w:val="21"/>
          <w:szCs w:val="21"/>
          <w:highlight w:val="none"/>
          <w:lang w:val="en-US" w:eastAsia="zh-CN" w:bidi="ar-SA"/>
        </w:rPr>
      </w:pPr>
    </w:p>
    <w:p w14:paraId="4B2E5A56">
      <w:pPr>
        <w:widowControl w:val="0"/>
        <w:spacing w:line="360" w:lineRule="auto"/>
        <w:ind w:left="0" w:leftChars="0"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为确保</w:t>
      </w:r>
      <w:r>
        <w:rPr>
          <w:rFonts w:hint="eastAsia" w:ascii="宋体" w:hAnsi="宋体" w:eastAsia="宋体" w:cs="宋体"/>
          <w:color w:val="auto"/>
          <w:kern w:val="2"/>
          <w:sz w:val="21"/>
          <w:szCs w:val="21"/>
          <w:highlight w:val="none"/>
          <w:u w:val="single"/>
          <w:lang w:val="en-US" w:eastAsia="zh-CN" w:bidi="ar-SA"/>
        </w:rPr>
        <w:t>东莞市东宝路、东城东路中间绿化带苗木移栽项目</w:t>
      </w:r>
      <w:r>
        <w:rPr>
          <w:rFonts w:hint="eastAsia" w:ascii="宋体" w:hAnsi="宋体" w:eastAsia="宋体" w:cs="宋体"/>
          <w:color w:val="auto"/>
          <w:kern w:val="2"/>
          <w:sz w:val="21"/>
          <w:szCs w:val="21"/>
          <w:highlight w:val="none"/>
          <w:lang w:val="en-US" w:eastAsia="zh-CN" w:bidi="ar-SA"/>
        </w:rPr>
        <w:t>做到安全作业，文明施工，认真落实《广东省安全生产条例》、《东莞市建设工程文明施工管理规定》、《建设工程安全生产管理条例》、《市政工程施工安全检查标准》、《建设工程施工现场供用电安全规范》及《施工现场临时用电安全技术规范》等文件规定，达到管理的预期目标，经甲乙双方协商，就安全文明施工达成以下协议，双方共同遵守。</w:t>
      </w:r>
    </w:p>
    <w:p w14:paraId="4045551C">
      <w:pPr>
        <w:widowControl w:val="0"/>
        <w:spacing w:line="360" w:lineRule="auto"/>
        <w:ind w:left="0" w:leftChars="0"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一、乙方愿意接受甲方对其安全文明施工管理的监督。特殊情况，乙方要接受甲方对施工组织安排的调整，服从指挥。</w:t>
      </w:r>
    </w:p>
    <w:p w14:paraId="5B973FE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二、工程开工前，乙方必须组织全体工程管理人员学习《东莞市建设工程文明施工管理规定》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《建设工程安全生产管理条例》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《市政工程施工安全检查标准》</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《施工现场临时用电安全技术规范》等文件，熟悉文件的内容和要求，遵守文件各款要求，接受甲方的考查</w:t>
      </w:r>
      <w:r>
        <w:rPr>
          <w:rFonts w:hint="eastAsia" w:ascii="宋体" w:hAnsi="宋体" w:eastAsia="宋体" w:cs="宋体"/>
          <w:color w:val="auto"/>
          <w:sz w:val="21"/>
          <w:szCs w:val="21"/>
          <w:highlight w:val="none"/>
          <w:lang w:eastAsia="zh-CN"/>
        </w:rPr>
        <w:t>后方可开工</w:t>
      </w:r>
      <w:r>
        <w:rPr>
          <w:rFonts w:hint="eastAsia" w:ascii="宋体" w:hAnsi="宋体" w:eastAsia="宋体" w:cs="宋体"/>
          <w:color w:val="auto"/>
          <w:sz w:val="21"/>
          <w:szCs w:val="21"/>
          <w:highlight w:val="none"/>
        </w:rPr>
        <w:t>，如有违反，乙方愿</w:t>
      </w:r>
      <w:r>
        <w:rPr>
          <w:rFonts w:hint="eastAsia" w:ascii="宋体" w:hAnsi="宋体" w:eastAsia="宋体" w:cs="宋体"/>
          <w:color w:val="auto"/>
          <w:sz w:val="21"/>
          <w:szCs w:val="21"/>
          <w:highlight w:val="none"/>
          <w:lang w:eastAsia="zh-CN"/>
        </w:rPr>
        <w:t>向甲方支付违约金</w:t>
      </w:r>
      <w:r>
        <w:rPr>
          <w:rFonts w:hint="eastAsia" w:ascii="宋体" w:hAnsi="宋体" w:eastAsia="宋体" w:cs="宋体"/>
          <w:color w:val="auto"/>
          <w:sz w:val="21"/>
          <w:szCs w:val="21"/>
          <w:highlight w:val="none"/>
        </w:rPr>
        <w:t>。</w:t>
      </w:r>
    </w:p>
    <w:p w14:paraId="3DA4753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违约金规定</w:t>
      </w:r>
    </w:p>
    <w:p w14:paraId="6C39C4F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、交叉路口施工必须使用护栏或围蔽进行，做好交通疏导工作。造成严重交通阻塞的，</w:t>
      </w:r>
      <w:r>
        <w:rPr>
          <w:rFonts w:hint="eastAsia" w:ascii="宋体" w:hAnsi="宋体" w:eastAsia="宋体" w:cs="宋体"/>
          <w:color w:val="auto"/>
          <w:sz w:val="21"/>
          <w:szCs w:val="21"/>
          <w:highlight w:val="none"/>
          <w:lang w:eastAsia="zh-CN"/>
        </w:rPr>
        <w:t>乙方应向甲方支付</w:t>
      </w:r>
      <w:r>
        <w:rPr>
          <w:rFonts w:hint="eastAsia" w:ascii="宋体" w:hAnsi="宋体" w:eastAsia="宋体" w:cs="宋体"/>
          <w:color w:val="auto"/>
          <w:sz w:val="21"/>
          <w:szCs w:val="21"/>
          <w:highlight w:val="none"/>
        </w:rPr>
        <w:t>2000元</w:t>
      </w:r>
      <w:r>
        <w:rPr>
          <w:rFonts w:hint="eastAsia" w:ascii="宋体" w:hAnsi="宋体" w:eastAsia="宋体" w:cs="宋体"/>
          <w:color w:val="auto"/>
          <w:sz w:val="21"/>
          <w:szCs w:val="21"/>
          <w:highlight w:val="none"/>
          <w:lang w:eastAsia="zh-CN"/>
        </w:rPr>
        <w:t>违约金</w:t>
      </w:r>
      <w:r>
        <w:rPr>
          <w:rFonts w:hint="eastAsia" w:ascii="宋体" w:hAnsi="宋体" w:eastAsia="宋体" w:cs="宋体"/>
          <w:color w:val="auto"/>
          <w:sz w:val="21"/>
          <w:szCs w:val="21"/>
          <w:highlight w:val="none"/>
        </w:rPr>
        <w:t>；</w:t>
      </w:r>
    </w:p>
    <w:p w14:paraId="41841FEF">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、上岗作业人员必须戴安全帽，高空作业必须系带安全带，严禁穿拖鞋，交通道路上施工作业必须穿反光衣。上述每违反一项人员违章、违规作业，</w:t>
      </w:r>
      <w:r>
        <w:rPr>
          <w:rFonts w:hint="eastAsia" w:ascii="宋体" w:hAnsi="宋体" w:eastAsia="宋体" w:cs="宋体"/>
          <w:color w:val="auto"/>
          <w:sz w:val="21"/>
          <w:szCs w:val="21"/>
          <w:highlight w:val="none"/>
          <w:lang w:eastAsia="zh-CN"/>
        </w:rPr>
        <w:t>乙方应按</w:t>
      </w:r>
      <w:r>
        <w:rPr>
          <w:rFonts w:hint="eastAsia" w:ascii="宋体" w:hAnsi="宋体" w:eastAsia="宋体" w:cs="宋体"/>
          <w:color w:val="auto"/>
          <w:sz w:val="21"/>
          <w:szCs w:val="21"/>
          <w:highlight w:val="none"/>
        </w:rPr>
        <w:t>每人每次</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200元</w:t>
      </w:r>
      <w:r>
        <w:rPr>
          <w:rFonts w:hint="eastAsia" w:ascii="宋体" w:hAnsi="宋体" w:eastAsia="宋体" w:cs="宋体"/>
          <w:color w:val="auto"/>
          <w:sz w:val="21"/>
          <w:szCs w:val="21"/>
          <w:highlight w:val="none"/>
          <w:lang w:eastAsia="zh-CN"/>
        </w:rPr>
        <w:t>向甲方支付违约金</w:t>
      </w:r>
      <w:r>
        <w:rPr>
          <w:rFonts w:hint="eastAsia" w:ascii="宋体" w:hAnsi="宋体" w:eastAsia="宋体" w:cs="宋体"/>
          <w:color w:val="auto"/>
          <w:sz w:val="21"/>
          <w:szCs w:val="21"/>
          <w:highlight w:val="none"/>
        </w:rPr>
        <w:t>；</w:t>
      </w:r>
    </w:p>
    <w:p w14:paraId="1854E644">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挖施工作业，必须弄清地下管线设施情况，确保地下管线设施安全，并有施工技术人员在场指挥。重型机械吊装作业，必须解决周围施工安全问题，配备专人负责指挥。若违反乙方应按每次1000元向甲方支付违约金并赔偿所造成的损失；</w:t>
      </w:r>
    </w:p>
    <w:p w14:paraId="6516F520">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4、开挖土方外运，车辆驶离前要冲洗轮胎，不能破坏路面环境。若违反乙方应按每次1000元向甲方支付违约金；</w:t>
      </w:r>
    </w:p>
    <w:p w14:paraId="2B21FFCB">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5、施工运输车辆严禁超载滥载，要设置蓬布遮盖或使用封盖车辆，防止泥土、沙石散落。造成路面污染的，要24小时内清扫冲洗，若违反，乙方应按每次1000元向甲方支付违约金，并勒令及时清洗；</w:t>
      </w:r>
    </w:p>
    <w:p w14:paraId="30F41C27">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6、施工扬尘地段要每天定时洒水、清扫、冲洗，防尘飞扬及污染环境。如检查发现地段污染严重、尘土飞扬的或被群众投诉经查实的，乙方应向甲方支付3000元违约金；</w:t>
      </w:r>
    </w:p>
    <w:p w14:paraId="3073D6C3">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7、施工地段的临时电力、通讯等设施，未按规程安装，乱拉乱设，保护措施不力，造成安全隐患的，发现一处乙方应按每处2000元向甲方支付违约金；</w:t>
      </w:r>
    </w:p>
    <w:p w14:paraId="26F794BD">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8、施工路段的沟槽如不能及时回填，须设置临时盖板，危险路段点要设置明显安全标志、夜间警示灯等以防止事故发生。若违反乙方应按每项每次2000元向甲方支付违约金；</w:t>
      </w:r>
    </w:p>
    <w:p w14:paraId="4D0D10A3">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9、由于安全文明施工管理不善，造成财产损失或人员伤亡事故的，视情节严重情况，乙方应向甲方支付5000～10000元违约金，并承担赔偿责任；</w:t>
      </w:r>
    </w:p>
    <w:p w14:paraId="387C8007">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甲方将进行不定期的安全文明施工检查，检查中发现乙方存在安全生产隐患的，甲方将向乙方发出《安全文明施工整改通知书》或《安全问题排查表》，要求乙方自接通知之日起5天内将上述问题整改完毕，并书面报送甲方。若未落实整改，乙方应向甲方支付50-5000元违约金。再次复查不合格时，乙方应向甲方支付双倍违约金，以此递增。情况严重的予以通报批评或停工整改，由此产生的误工、停工等相应费用由乙方承担，甲方保留进一步追诉权利。</w:t>
      </w:r>
    </w:p>
    <w:p w14:paraId="056C84E7">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四、工程施工范围外涉及安全文明施工范畴的原有地下设施，原周边建筑物附属设施（如排水管沟、电缆沟等）如需改移、新建，施工完毕后，必须全部立即恢复。</w:t>
      </w:r>
    </w:p>
    <w:p w14:paraId="1320B5E2">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因乙方安全文明施工管理不善，没按《东莞市建设工程文明施工管理规定》及有关建筑安装施工规范执行的，甲方发出《安全文明施工整改通知书》或《安全问题排查表》后，在规定期限内仍未整改完毕的，甲方有权组织人力、物力、机械处理，所发生的费用由乙方承担。</w:t>
      </w:r>
    </w:p>
    <w:p w14:paraId="7C02B632">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六、本协议一式四份，甲乙双方各持两份，自双方签字之日起生效。</w:t>
      </w:r>
    </w:p>
    <w:p w14:paraId="0DECAC56">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p>
    <w:p w14:paraId="1B7ED339">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p>
    <w:p w14:paraId="399B556E">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甲方：东莞市水务集团供水有限公司                    </w:t>
      </w:r>
    </w:p>
    <w:p w14:paraId="786E7903">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甲方负责人：                           </w:t>
      </w:r>
    </w:p>
    <w:p w14:paraId="10A36690">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p>
    <w:p w14:paraId="75CEB9DC">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620D7FAD">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乙方法定代表人：</w:t>
      </w:r>
    </w:p>
    <w:p w14:paraId="181BF0EE">
      <w:pPr>
        <w:widowControl/>
        <w:autoSpaceDE w:val="0"/>
        <w:autoSpaceDN w:val="0"/>
        <w:adjustRightInd w:val="0"/>
        <w:spacing w:line="360" w:lineRule="auto"/>
        <w:ind w:left="0" w:leftChars="0" w:firstLine="0" w:firstLineChars="0"/>
        <w:jc w:val="left"/>
        <w:rPr>
          <w:rFonts w:hint="eastAsia" w:ascii="宋体" w:hAnsi="宋体" w:eastAsia="宋体" w:cs="宋体"/>
          <w:color w:val="auto"/>
          <w:sz w:val="21"/>
          <w:szCs w:val="21"/>
          <w:highlight w:val="none"/>
        </w:rPr>
      </w:pPr>
    </w:p>
    <w:p w14:paraId="21DA8DD4">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签订地点：东莞市水务集团供水有限公司</w:t>
      </w:r>
    </w:p>
    <w:p w14:paraId="02C26A86">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签订时间：</w:t>
      </w:r>
    </w:p>
    <w:p w14:paraId="46D0D9EE">
      <w:pPr>
        <w:widowControl/>
        <w:autoSpaceDE/>
        <w:autoSpaceDN/>
        <w:adjustRightInd/>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454B06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安全文明施工整改通知书</w:t>
      </w:r>
    </w:p>
    <w:p w14:paraId="527DF8CB">
      <w:pPr>
        <w:snapToGrid w:val="0"/>
        <w:spacing w:line="360" w:lineRule="auto"/>
        <w:ind w:firstLine="560" w:firstLineChars="200"/>
        <w:jc w:val="right"/>
        <w:rPr>
          <w:rFonts w:hint="eastAsia" w:ascii="宋体" w:hAnsi="宋体" w:eastAsia="宋体" w:cs="宋体"/>
          <w:color w:val="auto"/>
          <w:sz w:val="21"/>
          <w:szCs w:val="21"/>
          <w:highlight w:val="none"/>
          <w:u w:val="single"/>
        </w:rPr>
      </w:pPr>
      <w:r>
        <w:rPr>
          <w:rFonts w:hint="eastAsia" w:ascii="仿宋_GB2312" w:hAnsi="仿宋_GB2312" w:eastAsia="仿宋_GB2312" w:cs="仿宋_GB2312"/>
          <w:color w:val="auto"/>
          <w:sz w:val="28"/>
          <w:szCs w:val="28"/>
          <w:highlight w:val="none"/>
        </w:rPr>
        <w:t xml:space="preserve">                                           </w:t>
      </w:r>
      <w:r>
        <w:rPr>
          <w:rFonts w:hint="eastAsia" w:ascii="宋体" w:hAnsi="宋体" w:eastAsia="宋体" w:cs="宋体"/>
          <w:color w:val="auto"/>
          <w:sz w:val="21"/>
          <w:szCs w:val="21"/>
          <w:highlight w:val="none"/>
        </w:rPr>
        <w:t xml:space="preserve"> 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号</w:t>
      </w:r>
    </w:p>
    <w:p w14:paraId="5CC85D76">
      <w:pPr>
        <w:snapToGrid w:val="0"/>
        <w:spacing w:line="360" w:lineRule="auto"/>
        <w:ind w:firstLine="420" w:firstLineChars="200"/>
        <w:jc w:val="left"/>
        <w:rPr>
          <w:rFonts w:hint="eastAsia" w:ascii="宋体" w:hAnsi="宋体" w:eastAsia="宋体" w:cs="宋体"/>
          <w:color w:val="auto"/>
          <w:sz w:val="21"/>
          <w:szCs w:val="21"/>
          <w:highlight w:val="none"/>
        </w:rPr>
      </w:pPr>
    </w:p>
    <w:p w14:paraId="5B948C58">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20EC402C">
      <w:pPr>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在   年  月  日进行的安全文明施工例行检查中，发现你司承建的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工程违反《东莞市建设工程文明施工管理规定》和</w:t>
      </w:r>
      <w:r>
        <w:rPr>
          <w:rFonts w:hint="eastAsia" w:ascii="宋体" w:hAnsi="宋体" w:eastAsia="宋体" w:cs="宋体"/>
          <w:color w:val="auto"/>
          <w:sz w:val="21"/>
          <w:szCs w:val="21"/>
          <w:highlight w:val="none"/>
          <w:lang w:eastAsia="zh-CN"/>
        </w:rPr>
        <w:t>东莞市水务集团供水有限公司</w:t>
      </w:r>
      <w:r>
        <w:rPr>
          <w:rFonts w:hint="eastAsia" w:ascii="宋体" w:hAnsi="宋体" w:eastAsia="宋体" w:cs="宋体"/>
          <w:color w:val="auto"/>
          <w:sz w:val="21"/>
          <w:szCs w:val="21"/>
          <w:highlight w:val="none"/>
        </w:rPr>
        <w:t>《安全文明施工管理条例》的规定，存在问题如下：</w:t>
      </w:r>
      <w:r>
        <w:rPr>
          <w:rFonts w:hint="eastAsia" w:ascii="宋体" w:hAnsi="宋体" w:eastAsia="宋体" w:cs="宋体"/>
          <w:color w:val="auto"/>
          <w:sz w:val="21"/>
          <w:szCs w:val="21"/>
          <w:highlight w:val="none"/>
          <w:u w:val="single"/>
        </w:rPr>
        <w:t xml:space="preserve">                                                                               </w:t>
      </w:r>
    </w:p>
    <w:p w14:paraId="34A1E403">
      <w:pPr>
        <w:snapToGrid w:val="0"/>
        <w:spacing w:line="360" w:lineRule="auto"/>
        <w:ind w:firstLine="0" w:firstLineChars="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575954D4">
      <w:pPr>
        <w:widowControl w:val="0"/>
        <w:snapToGrid w:val="0"/>
        <w:spacing w:line="360" w:lineRule="auto"/>
        <w:ind w:firstLine="420" w:firstLineChars="200"/>
        <w:jc w:val="both"/>
        <w:textAlignment w:val="baseline"/>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另外，你司对《安全文明施工整改通知书》（编号：   号）的内容尚未整改，仍存在问题如下：</w:t>
      </w:r>
      <w:r>
        <w:rPr>
          <w:rFonts w:hint="eastAsia" w:ascii="宋体" w:hAnsi="宋体" w:eastAsia="宋体" w:cs="宋体"/>
          <w:color w:val="auto"/>
          <w:kern w:val="2"/>
          <w:sz w:val="21"/>
          <w:szCs w:val="21"/>
          <w:highlight w:val="none"/>
          <w:u w:val="single"/>
          <w:lang w:val="en-US" w:eastAsia="zh-CN" w:bidi="ar-SA"/>
        </w:rPr>
        <w:t xml:space="preserve">                                                                                                          </w:t>
      </w:r>
    </w:p>
    <w:p w14:paraId="34B40D73">
      <w:pPr>
        <w:snapToGrid w:val="0"/>
        <w:spacing w:line="360" w:lineRule="auto"/>
        <w:ind w:firstLine="0" w:firstLineChars="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066AC6D0">
      <w:pPr>
        <w:snapToGrid w:val="0"/>
        <w:spacing w:line="360" w:lineRule="auto"/>
        <w:ind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特此通知</w:t>
      </w:r>
      <w:r>
        <w:rPr>
          <w:rFonts w:hint="eastAsia" w:ascii="宋体" w:hAnsi="宋体" w:eastAsia="宋体" w:cs="宋体"/>
          <w:color w:val="auto"/>
          <w:sz w:val="21"/>
          <w:szCs w:val="21"/>
          <w:highlight w:val="none"/>
          <w:lang w:eastAsia="zh-CN"/>
        </w:rPr>
        <w:t>！</w:t>
      </w:r>
    </w:p>
    <w:p w14:paraId="61DFF511">
      <w:pPr>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附注：</w:t>
      </w:r>
    </w:p>
    <w:p w14:paraId="3C72E83D">
      <w:pPr>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1、施工单位接本通知之日起，5天内将上述问题整改完毕，并书面报送监理单位，监理单位将整改情况以书面材料上报建设单位。结合双方签定的《安全文明施工协议书》内的条款,未落实整改者第一次</w:t>
      </w:r>
      <w:r>
        <w:rPr>
          <w:rFonts w:hint="eastAsia" w:ascii="宋体" w:hAnsi="宋体" w:eastAsia="宋体" w:cs="宋体"/>
          <w:color w:val="auto"/>
          <w:sz w:val="21"/>
          <w:szCs w:val="21"/>
          <w:highlight w:val="none"/>
          <w:lang w:eastAsia="zh-CN"/>
        </w:rPr>
        <w:t>应向东莞市水务集团供水有限公司支付</w:t>
      </w:r>
      <w:r>
        <w:rPr>
          <w:rFonts w:hint="eastAsia" w:ascii="宋体" w:hAnsi="宋体" w:eastAsia="宋体" w:cs="宋体"/>
          <w:color w:val="auto"/>
          <w:sz w:val="21"/>
          <w:szCs w:val="21"/>
          <w:highlight w:val="none"/>
        </w:rPr>
        <w:t>5000元</w:t>
      </w:r>
      <w:r>
        <w:rPr>
          <w:rFonts w:hint="eastAsia" w:ascii="宋体" w:hAnsi="宋体" w:eastAsia="宋体" w:cs="宋体"/>
          <w:color w:val="auto"/>
          <w:sz w:val="21"/>
          <w:szCs w:val="21"/>
          <w:highlight w:val="none"/>
          <w:lang w:eastAsia="zh-CN"/>
        </w:rPr>
        <w:t>违约金</w:t>
      </w:r>
      <w:r>
        <w:rPr>
          <w:rFonts w:hint="eastAsia" w:ascii="宋体" w:hAnsi="宋体" w:eastAsia="宋体" w:cs="宋体"/>
          <w:color w:val="auto"/>
          <w:sz w:val="21"/>
          <w:szCs w:val="21"/>
          <w:highlight w:val="none"/>
        </w:rPr>
        <w:t>，再次复查不合格者</w:t>
      </w:r>
      <w:r>
        <w:rPr>
          <w:rFonts w:hint="eastAsia" w:ascii="宋体" w:hAnsi="宋体" w:eastAsia="宋体" w:cs="宋体"/>
          <w:color w:val="auto"/>
          <w:sz w:val="21"/>
          <w:szCs w:val="21"/>
          <w:highlight w:val="none"/>
          <w:lang w:eastAsia="zh-CN"/>
        </w:rPr>
        <w:t>应向东莞市水务集团供水有限公司支付</w:t>
      </w:r>
      <w:r>
        <w:rPr>
          <w:rFonts w:hint="eastAsia" w:ascii="宋体" w:hAnsi="宋体" w:eastAsia="宋体" w:cs="宋体"/>
          <w:color w:val="auto"/>
          <w:sz w:val="21"/>
          <w:szCs w:val="21"/>
          <w:highlight w:val="none"/>
        </w:rPr>
        <w:t>双倍</w:t>
      </w:r>
      <w:r>
        <w:rPr>
          <w:rFonts w:hint="eastAsia" w:ascii="宋体" w:hAnsi="宋体" w:eastAsia="宋体" w:cs="宋体"/>
          <w:color w:val="auto"/>
          <w:sz w:val="21"/>
          <w:szCs w:val="21"/>
          <w:highlight w:val="none"/>
          <w:lang w:eastAsia="zh-CN"/>
        </w:rPr>
        <w:t>违约金</w:t>
      </w:r>
      <w:r>
        <w:rPr>
          <w:rFonts w:hint="eastAsia" w:ascii="宋体" w:hAnsi="宋体" w:eastAsia="宋体" w:cs="宋体"/>
          <w:color w:val="auto"/>
          <w:sz w:val="21"/>
          <w:szCs w:val="21"/>
          <w:highlight w:val="none"/>
        </w:rPr>
        <w:t>，以此递增。</w:t>
      </w:r>
    </w:p>
    <w:p w14:paraId="512E2BD6">
      <w:pPr>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2、本通知书作为工程结束后，安全文明施工工全面评估总结的重要依据。</w:t>
      </w:r>
    </w:p>
    <w:p w14:paraId="69FF9412">
      <w:pPr>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3、本通知书一式三份，施工单位、监理单位、建设单位各存一份。</w:t>
      </w:r>
    </w:p>
    <w:p w14:paraId="5D408639">
      <w:pPr>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p>
    <w:p w14:paraId="329198AA">
      <w:pPr>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施工负责人：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现场监理：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检查负责人：</w:t>
      </w:r>
    </w:p>
    <w:p w14:paraId="5A1432A1">
      <w:pPr>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p>
    <w:p w14:paraId="123B3CAA">
      <w:pPr>
        <w:snapToGrid w:val="0"/>
        <w:spacing w:line="360" w:lineRule="auto"/>
        <w:ind w:firstLine="420" w:firstLineChars="200"/>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 xml:space="preserve">  </w:t>
      </w:r>
    </w:p>
    <w:p w14:paraId="33AE7F1C">
      <w:pPr>
        <w:snapToGrid w:val="0"/>
        <w:spacing w:line="360" w:lineRule="auto"/>
        <w:ind w:firstLine="420" w:firstLineChars="200"/>
        <w:jc w:val="right"/>
        <w:textAlignment w:val="baseline"/>
        <w:rPr>
          <w:rFonts w:hint="eastAsia" w:ascii="宋体" w:hAnsi="宋体" w:eastAsia="宋体" w:cs="宋体"/>
          <w:color w:val="auto"/>
          <w:sz w:val="21"/>
          <w:szCs w:val="21"/>
          <w:highlight w:val="none"/>
        </w:rPr>
      </w:pPr>
    </w:p>
    <w:p w14:paraId="49E010EA">
      <w:pPr>
        <w:snapToGrid w:val="0"/>
        <w:spacing w:line="360" w:lineRule="auto"/>
        <w:ind w:firstLine="420" w:firstLineChars="200"/>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安全文明施工检查小组</w:t>
      </w:r>
    </w:p>
    <w:p w14:paraId="79559726">
      <w:pPr>
        <w:snapToGrid w:val="0"/>
        <w:spacing w:line="360" w:lineRule="auto"/>
        <w:ind w:firstLine="420" w:firstLineChars="200"/>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69763B6">
      <w:pPr>
        <w:snapToGrid w:val="0"/>
        <w:spacing w:line="360" w:lineRule="auto"/>
        <w:ind w:firstLine="420" w:firstLineChars="200"/>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2CE01C7E">
      <w:pPr>
        <w:widowControl/>
        <w:autoSpaceDE/>
        <w:autoSpaceDN/>
        <w:adjustRightInd/>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CBADE3A">
      <w:pPr>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安全问题</w:t>
      </w:r>
      <w:r>
        <w:rPr>
          <w:rFonts w:hint="eastAsia" w:ascii="宋体" w:hAnsi="宋体" w:eastAsia="宋体" w:cs="宋体"/>
          <w:b/>
          <w:bCs/>
          <w:color w:val="auto"/>
          <w:sz w:val="32"/>
          <w:szCs w:val="32"/>
          <w:highlight w:val="none"/>
          <w:lang w:eastAsia="zh-CN"/>
        </w:rPr>
        <w:t>排查记录表</w:t>
      </w:r>
    </w:p>
    <w:p w14:paraId="7B81DC47">
      <w:pPr>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4"/>
          <w:szCs w:val="24"/>
          <w:highlight w:val="none"/>
          <w:lang w:val="en-US" w:eastAsia="zh-CN"/>
        </w:rPr>
        <w:t>编号：</w:t>
      </w: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1"/>
        <w:gridCol w:w="2571"/>
        <w:gridCol w:w="2574"/>
        <w:gridCol w:w="2578"/>
      </w:tblGrid>
      <w:tr w14:paraId="524D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pct"/>
            <w:noWrap w:val="0"/>
            <w:vAlign w:val="center"/>
          </w:tcPr>
          <w:p w14:paraId="2CAD5A5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检查时间</w:t>
            </w:r>
          </w:p>
        </w:tc>
        <w:tc>
          <w:tcPr>
            <w:tcW w:w="3750" w:type="pct"/>
            <w:gridSpan w:val="3"/>
            <w:noWrap w:val="0"/>
            <w:vAlign w:val="center"/>
          </w:tcPr>
          <w:p w14:paraId="5ABA846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p>
        </w:tc>
      </w:tr>
      <w:tr w14:paraId="408C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pct"/>
            <w:noWrap w:val="0"/>
            <w:vAlign w:val="center"/>
          </w:tcPr>
          <w:p w14:paraId="6EFF0F4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检查人员</w:t>
            </w:r>
          </w:p>
        </w:tc>
        <w:tc>
          <w:tcPr>
            <w:tcW w:w="3750" w:type="pct"/>
            <w:gridSpan w:val="3"/>
            <w:noWrap w:val="0"/>
            <w:vAlign w:val="center"/>
          </w:tcPr>
          <w:p w14:paraId="297A323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p>
        </w:tc>
      </w:tr>
      <w:tr w14:paraId="2077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pct"/>
            <w:noWrap w:val="0"/>
            <w:vAlign w:val="center"/>
          </w:tcPr>
          <w:p w14:paraId="598938B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检查地点</w:t>
            </w:r>
          </w:p>
        </w:tc>
        <w:tc>
          <w:tcPr>
            <w:tcW w:w="3750" w:type="pct"/>
            <w:gridSpan w:val="3"/>
            <w:noWrap w:val="0"/>
            <w:vAlign w:val="center"/>
          </w:tcPr>
          <w:p w14:paraId="40A583F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p>
        </w:tc>
      </w:tr>
      <w:tr w14:paraId="4811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000" w:type="pct"/>
            <w:gridSpan w:val="4"/>
            <w:noWrap w:val="0"/>
            <w:vAlign w:val="top"/>
          </w:tcPr>
          <w:p w14:paraId="1853D70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105" w:leftChars="50" w:right="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发现的问题：</w:t>
            </w:r>
          </w:p>
          <w:p w14:paraId="08B08AC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105" w:leftChars="50" w:right="0"/>
              <w:jc w:val="both"/>
              <w:textAlignment w:val="auto"/>
              <w:rPr>
                <w:rFonts w:hint="eastAsia" w:ascii="宋体" w:hAnsi="宋体" w:eastAsia="宋体" w:cs="宋体"/>
                <w:color w:val="auto"/>
                <w:sz w:val="24"/>
                <w:szCs w:val="24"/>
                <w:highlight w:val="none"/>
                <w:vertAlign w:val="baseline"/>
                <w:lang w:val="en-US" w:eastAsia="zh-CN"/>
              </w:rPr>
            </w:pPr>
          </w:p>
          <w:p w14:paraId="0E7AF4B7">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leftChars="0" w:right="0"/>
              <w:jc w:val="both"/>
              <w:textAlignment w:val="auto"/>
              <w:rPr>
                <w:rFonts w:hint="eastAsia" w:ascii="宋体" w:hAnsi="宋体" w:eastAsia="宋体" w:cs="宋体"/>
                <w:color w:val="auto"/>
                <w:sz w:val="24"/>
                <w:szCs w:val="24"/>
                <w:highlight w:val="none"/>
                <w:vertAlign w:val="baseline"/>
                <w:lang w:val="en-US" w:eastAsia="zh-CN"/>
              </w:rPr>
            </w:pPr>
          </w:p>
          <w:p w14:paraId="76CD97F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105" w:leftChars="50" w:right="0"/>
              <w:jc w:val="both"/>
              <w:textAlignment w:val="auto"/>
              <w:rPr>
                <w:rFonts w:hint="eastAsia" w:ascii="宋体" w:hAnsi="宋体" w:eastAsia="宋体" w:cs="宋体"/>
                <w:color w:val="auto"/>
                <w:sz w:val="24"/>
                <w:szCs w:val="24"/>
                <w:highlight w:val="none"/>
                <w:vertAlign w:val="baseline"/>
                <w:lang w:val="en-US" w:eastAsia="zh-CN"/>
              </w:rPr>
            </w:pPr>
          </w:p>
          <w:p w14:paraId="2110732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105" w:leftChars="50" w:right="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w:t>
            </w:r>
          </w:p>
          <w:p w14:paraId="1AF0565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105" w:leftChars="50" w:right="0"/>
              <w:jc w:val="both"/>
              <w:textAlignment w:val="auto"/>
              <w:rPr>
                <w:rFonts w:hint="eastAsia" w:ascii="宋体" w:hAnsi="宋体" w:eastAsia="宋体" w:cs="宋体"/>
                <w:color w:val="auto"/>
                <w:sz w:val="24"/>
                <w:szCs w:val="24"/>
                <w:highlight w:val="none"/>
                <w:vertAlign w:val="baseline"/>
                <w:lang w:val="en-US" w:eastAsia="zh-CN"/>
              </w:rPr>
            </w:pPr>
          </w:p>
          <w:p w14:paraId="0065AF5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105" w:leftChars="50" w:right="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w:t>
            </w:r>
          </w:p>
        </w:tc>
      </w:tr>
      <w:tr w14:paraId="1D88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pct"/>
            <w:noWrap w:val="0"/>
            <w:vAlign w:val="center"/>
          </w:tcPr>
          <w:p w14:paraId="38C6499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整改责任人</w:t>
            </w:r>
          </w:p>
        </w:tc>
        <w:tc>
          <w:tcPr>
            <w:tcW w:w="1249" w:type="pct"/>
            <w:noWrap w:val="0"/>
            <w:vAlign w:val="center"/>
          </w:tcPr>
          <w:p w14:paraId="59FEDEF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p>
        </w:tc>
        <w:tc>
          <w:tcPr>
            <w:tcW w:w="1250" w:type="pct"/>
            <w:noWrap w:val="0"/>
            <w:vAlign w:val="center"/>
          </w:tcPr>
          <w:p w14:paraId="16EF314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整改时间</w:t>
            </w:r>
          </w:p>
        </w:tc>
        <w:tc>
          <w:tcPr>
            <w:tcW w:w="1250" w:type="pct"/>
            <w:noWrap w:val="0"/>
            <w:vAlign w:val="center"/>
          </w:tcPr>
          <w:p w14:paraId="4398C89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p>
        </w:tc>
      </w:tr>
      <w:tr w14:paraId="1478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5000" w:type="pct"/>
            <w:gridSpan w:val="4"/>
            <w:noWrap w:val="0"/>
            <w:vAlign w:val="top"/>
          </w:tcPr>
          <w:p w14:paraId="70183FC7">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105" w:leftChars="50" w:right="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整改措施：</w:t>
            </w:r>
          </w:p>
          <w:p w14:paraId="2AF3E3EF">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rPr>
                <w:rFonts w:hint="eastAsia" w:ascii="宋体" w:hAnsi="宋体" w:eastAsia="宋体" w:cs="宋体"/>
                <w:color w:val="auto"/>
                <w:sz w:val="24"/>
                <w:szCs w:val="24"/>
                <w:highlight w:val="none"/>
                <w:vertAlign w:val="baseline"/>
                <w:lang w:val="en-US" w:eastAsia="zh-CN"/>
              </w:rPr>
            </w:pPr>
          </w:p>
          <w:p w14:paraId="6670A87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leftChars="0" w:right="0"/>
              <w:jc w:val="both"/>
              <w:textAlignment w:val="auto"/>
              <w:rPr>
                <w:rFonts w:hint="eastAsia" w:ascii="宋体" w:hAnsi="宋体" w:eastAsia="宋体" w:cs="宋体"/>
                <w:color w:val="auto"/>
                <w:sz w:val="24"/>
                <w:szCs w:val="24"/>
                <w:highlight w:val="none"/>
                <w:vertAlign w:val="baseline"/>
                <w:lang w:val="en-US" w:eastAsia="zh-CN"/>
              </w:rPr>
            </w:pPr>
          </w:p>
          <w:p w14:paraId="3C47A48F">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leftChars="0" w:right="0"/>
              <w:jc w:val="both"/>
              <w:textAlignment w:val="auto"/>
              <w:rPr>
                <w:rFonts w:hint="eastAsia" w:ascii="宋体" w:hAnsi="宋体" w:eastAsia="宋体" w:cs="宋体"/>
                <w:color w:val="auto"/>
                <w:sz w:val="24"/>
                <w:szCs w:val="24"/>
                <w:highlight w:val="none"/>
                <w:vertAlign w:val="baseline"/>
                <w:lang w:val="en-US" w:eastAsia="zh-CN"/>
              </w:rPr>
            </w:pPr>
          </w:p>
          <w:p w14:paraId="32152E4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leftChars="0" w:right="0"/>
              <w:jc w:val="both"/>
              <w:textAlignment w:val="auto"/>
              <w:rPr>
                <w:rFonts w:hint="eastAsia" w:ascii="宋体" w:hAnsi="宋体" w:eastAsia="宋体" w:cs="宋体"/>
                <w:color w:val="auto"/>
                <w:sz w:val="24"/>
                <w:szCs w:val="24"/>
                <w:highlight w:val="none"/>
                <w:vertAlign w:val="baseline"/>
                <w:lang w:val="en-US" w:eastAsia="zh-CN"/>
              </w:rPr>
            </w:pPr>
          </w:p>
          <w:p w14:paraId="22B6FF37">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105" w:leftChars="50" w:right="0" w:firstLine="4080" w:firstLineChars="17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签名：           日期：   年  月  日</w:t>
            </w:r>
          </w:p>
        </w:tc>
      </w:tr>
      <w:tr w14:paraId="25A4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5000" w:type="pct"/>
            <w:gridSpan w:val="4"/>
            <w:noWrap w:val="0"/>
            <w:vAlign w:val="top"/>
          </w:tcPr>
          <w:p w14:paraId="4B8D202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105" w:leftChars="50" w:right="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整改验收结果：</w:t>
            </w:r>
          </w:p>
          <w:p w14:paraId="1C82484C">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rPr>
                <w:rFonts w:hint="eastAsia" w:ascii="宋体" w:hAnsi="宋体" w:eastAsia="宋体" w:cs="宋体"/>
                <w:color w:val="auto"/>
                <w:sz w:val="24"/>
                <w:szCs w:val="24"/>
                <w:highlight w:val="none"/>
                <w:vertAlign w:val="baseline"/>
                <w:lang w:val="en-US" w:eastAsia="zh-CN"/>
              </w:rPr>
            </w:pPr>
          </w:p>
          <w:p w14:paraId="1F68943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105" w:leftChars="50" w:right="0"/>
              <w:jc w:val="both"/>
              <w:textAlignment w:val="auto"/>
              <w:rPr>
                <w:rFonts w:hint="eastAsia" w:ascii="宋体" w:hAnsi="宋体" w:eastAsia="宋体" w:cs="宋体"/>
                <w:color w:val="auto"/>
                <w:sz w:val="24"/>
                <w:szCs w:val="24"/>
                <w:highlight w:val="none"/>
                <w:vertAlign w:val="baseline"/>
                <w:lang w:val="en-US" w:eastAsia="zh-CN"/>
              </w:rPr>
            </w:pPr>
          </w:p>
          <w:p w14:paraId="0F8D919D">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105" w:leftChars="50" w:right="0"/>
              <w:jc w:val="both"/>
              <w:textAlignment w:val="auto"/>
              <w:rPr>
                <w:rFonts w:hint="eastAsia" w:ascii="宋体" w:hAnsi="宋体" w:eastAsia="宋体" w:cs="宋体"/>
                <w:color w:val="auto"/>
                <w:sz w:val="24"/>
                <w:szCs w:val="24"/>
                <w:highlight w:val="none"/>
                <w:vertAlign w:val="baseline"/>
                <w:lang w:val="en-US" w:eastAsia="zh-CN"/>
              </w:rPr>
            </w:pPr>
          </w:p>
          <w:p w14:paraId="4430D3BF">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105" w:leftChars="50" w:right="0"/>
              <w:jc w:val="both"/>
              <w:textAlignment w:val="auto"/>
              <w:rPr>
                <w:rFonts w:hint="eastAsia" w:ascii="宋体" w:hAnsi="宋体" w:eastAsia="宋体" w:cs="宋体"/>
                <w:color w:val="auto"/>
                <w:sz w:val="24"/>
                <w:szCs w:val="24"/>
                <w:highlight w:val="none"/>
                <w:vertAlign w:val="baseline"/>
                <w:lang w:val="en-US" w:eastAsia="zh-CN"/>
              </w:rPr>
            </w:pPr>
          </w:p>
          <w:p w14:paraId="08735EB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firstLine="3840" w:firstLineChars="1600"/>
              <w:jc w:val="both"/>
              <w:textAlignment w:val="auto"/>
              <w:rPr>
                <w:rFonts w:hint="eastAsia" w:ascii="宋体" w:hAnsi="宋体" w:eastAsia="宋体" w:cs="宋体"/>
                <w:color w:val="auto"/>
                <w:sz w:val="24"/>
                <w:szCs w:val="24"/>
                <w:highlight w:val="none"/>
                <w:vertAlign w:val="baseline"/>
                <w:lang w:val="en-US" w:eastAsia="zh-CN"/>
              </w:rPr>
            </w:pPr>
          </w:p>
          <w:p w14:paraId="4234A9E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firstLine="3840" w:firstLineChars="16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验收人：          日期：    年  月  日</w:t>
            </w:r>
          </w:p>
        </w:tc>
      </w:tr>
    </w:tbl>
    <w:p w14:paraId="6F102467">
      <w:pPr>
        <w:rPr>
          <w:rFonts w:hint="default"/>
          <w:color w:val="auto"/>
          <w:highlight w:val="none"/>
          <w:lang w:val="en-US" w:eastAsia="zh-CN"/>
        </w:rPr>
      </w:pPr>
    </w:p>
    <w:p w14:paraId="6C271E5B">
      <w:pPr>
        <w:rPr>
          <w:rFonts w:hint="default"/>
          <w:color w:val="auto"/>
          <w:highlight w:val="none"/>
          <w:lang w:val="en-US" w:eastAsia="zh-CN"/>
        </w:rPr>
      </w:pPr>
    </w:p>
    <w:p w14:paraId="4AEC402B">
      <w:pPr>
        <w:jc w:val="left"/>
        <w:rPr>
          <w:rFonts w:hint="eastAsia"/>
          <w:color w:val="auto"/>
          <w:sz w:val="30"/>
          <w:szCs w:val="30"/>
          <w:highlight w:val="none"/>
          <w:lang w:val="en-US" w:eastAsia="zh-CN"/>
        </w:rPr>
      </w:pPr>
      <w:r>
        <w:rPr>
          <w:rFonts w:hint="eastAsia" w:asciiTheme="minorHAnsi" w:eastAsiaTheme="minorEastAsia"/>
          <w:color w:val="auto"/>
          <w:sz w:val="30"/>
          <w:szCs w:val="30"/>
          <w:highlight w:val="none"/>
          <w:lang w:val="en-US" w:eastAsia="zh-CN"/>
        </w:rPr>
        <w:br w:type="page"/>
      </w:r>
    </w:p>
    <w:p w14:paraId="21F6BDD4">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附图：</w:t>
      </w:r>
    </w:p>
    <w:p w14:paraId="6BDE9A36">
      <w:pPr>
        <w:jc w:val="both"/>
        <w:rPr>
          <w:rFonts w:hint="eastAsia" w:ascii="宋体" w:hAnsi="宋体" w:eastAsia="宋体" w:cs="宋体"/>
          <w:color w:val="auto"/>
          <w:sz w:val="24"/>
          <w:szCs w:val="24"/>
          <w:highlight w:val="none"/>
          <w:lang w:val="en-US" w:eastAsia="zh-CN"/>
        </w:rPr>
      </w:pP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6"/>
      </w:tblGrid>
      <w:tr w14:paraId="7E14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noWrap w:val="0"/>
            <w:vAlign w:val="center"/>
          </w:tcPr>
          <w:p w14:paraId="5D82C9E2">
            <w:pPr>
              <w:keepNext w:val="0"/>
              <w:keepLines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整改前</w:t>
            </w:r>
          </w:p>
        </w:tc>
      </w:tr>
      <w:tr w14:paraId="7A17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3" w:hRule="atLeast"/>
        </w:trPr>
        <w:tc>
          <w:tcPr>
            <w:tcW w:w="5000" w:type="pct"/>
            <w:noWrap w:val="0"/>
            <w:vAlign w:val="top"/>
          </w:tcPr>
          <w:p w14:paraId="103967B0">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插入图片</w:t>
            </w:r>
            <w:r>
              <w:rPr>
                <w:rFonts w:hint="eastAsia" w:ascii="宋体" w:hAnsi="宋体" w:eastAsia="宋体" w:cs="宋体"/>
                <w:color w:val="auto"/>
                <w:kern w:val="0"/>
                <w:sz w:val="21"/>
                <w:szCs w:val="21"/>
                <w:highlight w:val="none"/>
                <w:lang w:eastAsia="zh-CN"/>
              </w:rPr>
              <w:t>）</w:t>
            </w:r>
          </w:p>
          <w:p w14:paraId="18096C0E">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p>
          <w:p w14:paraId="57E9D089">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p>
          <w:p w14:paraId="631E612E">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p>
          <w:p w14:paraId="016F45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p w14:paraId="2D44E3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p w14:paraId="6EFEA6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p w14:paraId="6EC0EF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p w14:paraId="59522BFF">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p>
        </w:tc>
      </w:tr>
      <w:tr w14:paraId="7281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noWrap w:val="0"/>
            <w:vAlign w:val="center"/>
          </w:tcPr>
          <w:p w14:paraId="44BAC3CA">
            <w:pPr>
              <w:keepNext w:val="0"/>
              <w:keepLines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整改</w:t>
            </w:r>
            <w:r>
              <w:rPr>
                <w:rFonts w:hint="eastAsia" w:ascii="宋体" w:hAnsi="宋体" w:eastAsia="宋体" w:cs="宋体"/>
                <w:color w:val="auto"/>
                <w:kern w:val="0"/>
                <w:sz w:val="21"/>
                <w:szCs w:val="21"/>
                <w:highlight w:val="none"/>
                <w:lang w:val="en-US" w:eastAsia="zh-CN"/>
              </w:rPr>
              <w:t>后</w:t>
            </w:r>
          </w:p>
        </w:tc>
      </w:tr>
      <w:tr w14:paraId="3F12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3" w:hRule="atLeast"/>
        </w:trPr>
        <w:tc>
          <w:tcPr>
            <w:tcW w:w="5000" w:type="pct"/>
            <w:noWrap w:val="0"/>
            <w:vAlign w:val="top"/>
          </w:tcPr>
          <w:p w14:paraId="629C38BA">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插入图片</w:t>
            </w:r>
            <w:r>
              <w:rPr>
                <w:rFonts w:hint="eastAsia" w:ascii="宋体" w:hAnsi="宋体" w:eastAsia="宋体" w:cs="宋体"/>
                <w:color w:val="auto"/>
                <w:kern w:val="0"/>
                <w:sz w:val="21"/>
                <w:szCs w:val="21"/>
                <w:highlight w:val="none"/>
                <w:lang w:eastAsia="zh-CN"/>
              </w:rPr>
              <w:t>）</w:t>
            </w:r>
          </w:p>
          <w:p w14:paraId="5BFEEBCF">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p>
        </w:tc>
      </w:tr>
    </w:tbl>
    <w:p w14:paraId="334F4DF1">
      <w:pPr>
        <w:snapToGrid w:val="0"/>
        <w:spacing w:line="480" w:lineRule="exact"/>
        <w:textAlignment w:val="baseline"/>
        <w:rPr>
          <w:rFonts w:hint="eastAsia" w:ascii="仿宋_GB2312" w:hAnsi="仿宋_GB2312" w:eastAsia="仿宋_GB2312" w:cs="仿宋_GB2312"/>
          <w:color w:val="auto"/>
          <w:sz w:val="28"/>
          <w:szCs w:val="28"/>
          <w:highlight w:val="none"/>
        </w:rPr>
      </w:pPr>
    </w:p>
    <w:p w14:paraId="1F81148A">
      <w:pPr>
        <w:widowControl/>
        <w:autoSpaceDE w:val="0"/>
        <w:autoSpaceDN w:val="0"/>
        <w:adjustRightInd w:val="0"/>
        <w:spacing w:line="360" w:lineRule="auto"/>
        <w:ind w:left="0" w:leftChars="0" w:firstLine="420" w:firstLineChars="200"/>
        <w:jc w:val="left"/>
        <w:rPr>
          <w:rFonts w:hint="eastAsia" w:ascii="宋体" w:hAnsi="宋体" w:eastAsia="宋体" w:cs="宋体"/>
          <w:color w:val="auto"/>
          <w:sz w:val="21"/>
          <w:szCs w:val="21"/>
          <w:highlight w:val="none"/>
        </w:rPr>
      </w:pPr>
    </w:p>
    <w:p w14:paraId="1DB4111A">
      <w:pPr>
        <w:rPr>
          <w:rFonts w:ascii="宋体" w:hAnsi="宋体" w:eastAsia="宋体"/>
          <w:color w:val="auto"/>
          <w:highlight w:val="none"/>
        </w:rPr>
      </w:pPr>
      <w:r>
        <w:rPr>
          <w:rFonts w:hint="eastAsia" w:ascii="宋体" w:hAnsi="宋体" w:eastAsia="宋体" w:cs="宋体"/>
          <w:color w:val="auto"/>
          <w:kern w:val="0"/>
          <w:sz w:val="21"/>
          <w:szCs w:val="21"/>
          <w:highlight w:val="none"/>
          <w:lang w:val="en-US" w:eastAsia="zh-CN" w:bidi="ar"/>
        </w:rPr>
        <w:t xml:space="preserve">       </w:t>
      </w:r>
    </w:p>
    <w:p w14:paraId="3B6815EC">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269" w:name="_Toc160099504"/>
      <w:bookmarkStart w:id="270" w:name="_Toc4103"/>
      <w:bookmarkStart w:id="271" w:name="_Toc512353083"/>
      <w:bookmarkStart w:id="272" w:name="_Toc24427_WPSOffice_Level1"/>
      <w:bookmarkStart w:id="273" w:name="_Toc447045090"/>
      <w:bookmarkStart w:id="274" w:name="_Toc447044603"/>
      <w:bookmarkStart w:id="275" w:name="_Toc447044479"/>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269"/>
      <w:bookmarkEnd w:id="270"/>
      <w:bookmarkEnd w:id="271"/>
      <w:bookmarkEnd w:id="272"/>
      <w:bookmarkEnd w:id="273"/>
      <w:bookmarkEnd w:id="274"/>
      <w:bookmarkEnd w:id="275"/>
      <w:bookmarkStart w:id="276" w:name="_Toc447045091"/>
      <w:bookmarkStart w:id="277" w:name="_Toc447044604"/>
      <w:bookmarkStart w:id="278" w:name="_Toc447044480"/>
    </w:p>
    <w:p w14:paraId="4085FEBE">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279" w:name="_Toc26521_WPSOffice_Level2"/>
      <w:r>
        <w:rPr>
          <w:rFonts w:hint="eastAsia" w:ascii="宋体" w:hAnsi="宋体" w:eastAsia="宋体" w:cs="Times New Roman"/>
          <w:b/>
          <w:color w:val="auto"/>
          <w:kern w:val="0"/>
          <w:sz w:val="28"/>
          <w:szCs w:val="28"/>
          <w:highlight w:val="none"/>
        </w:rPr>
        <w:t>一、不可撤销银行履约保函格式</w:t>
      </w:r>
      <w:bookmarkEnd w:id="276"/>
      <w:bookmarkEnd w:id="277"/>
      <w:bookmarkEnd w:id="278"/>
      <w:bookmarkEnd w:id="279"/>
    </w:p>
    <w:p w14:paraId="4E2A7CDC">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0A41ACC6">
      <w:pPr>
        <w:widowControl/>
        <w:autoSpaceDE w:val="0"/>
        <w:autoSpaceDN w:val="0"/>
        <w:adjustRightInd w:val="0"/>
        <w:spacing w:line="360" w:lineRule="auto"/>
        <w:jc w:val="left"/>
        <w:rPr>
          <w:rFonts w:ascii="宋体" w:hAnsi="宋体" w:eastAsia="宋体" w:cs="宋体"/>
          <w:color w:val="auto"/>
          <w:kern w:val="0"/>
          <w:szCs w:val="21"/>
          <w:highlight w:val="none"/>
        </w:rPr>
      </w:pPr>
    </w:p>
    <w:p w14:paraId="003EFFDE">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2EEA145C">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3F10DF3">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（采购编号：         ）</w:t>
      </w:r>
      <w:r>
        <w:rPr>
          <w:rFonts w:hint="eastAsia" w:ascii="宋体" w:hAnsi="宋体" w:eastAsia="宋体" w:cs="宋体"/>
          <w:color w:val="auto"/>
          <w:kern w:val="0"/>
          <w:szCs w:val="21"/>
          <w:highlight w:val="none"/>
        </w:rPr>
        <w:t>合同（谈判文件）中规定的义务履行合同。</w:t>
      </w:r>
    </w:p>
    <w:p w14:paraId="45B86BED">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根据上述合同（谈判文件）规定，申请人应向受益人提供一份金额为人民币（大写）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15BD9F2D">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，受申请人的委托，无条件和不可撤销地在受益人出具本保函原件且提出因申请人没有履行上述合同规定，而要求承担保证责任后，在保函限额内向受益人支付不超过人民币（大写）_________（¥_______元）的款项。</w:t>
      </w:r>
    </w:p>
    <w:p w14:paraId="402AB0AB">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5974FDEC">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021567F7">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eastAsia" w:ascii="宋体" w:hAnsi="宋体" w:eastAsia="宋体" w:cs="宋体"/>
          <w:b w:val="0"/>
          <w:bCs w:val="0"/>
          <w:color w:val="auto"/>
          <w:kern w:val="0"/>
          <w:sz w:val="21"/>
          <w:szCs w:val="21"/>
          <w:highlight w:val="none"/>
          <w:lang w:val="en-US" w:eastAsia="zh-CN" w:bidi="ar"/>
        </w:rPr>
        <w:t>从合同签订之日起至合同期限届满并完成合同全部服务义务后二十八（28）日内保持有效</w:t>
      </w:r>
      <w:r>
        <w:rPr>
          <w:rFonts w:hint="eastAsia" w:ascii="宋体" w:hAnsi="宋体" w:eastAsia="宋体" w:cs="Times New Roman"/>
          <w:color w:val="auto"/>
          <w:kern w:val="0"/>
          <w:szCs w:val="21"/>
          <w:highlight w:val="none"/>
        </w:rPr>
        <w:t>。</w:t>
      </w:r>
    </w:p>
    <w:p w14:paraId="1C955CBC">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1F33333C">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3FB49D00">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63E3D7F4">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36434085">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76ABF3F4">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2F7831FA">
      <w:pPr>
        <w:widowControl/>
        <w:autoSpaceDE w:val="0"/>
        <w:autoSpaceDN w:val="0"/>
        <w:adjustRightInd w:val="0"/>
        <w:spacing w:line="360" w:lineRule="auto"/>
        <w:jc w:val="left"/>
        <w:rPr>
          <w:rFonts w:ascii="宋体" w:hAnsi="宋体" w:eastAsia="宋体" w:cs="宋体"/>
          <w:color w:val="auto"/>
          <w:kern w:val="0"/>
          <w:szCs w:val="21"/>
          <w:highlight w:val="none"/>
        </w:rPr>
      </w:pPr>
    </w:p>
    <w:p w14:paraId="65400CCB">
      <w:pPr>
        <w:widowControl/>
        <w:autoSpaceDE w:val="0"/>
        <w:autoSpaceDN w:val="0"/>
        <w:adjustRightInd w:val="0"/>
        <w:spacing w:line="360" w:lineRule="auto"/>
        <w:jc w:val="left"/>
        <w:rPr>
          <w:rFonts w:ascii="宋体" w:hAnsi="宋体" w:eastAsia="宋体" w:cs="宋体"/>
          <w:color w:val="auto"/>
          <w:kern w:val="0"/>
          <w:szCs w:val="21"/>
          <w:highlight w:val="none"/>
        </w:rPr>
      </w:pPr>
    </w:p>
    <w:p w14:paraId="0CB6A032">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440" w:right="1080" w:bottom="1440" w:left="1080" w:header="720" w:footer="720" w:gutter="0"/>
          <w:pgNumType w:fmt="decimal"/>
          <w:cols w:space="720" w:num="1"/>
          <w:titlePg/>
          <w:docGrid w:linePitch="326" w:charSpace="0"/>
        </w:sectPr>
      </w:pPr>
    </w:p>
    <w:p w14:paraId="46DBFF56">
      <w:pP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557315E0">
      <w:pPr>
        <w:autoSpaceDE w:val="0"/>
        <w:autoSpaceDN w:val="0"/>
        <w:adjustRightInd w:val="0"/>
        <w:jc w:val="center"/>
        <w:rPr>
          <w:rFonts w:ascii="宋体" w:hAnsi="宋体" w:eastAsia="宋体" w:cs="Times New Roman"/>
          <w:b/>
          <w:color w:val="auto"/>
          <w:kern w:val="0"/>
          <w:sz w:val="30"/>
          <w:szCs w:val="30"/>
          <w:highlight w:val="none"/>
        </w:rPr>
      </w:pPr>
    </w:p>
    <w:p w14:paraId="37604D85">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w:t>
      </w:r>
    </w:p>
    <w:p w14:paraId="3AE19D1B">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6188DF7B">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01D168A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30AFFFAD">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39BF657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lang w:val="en-US" w:eastAsia="zh-CN"/>
        </w:rPr>
        <w:t>采购</w:t>
      </w:r>
      <w:r>
        <w:rPr>
          <w:rFonts w:ascii="宋体" w:hAnsi="宋体" w:eastAsia="宋体" w:cs="Times New Roman"/>
          <w:color w:val="auto"/>
          <w:kern w:val="0"/>
          <w:szCs w:val="21"/>
          <w:highlight w:val="none"/>
          <w:u w:val="single"/>
        </w:rPr>
        <w:t>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401863A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79FBF888">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1C89427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5D2B846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lang w:val="en-US" w:eastAsia="zh-CN"/>
        </w:rPr>
        <w:t>采购</w:t>
      </w:r>
      <w:r>
        <w:rPr>
          <w:rFonts w:ascii="宋体" w:hAnsi="宋体" w:eastAsia="宋体" w:cs="Times New Roman"/>
          <w:color w:val="auto"/>
          <w:kern w:val="0"/>
          <w:szCs w:val="21"/>
          <w:highlight w:val="none"/>
          <w:u w:val="single"/>
        </w:rPr>
        <w:t>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3AA0AC3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37BA841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62B03B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1B979E57">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132F612F">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4EBD0C12">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rPr>
        <w:t>履约保证保险</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bidi="ar"/>
        </w:rPr>
        <w:t>从合同签订之日起至合同期限届满并完成合同全部服务义务后二十八（28）日内保持有效</w:t>
      </w:r>
      <w:r>
        <w:rPr>
          <w:rFonts w:hint="eastAsia" w:ascii="宋体" w:hAnsi="宋体" w:eastAsia="宋体" w:cs="Times New Roman"/>
          <w:color w:val="auto"/>
          <w:kern w:val="0"/>
          <w:szCs w:val="21"/>
          <w:highlight w:val="none"/>
        </w:rPr>
        <w:t>。</w:t>
      </w:r>
    </w:p>
    <w:p w14:paraId="5684AE2F">
      <w:pPr>
        <w:outlineLvl w:val="9"/>
        <w:rPr>
          <w:color w:val="auto"/>
          <w:highlight w:val="none"/>
        </w:rPr>
      </w:pPr>
    </w:p>
    <w:p w14:paraId="367C76C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w:t>
      </w:r>
      <w:r>
        <w:rPr>
          <w:rFonts w:ascii="宋体" w:hAnsi="宋体" w:eastAsia="宋体" w:cs="宋体"/>
          <w:color w:val="auto"/>
          <w:kern w:val="0"/>
          <w:szCs w:val="21"/>
          <w:highlight w:val="none"/>
        </w:rPr>
        <w:t xml:space="preserve">XXX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428AD806">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4D9BC23">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07A35FFB">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w:t>
      </w:r>
      <w:r>
        <w:rPr>
          <w:rFonts w:ascii="宋体" w:hAnsi="宋体" w:eastAsia="宋体" w:cs="宋体"/>
          <w:color w:val="auto"/>
          <w:kern w:val="0"/>
          <w:szCs w:val="21"/>
          <w:highlight w:val="none"/>
        </w:rPr>
        <w:t xml:space="preserve">________ </w:t>
      </w:r>
    </w:p>
    <w:p w14:paraId="761CEFB3">
      <w:pPr>
        <w:autoSpaceDE w:val="0"/>
        <w:autoSpaceDN w:val="0"/>
        <w:adjustRightInd w:val="0"/>
        <w:spacing w:after="120" w:afterLines="50" w:line="360" w:lineRule="auto"/>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p>
    <w:p w14:paraId="43937B1F">
      <w:pPr>
        <w:rPr>
          <w:rFonts w:hint="eastAsia"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br w:type="page"/>
      </w:r>
    </w:p>
    <w:p w14:paraId="62FB1B63">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14:paraId="73556E75">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16AA7A03">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0172FC2C">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（采购编号：        ）</w:t>
      </w:r>
      <w:r>
        <w:rPr>
          <w:rFonts w:hint="eastAsia" w:ascii="宋体" w:hAnsi="宋体" w:eastAsia="宋体" w:cs="Times New Roman"/>
          <w:color w:val="auto"/>
          <w:kern w:val="0"/>
          <w:szCs w:val="21"/>
          <w:highlight w:val="none"/>
        </w:rPr>
        <w:t>合同（谈判文件）</w:t>
      </w:r>
      <w:r>
        <w:rPr>
          <w:rFonts w:ascii="宋体" w:hAnsi="宋体" w:eastAsia="宋体" w:cs="Times New Roman"/>
          <w:color w:val="auto"/>
          <w:kern w:val="0"/>
          <w:szCs w:val="21"/>
          <w:highlight w:val="none"/>
        </w:rPr>
        <w:t>中规定的义务履行合同。</w:t>
      </w:r>
    </w:p>
    <w:p w14:paraId="6D90CE4B">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根据上述合同（谈判文件）规定，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457BB8DC">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无条件和不可撤销地在受益人出具本担保书原件且提出因申请人没有履行上述合同规定，而要求承担保证责任后，在担保书限额内向受益人支付不超过人民币（大写）_________（¥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48DE3BA9">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3CC45E4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eastAsia" w:ascii="宋体" w:hAnsi="宋体" w:eastAsia="宋体" w:cs="宋体"/>
          <w:b w:val="0"/>
          <w:bCs w:val="0"/>
          <w:color w:val="auto"/>
          <w:kern w:val="0"/>
          <w:sz w:val="21"/>
          <w:szCs w:val="21"/>
          <w:highlight w:val="none"/>
          <w:lang w:val="en-US" w:eastAsia="zh-CN" w:bidi="ar"/>
        </w:rPr>
        <w:t>从合同签订之日起至合同期限届满并完成合同全部服务义务后二十八（28）日内保持有效</w:t>
      </w:r>
      <w:r>
        <w:rPr>
          <w:rFonts w:hint="eastAsia" w:ascii="宋体" w:hAnsi="宋体" w:eastAsia="宋体" w:cs="Times New Roman"/>
          <w:color w:val="auto"/>
          <w:kern w:val="0"/>
          <w:szCs w:val="21"/>
          <w:highlight w:val="none"/>
        </w:rPr>
        <w:t>。</w:t>
      </w:r>
    </w:p>
    <w:p w14:paraId="62437572">
      <w:pPr>
        <w:autoSpaceDE w:val="0"/>
        <w:autoSpaceDN w:val="0"/>
        <w:adjustRightInd w:val="0"/>
        <w:spacing w:line="360" w:lineRule="auto"/>
        <w:jc w:val="left"/>
        <w:rPr>
          <w:rFonts w:ascii="宋体" w:hAnsi="宋体" w:eastAsia="宋体" w:cs="Times New Roman"/>
          <w:color w:val="auto"/>
          <w:kern w:val="0"/>
          <w:szCs w:val="21"/>
          <w:highlight w:val="none"/>
        </w:rPr>
      </w:pPr>
    </w:p>
    <w:p w14:paraId="116C6281">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4FB827E5">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440E99E8">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7AAD62D7">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186A229B">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2E0802BB">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67BFA8FA">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033BD9E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br w:type="page"/>
      </w:r>
    </w:p>
    <w:p w14:paraId="54433641">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280" w:name="_Toc1352"/>
      <w:bookmarkStart w:id="281" w:name="_Toc32761_WPSOffice_Level1"/>
      <w:bookmarkStart w:id="282" w:name="_Toc450662895"/>
      <w:bookmarkStart w:id="283" w:name="_Toc160099505"/>
      <w:bookmarkStart w:id="284" w:name="_Toc486167708"/>
      <w:r>
        <w:rPr>
          <w:rFonts w:hint="eastAsia" w:ascii="宋体" w:hAnsi="宋体" w:eastAsia="宋体" w:cs="宋体"/>
          <w:b/>
          <w:bCs/>
          <w:color w:val="auto"/>
          <w:kern w:val="44"/>
          <w:sz w:val="32"/>
          <w:szCs w:val="32"/>
          <w:highlight w:val="none"/>
          <w:lang w:val="zh-CN"/>
        </w:rPr>
        <w:t>第六篇 响应文件格式</w:t>
      </w:r>
      <w:bookmarkEnd w:id="280"/>
      <w:bookmarkEnd w:id="281"/>
      <w:bookmarkEnd w:id="282"/>
      <w:bookmarkEnd w:id="283"/>
      <w:bookmarkEnd w:id="284"/>
    </w:p>
    <w:p w14:paraId="18F661EB">
      <w:pPr>
        <w:pStyle w:val="2"/>
        <w:jc w:val="both"/>
        <w:rPr>
          <w:color w:val="auto"/>
          <w:highlight w:val="none"/>
          <w:lang w:val="en-US"/>
        </w:rPr>
      </w:pPr>
      <w:bookmarkStart w:id="285" w:name="_Toc102860411"/>
      <w:bookmarkStart w:id="286" w:name="_Toc21133_WPSOffice_Level2"/>
      <w:bookmarkStart w:id="287" w:name="_Toc94107202"/>
      <w:bookmarkStart w:id="288" w:name="_Toc102860067"/>
      <w:bookmarkStart w:id="289" w:name="_Toc14491"/>
      <w:bookmarkStart w:id="290" w:name="_Toc486167709"/>
      <w:bookmarkStart w:id="291" w:name="_Toc1977721"/>
      <w:bookmarkStart w:id="292" w:name="_Toc23821"/>
      <w:bookmarkStart w:id="293" w:name="_Toc533708121"/>
      <w:bookmarkStart w:id="294" w:name="_Toc104991868"/>
      <w:bookmarkStart w:id="295" w:name="_Toc160099506"/>
      <w:bookmarkStart w:id="296" w:name="_Toc140596921"/>
    </w:p>
    <w:p w14:paraId="3098BD97">
      <w:pPr>
        <w:pStyle w:val="3"/>
        <w:rPr>
          <w:color w:val="auto"/>
          <w:highlight w:val="none"/>
          <w:lang w:val="en-US"/>
        </w:rPr>
      </w:pPr>
    </w:p>
    <w:p w14:paraId="0B91D91D">
      <w:pPr>
        <w:pStyle w:val="3"/>
        <w:rPr>
          <w:color w:val="auto"/>
          <w:highlight w:val="none"/>
          <w:lang w:val="en-US"/>
        </w:rPr>
      </w:pPr>
    </w:p>
    <w:p w14:paraId="05B35941">
      <w:pPr>
        <w:pStyle w:val="3"/>
        <w:rPr>
          <w:color w:val="auto"/>
          <w:highlight w:val="none"/>
          <w:lang w:val="en-US"/>
        </w:rPr>
      </w:pPr>
    </w:p>
    <w:p w14:paraId="3FA34692">
      <w:pPr>
        <w:pStyle w:val="3"/>
        <w:ind w:firstLine="843"/>
        <w:rPr>
          <w:color w:val="auto"/>
          <w:highlight w:val="none"/>
          <w:lang w:val="en-US"/>
        </w:rPr>
      </w:pPr>
    </w:p>
    <w:p w14:paraId="01CF40A5">
      <w:pPr>
        <w:pStyle w:val="22"/>
        <w:spacing w:line="360" w:lineRule="auto"/>
        <w:ind w:left="648"/>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响 应 文 件</w:t>
      </w:r>
    </w:p>
    <w:p w14:paraId="17151BC3">
      <w:pPr>
        <w:pStyle w:val="22"/>
        <w:spacing w:line="360" w:lineRule="auto"/>
        <w:ind w:left="648"/>
        <w:rPr>
          <w:rFonts w:ascii="宋体" w:hAnsi="宋体" w:eastAsia="宋体" w:cs="宋体"/>
          <w:color w:val="auto"/>
          <w:highlight w:val="none"/>
        </w:rPr>
      </w:pPr>
    </w:p>
    <w:p w14:paraId="24B94B48">
      <w:pPr>
        <w:pStyle w:val="22"/>
        <w:spacing w:line="360" w:lineRule="auto"/>
        <w:ind w:left="648"/>
        <w:rPr>
          <w:rFonts w:ascii="宋体" w:hAnsi="宋体" w:eastAsia="宋体" w:cs="宋体"/>
          <w:color w:val="auto"/>
          <w:highlight w:val="none"/>
        </w:rPr>
      </w:pPr>
    </w:p>
    <w:p w14:paraId="6A6BAF1A">
      <w:pPr>
        <w:pStyle w:val="22"/>
        <w:spacing w:line="360" w:lineRule="auto"/>
        <w:ind w:left="648"/>
        <w:rPr>
          <w:rFonts w:ascii="宋体" w:hAnsi="宋体" w:eastAsia="宋体" w:cs="宋体"/>
          <w:color w:val="auto"/>
          <w:highlight w:val="none"/>
        </w:rPr>
      </w:pPr>
    </w:p>
    <w:p w14:paraId="6FF47ED8">
      <w:pPr>
        <w:pStyle w:val="22"/>
        <w:spacing w:line="360" w:lineRule="auto"/>
        <w:ind w:left="648"/>
        <w:rPr>
          <w:rFonts w:ascii="宋体" w:hAnsi="宋体" w:eastAsia="宋体" w:cs="宋体"/>
          <w:color w:val="auto"/>
          <w:highlight w:val="none"/>
        </w:rPr>
      </w:pPr>
    </w:p>
    <w:p w14:paraId="3F60C1DA">
      <w:pPr>
        <w:pStyle w:val="22"/>
        <w:spacing w:line="360" w:lineRule="auto"/>
        <w:ind w:left="648"/>
        <w:rPr>
          <w:rFonts w:ascii="宋体" w:hAnsi="宋体" w:eastAsia="宋体" w:cs="宋体"/>
          <w:color w:val="auto"/>
          <w:highlight w:val="none"/>
        </w:rPr>
      </w:pPr>
    </w:p>
    <w:p w14:paraId="6601BE42">
      <w:pPr>
        <w:pStyle w:val="22"/>
        <w:spacing w:line="360" w:lineRule="auto"/>
        <w:ind w:left="648"/>
        <w:rPr>
          <w:rFonts w:ascii="宋体" w:hAnsi="宋体" w:eastAsia="宋体" w:cs="宋体"/>
          <w:color w:val="auto"/>
          <w:highlight w:val="none"/>
        </w:rPr>
      </w:pPr>
    </w:p>
    <w:p w14:paraId="08AFBC03">
      <w:pPr>
        <w:pStyle w:val="22"/>
        <w:spacing w:line="360" w:lineRule="auto"/>
        <w:ind w:left="648"/>
        <w:rPr>
          <w:rFonts w:ascii="宋体" w:hAnsi="宋体" w:eastAsia="宋体" w:cs="宋体"/>
          <w:color w:val="auto"/>
          <w:highlight w:val="none"/>
        </w:rPr>
      </w:pPr>
    </w:p>
    <w:p w14:paraId="6AB14D53">
      <w:pPr>
        <w:pStyle w:val="22"/>
        <w:spacing w:line="360" w:lineRule="auto"/>
        <w:ind w:left="648"/>
        <w:rPr>
          <w:rFonts w:ascii="宋体" w:hAnsi="宋体" w:eastAsia="宋体" w:cs="宋体"/>
          <w:color w:val="auto"/>
          <w:highlight w:val="none"/>
        </w:rPr>
      </w:pPr>
    </w:p>
    <w:p w14:paraId="227D6226">
      <w:pPr>
        <w:pStyle w:val="22"/>
        <w:spacing w:line="360" w:lineRule="auto"/>
        <w:ind w:left="648"/>
        <w:rPr>
          <w:rFonts w:ascii="宋体" w:hAnsi="宋体" w:eastAsia="宋体" w:cs="宋体"/>
          <w:color w:val="auto"/>
          <w:highlight w:val="none"/>
        </w:rPr>
      </w:pPr>
    </w:p>
    <w:p w14:paraId="76DE2E84">
      <w:pPr>
        <w:pStyle w:val="22"/>
        <w:spacing w:line="360" w:lineRule="auto"/>
        <w:ind w:left="648"/>
        <w:rPr>
          <w:rFonts w:ascii="宋体" w:hAnsi="宋体" w:eastAsia="宋体" w:cs="宋体"/>
          <w:color w:val="auto"/>
          <w:sz w:val="30"/>
          <w:highlight w:val="none"/>
        </w:rPr>
      </w:pPr>
      <w:r>
        <w:rPr>
          <w:rFonts w:hint="eastAsia" w:ascii="宋体" w:hAnsi="宋体" w:eastAsia="宋体" w:cs="宋体"/>
          <w:color w:val="auto"/>
          <w:sz w:val="30"/>
          <w:highlight w:val="none"/>
        </w:rPr>
        <w:t>采购编号：</w:t>
      </w:r>
      <w:r>
        <w:rPr>
          <w:rFonts w:hint="eastAsia" w:ascii="宋体" w:hAnsi="宋体" w:eastAsia="宋体" w:cs="宋体"/>
          <w:color w:val="auto"/>
          <w:sz w:val="30"/>
          <w:highlight w:val="none"/>
          <w:u w:val="single"/>
        </w:rPr>
        <w:t xml:space="preserve"> 0832-SFCX25DG109C </w:t>
      </w:r>
    </w:p>
    <w:p w14:paraId="7A2E89A9">
      <w:pPr>
        <w:pStyle w:val="22"/>
        <w:spacing w:line="360" w:lineRule="auto"/>
        <w:ind w:left="648"/>
        <w:rPr>
          <w:rFonts w:hint="eastAsia" w:ascii="宋体" w:hAnsi="宋体" w:eastAsia="宋体" w:cs="宋体"/>
          <w:color w:val="auto"/>
          <w:sz w:val="30"/>
          <w:highlight w:val="none"/>
          <w:u w:val="single"/>
          <w:lang w:val="en-US"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zh-CN"/>
        </w:rPr>
        <w:t>东莞市东宝路、东城东路中间绿化带苗木移栽项目</w:t>
      </w:r>
      <w:r>
        <w:rPr>
          <w:rFonts w:hint="eastAsia" w:ascii="宋体" w:hAnsi="宋体" w:eastAsia="宋体" w:cs="宋体"/>
          <w:color w:val="auto"/>
          <w:sz w:val="30"/>
          <w:highlight w:val="none"/>
          <w:u w:val="single"/>
          <w:lang w:val="en-US" w:eastAsia="zh-CN"/>
        </w:rPr>
        <w:t xml:space="preserve"> </w:t>
      </w:r>
    </w:p>
    <w:p w14:paraId="142EAC25">
      <w:pPr>
        <w:pStyle w:val="22"/>
        <w:spacing w:line="360" w:lineRule="auto"/>
        <w:ind w:left="648"/>
        <w:rPr>
          <w:rFonts w:ascii="宋体" w:hAnsi="宋体" w:eastAsia="宋体" w:cs="宋体"/>
          <w:color w:val="auto"/>
          <w:sz w:val="30"/>
          <w:highlight w:val="none"/>
        </w:rPr>
      </w:pPr>
      <w:r>
        <w:rPr>
          <w:rFonts w:hint="eastAsia" w:ascii="宋体" w:hAnsi="宋体" w:eastAsia="宋体" w:cs="宋体"/>
          <w:color w:val="auto"/>
          <w:sz w:val="30"/>
          <w:highlight w:val="none"/>
        </w:rPr>
        <w:t>采购人：</w:t>
      </w:r>
      <w:r>
        <w:rPr>
          <w:rFonts w:hint="eastAsia" w:ascii="宋体" w:hAnsi="宋体" w:eastAsia="宋体" w:cs="宋体"/>
          <w:color w:val="auto"/>
          <w:sz w:val="30"/>
          <w:highlight w:val="none"/>
          <w:u w:val="single"/>
        </w:rPr>
        <w:t xml:space="preserve"> 东莞市水务集团供水有限公司 </w:t>
      </w:r>
    </w:p>
    <w:p w14:paraId="2FE06CE6">
      <w:pPr>
        <w:pStyle w:val="22"/>
        <w:spacing w:line="360" w:lineRule="auto"/>
        <w:ind w:left="648"/>
        <w:rPr>
          <w:rFonts w:ascii="宋体" w:hAnsi="宋体" w:eastAsia="宋体" w:cs="宋体"/>
          <w:color w:val="auto"/>
          <w:sz w:val="30"/>
          <w:highlight w:val="none"/>
          <w:u w:val="single"/>
        </w:rPr>
      </w:pPr>
      <w:r>
        <w:rPr>
          <w:rFonts w:hint="eastAsia" w:ascii="宋体" w:hAnsi="宋体" w:eastAsia="宋体" w:cs="宋体"/>
          <w:color w:val="auto"/>
          <w:sz w:val="30"/>
          <w:highlight w:val="none"/>
        </w:rPr>
        <w:t>供应商：</w:t>
      </w:r>
      <w:r>
        <w:rPr>
          <w:rFonts w:hint="eastAsia" w:ascii="宋体" w:hAnsi="宋体" w:eastAsia="宋体" w:cs="宋体"/>
          <w:color w:val="auto"/>
          <w:sz w:val="30"/>
          <w:highlight w:val="none"/>
          <w:u w:val="single"/>
        </w:rPr>
        <w:t xml:space="preserve">                        </w:t>
      </w:r>
    </w:p>
    <w:p w14:paraId="1679E9E2">
      <w:pPr>
        <w:pStyle w:val="22"/>
        <w:spacing w:line="360" w:lineRule="auto"/>
        <w:ind w:left="648"/>
        <w:rPr>
          <w:rFonts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4EB1A4F3">
      <w:pPr>
        <w:rPr>
          <w:color w:val="auto"/>
          <w:highlight w:val="none"/>
        </w:rPr>
      </w:pPr>
    </w:p>
    <w:p w14:paraId="1CEC6331">
      <w:pPr>
        <w:rPr>
          <w:color w:val="auto"/>
          <w:highlight w:val="none"/>
        </w:rPr>
      </w:pPr>
    </w:p>
    <w:p w14:paraId="696C5492">
      <w:pPr>
        <w:rPr>
          <w:color w:val="auto"/>
          <w:highlight w:val="none"/>
        </w:rPr>
      </w:pPr>
    </w:p>
    <w:p w14:paraId="41EB2A6A">
      <w:pPr>
        <w:rPr>
          <w:color w:val="auto"/>
          <w:highlight w:val="none"/>
        </w:rPr>
      </w:pPr>
    </w:p>
    <w:p w14:paraId="1220AB72">
      <w:pPr>
        <w:rPr>
          <w:color w:val="auto"/>
          <w:highlight w:val="none"/>
        </w:rPr>
      </w:pPr>
    </w:p>
    <w:p w14:paraId="5F9F8127">
      <w:pPr>
        <w:rPr>
          <w:color w:val="auto"/>
          <w:highlight w:val="none"/>
        </w:rPr>
      </w:pPr>
    </w:p>
    <w:p w14:paraId="6DC574B1">
      <w:pPr>
        <w:jc w:val="both"/>
        <w:rPr>
          <w:b/>
          <w:bCs/>
          <w:color w:val="auto"/>
          <w:sz w:val="21"/>
          <w:szCs w:val="21"/>
          <w:highlight w:val="none"/>
        </w:rPr>
      </w:pPr>
    </w:p>
    <w:p w14:paraId="42DDD65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D089630">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297" w:name="_Toc14246"/>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响应</w:t>
      </w:r>
      <w:r>
        <w:rPr>
          <w:rFonts w:hint="eastAsia" w:ascii="宋体" w:hAnsi="宋体" w:eastAsia="宋体" w:cs="宋体"/>
          <w:b/>
          <w:color w:val="auto"/>
          <w:kern w:val="0"/>
          <w:sz w:val="32"/>
          <w:szCs w:val="32"/>
          <w:highlight w:val="none"/>
        </w:rPr>
        <w:t>函格式</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5981EDCE">
      <w:pPr>
        <w:autoSpaceDE w:val="0"/>
        <w:autoSpaceDN w:val="0"/>
        <w:adjustRightInd w:val="0"/>
        <w:spacing w:line="360" w:lineRule="auto"/>
        <w:jc w:val="center"/>
        <w:rPr>
          <w:rFonts w:ascii="宋体" w:hAnsi="宋体" w:eastAsia="宋体" w:cs="宋体"/>
          <w:b/>
          <w:bCs/>
          <w:color w:val="auto"/>
          <w:sz w:val="30"/>
          <w:szCs w:val="30"/>
          <w:highlight w:val="none"/>
        </w:rPr>
      </w:pPr>
      <w:bookmarkStart w:id="298" w:name="_Toc16695_WPSOffice_Level3"/>
      <w:r>
        <w:rPr>
          <w:rFonts w:hint="eastAsia" w:ascii="宋体" w:hAnsi="宋体" w:eastAsia="宋体" w:cs="宋体"/>
          <w:b/>
          <w:bCs/>
          <w:color w:val="auto"/>
          <w:sz w:val="30"/>
          <w:szCs w:val="30"/>
          <w:highlight w:val="none"/>
          <w:lang w:val="en-US" w:eastAsia="zh-CN"/>
        </w:rPr>
        <w:t>响 应</w:t>
      </w:r>
      <w:r>
        <w:rPr>
          <w:rFonts w:hint="eastAsia" w:ascii="宋体" w:hAnsi="宋体" w:eastAsia="宋体" w:cs="宋体"/>
          <w:b/>
          <w:bCs/>
          <w:color w:val="auto"/>
          <w:sz w:val="30"/>
          <w:szCs w:val="30"/>
          <w:highlight w:val="none"/>
          <w:lang w:val="zh-CN"/>
        </w:rPr>
        <w:t xml:space="preserve">  函</w:t>
      </w:r>
      <w:bookmarkEnd w:id="298"/>
    </w:p>
    <w:p w14:paraId="5D2D741A">
      <w:pPr>
        <w:autoSpaceDE w:val="0"/>
        <w:autoSpaceDN w:val="0"/>
        <w:adjustRightInd w:val="0"/>
        <w:spacing w:line="360" w:lineRule="auto"/>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致：东莞市水务集团供水有限公司</w:t>
      </w:r>
    </w:p>
    <w:p w14:paraId="4A8736C1">
      <w:pPr>
        <w:autoSpaceDE w:val="0"/>
        <w:autoSpaceDN w:val="0"/>
        <w:adjustRightInd w:val="0"/>
        <w:spacing w:line="360" w:lineRule="auto"/>
        <w:jc w:val="both"/>
        <w:rPr>
          <w:rFonts w:ascii="宋体" w:hAnsi="宋体" w:eastAsia="宋体" w:cs="宋体"/>
          <w:color w:val="auto"/>
          <w:kern w:val="2"/>
          <w:sz w:val="21"/>
          <w:szCs w:val="21"/>
          <w:highlight w:val="none"/>
        </w:rPr>
      </w:pPr>
    </w:p>
    <w:p w14:paraId="2A4563BE">
      <w:pPr>
        <w:wordWrap w:val="0"/>
        <w:autoSpaceDE w:val="0"/>
        <w:autoSpaceDN w:val="0"/>
        <w:adjustRightInd w:val="0"/>
        <w:spacing w:line="360" w:lineRule="auto"/>
        <w:ind w:firstLine="420"/>
        <w:jc w:val="left"/>
        <w:rPr>
          <w:rFonts w:ascii="宋体" w:hAnsi="宋体" w:eastAsia="宋体" w:cs="宋体"/>
          <w:color w:val="auto"/>
          <w:kern w:val="0"/>
          <w:sz w:val="21"/>
          <w:szCs w:val="21"/>
          <w:highlight w:val="none"/>
          <w:lang w:val="zh-CN"/>
        </w:rPr>
      </w:pPr>
      <w:r>
        <w:rPr>
          <w:rFonts w:hint="eastAsia" w:ascii="宋体" w:hAnsi="宋体" w:eastAsia="宋体" w:cs="宋体"/>
          <w:color w:val="auto"/>
          <w:kern w:val="2"/>
          <w:sz w:val="21"/>
          <w:szCs w:val="21"/>
          <w:highlight w:val="none"/>
          <w:lang w:val="zh-CN"/>
        </w:rPr>
        <w:t>根据贵方为</w:t>
      </w:r>
      <w:r>
        <w:rPr>
          <w:rFonts w:hint="eastAsia" w:ascii="宋体" w:hAnsi="宋体" w:eastAsia="宋体" w:cs="宋体"/>
          <w:color w:val="auto"/>
          <w:kern w:val="0"/>
          <w:sz w:val="21"/>
          <w:szCs w:val="21"/>
          <w:highlight w:val="none"/>
          <w:u w:val="single"/>
          <w:lang w:eastAsia="zh-CN"/>
        </w:rPr>
        <w:t>东莞市东宝路、东城东路中间绿化带苗木移栽项目</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采购</w:t>
      </w:r>
      <w:r>
        <w:rPr>
          <w:rFonts w:hint="eastAsia" w:ascii="宋体" w:hAnsi="宋体" w:eastAsia="宋体" w:cs="宋体"/>
          <w:color w:val="auto"/>
          <w:kern w:val="0"/>
          <w:sz w:val="21"/>
          <w:szCs w:val="21"/>
          <w:highlight w:val="none"/>
          <w:lang w:val="zh-CN"/>
        </w:rPr>
        <w:t>编号：</w:t>
      </w:r>
      <w:r>
        <w:rPr>
          <w:rFonts w:hint="eastAsia" w:ascii="宋体" w:hAnsi="宋体" w:eastAsia="宋体" w:cs="宋体"/>
          <w:color w:val="auto"/>
          <w:kern w:val="0"/>
          <w:sz w:val="21"/>
          <w:szCs w:val="21"/>
          <w:highlight w:val="none"/>
          <w:u w:val="single"/>
        </w:rPr>
        <w:t>0832-SFCX25DG109C</w:t>
      </w:r>
      <w:r>
        <w:rPr>
          <w:rFonts w:hint="eastAsia" w:ascii="宋体" w:hAnsi="宋体" w:eastAsia="宋体" w:cs="宋体"/>
          <w:color w:val="auto"/>
          <w:kern w:val="0"/>
          <w:sz w:val="21"/>
          <w:szCs w:val="21"/>
          <w:highlight w:val="none"/>
          <w:lang w:val="zh-CN"/>
        </w:rPr>
        <w:t>)的</w:t>
      </w:r>
      <w:r>
        <w:rPr>
          <w:rFonts w:hint="eastAsia" w:ascii="宋体" w:hAnsi="宋体" w:eastAsia="宋体" w:cs="宋体"/>
          <w:color w:val="auto"/>
          <w:kern w:val="0"/>
          <w:sz w:val="21"/>
          <w:szCs w:val="21"/>
          <w:highlight w:val="none"/>
        </w:rPr>
        <w:t>谈判公告</w:t>
      </w: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zh-CN"/>
        </w:rPr>
        <w:t>（</w:t>
      </w:r>
      <w:r>
        <w:rPr>
          <w:rFonts w:hint="eastAsia" w:ascii="宋体" w:hAnsi="宋体" w:eastAsia="宋体" w:cs="宋体"/>
          <w:color w:val="auto"/>
          <w:kern w:val="0"/>
          <w:sz w:val="21"/>
          <w:szCs w:val="21"/>
          <w:highlight w:val="none"/>
          <w:u w:val="single"/>
        </w:rPr>
        <w:t>供应商</w:t>
      </w:r>
      <w:r>
        <w:rPr>
          <w:rFonts w:hint="eastAsia" w:ascii="宋体" w:hAnsi="宋体" w:eastAsia="宋体" w:cs="宋体"/>
          <w:color w:val="auto"/>
          <w:kern w:val="0"/>
          <w:sz w:val="21"/>
          <w:szCs w:val="21"/>
          <w:highlight w:val="none"/>
          <w:u w:val="single"/>
          <w:lang w:val="zh-CN"/>
        </w:rPr>
        <w:t>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作为供应商正式授权</w:t>
      </w:r>
      <w:r>
        <w:rPr>
          <w:rFonts w:hint="eastAsia" w:ascii="宋体" w:hAnsi="宋体" w:eastAsia="宋体" w:cs="宋体"/>
          <w:color w:val="auto"/>
          <w:kern w:val="0"/>
          <w:sz w:val="21"/>
          <w:szCs w:val="21"/>
          <w:highlight w:val="none"/>
          <w:u w:val="single"/>
          <w:lang w:val="zh-CN"/>
        </w:rPr>
        <w:t>　 （授权代表全名，职务）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代表我方进行有关本次</w:t>
      </w:r>
      <w:r>
        <w:rPr>
          <w:rFonts w:hint="eastAsia" w:ascii="宋体" w:hAnsi="宋体" w:eastAsia="宋体" w:cs="宋体"/>
          <w:color w:val="auto"/>
          <w:kern w:val="0"/>
          <w:sz w:val="21"/>
          <w:szCs w:val="21"/>
          <w:highlight w:val="none"/>
        </w:rPr>
        <w:t>竞争性谈判</w:t>
      </w:r>
      <w:r>
        <w:rPr>
          <w:rFonts w:hint="eastAsia" w:ascii="宋体" w:hAnsi="宋体" w:eastAsia="宋体" w:cs="宋体"/>
          <w:color w:val="auto"/>
          <w:kern w:val="0"/>
          <w:sz w:val="21"/>
          <w:szCs w:val="21"/>
          <w:highlight w:val="none"/>
          <w:lang w:val="zh-CN"/>
        </w:rPr>
        <w:t>的一切事宜。</w:t>
      </w:r>
    </w:p>
    <w:p w14:paraId="1610FDC5">
      <w:pPr>
        <w:autoSpaceDE w:val="0"/>
        <w:autoSpaceDN w:val="0"/>
        <w:adjustRightInd w:val="0"/>
        <w:spacing w:line="360" w:lineRule="auto"/>
        <w:ind w:firstLine="42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在此提交的响应文件，包括如下等内容，并已单独密封封装：</w:t>
      </w:r>
    </w:p>
    <w:p w14:paraId="1845CB10">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响应文件电子文件</w:t>
      </w:r>
      <w:r>
        <w:rPr>
          <w:rFonts w:hint="eastAsia" w:ascii="宋体" w:hAnsi="宋体" w:eastAsia="宋体" w:cs="宋体"/>
          <w:color w:val="auto"/>
          <w:kern w:val="2"/>
          <w:sz w:val="21"/>
          <w:szCs w:val="21"/>
          <w:highlight w:val="none"/>
          <w:lang w:val="zh-CN"/>
        </w:rPr>
        <w:t>【        份】；</w:t>
      </w:r>
    </w:p>
    <w:p w14:paraId="725BBCDE">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（二）响应文件（正本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份，副本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w:t>
      </w:r>
    </w:p>
    <w:p w14:paraId="711AFD2A">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我方已完全明白竞争性谈判文件的所有条款要求，并重申以下几点：</w:t>
      </w:r>
    </w:p>
    <w:p w14:paraId="57300580">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（—）我方决定参加采购编号</w:t>
      </w:r>
      <w:r>
        <w:rPr>
          <w:rFonts w:hint="eastAsia" w:ascii="宋体" w:hAnsi="宋体" w:eastAsia="宋体" w:cs="宋体"/>
          <w:color w:val="auto"/>
          <w:kern w:val="0"/>
          <w:sz w:val="24"/>
          <w:szCs w:val="21"/>
          <w:highlight w:val="none"/>
          <w:lang w:val="zh-CN"/>
        </w:rPr>
        <w:t>为</w:t>
      </w:r>
      <w:r>
        <w:rPr>
          <w:rFonts w:hint="eastAsia" w:ascii="宋体" w:hAnsi="宋体" w:eastAsia="宋体" w:cs="宋体"/>
          <w:color w:val="auto"/>
          <w:kern w:val="0"/>
          <w:sz w:val="21"/>
          <w:szCs w:val="21"/>
          <w:highlight w:val="none"/>
          <w:u w:val="single"/>
          <w:lang w:eastAsia="zh-CN"/>
        </w:rPr>
        <w:t>0832-SFCX25DG109C</w:t>
      </w:r>
      <w:r>
        <w:rPr>
          <w:rFonts w:hint="eastAsia" w:ascii="宋体" w:hAnsi="宋体" w:eastAsia="宋体" w:cs="宋体"/>
          <w:color w:val="auto"/>
          <w:kern w:val="0"/>
          <w:sz w:val="21"/>
          <w:szCs w:val="21"/>
          <w:highlight w:val="none"/>
          <w:lang w:val="zh-CN"/>
        </w:rPr>
        <w:t>的</w:t>
      </w:r>
      <w:r>
        <w:rPr>
          <w:rFonts w:hint="eastAsia" w:ascii="宋体" w:hAnsi="宋体" w:eastAsia="宋体" w:cs="宋体"/>
          <w:color w:val="auto"/>
          <w:kern w:val="2"/>
          <w:sz w:val="21"/>
          <w:szCs w:val="21"/>
          <w:highlight w:val="none"/>
        </w:rPr>
        <w:t>谈判</w:t>
      </w:r>
      <w:r>
        <w:rPr>
          <w:rFonts w:hint="eastAsia" w:ascii="宋体" w:hAnsi="宋体" w:eastAsia="宋体" w:cs="宋体"/>
          <w:color w:val="auto"/>
          <w:kern w:val="2"/>
          <w:sz w:val="21"/>
          <w:szCs w:val="21"/>
          <w:highlight w:val="none"/>
          <w:lang w:val="zh-CN"/>
        </w:rPr>
        <w:t>；</w:t>
      </w:r>
    </w:p>
    <w:p w14:paraId="284BCF37">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（二）本响应文件的有效期自递交响应文件截止</w:t>
      </w:r>
      <w:r>
        <w:rPr>
          <w:rFonts w:hint="eastAsia" w:ascii="宋体" w:hAnsi="宋体" w:eastAsia="宋体" w:cs="宋体"/>
          <w:color w:val="auto"/>
          <w:kern w:val="2"/>
          <w:sz w:val="21"/>
          <w:szCs w:val="21"/>
          <w:highlight w:val="none"/>
        </w:rPr>
        <w:t>时间届满</w:t>
      </w:r>
      <w:r>
        <w:rPr>
          <w:rFonts w:hint="eastAsia" w:ascii="宋体" w:hAnsi="宋体" w:eastAsia="宋体" w:cs="宋体"/>
          <w:color w:val="auto"/>
          <w:kern w:val="2"/>
          <w:sz w:val="21"/>
          <w:szCs w:val="21"/>
          <w:highlight w:val="none"/>
          <w:lang w:val="zh-CN"/>
        </w:rPr>
        <w:t>后90日有效，如</w:t>
      </w:r>
      <w:r>
        <w:rPr>
          <w:rFonts w:hint="eastAsia" w:ascii="宋体" w:hAnsi="宋体" w:eastAsia="宋体" w:cs="宋体"/>
          <w:color w:val="auto"/>
          <w:kern w:val="2"/>
          <w:sz w:val="21"/>
          <w:szCs w:val="21"/>
          <w:highlight w:val="none"/>
        </w:rPr>
        <w:t>成交</w:t>
      </w:r>
      <w:r>
        <w:rPr>
          <w:rFonts w:hint="eastAsia" w:ascii="宋体" w:hAnsi="宋体" w:eastAsia="宋体" w:cs="宋体"/>
          <w:color w:val="auto"/>
          <w:kern w:val="2"/>
          <w:sz w:val="21"/>
          <w:szCs w:val="21"/>
          <w:highlight w:val="none"/>
          <w:lang w:val="zh-CN"/>
        </w:rPr>
        <w:t>，有效期将延至合同终止日为止；</w:t>
      </w:r>
    </w:p>
    <w:p w14:paraId="369B8113">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（三）我方已详细研究了竞争性谈判文件的所有内容包括修正文（如有）和所有已提供的参考资料以及有关附件并完全明白，我方放弃在此方面提出含糊意见或误解的一切权力；</w:t>
      </w:r>
    </w:p>
    <w:p w14:paraId="79EAFC50">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（四）我方明白并愿意在规定的递交响应文件截止时间和日期之后，</w:t>
      </w:r>
      <w:r>
        <w:rPr>
          <w:rFonts w:hint="eastAsia" w:ascii="宋体" w:hAnsi="宋体" w:eastAsia="宋体" w:cs="宋体"/>
          <w:color w:val="auto"/>
          <w:kern w:val="2"/>
          <w:sz w:val="21"/>
          <w:szCs w:val="21"/>
          <w:highlight w:val="none"/>
        </w:rPr>
        <w:t>响应文件</w:t>
      </w:r>
      <w:r>
        <w:rPr>
          <w:rFonts w:hint="eastAsia" w:ascii="宋体" w:hAnsi="宋体" w:eastAsia="宋体" w:cs="宋体"/>
          <w:color w:val="auto"/>
          <w:kern w:val="2"/>
          <w:sz w:val="21"/>
          <w:szCs w:val="21"/>
          <w:highlight w:val="none"/>
          <w:lang w:val="zh-CN"/>
        </w:rPr>
        <w:t>有效期之内撤回</w:t>
      </w:r>
      <w:r>
        <w:rPr>
          <w:rFonts w:hint="eastAsia" w:ascii="宋体" w:hAnsi="宋体" w:eastAsia="宋体" w:cs="宋体"/>
          <w:color w:val="auto"/>
          <w:kern w:val="2"/>
          <w:sz w:val="21"/>
          <w:szCs w:val="21"/>
          <w:highlight w:val="none"/>
        </w:rPr>
        <w:t>响应</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则按无效响应处理或取消成交资格</w:t>
      </w:r>
      <w:r>
        <w:rPr>
          <w:rFonts w:hint="eastAsia" w:ascii="宋体" w:hAnsi="宋体" w:eastAsia="宋体" w:cs="宋体"/>
          <w:color w:val="auto"/>
          <w:kern w:val="2"/>
          <w:sz w:val="21"/>
          <w:szCs w:val="21"/>
          <w:highlight w:val="none"/>
          <w:lang w:val="zh-CN"/>
        </w:rPr>
        <w:t>；</w:t>
      </w:r>
    </w:p>
    <w:p w14:paraId="1D9F7F55">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（五）我方同意按照贵方可能提出的要求而提供与</w:t>
      </w:r>
      <w:r>
        <w:rPr>
          <w:rFonts w:hint="eastAsia" w:ascii="宋体" w:hAnsi="宋体" w:eastAsia="宋体" w:cs="宋体"/>
          <w:color w:val="auto"/>
          <w:kern w:val="2"/>
          <w:sz w:val="21"/>
          <w:szCs w:val="21"/>
          <w:highlight w:val="none"/>
        </w:rPr>
        <w:t>响应文件</w:t>
      </w:r>
      <w:r>
        <w:rPr>
          <w:rFonts w:hint="eastAsia" w:ascii="宋体" w:hAnsi="宋体" w:eastAsia="宋体" w:cs="宋体"/>
          <w:color w:val="auto"/>
          <w:kern w:val="2"/>
          <w:sz w:val="21"/>
          <w:szCs w:val="21"/>
          <w:highlight w:val="none"/>
          <w:lang w:val="zh-CN"/>
        </w:rPr>
        <w:t>有关的任何其它数据或信息；</w:t>
      </w:r>
    </w:p>
    <w:p w14:paraId="0803A2F1">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（六）我方理解贵方不一定接受最低报价或任何贵方可能收到的报价；</w:t>
      </w:r>
    </w:p>
    <w:p w14:paraId="486B6379">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（七）我方如果成交，将保证履行竞争性谈判文件以及竞争性谈判文件修改书（如有）中的全部责任和义务，按质、按量、按期完成《合同书》中的全部任务；</w:t>
      </w:r>
    </w:p>
    <w:p w14:paraId="0CD4AD78">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（八）保证响应文件中所有资料均真实有效，否则按无效</w:t>
      </w:r>
      <w:r>
        <w:rPr>
          <w:rFonts w:hint="eastAsia" w:ascii="宋体" w:hAnsi="宋体" w:eastAsia="宋体" w:cs="宋体"/>
          <w:color w:val="auto"/>
          <w:kern w:val="2"/>
          <w:sz w:val="21"/>
          <w:szCs w:val="21"/>
          <w:highlight w:val="none"/>
        </w:rPr>
        <w:t>响应</w:t>
      </w:r>
      <w:r>
        <w:rPr>
          <w:rFonts w:hint="eastAsia" w:ascii="宋体" w:hAnsi="宋体" w:eastAsia="宋体" w:cs="宋体"/>
          <w:color w:val="auto"/>
          <w:kern w:val="2"/>
          <w:sz w:val="21"/>
          <w:szCs w:val="21"/>
          <w:highlight w:val="none"/>
          <w:lang w:val="zh-CN"/>
        </w:rPr>
        <w:t>处理或可取消成交资格，并愿意接受按弄虚作假骗取成交的有关规定进行处理，</w:t>
      </w:r>
      <w:r>
        <w:rPr>
          <w:rFonts w:hint="eastAsia" w:ascii="宋体" w:hAnsi="宋体" w:eastAsia="宋体" w:cs="宋体"/>
          <w:color w:val="auto"/>
          <w:kern w:val="2"/>
          <w:sz w:val="21"/>
          <w:szCs w:val="21"/>
          <w:highlight w:val="none"/>
        </w:rPr>
        <w:t>并不予退还我方响应保证金</w:t>
      </w:r>
      <w:r>
        <w:rPr>
          <w:rFonts w:hint="eastAsia" w:ascii="宋体" w:hAnsi="宋体" w:eastAsia="宋体" w:cs="宋体"/>
          <w:color w:val="auto"/>
          <w:kern w:val="2"/>
          <w:sz w:val="21"/>
          <w:szCs w:val="21"/>
          <w:highlight w:val="none"/>
          <w:lang w:val="zh-CN"/>
        </w:rPr>
        <w:t>；</w:t>
      </w:r>
    </w:p>
    <w:p w14:paraId="02BFD8BA">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（九）若我方</w:t>
      </w:r>
      <w:r>
        <w:rPr>
          <w:rFonts w:hint="eastAsia" w:ascii="宋体" w:hAnsi="宋体" w:eastAsia="宋体" w:cs="宋体"/>
          <w:color w:val="auto"/>
          <w:kern w:val="2"/>
          <w:sz w:val="21"/>
          <w:szCs w:val="21"/>
          <w:highlight w:val="none"/>
        </w:rPr>
        <w:t>成交</w:t>
      </w:r>
      <w:r>
        <w:rPr>
          <w:rFonts w:hint="eastAsia" w:ascii="宋体" w:hAnsi="宋体" w:eastAsia="宋体" w:cs="宋体"/>
          <w:color w:val="auto"/>
          <w:kern w:val="2"/>
          <w:sz w:val="21"/>
          <w:szCs w:val="21"/>
          <w:highlight w:val="none"/>
          <w:lang w:val="zh-CN"/>
        </w:rPr>
        <w:t>后，我方一定按照竞争性谈判文件的要求和响应文件的承诺签订和履行合同，否则贵方可取消我方</w:t>
      </w:r>
      <w:r>
        <w:rPr>
          <w:rFonts w:hint="eastAsia" w:ascii="宋体" w:hAnsi="宋体" w:eastAsia="宋体" w:cs="宋体"/>
          <w:color w:val="auto"/>
          <w:kern w:val="2"/>
          <w:sz w:val="21"/>
          <w:szCs w:val="21"/>
          <w:highlight w:val="none"/>
        </w:rPr>
        <w:t>成交</w:t>
      </w:r>
      <w:r>
        <w:rPr>
          <w:rFonts w:hint="eastAsia" w:ascii="宋体" w:hAnsi="宋体" w:eastAsia="宋体" w:cs="宋体"/>
          <w:color w:val="auto"/>
          <w:kern w:val="2"/>
          <w:sz w:val="21"/>
          <w:szCs w:val="21"/>
          <w:highlight w:val="none"/>
          <w:lang w:val="zh-CN"/>
        </w:rPr>
        <w:t>资格，</w:t>
      </w:r>
      <w:r>
        <w:rPr>
          <w:rFonts w:hint="eastAsia" w:ascii="宋体" w:hAnsi="宋体" w:eastAsia="宋体" w:cs="宋体"/>
          <w:color w:val="auto"/>
          <w:kern w:val="2"/>
          <w:sz w:val="21"/>
          <w:szCs w:val="21"/>
          <w:highlight w:val="none"/>
        </w:rPr>
        <w:t>并依法不予退还我方响应保证金或履约担保，</w:t>
      </w:r>
      <w:r>
        <w:rPr>
          <w:rFonts w:hint="eastAsia" w:ascii="宋体" w:hAnsi="宋体" w:eastAsia="宋体" w:cs="宋体"/>
          <w:color w:val="auto"/>
          <w:kern w:val="2"/>
          <w:sz w:val="21"/>
          <w:szCs w:val="21"/>
          <w:highlight w:val="none"/>
          <w:lang w:val="zh-CN"/>
        </w:rPr>
        <w:t>我方愿意接受违约</w:t>
      </w:r>
      <w:r>
        <w:rPr>
          <w:rFonts w:hint="eastAsia" w:ascii="宋体" w:hAnsi="宋体" w:eastAsia="宋体" w:cs="宋体"/>
          <w:color w:val="auto"/>
          <w:kern w:val="2"/>
          <w:sz w:val="21"/>
          <w:szCs w:val="21"/>
          <w:highlight w:val="none"/>
        </w:rPr>
        <w:t>处罚</w:t>
      </w:r>
      <w:r>
        <w:rPr>
          <w:rFonts w:hint="eastAsia" w:ascii="宋体" w:hAnsi="宋体" w:eastAsia="宋体" w:cs="宋体"/>
          <w:color w:val="auto"/>
          <w:kern w:val="2"/>
          <w:sz w:val="21"/>
          <w:szCs w:val="21"/>
          <w:highlight w:val="none"/>
          <w:lang w:val="zh-CN"/>
        </w:rPr>
        <w:t>；</w:t>
      </w:r>
    </w:p>
    <w:p w14:paraId="0EBA5EA2">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（十）若我方获得成交后，核查出响应文件内容前后不一致，我方愿按最高标准的承诺履约义务；</w:t>
      </w:r>
    </w:p>
    <w:p w14:paraId="7EFD3D84">
      <w:pPr>
        <w:autoSpaceDE w:val="0"/>
        <w:autoSpaceDN w:val="0"/>
        <w:adjustRightInd w:val="0"/>
        <w:spacing w:line="360" w:lineRule="auto"/>
        <w:ind w:firstLine="420" w:firstLineChars="2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（十一）所有与本</w:t>
      </w:r>
      <w:r>
        <w:rPr>
          <w:rFonts w:hint="eastAsia" w:ascii="宋体" w:hAnsi="宋体" w:eastAsia="宋体" w:cs="宋体"/>
          <w:color w:val="auto"/>
          <w:kern w:val="2"/>
          <w:sz w:val="21"/>
          <w:szCs w:val="21"/>
          <w:highlight w:val="none"/>
        </w:rPr>
        <w:t>次竞争性谈判</w:t>
      </w:r>
      <w:r>
        <w:rPr>
          <w:rFonts w:hint="eastAsia" w:ascii="宋体" w:hAnsi="宋体" w:eastAsia="宋体" w:cs="宋体"/>
          <w:color w:val="auto"/>
          <w:kern w:val="2"/>
          <w:sz w:val="21"/>
          <w:szCs w:val="21"/>
          <w:highlight w:val="none"/>
          <w:lang w:val="zh-CN"/>
        </w:rPr>
        <w:t>有关的函件请发往下列地址：</w:t>
      </w:r>
    </w:p>
    <w:p w14:paraId="09FFC054">
      <w:pPr>
        <w:autoSpaceDE w:val="0"/>
        <w:autoSpaceDN w:val="0"/>
        <w:adjustRightInd w:val="0"/>
        <w:spacing w:line="360" w:lineRule="auto"/>
        <w:ind w:firstLine="840" w:firstLineChars="400"/>
        <w:jc w:val="both"/>
        <w:rPr>
          <w:rFonts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地  　址：　　　　　　　　　　　邮政编码：</w:t>
      </w:r>
      <w:r>
        <w:rPr>
          <w:rFonts w:hint="eastAsia" w:ascii="宋体" w:hAnsi="宋体" w:eastAsia="宋体" w:cs="宋体"/>
          <w:color w:val="auto"/>
          <w:kern w:val="2"/>
          <w:sz w:val="21"/>
          <w:szCs w:val="21"/>
          <w:highlight w:val="none"/>
          <w:u w:val="single"/>
          <w:lang w:val="zh-CN"/>
        </w:rPr>
        <w:t xml:space="preserve">　　　　　　　　　 　 </w:t>
      </w:r>
    </w:p>
    <w:p w14:paraId="79476AA4">
      <w:pPr>
        <w:autoSpaceDE w:val="0"/>
        <w:autoSpaceDN w:val="0"/>
        <w:adjustRightInd w:val="0"/>
        <w:spacing w:line="360" w:lineRule="auto"/>
        <w:ind w:firstLine="840" w:firstLineChars="400"/>
        <w:jc w:val="both"/>
        <w:rPr>
          <w:rFonts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电　　话：　　　　　　　　　　　传　　真：</w:t>
      </w:r>
      <w:r>
        <w:rPr>
          <w:rFonts w:hint="eastAsia" w:ascii="宋体" w:hAnsi="宋体" w:eastAsia="宋体" w:cs="宋体"/>
          <w:color w:val="auto"/>
          <w:kern w:val="2"/>
          <w:sz w:val="21"/>
          <w:szCs w:val="21"/>
          <w:highlight w:val="none"/>
          <w:u w:val="single"/>
          <w:lang w:val="zh-CN"/>
        </w:rPr>
        <w:t>　　　　　　　　　　　</w:t>
      </w:r>
    </w:p>
    <w:p w14:paraId="123AF753">
      <w:pPr>
        <w:autoSpaceDE w:val="0"/>
        <w:autoSpaceDN w:val="0"/>
        <w:adjustRightInd w:val="0"/>
        <w:spacing w:line="360" w:lineRule="auto"/>
        <w:ind w:firstLine="840" w:firstLineChars="40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网    站：                      电子邮箱：</w:t>
      </w:r>
      <w:r>
        <w:rPr>
          <w:rFonts w:hint="eastAsia" w:ascii="宋体" w:hAnsi="宋体" w:eastAsia="宋体" w:cs="宋体"/>
          <w:color w:val="auto"/>
          <w:kern w:val="2"/>
          <w:sz w:val="21"/>
          <w:szCs w:val="21"/>
          <w:highlight w:val="none"/>
          <w:u w:val="single"/>
          <w:lang w:val="zh-CN"/>
        </w:rPr>
        <w:t xml:space="preserve">                      </w:t>
      </w:r>
    </w:p>
    <w:p w14:paraId="7DB7E8CD">
      <w:pPr>
        <w:autoSpaceDE w:val="0"/>
        <w:autoSpaceDN w:val="0"/>
        <w:adjustRightInd w:val="0"/>
        <w:spacing w:line="360" w:lineRule="auto"/>
        <w:ind w:firstLine="840" w:firstLineChars="400"/>
        <w:jc w:val="both"/>
        <w:rPr>
          <w:rFonts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代表姓名：　　　　　　　　　　　职　　务：</w:t>
      </w:r>
      <w:r>
        <w:rPr>
          <w:rFonts w:hint="eastAsia" w:ascii="宋体" w:hAnsi="宋体" w:eastAsia="宋体" w:cs="宋体"/>
          <w:color w:val="auto"/>
          <w:kern w:val="2"/>
          <w:sz w:val="21"/>
          <w:szCs w:val="21"/>
          <w:highlight w:val="none"/>
          <w:u w:val="single"/>
          <w:lang w:val="zh-CN"/>
        </w:rPr>
        <w:t xml:space="preserve">　　　　　　　　　　 </w:t>
      </w:r>
    </w:p>
    <w:p w14:paraId="6F734D73">
      <w:pPr>
        <w:autoSpaceDE w:val="0"/>
        <w:autoSpaceDN w:val="0"/>
        <w:adjustRightInd w:val="0"/>
        <w:spacing w:line="360" w:lineRule="auto"/>
        <w:ind w:left="605" w:leftChars="88" w:hanging="420" w:hangingChars="200"/>
        <w:jc w:val="both"/>
        <w:rPr>
          <w:rFonts w:ascii="宋体" w:hAnsi="宋体" w:eastAsia="宋体" w:cs="宋体"/>
          <w:color w:val="auto"/>
          <w:kern w:val="2"/>
          <w:sz w:val="21"/>
          <w:szCs w:val="21"/>
          <w:highlight w:val="none"/>
          <w:u w:val="single"/>
          <w:lang w:val="zh-CN"/>
        </w:rPr>
      </w:pPr>
    </w:p>
    <w:p w14:paraId="55605E41">
      <w:pPr>
        <w:autoSpaceDE w:val="0"/>
        <w:autoSpaceDN w:val="0"/>
        <w:adjustRightInd w:val="0"/>
        <w:spacing w:line="360" w:lineRule="auto"/>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 xml:space="preserve">                       </w:t>
      </w:r>
    </w:p>
    <w:p w14:paraId="5ADDB5BF">
      <w:pPr>
        <w:autoSpaceDE w:val="0"/>
        <w:autoSpaceDN w:val="0"/>
        <w:adjustRightInd w:val="0"/>
        <w:spacing w:line="360" w:lineRule="auto"/>
        <w:ind w:right="17" w:firstLine="4935" w:firstLineChars="2350"/>
        <w:jc w:val="both"/>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p>
    <w:p w14:paraId="676679B6">
      <w:pPr>
        <w:autoSpaceDE w:val="0"/>
        <w:autoSpaceDN w:val="0"/>
        <w:adjustRightInd w:val="0"/>
        <w:spacing w:line="360" w:lineRule="auto"/>
        <w:ind w:firstLine="5040" w:firstLineChars="2400"/>
        <w:jc w:val="both"/>
        <w:rPr>
          <w:rFonts w:ascii="宋体" w:hAnsi="宋体" w:eastAsia="宋体" w:cs="宋体"/>
          <w:color w:val="auto"/>
          <w:kern w:val="2"/>
          <w:sz w:val="21"/>
          <w:szCs w:val="24"/>
          <w:highlight w:val="none"/>
          <w:u w:val="single"/>
        </w:rPr>
      </w:pPr>
      <w:r>
        <w:rPr>
          <w:rFonts w:hint="eastAsia" w:ascii="宋体" w:hAnsi="宋体" w:eastAsia="宋体" w:cs="宋体"/>
          <w:color w:val="auto"/>
          <w:kern w:val="2"/>
          <w:sz w:val="21"/>
          <w:szCs w:val="24"/>
          <w:highlight w:val="none"/>
          <w:lang w:val="zh-CN"/>
        </w:rPr>
        <w:t>供应商：（加盖供应商法人公章）</w:t>
      </w:r>
    </w:p>
    <w:p w14:paraId="2C1488CC">
      <w:pPr>
        <w:autoSpaceDE w:val="0"/>
        <w:autoSpaceDN w:val="0"/>
        <w:adjustRightInd w:val="0"/>
        <w:spacing w:line="360" w:lineRule="auto"/>
        <w:ind w:firstLine="5040" w:firstLineChars="2400"/>
        <w:jc w:val="both"/>
        <w:rPr>
          <w:rFonts w:ascii="宋体" w:hAnsi="宋体" w:eastAsia="宋体" w:cs="宋体"/>
          <w:color w:val="auto"/>
          <w:kern w:val="2"/>
          <w:sz w:val="21"/>
          <w:szCs w:val="24"/>
          <w:highlight w:val="none"/>
          <w:lang w:val="zh-CN"/>
        </w:rPr>
      </w:pPr>
      <w:r>
        <w:rPr>
          <w:rFonts w:hint="eastAsia" w:ascii="宋体" w:hAnsi="宋体" w:eastAsia="宋体" w:cs="宋体"/>
          <w:color w:val="auto"/>
          <w:kern w:val="2"/>
          <w:sz w:val="21"/>
          <w:szCs w:val="24"/>
          <w:highlight w:val="none"/>
          <w:lang w:val="zh-CN"/>
        </w:rPr>
        <w:t xml:space="preserve">法定代表人或其授权代表签名（或盖私章）：    </w:t>
      </w:r>
    </w:p>
    <w:p w14:paraId="42994E4E">
      <w:pPr>
        <w:autoSpaceDE w:val="0"/>
        <w:autoSpaceDN w:val="0"/>
        <w:adjustRightInd w:val="0"/>
        <w:spacing w:line="360" w:lineRule="auto"/>
        <w:ind w:firstLine="5040" w:firstLineChars="2400"/>
        <w:jc w:val="both"/>
        <w:rPr>
          <w:rFonts w:ascii="宋体" w:hAnsi="宋体" w:eastAsia="宋体" w:cs="宋体"/>
          <w:color w:val="auto"/>
          <w:kern w:val="2"/>
          <w:sz w:val="24"/>
          <w:szCs w:val="24"/>
          <w:highlight w:val="none"/>
          <w:lang w:val="zh-CN"/>
        </w:rPr>
      </w:pPr>
      <w:r>
        <w:rPr>
          <w:rFonts w:hint="eastAsia" w:ascii="宋体" w:hAnsi="宋体" w:eastAsia="宋体" w:cs="宋体"/>
          <w:color w:val="auto"/>
          <w:kern w:val="2"/>
          <w:sz w:val="21"/>
          <w:szCs w:val="24"/>
          <w:highlight w:val="none"/>
          <w:lang w:val="zh-CN"/>
        </w:rPr>
        <w:t>日</w:t>
      </w:r>
      <w:r>
        <w:rPr>
          <w:rFonts w:hint="eastAsia" w:ascii="宋体" w:hAnsi="宋体" w:eastAsia="宋体" w:cs="宋体"/>
          <w:color w:val="auto"/>
          <w:kern w:val="2"/>
          <w:sz w:val="21"/>
          <w:szCs w:val="24"/>
          <w:highlight w:val="none"/>
        </w:rPr>
        <w:t xml:space="preserve">  </w:t>
      </w:r>
      <w:r>
        <w:rPr>
          <w:rFonts w:hint="eastAsia" w:ascii="宋体" w:hAnsi="宋体" w:eastAsia="宋体" w:cs="宋体"/>
          <w:color w:val="auto"/>
          <w:kern w:val="2"/>
          <w:sz w:val="21"/>
          <w:szCs w:val="24"/>
          <w:highlight w:val="none"/>
          <w:lang w:val="zh-CN"/>
        </w:rPr>
        <w:t>期：</w:t>
      </w:r>
      <w:r>
        <w:rPr>
          <w:rFonts w:hint="eastAsia" w:ascii="宋体" w:hAnsi="宋体" w:eastAsia="宋体" w:cs="宋体"/>
          <w:color w:val="auto"/>
          <w:kern w:val="2"/>
          <w:sz w:val="21"/>
          <w:szCs w:val="24"/>
          <w:highlight w:val="none"/>
          <w:u w:val="single"/>
          <w:lang w:val="zh-CN"/>
        </w:rPr>
        <w:t xml:space="preserve">   </w:t>
      </w:r>
      <w:r>
        <w:rPr>
          <w:rFonts w:hint="eastAsia" w:ascii="宋体" w:hAnsi="宋体" w:eastAsia="宋体" w:cs="宋体"/>
          <w:color w:val="auto"/>
          <w:kern w:val="2"/>
          <w:sz w:val="21"/>
          <w:szCs w:val="24"/>
          <w:highlight w:val="none"/>
          <w:lang w:val="zh-CN"/>
        </w:rPr>
        <w:t>年</w:t>
      </w:r>
      <w:r>
        <w:rPr>
          <w:rFonts w:hint="eastAsia" w:ascii="宋体" w:hAnsi="宋体" w:eastAsia="宋体" w:cs="宋体"/>
          <w:color w:val="auto"/>
          <w:kern w:val="2"/>
          <w:sz w:val="21"/>
          <w:szCs w:val="24"/>
          <w:highlight w:val="none"/>
          <w:u w:val="single"/>
          <w:lang w:val="zh-CN"/>
        </w:rPr>
        <w:t xml:space="preserve">    </w:t>
      </w:r>
      <w:r>
        <w:rPr>
          <w:rFonts w:hint="eastAsia" w:ascii="宋体" w:hAnsi="宋体" w:eastAsia="宋体" w:cs="宋体"/>
          <w:color w:val="auto"/>
          <w:kern w:val="2"/>
          <w:sz w:val="21"/>
          <w:szCs w:val="24"/>
          <w:highlight w:val="none"/>
          <w:lang w:val="zh-CN"/>
        </w:rPr>
        <w:t>月</w:t>
      </w:r>
      <w:r>
        <w:rPr>
          <w:rFonts w:hint="eastAsia" w:ascii="宋体" w:hAnsi="宋体" w:eastAsia="宋体" w:cs="宋体"/>
          <w:color w:val="auto"/>
          <w:kern w:val="2"/>
          <w:sz w:val="21"/>
          <w:szCs w:val="24"/>
          <w:highlight w:val="none"/>
          <w:u w:val="single"/>
          <w:lang w:val="zh-CN"/>
        </w:rPr>
        <w:t xml:space="preserve">   </w:t>
      </w:r>
      <w:r>
        <w:rPr>
          <w:rFonts w:hint="eastAsia" w:ascii="宋体" w:hAnsi="宋体" w:eastAsia="宋体" w:cs="宋体"/>
          <w:color w:val="auto"/>
          <w:kern w:val="2"/>
          <w:sz w:val="21"/>
          <w:szCs w:val="24"/>
          <w:highlight w:val="none"/>
          <w:lang w:val="zh-CN"/>
        </w:rPr>
        <w:t xml:space="preserve">日 </w:t>
      </w:r>
    </w:p>
    <w:p w14:paraId="1809107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299" w:name="_Toc14946"/>
      <w:bookmarkStart w:id="300" w:name="_Toc102860068"/>
      <w:bookmarkStart w:id="301" w:name="_Toc486167710"/>
      <w:bookmarkStart w:id="302" w:name="_Toc533708122"/>
      <w:bookmarkStart w:id="303" w:name="_Toc1977722"/>
      <w:bookmarkStart w:id="304" w:name="_Toc102860412"/>
      <w:bookmarkStart w:id="305" w:name="_Toc28613_WPSOffice_Level2"/>
      <w:bookmarkStart w:id="306" w:name="_Toc29210"/>
      <w:bookmarkStart w:id="307" w:name="_Toc24789"/>
      <w:bookmarkStart w:id="308" w:name="_Toc160099507"/>
      <w:bookmarkStart w:id="309" w:name="_Toc104991869"/>
      <w:bookmarkStart w:id="310" w:name="_Toc94107203"/>
      <w:bookmarkStart w:id="311" w:name="_Toc140596922"/>
      <w:r>
        <w:rPr>
          <w:rFonts w:hint="eastAsia" w:ascii="宋体" w:hAnsi="宋体" w:eastAsia="宋体" w:cs="宋体"/>
          <w:b/>
          <w:color w:val="auto"/>
          <w:kern w:val="0"/>
          <w:sz w:val="32"/>
          <w:szCs w:val="32"/>
          <w:highlight w:val="none"/>
        </w:rPr>
        <w:t>二、</w:t>
      </w:r>
      <w:r>
        <w:rPr>
          <w:rFonts w:hint="eastAsia" w:ascii="宋体" w:hAnsi="宋体" w:eastAsia="宋体" w:cs="宋体"/>
          <w:b/>
          <w:color w:val="auto"/>
          <w:kern w:val="0"/>
          <w:sz w:val="32"/>
          <w:szCs w:val="32"/>
          <w:highlight w:val="none"/>
          <w:lang w:eastAsia="zh-CN"/>
        </w:rPr>
        <w:t>响应</w:t>
      </w:r>
      <w:r>
        <w:rPr>
          <w:rFonts w:hint="eastAsia" w:ascii="宋体" w:hAnsi="宋体" w:eastAsia="宋体" w:cs="宋体"/>
          <w:b/>
          <w:color w:val="auto"/>
          <w:kern w:val="0"/>
          <w:sz w:val="32"/>
          <w:szCs w:val="32"/>
          <w:highlight w:val="none"/>
        </w:rPr>
        <w:t>承诺书格式</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18C905D0">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响应承诺书</w:t>
      </w:r>
    </w:p>
    <w:p w14:paraId="5B336645">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1A57954">
      <w:pPr>
        <w:widowControl/>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（响应供应商名称）已完整阅读了</w:t>
      </w:r>
      <w:r>
        <w:rPr>
          <w:rFonts w:hint="eastAsia" w:ascii="宋体" w:hAnsi="宋体" w:eastAsia="宋体" w:cs="Times New Roman"/>
          <w:color w:val="auto"/>
          <w:kern w:val="0"/>
          <w:szCs w:val="21"/>
          <w:highlight w:val="none"/>
          <w:u w:val="single"/>
          <w:lang w:eastAsia="zh-CN"/>
        </w:rPr>
        <w:t>东莞市东宝路、东城东路中间绿化带苗木移栽项目</w:t>
      </w:r>
      <w:r>
        <w:rPr>
          <w:rFonts w:hint="eastAsia" w:ascii="宋体" w:hAnsi="宋体" w:eastAsia="宋体" w:cs="Times New Roman"/>
          <w:color w:val="auto"/>
          <w:kern w:val="0"/>
          <w:szCs w:val="21"/>
          <w:highlight w:val="none"/>
        </w:rPr>
        <w:t>（采购编号：</w:t>
      </w:r>
      <w:r>
        <w:rPr>
          <w:rFonts w:hint="eastAsia" w:ascii="宋体" w:hAnsi="宋体" w:eastAsia="宋体" w:cs="Times New Roman"/>
          <w:color w:val="auto"/>
          <w:kern w:val="0"/>
          <w:szCs w:val="21"/>
          <w:highlight w:val="none"/>
          <w:lang w:eastAsia="zh-CN"/>
        </w:rPr>
        <w:t>0832-SFCX25DG109C</w:t>
      </w:r>
      <w:r>
        <w:rPr>
          <w:rFonts w:hint="eastAsia" w:ascii="宋体" w:hAnsi="宋体" w:eastAsia="宋体" w:cs="Times New Roman"/>
          <w:color w:val="auto"/>
          <w:kern w:val="0"/>
          <w:szCs w:val="21"/>
          <w:highlight w:val="none"/>
        </w:rPr>
        <w:t>）谈判文件的所有内容（包括澄清，以及所有已提供的参考资料和有关附件），并完全理解上述文件所表达的意思，该项目递交响应文件时间截止后，我方承诺不再对上述文件内容进行询问或质疑。</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承诺，若我方存在通过弄虚作假、虚假响应竞争性谈判文件要求等手段骗取成交的，采购人有权或协助主管部门认定我方严重失信的不良行为，纳入相关企业信用“黑名单”，限制我方参与依法必须招标项目的投标，并向行政主管部门报送结果。同时，采购人有权根据《关于对环境保护领域失信生产经营单位及其有关人员开展联合惩戒的合作备忘录》等规定，通过“信用中国”网站向社会公示我方的失信行为，实现“一处失信、处处受限”。</w:t>
      </w:r>
    </w:p>
    <w:p w14:paraId="620FBDE5">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若我方在谈判或履行本合同过程中存在提供虚假材料、虚假响应竞争性谈判文件要求等弄虚作假行为，或未能根据竞争性谈判文件谈判须知第29.2款约定按时提供原件核查的，因此导致我方无法参与</w:t>
      </w:r>
      <w:r>
        <w:rPr>
          <w:rFonts w:hint="eastAsia" w:ascii="宋体" w:hAnsi="宋体" w:eastAsia="宋体" w:cs="Times New Roman"/>
          <w:color w:val="auto"/>
          <w:kern w:val="0"/>
          <w:szCs w:val="21"/>
          <w:highlight w:val="none"/>
          <w:lang w:eastAsia="zh-CN"/>
        </w:rPr>
        <w:t>东莞市水务环境投资控股集团有限公司</w:t>
      </w:r>
      <w:r>
        <w:rPr>
          <w:rFonts w:hint="eastAsia" w:ascii="宋体" w:hAnsi="宋体" w:eastAsia="宋体" w:cs="Times New Roman"/>
          <w:color w:val="auto"/>
          <w:kern w:val="0"/>
          <w:szCs w:val="21"/>
          <w:highlight w:val="none"/>
        </w:rPr>
        <w:t>相关采购活动的，由我方自行承担全部后果</w:t>
      </w:r>
      <w:r>
        <w:rPr>
          <w:rFonts w:hint="eastAsia" w:ascii="宋体" w:hAnsi="宋体" w:eastAsia="宋体" w:cs="宋体"/>
          <w:color w:val="auto"/>
          <w:kern w:val="0"/>
          <w:szCs w:val="21"/>
          <w:highlight w:val="none"/>
        </w:rPr>
        <w:t>。</w:t>
      </w:r>
    </w:p>
    <w:p w14:paraId="40CFEC3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3F218A64">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0593C59">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353C75A8">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响应供应商：（加盖响应供应商法人公章）</w:t>
      </w:r>
    </w:p>
    <w:p w14:paraId="25B8B4D0">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6D8D4F8A">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37BD53A4">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1D8BD26A">
      <w:pPr>
        <w:autoSpaceDE w:val="0"/>
        <w:autoSpaceDN w:val="0"/>
        <w:adjustRightInd w:val="0"/>
        <w:spacing w:line="360" w:lineRule="auto"/>
        <w:jc w:val="left"/>
        <w:rPr>
          <w:rFonts w:ascii="宋体" w:hAnsi="宋体" w:eastAsia="宋体" w:cs="宋体"/>
          <w:color w:val="auto"/>
          <w:kern w:val="0"/>
          <w:sz w:val="24"/>
          <w:szCs w:val="24"/>
          <w:highlight w:val="none"/>
        </w:rPr>
      </w:pPr>
    </w:p>
    <w:p w14:paraId="47E33799">
      <w:pPr>
        <w:autoSpaceDE w:val="0"/>
        <w:autoSpaceDN w:val="0"/>
        <w:adjustRightInd w:val="0"/>
        <w:spacing w:line="360" w:lineRule="auto"/>
        <w:jc w:val="left"/>
        <w:rPr>
          <w:rFonts w:ascii="宋体" w:hAnsi="宋体" w:eastAsia="宋体" w:cs="宋体"/>
          <w:color w:val="auto"/>
          <w:kern w:val="0"/>
          <w:sz w:val="24"/>
          <w:szCs w:val="24"/>
          <w:highlight w:val="none"/>
        </w:rPr>
      </w:pPr>
      <w:bookmarkStart w:id="312" w:name="_Toc311032584"/>
      <w:bookmarkStart w:id="313" w:name="_Toc326768876"/>
      <w:bookmarkStart w:id="314" w:name="_Toc316896755"/>
    </w:p>
    <w:p w14:paraId="34BEDEE5">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315" w:name="_Toc1977723"/>
      <w:bookmarkStart w:id="316" w:name="_Toc486167711"/>
      <w:bookmarkStart w:id="317" w:name="_Toc30281"/>
      <w:bookmarkStart w:id="318" w:name="_Toc104991872"/>
      <w:bookmarkStart w:id="319" w:name="_Toc94107206"/>
      <w:bookmarkStart w:id="320" w:name="_Toc7024_WPSOffice_Level2"/>
      <w:bookmarkStart w:id="321" w:name="_Toc102860071"/>
      <w:bookmarkStart w:id="322" w:name="_Toc22534"/>
      <w:bookmarkStart w:id="323" w:name="_Toc102860415"/>
      <w:bookmarkStart w:id="324" w:name="_Toc31118"/>
      <w:bookmarkStart w:id="325" w:name="_Toc533708123"/>
      <w:bookmarkStart w:id="326" w:name="_Toc140596925"/>
      <w:bookmarkStart w:id="327" w:name="_Toc160099509"/>
      <w:r>
        <w:rPr>
          <w:rFonts w:hint="eastAsia" w:ascii="宋体" w:hAnsi="宋体" w:eastAsia="宋体" w:cs="宋体"/>
          <w:b/>
          <w:color w:val="auto"/>
          <w:kern w:val="44"/>
          <w:sz w:val="32"/>
          <w:szCs w:val="32"/>
          <w:highlight w:val="none"/>
          <w:lang w:eastAsia="zh-CN"/>
        </w:rPr>
        <w:t>三</w:t>
      </w:r>
      <w:r>
        <w:rPr>
          <w:rFonts w:hint="eastAsia" w:ascii="宋体" w:hAnsi="宋体" w:eastAsia="宋体" w:cs="宋体"/>
          <w:b/>
          <w:color w:val="auto"/>
          <w:kern w:val="0"/>
          <w:sz w:val="32"/>
          <w:szCs w:val="32"/>
          <w:highlight w:val="none"/>
        </w:rPr>
        <w:t>、首轮报价表格式</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79404924">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328" w:name="_Toc2395_WPSOffice_Level3"/>
      <w:bookmarkStart w:id="329" w:name="_Toc28725"/>
      <w:bookmarkStart w:id="330" w:name="_Toc102860416"/>
      <w:bookmarkStart w:id="331" w:name="_Toc9473"/>
      <w:bookmarkStart w:id="332" w:name="_Toc140596926"/>
      <w:bookmarkStart w:id="333" w:name="_Toc104991873"/>
      <w:bookmarkStart w:id="334" w:name="_Toc102860072"/>
      <w:bookmarkStart w:id="335" w:name="_Toc5769"/>
      <w:bookmarkStart w:id="336" w:name="_Toc94107207"/>
      <w:bookmarkStart w:id="337" w:name="_Toc160099510"/>
      <w:r>
        <w:rPr>
          <w:rFonts w:hint="eastAsia" w:ascii="宋体" w:hAnsi="宋体" w:eastAsia="宋体" w:cs="宋体"/>
          <w:b/>
          <w:color w:val="auto"/>
          <w:kern w:val="0"/>
          <w:sz w:val="30"/>
          <w:szCs w:val="30"/>
          <w:highlight w:val="none"/>
          <w:lang w:val="en-US" w:eastAsia="zh-CN"/>
        </w:rPr>
        <w:t>3</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首轮</w:t>
      </w:r>
      <w:r>
        <w:rPr>
          <w:rFonts w:hint="eastAsia" w:ascii="宋体" w:hAnsi="宋体" w:eastAsia="宋体" w:cs="宋体"/>
          <w:b/>
          <w:color w:val="auto"/>
          <w:kern w:val="0"/>
          <w:sz w:val="30"/>
          <w:szCs w:val="30"/>
          <w:highlight w:val="none"/>
          <w:lang w:val="en-US" w:eastAsia="zh-CN"/>
        </w:rPr>
        <w:t>响应</w:t>
      </w:r>
      <w:r>
        <w:rPr>
          <w:rFonts w:hint="eastAsia" w:ascii="宋体" w:hAnsi="宋体" w:eastAsia="宋体" w:cs="宋体"/>
          <w:b/>
          <w:color w:val="auto"/>
          <w:kern w:val="0"/>
          <w:sz w:val="30"/>
          <w:szCs w:val="30"/>
          <w:highlight w:val="none"/>
        </w:rPr>
        <w:t>报价表</w:t>
      </w:r>
      <w:bookmarkEnd w:id="328"/>
      <w:bookmarkEnd w:id="329"/>
      <w:bookmarkEnd w:id="330"/>
      <w:bookmarkEnd w:id="331"/>
      <w:bookmarkEnd w:id="332"/>
      <w:bookmarkEnd w:id="333"/>
      <w:bookmarkEnd w:id="334"/>
      <w:bookmarkEnd w:id="335"/>
      <w:bookmarkEnd w:id="336"/>
      <w:bookmarkEnd w:id="337"/>
    </w:p>
    <w:p w14:paraId="21186497">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首轮</w:t>
      </w:r>
      <w:r>
        <w:rPr>
          <w:rFonts w:hint="eastAsia" w:ascii="宋体" w:hAnsi="宋体" w:eastAsia="宋体" w:cs="宋体"/>
          <w:b/>
          <w:bCs/>
          <w:color w:val="auto"/>
          <w:sz w:val="30"/>
          <w:szCs w:val="30"/>
          <w:highlight w:val="none"/>
          <w:lang w:val="en-US" w:eastAsia="zh-CN"/>
        </w:rPr>
        <w:t>响应</w:t>
      </w:r>
      <w:r>
        <w:rPr>
          <w:rFonts w:hint="eastAsia" w:ascii="宋体" w:hAnsi="宋体" w:eastAsia="宋体" w:cs="宋体"/>
          <w:b/>
          <w:bCs/>
          <w:color w:val="auto"/>
          <w:sz w:val="30"/>
          <w:szCs w:val="30"/>
          <w:highlight w:val="none"/>
          <w:lang w:val="zh-CN"/>
        </w:rPr>
        <w:t>报价表</w:t>
      </w:r>
    </w:p>
    <w:p w14:paraId="30C032F7">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东莞市东宝路、东城东路中间绿化带苗木移栽项目</w:t>
      </w:r>
    </w:p>
    <w:p w14:paraId="09728A2C">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采购编号：</w:t>
      </w:r>
      <w:r>
        <w:rPr>
          <w:rFonts w:hint="eastAsia" w:ascii="宋体" w:hAnsi="宋体" w:eastAsia="宋体" w:cs="宋体"/>
          <w:color w:val="auto"/>
          <w:kern w:val="0"/>
          <w:szCs w:val="21"/>
          <w:highlight w:val="none"/>
          <w:u w:val="single"/>
          <w:lang w:eastAsia="zh-CN"/>
        </w:rPr>
        <w:t>0832-SFCX25DG109C</w:t>
      </w:r>
    </w:p>
    <w:tbl>
      <w:tblPr>
        <w:tblStyle w:val="45"/>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12"/>
        <w:gridCol w:w="3248"/>
        <w:gridCol w:w="4403"/>
        <w:gridCol w:w="1271"/>
      </w:tblGrid>
      <w:tr w14:paraId="01DE1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54" w:type="pct"/>
            <w:tcBorders>
              <w:top w:val="single" w:color="auto" w:sz="4" w:space="0"/>
              <w:left w:val="single" w:color="auto" w:sz="4" w:space="0"/>
              <w:bottom w:val="single" w:color="auto" w:sz="4" w:space="0"/>
              <w:right w:val="single" w:color="auto" w:sz="4" w:space="0"/>
            </w:tcBorders>
            <w:vAlign w:val="center"/>
          </w:tcPr>
          <w:p w14:paraId="2D72FAB8">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618" w:type="pct"/>
            <w:tcBorders>
              <w:top w:val="single" w:color="auto" w:sz="4" w:space="0"/>
              <w:left w:val="single" w:color="auto" w:sz="4" w:space="0"/>
              <w:bottom w:val="single" w:color="auto" w:sz="4" w:space="0"/>
              <w:right w:val="single" w:color="auto" w:sz="4" w:space="0"/>
            </w:tcBorders>
            <w:vAlign w:val="center"/>
          </w:tcPr>
          <w:p w14:paraId="4AD0734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2193" w:type="pct"/>
            <w:tcBorders>
              <w:top w:val="single" w:color="auto" w:sz="4" w:space="0"/>
              <w:left w:val="single" w:color="auto" w:sz="4" w:space="0"/>
              <w:bottom w:val="single" w:color="auto" w:sz="4" w:space="0"/>
              <w:right w:val="single" w:color="auto" w:sz="4" w:space="0"/>
            </w:tcBorders>
            <w:vAlign w:val="center"/>
          </w:tcPr>
          <w:p w14:paraId="3D8D34F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lang w:val="en-US" w:eastAsia="zh-CN"/>
              </w:rPr>
              <w:t>响应</w:t>
            </w:r>
            <w:r>
              <w:rPr>
                <w:rFonts w:hint="eastAsia" w:ascii="宋体" w:hAnsi="宋体" w:eastAsia="宋体" w:cs="Times New Roman"/>
                <w:b/>
                <w:color w:val="auto"/>
                <w:kern w:val="0"/>
                <w:szCs w:val="21"/>
                <w:highlight w:val="none"/>
              </w:rPr>
              <w:t>报价（</w:t>
            </w:r>
            <w:r>
              <w:rPr>
                <w:rFonts w:hint="eastAsia" w:ascii="宋体" w:hAnsi="宋体" w:eastAsia="宋体" w:cs="Times New Roman"/>
                <w:b/>
                <w:color w:val="auto"/>
                <w:kern w:val="0"/>
                <w:szCs w:val="21"/>
                <w:highlight w:val="none"/>
                <w:lang w:eastAsia="zh-CN"/>
              </w:rPr>
              <w:t>不</w:t>
            </w:r>
            <w:r>
              <w:rPr>
                <w:rFonts w:hint="eastAsia" w:ascii="宋体" w:hAnsi="宋体" w:eastAsia="宋体" w:cs="Times New Roman"/>
                <w:b/>
                <w:color w:val="auto"/>
                <w:kern w:val="0"/>
                <w:szCs w:val="21"/>
                <w:highlight w:val="none"/>
              </w:rPr>
              <w:t>含销项税，元）</w:t>
            </w:r>
          </w:p>
        </w:tc>
        <w:tc>
          <w:tcPr>
            <w:tcW w:w="633" w:type="pct"/>
            <w:tcBorders>
              <w:top w:val="single" w:color="auto" w:sz="4" w:space="0"/>
              <w:left w:val="single" w:color="auto" w:sz="4" w:space="0"/>
              <w:bottom w:val="single" w:color="auto" w:sz="4" w:space="0"/>
              <w:right w:val="single" w:color="auto" w:sz="4" w:space="0"/>
            </w:tcBorders>
            <w:vAlign w:val="center"/>
          </w:tcPr>
          <w:p w14:paraId="172D87F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093FB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54" w:type="pct"/>
            <w:tcBorders>
              <w:top w:val="single" w:color="auto" w:sz="4" w:space="0"/>
              <w:left w:val="single" w:color="auto" w:sz="4" w:space="0"/>
              <w:right w:val="single" w:color="auto" w:sz="4" w:space="0"/>
            </w:tcBorders>
            <w:vAlign w:val="center"/>
          </w:tcPr>
          <w:p w14:paraId="5820787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1618" w:type="pct"/>
            <w:tcBorders>
              <w:top w:val="single" w:color="auto" w:sz="4" w:space="0"/>
              <w:left w:val="single" w:color="auto" w:sz="4" w:space="0"/>
              <w:right w:val="single" w:color="auto" w:sz="4" w:space="0"/>
            </w:tcBorders>
            <w:vAlign w:val="center"/>
          </w:tcPr>
          <w:p w14:paraId="295521DB">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东莞市东宝路、东城东路中间绿化带苗木移栽项目</w:t>
            </w:r>
          </w:p>
        </w:tc>
        <w:tc>
          <w:tcPr>
            <w:tcW w:w="2193" w:type="pct"/>
            <w:tcBorders>
              <w:top w:val="single" w:color="auto" w:sz="4" w:space="0"/>
              <w:left w:val="single" w:color="auto" w:sz="4" w:space="0"/>
              <w:right w:val="single" w:color="auto" w:sz="4" w:space="0"/>
            </w:tcBorders>
            <w:vAlign w:val="center"/>
          </w:tcPr>
          <w:p w14:paraId="30761CBE">
            <w:pPr>
              <w:keepNext w:val="0"/>
              <w:keepLines w:val="0"/>
              <w:suppressLineNumbers w:val="0"/>
              <w:tabs>
                <w:tab w:val="left" w:pos="8610"/>
              </w:tabs>
              <w:spacing w:before="0" w:beforeAutospacing="0" w:after="0" w:afterAutospacing="0" w:line="360" w:lineRule="auto"/>
              <w:ind w:left="0" w:right="0"/>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小写（人民币）：</w:t>
            </w:r>
          </w:p>
        </w:tc>
        <w:tc>
          <w:tcPr>
            <w:tcW w:w="633" w:type="pct"/>
            <w:tcBorders>
              <w:top w:val="single" w:color="auto" w:sz="4" w:space="0"/>
              <w:left w:val="single" w:color="auto" w:sz="4" w:space="0"/>
              <w:right w:val="single" w:color="auto" w:sz="4" w:space="0"/>
            </w:tcBorders>
            <w:vAlign w:val="center"/>
          </w:tcPr>
          <w:p w14:paraId="40F742DC">
            <w:pPr>
              <w:keepNext w:val="0"/>
              <w:keepLines w:val="0"/>
              <w:suppressLineNumbers w:val="0"/>
              <w:tabs>
                <w:tab w:val="left" w:pos="8610"/>
              </w:tabs>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3C051AA1">
      <w:pPr>
        <w:rPr>
          <w:rFonts w:ascii="宋体" w:hAnsi="宋体" w:eastAsia="宋体" w:cs="宋体"/>
          <w:color w:val="auto"/>
          <w:kern w:val="0"/>
          <w:sz w:val="20"/>
          <w:szCs w:val="21"/>
          <w:highlight w:val="none"/>
        </w:rPr>
      </w:pPr>
    </w:p>
    <w:p w14:paraId="4A090F29">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24F528F">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w:t>
      </w:r>
      <w:r>
        <w:rPr>
          <w:rFonts w:hint="eastAsia" w:ascii="宋体" w:hAnsi="宋体" w:eastAsia="宋体" w:cs="Times New Roman"/>
          <w:b/>
          <w:color w:val="auto"/>
          <w:kern w:val="0"/>
          <w:szCs w:val="21"/>
          <w:highlight w:val="none"/>
          <w:u w:val="single"/>
          <w:lang w:eastAsia="zh-CN"/>
        </w:rPr>
        <w:t>响应</w:t>
      </w:r>
      <w:r>
        <w:rPr>
          <w:rFonts w:hint="eastAsia" w:ascii="宋体" w:hAnsi="宋体" w:eastAsia="宋体" w:cs="Times New Roman"/>
          <w:b/>
          <w:color w:val="auto"/>
          <w:kern w:val="0"/>
          <w:szCs w:val="21"/>
          <w:highlight w:val="none"/>
          <w:u w:val="single"/>
        </w:rPr>
        <w:t>报价为</w:t>
      </w:r>
      <w:r>
        <w:rPr>
          <w:rFonts w:hint="eastAsia" w:ascii="宋体" w:hAnsi="宋体" w:eastAsia="宋体" w:cs="Times New Roman"/>
          <w:b/>
          <w:color w:val="auto"/>
          <w:kern w:val="0"/>
          <w:szCs w:val="21"/>
          <w:highlight w:val="none"/>
          <w:u w:val="single"/>
          <w:lang w:eastAsia="zh-CN"/>
        </w:rPr>
        <w:t>不</w:t>
      </w:r>
      <w:r>
        <w:rPr>
          <w:rFonts w:hint="eastAsia" w:ascii="宋体" w:hAnsi="宋体" w:eastAsia="宋体" w:cs="Times New Roman"/>
          <w:b/>
          <w:color w:val="auto"/>
          <w:kern w:val="0"/>
          <w:szCs w:val="21"/>
          <w:highlight w:val="none"/>
          <w:u w:val="single"/>
        </w:rPr>
        <w:t>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。本谈判文件所称的</w:t>
      </w:r>
      <w:r>
        <w:rPr>
          <w:rFonts w:hint="eastAsia" w:ascii="宋体" w:hAnsi="宋体" w:eastAsia="宋体" w:cs="Times New Roman"/>
          <w:color w:val="auto"/>
          <w:szCs w:val="21"/>
          <w:highlight w:val="none"/>
          <w:lang w:val="zh-CN"/>
        </w:rPr>
        <w:t>不含税价和不含税合同价是指不含本采购项目供应商的销项税额</w:t>
      </w:r>
      <w:r>
        <w:rPr>
          <w:rFonts w:hint="eastAsia" w:ascii="宋体" w:hAnsi="宋体" w:eastAsia="宋体" w:cs="Times New Roman"/>
          <w:color w:val="auto"/>
          <w:kern w:val="0"/>
          <w:szCs w:val="21"/>
          <w:highlight w:val="none"/>
        </w:rPr>
        <w:t>，包含了响应供应商完成合同义务（含响应供应商代缴代扣、分包及委外服务、施工、采购货物等所产生的价税）的其他全部费用。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本采购项目的销项税额由采购人承担，不计入响应报价。</w:t>
      </w:r>
    </w:p>
    <w:p w14:paraId="5F922D4D">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）响应供应商的响应报价高于响应最高限价的，该响应供应商的响应文件将被视为无效响应</w:t>
      </w:r>
      <w:r>
        <w:rPr>
          <w:rFonts w:hint="eastAsia" w:ascii="宋体" w:hAnsi="宋体" w:eastAsia="宋体" w:cs="Times New Roman"/>
          <w:b/>
          <w:bCs/>
          <w:color w:val="auto"/>
          <w:kern w:val="0"/>
          <w:szCs w:val="21"/>
          <w:highlight w:val="none"/>
          <w:lang w:val="en-US" w:eastAsia="zh-CN"/>
        </w:rPr>
        <w:t>文件</w:t>
      </w:r>
      <w:r>
        <w:rPr>
          <w:rFonts w:hint="eastAsia" w:ascii="宋体" w:hAnsi="宋体" w:eastAsia="宋体" w:cs="Times New Roman"/>
          <w:b/>
          <w:bCs/>
          <w:color w:val="auto"/>
          <w:kern w:val="0"/>
          <w:szCs w:val="21"/>
          <w:highlight w:val="none"/>
        </w:rPr>
        <w:t>。</w:t>
      </w:r>
    </w:p>
    <w:p w14:paraId="13C5AF0D">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）首轮</w:t>
      </w:r>
      <w:r>
        <w:rPr>
          <w:rFonts w:hint="eastAsia" w:ascii="宋体" w:hAnsi="宋体" w:eastAsia="宋体" w:cs="Times New Roman"/>
          <w:color w:val="auto"/>
          <w:kern w:val="0"/>
          <w:szCs w:val="21"/>
          <w:highlight w:val="none"/>
          <w:lang w:val="en-US" w:eastAsia="zh-CN"/>
        </w:rPr>
        <w:t>响应</w:t>
      </w:r>
      <w:r>
        <w:rPr>
          <w:rFonts w:hint="eastAsia" w:ascii="宋体" w:hAnsi="宋体" w:eastAsia="宋体" w:cs="Times New Roman"/>
          <w:color w:val="auto"/>
          <w:kern w:val="0"/>
          <w:szCs w:val="21"/>
          <w:highlight w:val="none"/>
        </w:rPr>
        <w:t>报价表报价与分项报价明细表报价不一致的，以本首轮</w:t>
      </w:r>
      <w:r>
        <w:rPr>
          <w:rFonts w:hint="eastAsia" w:ascii="宋体" w:hAnsi="宋体" w:eastAsia="宋体" w:cs="Times New Roman"/>
          <w:color w:val="auto"/>
          <w:kern w:val="0"/>
          <w:szCs w:val="21"/>
          <w:highlight w:val="none"/>
          <w:lang w:val="en-US" w:eastAsia="zh-CN"/>
        </w:rPr>
        <w:t>响应</w:t>
      </w:r>
      <w:r>
        <w:rPr>
          <w:rFonts w:hint="eastAsia" w:ascii="宋体" w:hAnsi="宋体" w:eastAsia="宋体" w:cs="Times New Roman"/>
          <w:color w:val="auto"/>
          <w:kern w:val="0"/>
          <w:szCs w:val="21"/>
          <w:highlight w:val="none"/>
        </w:rPr>
        <w:t>报价表为准。对不同文字文本</w:t>
      </w:r>
      <w:r>
        <w:rPr>
          <w:rFonts w:hint="eastAsia" w:ascii="宋体" w:hAnsi="宋体" w:eastAsia="宋体" w:cs="Times New Roman"/>
          <w:color w:val="auto"/>
          <w:kern w:val="0"/>
          <w:szCs w:val="21"/>
          <w:highlight w:val="none"/>
          <w:lang w:val="en-US" w:eastAsia="zh-CN"/>
        </w:rPr>
        <w:t>谈判</w:t>
      </w:r>
      <w:r>
        <w:rPr>
          <w:rFonts w:hint="eastAsia" w:ascii="宋体" w:hAnsi="宋体" w:eastAsia="宋体" w:cs="Times New Roman"/>
          <w:color w:val="auto"/>
          <w:kern w:val="0"/>
          <w:szCs w:val="21"/>
          <w:highlight w:val="none"/>
        </w:rPr>
        <w:t>文件的解释发生异议的，以中文文本为准。</w:t>
      </w:r>
    </w:p>
    <w:p w14:paraId="0772DF93">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本表一式二份，一份随唱标信封一起提交，一份编入响应文件</w:t>
      </w:r>
      <w:r>
        <w:rPr>
          <w:rFonts w:hint="eastAsia" w:ascii="宋体" w:hAnsi="宋体" w:eastAsia="宋体" w:cs="Times New Roman"/>
          <w:b/>
          <w:bCs/>
          <w:color w:val="auto"/>
          <w:kern w:val="0"/>
          <w:szCs w:val="21"/>
          <w:highlight w:val="none"/>
          <w:lang w:val="zh-CN"/>
        </w:rPr>
        <w:t>。</w:t>
      </w:r>
    </w:p>
    <w:p w14:paraId="44FD89E4">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）报价保留小数点后两位。</w:t>
      </w:r>
    </w:p>
    <w:p w14:paraId="3DE1ADC6">
      <w:pPr>
        <w:autoSpaceDE w:val="0"/>
        <w:autoSpaceDN w:val="0"/>
        <w:adjustRightInd w:val="0"/>
        <w:spacing w:line="360" w:lineRule="auto"/>
        <w:ind w:firstLine="4960" w:firstLineChars="2362"/>
        <w:rPr>
          <w:rFonts w:ascii="宋体" w:hAnsi="宋体" w:eastAsia="宋体" w:cs="宋体"/>
          <w:color w:val="auto"/>
          <w:szCs w:val="21"/>
          <w:highlight w:val="none"/>
          <w:lang w:val="zh-CN"/>
        </w:rPr>
      </w:pPr>
    </w:p>
    <w:p w14:paraId="330C3F44">
      <w:pPr>
        <w:autoSpaceDE w:val="0"/>
        <w:autoSpaceDN w:val="0"/>
        <w:adjustRightInd w:val="0"/>
        <w:spacing w:line="360" w:lineRule="auto"/>
        <w:ind w:firstLine="4960" w:firstLineChars="2362"/>
        <w:rPr>
          <w:rFonts w:ascii="宋体" w:hAnsi="宋体" w:eastAsia="宋体" w:cs="宋体"/>
          <w:color w:val="auto"/>
          <w:szCs w:val="21"/>
          <w:highlight w:val="none"/>
          <w:lang w:val="zh-CN"/>
        </w:rPr>
      </w:pPr>
    </w:p>
    <w:p w14:paraId="7F494156">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响应供应商：（</w:t>
      </w:r>
      <w:r>
        <w:rPr>
          <w:rFonts w:hint="eastAsia" w:ascii="宋体" w:hAnsi="宋体" w:eastAsia="宋体" w:cs="宋体"/>
          <w:color w:val="auto"/>
          <w:szCs w:val="24"/>
          <w:highlight w:val="none"/>
          <w:lang w:val="zh-CN"/>
        </w:rPr>
        <w:t>加盖响应供应商法人公章</w:t>
      </w:r>
      <w:r>
        <w:rPr>
          <w:rFonts w:hint="eastAsia" w:ascii="宋体" w:hAnsi="宋体" w:eastAsia="宋体" w:cs="宋体"/>
          <w:color w:val="auto"/>
          <w:szCs w:val="21"/>
          <w:highlight w:val="none"/>
          <w:lang w:val="zh-CN"/>
        </w:rPr>
        <w:t>）</w:t>
      </w:r>
    </w:p>
    <w:p w14:paraId="54DE932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1A767E86">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C7DEACD">
      <w:pPr>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br w:type="page"/>
      </w:r>
    </w:p>
    <w:p w14:paraId="143ADB92">
      <w:pPr>
        <w:tabs>
          <w:tab w:val="left" w:pos="567"/>
        </w:tabs>
        <w:autoSpaceDE w:val="0"/>
        <w:autoSpaceDN w:val="0"/>
        <w:adjustRightInd w:val="0"/>
        <w:spacing w:line="360" w:lineRule="auto"/>
        <w:ind w:left="496" w:hanging="711" w:hangingChars="236"/>
        <w:jc w:val="left"/>
        <w:outlineLvl w:val="2"/>
        <w:rPr>
          <w:rFonts w:ascii="宋体" w:hAnsi="宋体" w:eastAsia="宋体" w:cs="宋体"/>
          <w:b/>
          <w:color w:val="auto"/>
          <w:sz w:val="30"/>
          <w:szCs w:val="30"/>
          <w:highlight w:val="none"/>
          <w:lang w:val="zh-CN"/>
        </w:rPr>
      </w:pPr>
      <w:bookmarkStart w:id="338" w:name="_Toc94107208"/>
      <w:bookmarkStart w:id="339" w:name="_Toc102860073"/>
      <w:bookmarkStart w:id="340" w:name="_Toc30859"/>
      <w:bookmarkStart w:id="341" w:name="_Toc104991874"/>
      <w:bookmarkStart w:id="342" w:name="_Toc102860417"/>
      <w:bookmarkStart w:id="343" w:name="_Toc142508368"/>
      <w:bookmarkStart w:id="344" w:name="_Toc26849"/>
      <w:bookmarkStart w:id="345" w:name="_Toc4071"/>
      <w:bookmarkStart w:id="346" w:name="_Toc140596927"/>
      <w:bookmarkStart w:id="347" w:name="_Toc27734"/>
      <w:bookmarkStart w:id="348" w:name="_Toc6414"/>
      <w:r>
        <w:rPr>
          <w:rFonts w:hint="eastAsia" w:ascii="宋体" w:hAnsi="宋体" w:eastAsia="宋体" w:cs="宋体"/>
          <w:b/>
          <w:color w:val="auto"/>
          <w:kern w:val="0"/>
          <w:sz w:val="30"/>
          <w:szCs w:val="30"/>
          <w:highlight w:val="none"/>
          <w:lang w:val="en-US" w:eastAsia="zh-CN"/>
        </w:rPr>
        <w:t>3</w:t>
      </w:r>
      <w:r>
        <w:rPr>
          <w:rFonts w:ascii="宋体" w:hAnsi="宋体" w:eastAsia="宋体" w:cs="宋体"/>
          <w:b/>
          <w:color w:val="auto"/>
          <w:kern w:val="0"/>
          <w:sz w:val="30"/>
          <w:szCs w:val="30"/>
          <w:highlight w:val="none"/>
        </w:rPr>
        <w:t xml:space="preserve">.2 </w:t>
      </w:r>
      <w:r>
        <w:rPr>
          <w:rFonts w:hint="eastAsia" w:ascii="宋体" w:hAnsi="宋体" w:eastAsia="宋体" w:cs="宋体"/>
          <w:b/>
          <w:color w:val="auto"/>
          <w:kern w:val="0"/>
          <w:sz w:val="30"/>
          <w:szCs w:val="30"/>
          <w:highlight w:val="none"/>
        </w:rPr>
        <w:t>分项</w:t>
      </w:r>
      <w:r>
        <w:rPr>
          <w:rFonts w:ascii="宋体" w:hAnsi="宋体" w:eastAsia="宋体" w:cs="宋体"/>
          <w:b/>
          <w:color w:val="auto"/>
          <w:kern w:val="0"/>
          <w:sz w:val="30"/>
          <w:szCs w:val="30"/>
          <w:highlight w:val="none"/>
        </w:rPr>
        <w:t>报价表</w:t>
      </w:r>
      <w:bookmarkEnd w:id="338"/>
      <w:bookmarkEnd w:id="339"/>
      <w:bookmarkEnd w:id="340"/>
      <w:bookmarkEnd w:id="341"/>
      <w:bookmarkEnd w:id="342"/>
      <w:bookmarkEnd w:id="343"/>
      <w:bookmarkEnd w:id="344"/>
      <w:bookmarkEnd w:id="345"/>
      <w:bookmarkEnd w:id="346"/>
      <w:bookmarkEnd w:id="347"/>
      <w:bookmarkEnd w:id="348"/>
    </w:p>
    <w:p w14:paraId="24A1B62B">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报价表</w:t>
      </w:r>
    </w:p>
    <w:p w14:paraId="4721474B">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东莞市东宝路、东城东路中间绿化带苗木移栽项目</w:t>
      </w:r>
    </w:p>
    <w:p w14:paraId="3D5468B4">
      <w:pPr>
        <w:spacing w:line="360" w:lineRule="auto"/>
        <w:rPr>
          <w:rFonts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采购编号：</w:t>
      </w:r>
      <w:r>
        <w:rPr>
          <w:rFonts w:hint="eastAsia" w:ascii="宋体" w:hAnsi="宋体" w:eastAsia="宋体" w:cs="宋体"/>
          <w:color w:val="auto"/>
          <w:kern w:val="0"/>
          <w:szCs w:val="21"/>
          <w:highlight w:val="none"/>
          <w:u w:val="single"/>
          <w:lang w:eastAsia="zh-CN"/>
        </w:rPr>
        <w:t>0832-SFCX25DG109C</w:t>
      </w:r>
    </w:p>
    <w:tbl>
      <w:tblPr>
        <w:tblStyle w:val="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578"/>
        <w:gridCol w:w="2316"/>
        <w:gridCol w:w="1693"/>
        <w:gridCol w:w="1661"/>
        <w:gridCol w:w="904"/>
        <w:gridCol w:w="1292"/>
        <w:gridCol w:w="856"/>
      </w:tblGrid>
      <w:tr w14:paraId="4877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A9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60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w:t>
            </w:r>
            <w:r>
              <w:rPr>
                <w:rStyle w:val="120"/>
                <w:rFonts w:hint="eastAsia" w:ascii="宋体" w:hAnsi="宋体" w:eastAsia="宋体" w:cs="宋体"/>
                <w:b/>
                <w:bCs/>
                <w:color w:val="auto"/>
                <w:sz w:val="21"/>
                <w:szCs w:val="21"/>
                <w:highlight w:val="none"/>
                <w:lang w:val="en-US" w:eastAsia="zh-CN" w:bidi="ar"/>
              </w:rPr>
              <w:t xml:space="preserve">          </w:t>
            </w:r>
            <w:r>
              <w:rPr>
                <w:rStyle w:val="122"/>
                <w:rFonts w:hint="eastAsia" w:ascii="宋体" w:hAnsi="宋体" w:eastAsia="宋体" w:cs="宋体"/>
                <w:b/>
                <w:bCs/>
                <w:color w:val="auto"/>
                <w:sz w:val="21"/>
                <w:szCs w:val="21"/>
                <w:highlight w:val="none"/>
                <w:lang w:val="en-US" w:eastAsia="zh-CN" w:bidi="ar"/>
              </w:rPr>
              <w:t>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2C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胸径/冠径*高度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F0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27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移栽数量</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7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不含税全费用综合单价（元）</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9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不含税合价（元）</w:t>
            </w:r>
          </w:p>
        </w:tc>
      </w:tr>
      <w:tr w14:paraId="13E8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F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F7FD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树木品种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69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山茶花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FA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150*120CM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07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FF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B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1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34D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246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FC0D8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7A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海桐球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48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150*120CM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3F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C1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F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A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3B8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9E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87F98B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32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非洲茉莉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41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150*120CM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F1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62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8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C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204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EB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F8707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5A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黄花风铃木（黄钟木）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32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8E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6A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0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6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9748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61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40AF5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236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96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AA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9D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4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A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4A7C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92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9D872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B7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露兜树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B1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FC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5D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B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C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A96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35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9A6CE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EEF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AF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BA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3B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1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3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0AF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49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F3B4D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2E6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05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63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D8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9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D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247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9C4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8E8499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4BA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A0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1B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FA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A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4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193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14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19BF1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5C4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82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51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60CM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CA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83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9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4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7D5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D69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355D1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880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B8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52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29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6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4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EA9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B1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974BA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7A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木棉树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2D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69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F8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8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B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088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9B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5A818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3C7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E0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51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60CM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15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79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9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3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916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FB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B40FA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D44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E8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61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70CM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13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55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A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4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94A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DF6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619BB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87B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DC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71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80CM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B5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3C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C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B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2977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3B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5BFB1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F22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07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81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90CM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D3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10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5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4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550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E98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903B42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9E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鸡蛋花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50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E6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24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1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1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303B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EB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FAA5E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B9D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48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20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5A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0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3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109B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C3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7F888F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8F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非洲火焰树（瓶干树）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EE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F3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0B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5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1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50F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03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C2A98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114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E2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7B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8A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F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7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583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C65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13934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83D6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ED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81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BA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B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5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BC9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6A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FB529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8F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伞型小叶榕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4A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F4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7B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F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C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B72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82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7DBF2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EF0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06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59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CA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3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A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419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8A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5738F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5BF5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B6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A4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40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4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C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8DDC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543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0A8D5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BA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宫粉紫荆</w:t>
            </w:r>
          </w:p>
          <w:p w14:paraId="289A7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（羊蹄甲）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07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D4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FA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F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9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CD03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2D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BC6D4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CFD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47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05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74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9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2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C53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C7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C257C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F2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铁冬青</w:t>
            </w:r>
          </w:p>
          <w:p w14:paraId="600D5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（高山榕）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38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31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C0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F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6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209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88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F2EB0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49A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03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B8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A2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D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B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B67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4AD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34C3B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0C85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C8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FA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FC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E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B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F1E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6B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0D188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84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红花风铃木（重阳木）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46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15</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83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B0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C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A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688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D9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821F4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D312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82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21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02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53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9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3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7C4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FA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3B3D1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455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24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22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1B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7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8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DB5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95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BA404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82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52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0D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03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9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C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1F9B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58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1DB0B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CA7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20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C2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85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E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2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956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64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4053B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7FD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7E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51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60CM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6C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9B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D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5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5BD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EA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F9612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3D6D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67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61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70CM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79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43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A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9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F6E2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BB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75FFD9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6FF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22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81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90CM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15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DD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B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C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D5C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CE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79C2B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3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CF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36</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7F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A8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8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1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A87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8D3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631D1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46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14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41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99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65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A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E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640A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78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FF835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30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BA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Style w:val="219"/>
                <w:rFonts w:hint="eastAsia" w:ascii="宋体" w:hAnsi="宋体" w:eastAsia="宋体" w:cs="宋体"/>
                <w:color w:val="auto"/>
                <w:sz w:val="21"/>
                <w:szCs w:val="21"/>
                <w:highlight w:val="none"/>
                <w:lang w:val="en-US" w:eastAsia="zh-CN" w:bidi="ar"/>
              </w:rPr>
              <w:t>51</w:t>
            </w:r>
            <w:r>
              <w:rPr>
                <w:rStyle w:val="220"/>
                <w:rFonts w:hint="eastAsia" w:ascii="宋体" w:hAnsi="宋体" w:eastAsia="宋体" w:cs="宋体"/>
                <w:color w:val="auto"/>
                <w:sz w:val="21"/>
                <w:szCs w:val="21"/>
                <w:highlight w:val="none"/>
                <w:lang w:val="en-US" w:eastAsia="zh-CN" w:bidi="ar"/>
              </w:rPr>
              <w:t>～</w:t>
            </w:r>
            <w:r>
              <w:rPr>
                <w:rStyle w:val="219"/>
                <w:rFonts w:hint="eastAsia" w:ascii="宋体" w:hAnsi="宋体" w:eastAsia="宋体" w:cs="宋体"/>
                <w:color w:val="auto"/>
                <w:sz w:val="21"/>
                <w:szCs w:val="21"/>
                <w:highlight w:val="none"/>
                <w:lang w:val="en-US" w:eastAsia="zh-CN" w:bidi="ar"/>
              </w:rPr>
              <w:t>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2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1A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0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6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3B5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2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2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一个月养护费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716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3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2"/>
                <w:szCs w:val="22"/>
                <w:highlight w:val="none"/>
                <w:lang w:val="en-US" w:eastAsia="zh-CN" w:bidi="ar"/>
              </w:rPr>
              <w:t>株（棵）/月</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CF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A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5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3F0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4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1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地面平整及杂草清运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B96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0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2"/>
                <w:szCs w:val="22"/>
                <w:highlight w:val="none"/>
                <w:lang w:val="en-US" w:eastAsia="zh-CN"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FE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B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2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233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5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4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不含税合计：</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5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BE8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3F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备注：</w:t>
            </w:r>
            <w:r>
              <w:rPr>
                <w:rStyle w:val="217"/>
                <w:rFonts w:hint="eastAsia" w:ascii="宋体" w:hAnsi="宋体" w:eastAsia="宋体" w:cs="宋体"/>
                <w:color w:val="auto"/>
                <w:highlight w:val="none"/>
                <w:lang w:val="en-US" w:eastAsia="zh-CN" w:bidi="ar"/>
              </w:rPr>
              <w:br w:type="textWrapping"/>
            </w:r>
            <w:r>
              <w:rPr>
                <w:rStyle w:val="217"/>
                <w:rFonts w:hint="eastAsia" w:ascii="宋体" w:hAnsi="宋体" w:eastAsia="宋体" w:cs="宋体"/>
                <w:color w:val="auto"/>
                <w:highlight w:val="none"/>
                <w:lang w:val="en-US" w:eastAsia="zh-CN" w:bidi="ar"/>
              </w:rPr>
              <w:t>1、</w:t>
            </w:r>
            <w:r>
              <w:rPr>
                <w:rFonts w:hint="eastAsia" w:ascii="宋体" w:hAnsi="宋体" w:eastAsia="宋体" w:cs="宋体"/>
                <w:color w:val="auto"/>
                <w:sz w:val="20"/>
                <w:szCs w:val="20"/>
                <w:highlight w:val="none"/>
                <w:lang w:val="en-US" w:eastAsia="zh-CN" w:bidi="ar"/>
              </w:rPr>
              <w:t>截干下来的树枝清运费已包含在单价中，运距由供应商综合考虑</w:t>
            </w:r>
            <w:r>
              <w:rPr>
                <w:rStyle w:val="217"/>
                <w:rFonts w:hint="eastAsia" w:ascii="宋体" w:hAnsi="宋体" w:eastAsia="宋体" w:cs="宋体"/>
                <w:color w:val="auto"/>
                <w:highlight w:val="none"/>
                <w:lang w:val="en-US" w:eastAsia="zh-CN" w:bidi="ar"/>
              </w:rPr>
              <w:t>。</w:t>
            </w:r>
            <w:r>
              <w:rPr>
                <w:rStyle w:val="217"/>
                <w:rFonts w:hint="eastAsia" w:ascii="宋体" w:hAnsi="宋体" w:eastAsia="宋体" w:cs="宋体"/>
                <w:color w:val="auto"/>
                <w:highlight w:val="none"/>
                <w:lang w:val="en-US" w:eastAsia="zh-CN" w:bidi="ar"/>
              </w:rPr>
              <w:br w:type="textWrapping"/>
            </w:r>
            <w:r>
              <w:rPr>
                <w:rStyle w:val="217"/>
                <w:rFonts w:hint="eastAsia" w:ascii="宋体" w:hAnsi="宋体" w:eastAsia="宋体" w:cs="宋体"/>
                <w:color w:val="auto"/>
                <w:highlight w:val="none"/>
                <w:lang w:val="en-US" w:eastAsia="zh-CN" w:bidi="ar"/>
              </w:rPr>
              <w:t>2、本项目按一个月养护考虑，</w:t>
            </w:r>
            <w:r>
              <w:rPr>
                <w:rFonts w:hint="eastAsia" w:ascii="宋体" w:hAnsi="宋体" w:eastAsia="宋体" w:cs="宋体"/>
                <w:color w:val="auto"/>
                <w:szCs w:val="21"/>
                <w:highlight w:val="none"/>
              </w:rPr>
              <w:t>养护用水由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提供，养护用水所需的管道及安装由</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负责。</w:t>
            </w:r>
            <w:r>
              <w:rPr>
                <w:rStyle w:val="217"/>
                <w:rFonts w:hint="eastAsia" w:ascii="宋体" w:hAnsi="宋体" w:eastAsia="宋体" w:cs="宋体"/>
                <w:color w:val="auto"/>
                <w:highlight w:val="none"/>
                <w:lang w:val="en-US" w:eastAsia="zh-CN" w:bidi="ar"/>
              </w:rPr>
              <w:br w:type="textWrapping"/>
            </w:r>
            <w:r>
              <w:rPr>
                <w:rStyle w:val="217"/>
                <w:rFonts w:hint="eastAsia" w:ascii="宋体" w:hAnsi="宋体" w:eastAsia="宋体" w:cs="宋体"/>
                <w:color w:val="auto"/>
                <w:highlight w:val="none"/>
                <w:lang w:val="en-US" w:eastAsia="zh-CN" w:bidi="ar"/>
              </w:rPr>
              <w:t>3、乔木、棕榈种植时采用茅竹支撑，按6米内考虑。</w:t>
            </w:r>
            <w:r>
              <w:rPr>
                <w:rStyle w:val="217"/>
                <w:rFonts w:hint="eastAsia" w:ascii="宋体" w:hAnsi="宋体" w:eastAsia="宋体" w:cs="宋体"/>
                <w:color w:val="auto"/>
                <w:highlight w:val="none"/>
                <w:lang w:val="en-US" w:eastAsia="zh-CN" w:bidi="ar"/>
              </w:rPr>
              <w:br w:type="textWrapping"/>
            </w:r>
            <w:r>
              <w:rPr>
                <w:rStyle w:val="218"/>
                <w:rFonts w:hint="eastAsia" w:ascii="宋体" w:hAnsi="宋体" w:eastAsia="宋体" w:cs="宋体"/>
                <w:color w:val="auto"/>
                <w:highlight w:val="none"/>
                <w:lang w:val="en-US" w:eastAsia="zh-CN" w:bidi="ar"/>
              </w:rPr>
              <w:t>4、移栽地点为广东省东莞市石碣镇鹤田厦村富田路第四水厂，运距约为7公里。</w:t>
            </w:r>
          </w:p>
        </w:tc>
      </w:tr>
    </w:tbl>
    <w:p w14:paraId="5927CE84">
      <w:pPr>
        <w:autoSpaceDE w:val="0"/>
        <w:autoSpaceDN w:val="0"/>
        <w:adjustRightInd w:val="0"/>
        <w:spacing w:line="360" w:lineRule="auto"/>
        <w:jc w:val="left"/>
        <w:rPr>
          <w:rFonts w:ascii="宋体" w:hAnsi="宋体" w:eastAsia="宋体" w:cs="宋体"/>
          <w:b/>
          <w:color w:val="auto"/>
          <w:kern w:val="0"/>
          <w:szCs w:val="21"/>
          <w:highlight w:val="none"/>
        </w:rPr>
      </w:pPr>
    </w:p>
    <w:p w14:paraId="0310C3E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3D314E83">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（1）此表为首轮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报价表的分项报价表，</w:t>
      </w:r>
      <w:r>
        <w:rPr>
          <w:rFonts w:hint="eastAsia" w:ascii="宋体" w:hAnsi="宋体" w:eastAsia="宋体" w:cs="宋体"/>
          <w:color w:val="auto"/>
          <w:kern w:val="0"/>
          <w:szCs w:val="21"/>
          <w:highlight w:val="none"/>
          <w:lang w:eastAsia="zh-CN"/>
        </w:rPr>
        <w:t>响应供应商</w:t>
      </w:r>
      <w:r>
        <w:rPr>
          <w:rFonts w:hint="eastAsia" w:ascii="宋体" w:hAnsi="宋体" w:eastAsia="宋体" w:cs="宋体"/>
          <w:color w:val="auto"/>
          <w:kern w:val="0"/>
          <w:szCs w:val="21"/>
          <w:highlight w:val="none"/>
        </w:rPr>
        <w:t>应根据项目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范围内分项实际内容的数量填写和扩展本报价表。</w:t>
      </w:r>
    </w:p>
    <w:p w14:paraId="576D07F4">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响应供应商</w:t>
      </w:r>
      <w:r>
        <w:rPr>
          <w:rFonts w:hint="eastAsia" w:ascii="宋体" w:hAnsi="宋体" w:eastAsia="宋体" w:cs="宋体"/>
          <w:color w:val="auto"/>
          <w:kern w:val="0"/>
          <w:szCs w:val="21"/>
          <w:highlight w:val="none"/>
        </w:rPr>
        <w:t>应列明按《用户需求书》所要求的该项目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范围内全部货物及其服务的价格明细。</w:t>
      </w:r>
      <w:r>
        <w:rPr>
          <w:rFonts w:hint="eastAsia" w:ascii="宋体" w:hAnsi="宋体" w:eastAsia="宋体" w:cs="宋体"/>
          <w:color w:val="auto"/>
          <w:kern w:val="0"/>
          <w:szCs w:val="21"/>
          <w:highlight w:val="none"/>
          <w:lang w:eastAsia="zh-CN"/>
        </w:rPr>
        <w:t>响应供应商</w:t>
      </w:r>
      <w:r>
        <w:rPr>
          <w:rFonts w:hint="eastAsia" w:ascii="宋体" w:hAnsi="宋体" w:eastAsia="宋体" w:cs="宋体"/>
          <w:color w:val="auto"/>
          <w:kern w:val="0"/>
          <w:szCs w:val="21"/>
          <w:highlight w:val="none"/>
        </w:rPr>
        <w:t>未填单价或合价或漏量或漏项的项目，在实施后，</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将不予以支付，并视为该费用已包括在其他有价款的单价或合价内。</w:t>
      </w:r>
    </w:p>
    <w:p w14:paraId="2163C007">
      <w:pPr>
        <w:autoSpaceDE w:val="0"/>
        <w:autoSpaceDN w:val="0"/>
        <w:adjustRightInd w:val="0"/>
        <w:spacing w:line="360" w:lineRule="auto"/>
        <w:ind w:left="462" w:leftChars="18"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（3）报价保留小数点后两位。</w:t>
      </w:r>
    </w:p>
    <w:p w14:paraId="26C2005E">
      <w:pPr>
        <w:tabs>
          <w:tab w:val="left" w:pos="567"/>
        </w:tabs>
        <w:autoSpaceDE w:val="0"/>
        <w:autoSpaceDN w:val="0"/>
        <w:adjustRightInd w:val="0"/>
        <w:spacing w:line="360" w:lineRule="auto"/>
        <w:ind w:left="496" w:hanging="495" w:hangingChars="236"/>
        <w:jc w:val="left"/>
        <w:outlineLvl w:val="2"/>
        <w:rPr>
          <w:rFonts w:ascii="宋体" w:hAnsi="宋体" w:eastAsia="宋体" w:cs="Times New Roman"/>
          <w:color w:val="auto"/>
          <w:sz w:val="24"/>
          <w:szCs w:val="24"/>
          <w:highlight w:val="none"/>
          <w:lang w:val="zh-CN"/>
        </w:rPr>
      </w:pPr>
      <w:r>
        <w:rPr>
          <w:rFonts w:ascii="宋体" w:hAnsi="宋体" w:eastAsia="宋体" w:cs="Times New Roman"/>
          <w:color w:val="auto"/>
          <w:szCs w:val="24"/>
          <w:highlight w:val="none"/>
          <w:lang w:val="zh-CN"/>
        </w:rPr>
        <w:br w:type="page"/>
      </w:r>
      <w:bookmarkStart w:id="349" w:name="_Toc140596928"/>
      <w:bookmarkStart w:id="350" w:name="_Toc160099511"/>
      <w:bookmarkStart w:id="351" w:name="_Toc104991875"/>
      <w:bookmarkStart w:id="352" w:name="_Toc27299"/>
      <w:bookmarkStart w:id="353" w:name="_Toc102860418"/>
      <w:bookmarkStart w:id="354" w:name="_Toc10079"/>
      <w:bookmarkStart w:id="355" w:name="_Toc1977725"/>
      <w:bookmarkStart w:id="356" w:name="_Toc102860074"/>
      <w:bookmarkStart w:id="357" w:name="_Toc20202"/>
      <w:bookmarkStart w:id="358" w:name="_Toc94107209"/>
      <w:bookmarkStart w:id="359" w:name="_Toc486167712"/>
      <w:bookmarkStart w:id="360" w:name="_Toc20759_WPSOffice_Level2"/>
      <w:bookmarkStart w:id="361" w:name="_Toc533708124"/>
      <w:r>
        <w:rPr>
          <w:rFonts w:hint="eastAsia" w:ascii="宋体" w:hAnsi="宋体" w:eastAsia="宋体" w:cs="宋体"/>
          <w:b/>
          <w:bCs/>
          <w:color w:val="auto"/>
          <w:sz w:val="30"/>
          <w:szCs w:val="30"/>
          <w:highlight w:val="none"/>
          <w:lang w:val="zh-CN"/>
        </w:rPr>
        <w:t>四</w:t>
      </w:r>
      <w:r>
        <w:rPr>
          <w:rFonts w:hint="eastAsia" w:ascii="宋体" w:hAnsi="宋体" w:eastAsia="宋体" w:cs="宋体"/>
          <w:b/>
          <w:color w:val="auto"/>
          <w:kern w:val="0"/>
          <w:sz w:val="32"/>
          <w:szCs w:val="32"/>
          <w:highlight w:val="none"/>
        </w:rPr>
        <w:t>、响应供应商资格证明文件</w:t>
      </w:r>
      <w:bookmarkEnd w:id="349"/>
      <w:bookmarkEnd w:id="350"/>
      <w:bookmarkEnd w:id="351"/>
      <w:bookmarkEnd w:id="352"/>
      <w:bookmarkEnd w:id="353"/>
      <w:bookmarkEnd w:id="354"/>
      <w:bookmarkEnd w:id="355"/>
      <w:bookmarkEnd w:id="356"/>
      <w:bookmarkEnd w:id="357"/>
      <w:bookmarkEnd w:id="358"/>
    </w:p>
    <w:p w14:paraId="40390503">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362" w:name="_Toc12140"/>
      <w:bookmarkStart w:id="363" w:name="_Toc94107210"/>
      <w:bookmarkStart w:id="364" w:name="_Toc160099512"/>
      <w:bookmarkStart w:id="365" w:name="_Toc15061"/>
      <w:bookmarkStart w:id="366" w:name="_Toc104991876"/>
      <w:bookmarkStart w:id="367" w:name="_Toc140596929"/>
      <w:bookmarkStart w:id="368" w:name="_Toc102860419"/>
      <w:bookmarkStart w:id="369" w:name="_Toc8616"/>
      <w:bookmarkStart w:id="370" w:name="_Toc102860075"/>
      <w:bookmarkStart w:id="371" w:name="_Toc1977726"/>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多证合一营业执照（或事业单位法人证书）复印件</w:t>
      </w:r>
      <w:bookmarkEnd w:id="362"/>
      <w:bookmarkEnd w:id="363"/>
      <w:bookmarkEnd w:id="364"/>
      <w:bookmarkEnd w:id="365"/>
      <w:bookmarkEnd w:id="366"/>
      <w:bookmarkEnd w:id="367"/>
      <w:bookmarkEnd w:id="368"/>
      <w:bookmarkEnd w:id="369"/>
      <w:bookmarkEnd w:id="370"/>
    </w:p>
    <w:p w14:paraId="3072C35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25E42BE">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footerReference r:id="rId6" w:type="first"/>
          <w:footerReference r:id="rId5" w:type="default"/>
          <w:pgSz w:w="11906" w:h="16838"/>
          <w:pgMar w:top="1191" w:right="1043" w:bottom="1191" w:left="1043" w:header="720" w:footer="720" w:gutter="0"/>
          <w:pgNumType w:fmt="decimal"/>
          <w:cols w:space="720" w:num="1"/>
          <w:titlePg/>
          <w:docGrid w:linePitch="326" w:charSpace="0"/>
        </w:sectPr>
      </w:pPr>
    </w:p>
    <w:p w14:paraId="2F0CECF6">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372" w:name="_Toc140596930"/>
      <w:bookmarkStart w:id="373" w:name="_Toc102860420"/>
      <w:bookmarkStart w:id="374" w:name="_Toc94107211"/>
      <w:bookmarkStart w:id="375" w:name="_Toc102860076"/>
      <w:bookmarkStart w:id="376" w:name="_Toc104991877"/>
      <w:bookmarkStart w:id="377" w:name="_Toc160099513"/>
      <w:bookmarkStart w:id="378" w:name="_Toc26391"/>
      <w:bookmarkStart w:id="379" w:name="_Toc12912"/>
      <w:bookmarkStart w:id="380" w:name="_Toc5054"/>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 xml:space="preserve">.2 </w:t>
      </w:r>
      <w:bookmarkEnd w:id="372"/>
      <w:bookmarkEnd w:id="373"/>
      <w:bookmarkEnd w:id="374"/>
      <w:bookmarkEnd w:id="375"/>
      <w:bookmarkEnd w:id="376"/>
      <w:bookmarkEnd w:id="377"/>
      <w:r>
        <w:rPr>
          <w:rFonts w:hint="eastAsia" w:ascii="宋体" w:hAnsi="宋体" w:eastAsia="宋体" w:cs="宋体"/>
          <w:b/>
          <w:color w:val="auto"/>
          <w:kern w:val="0"/>
          <w:sz w:val="30"/>
          <w:szCs w:val="30"/>
          <w:highlight w:val="none"/>
        </w:rPr>
        <w:t>开户许可证（基本存款账户）复印件，如响应供应商企业银行账户开户所在地区已取消企业银行账户许可，响应供应商应提供基本存款账户开户名称、开户银行、账号、编号等信息及相关备案证明（如有）或其他能证明其为基本存款账户的资料复印件</w:t>
      </w:r>
      <w:bookmarkEnd w:id="378"/>
      <w:bookmarkEnd w:id="379"/>
      <w:bookmarkEnd w:id="380"/>
    </w:p>
    <w:p w14:paraId="6BF4FCC6">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381" w:name="_Toc102860077"/>
      <w:bookmarkStart w:id="382" w:name="_Toc140596931"/>
      <w:bookmarkStart w:id="383" w:name="_Toc102860421"/>
      <w:bookmarkStart w:id="384" w:name="_Toc104991878"/>
      <w:bookmarkStart w:id="385" w:name="_Toc160099514"/>
      <w:bookmarkStart w:id="386" w:name="_Toc24339"/>
      <w:bookmarkStart w:id="387" w:name="_Toc94107212"/>
      <w:bookmarkStart w:id="388" w:name="_Toc26814"/>
      <w:bookmarkStart w:id="389" w:name="_Toc6458"/>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w:t>
      </w:r>
      <w:r>
        <w:rPr>
          <w:rFonts w:hint="eastAsia" w:ascii="宋体" w:hAnsi="宋体" w:eastAsia="宋体" w:cs="宋体"/>
          <w:b/>
          <w:color w:val="auto"/>
          <w:kern w:val="0"/>
          <w:sz w:val="30"/>
          <w:szCs w:val="30"/>
          <w:highlight w:val="none"/>
          <w:lang w:eastAsia="zh-CN"/>
        </w:rPr>
        <w:t>响应</w:t>
      </w:r>
      <w:r>
        <w:rPr>
          <w:rFonts w:hint="eastAsia" w:ascii="宋体" w:hAnsi="宋体" w:eastAsia="宋体" w:cs="宋体"/>
          <w:b/>
          <w:color w:val="auto"/>
          <w:kern w:val="0"/>
          <w:sz w:val="30"/>
          <w:szCs w:val="30"/>
          <w:highlight w:val="none"/>
        </w:rPr>
        <w:t>时只需提供法定代表人身份证明书，委托他人为</w:t>
      </w:r>
      <w:r>
        <w:rPr>
          <w:rFonts w:hint="eastAsia" w:ascii="宋体" w:hAnsi="宋体" w:eastAsia="宋体" w:cs="宋体"/>
          <w:b/>
          <w:color w:val="auto"/>
          <w:kern w:val="0"/>
          <w:sz w:val="30"/>
          <w:szCs w:val="30"/>
          <w:highlight w:val="none"/>
          <w:lang w:eastAsia="zh-CN"/>
        </w:rPr>
        <w:t>响应</w:t>
      </w:r>
      <w:r>
        <w:rPr>
          <w:rFonts w:hint="eastAsia" w:ascii="宋体" w:hAnsi="宋体" w:eastAsia="宋体" w:cs="宋体"/>
          <w:b/>
          <w:color w:val="auto"/>
          <w:kern w:val="0"/>
          <w:sz w:val="30"/>
          <w:szCs w:val="30"/>
          <w:highlight w:val="none"/>
        </w:rPr>
        <w:t>代表或签署响应文件时需同时提供法定代表人授权书）</w:t>
      </w:r>
      <w:bookmarkEnd w:id="381"/>
      <w:bookmarkEnd w:id="382"/>
      <w:bookmarkEnd w:id="383"/>
      <w:bookmarkEnd w:id="384"/>
      <w:bookmarkEnd w:id="385"/>
      <w:bookmarkEnd w:id="386"/>
      <w:bookmarkEnd w:id="387"/>
      <w:bookmarkEnd w:id="388"/>
      <w:bookmarkEnd w:id="389"/>
    </w:p>
    <w:p w14:paraId="30437DFF">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359"/>
      <w:bookmarkEnd w:id="360"/>
      <w:bookmarkEnd w:id="361"/>
      <w:bookmarkEnd w:id="371"/>
    </w:p>
    <w:p w14:paraId="0FEC30FC">
      <w:pPr>
        <w:spacing w:before="120" w:after="120" w:line="360" w:lineRule="auto"/>
        <w:ind w:firstLine="608" w:firstLineChars="202"/>
        <w:jc w:val="center"/>
        <w:rPr>
          <w:rFonts w:hint="eastAsia" w:ascii="宋体" w:hAnsi="宋体" w:eastAsia="宋体" w:cs="宋体"/>
          <w:b/>
          <w:color w:val="auto"/>
          <w:sz w:val="30"/>
          <w:szCs w:val="30"/>
          <w:highlight w:val="none"/>
        </w:rPr>
      </w:pPr>
      <w:bookmarkStart w:id="390" w:name="_Toc11033_WPSOffice_Level3"/>
      <w:r>
        <w:rPr>
          <w:rFonts w:hint="eastAsia" w:ascii="宋体" w:hAnsi="宋体" w:eastAsia="宋体" w:cs="宋体"/>
          <w:b/>
          <w:color w:val="auto"/>
          <w:sz w:val="30"/>
          <w:szCs w:val="30"/>
          <w:highlight w:val="none"/>
        </w:rPr>
        <w:t>法定代</w:t>
      </w:r>
      <w:bookmarkStart w:id="391" w:name="_Toc36971359"/>
      <w:bookmarkStart w:id="392" w:name="_Toc45995270"/>
      <w:r>
        <w:rPr>
          <w:rFonts w:hint="eastAsia" w:ascii="宋体" w:hAnsi="宋体" w:eastAsia="宋体" w:cs="宋体"/>
          <w:b/>
          <w:color w:val="auto"/>
          <w:sz w:val="30"/>
          <w:szCs w:val="30"/>
          <w:highlight w:val="none"/>
        </w:rPr>
        <w:t>表人身份证明书</w:t>
      </w:r>
      <w:bookmarkEnd w:id="390"/>
    </w:p>
    <w:p w14:paraId="77F7398E">
      <w:pPr>
        <w:spacing w:before="120" w:after="120" w:line="360" w:lineRule="auto"/>
        <w:ind w:firstLine="608" w:firstLineChars="202"/>
        <w:jc w:val="center"/>
        <w:rPr>
          <w:rFonts w:hint="eastAsia" w:ascii="宋体" w:hAnsi="宋体" w:eastAsia="宋体" w:cs="宋体"/>
          <w:b/>
          <w:color w:val="auto"/>
          <w:sz w:val="30"/>
          <w:szCs w:val="30"/>
          <w:highlight w:val="none"/>
        </w:rPr>
      </w:pPr>
    </w:p>
    <w:bookmarkEnd w:id="391"/>
    <w:bookmarkEnd w:id="392"/>
    <w:p w14:paraId="48EA8D12">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3D671C9">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4621CC0D">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09F1B7E6">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2A5D700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04CF1708">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1D05A722">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434C07F6">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响应供应商：（加盖响应供应商法人公章）</w:t>
      </w:r>
    </w:p>
    <w:p w14:paraId="68DBFE45">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7A26A421">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D41C8F9"/>
                          <w:p w14:paraId="192FDFA5"/>
                          <w:p w14:paraId="1F6E24F5"/>
                          <w:p w14:paraId="13D507F3"/>
                          <w:p w14:paraId="3E5DFB04">
                            <w:pPr>
                              <w:jc w:val="center"/>
                              <w:rPr>
                                <w:rFonts w:hint="eastAsia" w:ascii="宋体" w:hAnsi="宋体" w:eastAsia="宋体" w:cs="宋体"/>
                                <w:szCs w:val="21"/>
                              </w:rPr>
                            </w:pPr>
                            <w:r>
                              <w:rPr>
                                <w:rFonts w:hint="eastAsia" w:ascii="宋体" w:hAnsi="宋体" w:eastAsia="宋体" w:cs="宋体"/>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3D41C8F9"/>
                    <w:p w14:paraId="192FDFA5"/>
                    <w:p w14:paraId="1F6E24F5"/>
                    <w:p w14:paraId="13D507F3"/>
                    <w:p w14:paraId="3E5DFB04">
                      <w:pPr>
                        <w:jc w:val="center"/>
                        <w:rPr>
                          <w:rFonts w:hint="eastAsia" w:ascii="宋体" w:hAnsi="宋体" w:eastAsia="宋体" w:cs="宋体"/>
                          <w:szCs w:val="21"/>
                        </w:rPr>
                      </w:pPr>
                      <w:r>
                        <w:rPr>
                          <w:rFonts w:hint="eastAsia" w:ascii="宋体" w:hAnsi="宋体" w:eastAsia="宋体" w:cs="宋体"/>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E9A16BF"/>
                          <w:p w14:paraId="54DDAD83"/>
                          <w:p w14:paraId="4A5D2AE2"/>
                          <w:p w14:paraId="038C7BDC"/>
                          <w:p w14:paraId="31D89127">
                            <w:pPr>
                              <w:jc w:val="center"/>
                              <w:rPr>
                                <w:rFonts w:hint="eastAsia" w:ascii="宋体" w:hAnsi="宋体" w:eastAsia="宋体" w:cs="宋体"/>
                                <w:szCs w:val="21"/>
                              </w:rPr>
                            </w:pPr>
                            <w:r>
                              <w:rPr>
                                <w:rFonts w:hint="eastAsia" w:ascii="宋体" w:hAnsi="宋体" w:eastAsia="宋体" w:cs="宋体"/>
                                <w:szCs w:val="21"/>
                              </w:rPr>
                              <w:t>法定代表人身份证反面</w:t>
                            </w:r>
                          </w:p>
                          <w:p w14:paraId="33ECD69D">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6E9A16BF"/>
                    <w:p w14:paraId="54DDAD83"/>
                    <w:p w14:paraId="4A5D2AE2"/>
                    <w:p w14:paraId="038C7BDC"/>
                    <w:p w14:paraId="31D89127">
                      <w:pPr>
                        <w:jc w:val="center"/>
                        <w:rPr>
                          <w:rFonts w:hint="eastAsia" w:ascii="宋体" w:hAnsi="宋体" w:eastAsia="宋体" w:cs="宋体"/>
                          <w:szCs w:val="21"/>
                        </w:rPr>
                      </w:pPr>
                      <w:r>
                        <w:rPr>
                          <w:rFonts w:hint="eastAsia" w:ascii="宋体" w:hAnsi="宋体" w:eastAsia="宋体" w:cs="宋体"/>
                          <w:szCs w:val="21"/>
                        </w:rPr>
                        <w:t>法定代表人身份证反面</w:t>
                      </w:r>
                    </w:p>
                    <w:p w14:paraId="33ECD69D">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664D66A"/>
                          <w:p w14:paraId="1BD5E76C"/>
                          <w:p w14:paraId="7612DFF5"/>
                          <w:p w14:paraId="1790E325"/>
                          <w:p w14:paraId="5F87CBA3">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2664D66A"/>
                    <w:p w14:paraId="1BD5E76C"/>
                    <w:p w14:paraId="7612DFF5"/>
                    <w:p w14:paraId="1790E325"/>
                    <w:p w14:paraId="5F87CBA3">
                      <w:pPr>
                        <w:jc w:val="center"/>
                      </w:pPr>
                      <w:r>
                        <w:rPr>
                          <w:rFonts w:hint="eastAsia"/>
                        </w:rPr>
                        <w:t>身份证正面</w:t>
                      </w:r>
                    </w:p>
                  </w:txbxContent>
                </v:textbox>
              </v:shape>
            </w:pict>
          </mc:Fallback>
        </mc:AlternateContent>
      </w:r>
    </w:p>
    <w:p w14:paraId="122F1703">
      <w:pPr>
        <w:autoSpaceDE w:val="0"/>
        <w:autoSpaceDN w:val="0"/>
        <w:adjustRightInd w:val="0"/>
        <w:jc w:val="left"/>
        <w:rPr>
          <w:rFonts w:ascii="宋体" w:hAnsi="宋体" w:eastAsia="宋体" w:cs="宋体"/>
          <w:color w:val="auto"/>
          <w:kern w:val="0"/>
          <w:sz w:val="24"/>
          <w:szCs w:val="24"/>
          <w:highlight w:val="none"/>
        </w:rPr>
      </w:pPr>
    </w:p>
    <w:p w14:paraId="7F0193D7">
      <w:pPr>
        <w:autoSpaceDE w:val="0"/>
        <w:autoSpaceDN w:val="0"/>
        <w:adjustRightInd w:val="0"/>
        <w:jc w:val="left"/>
        <w:rPr>
          <w:rFonts w:ascii="宋体" w:hAnsi="宋体" w:eastAsia="宋体" w:cs="宋体"/>
          <w:color w:val="auto"/>
          <w:kern w:val="0"/>
          <w:sz w:val="24"/>
          <w:szCs w:val="24"/>
          <w:highlight w:val="none"/>
        </w:rPr>
      </w:pPr>
    </w:p>
    <w:p w14:paraId="11F20619">
      <w:pPr>
        <w:autoSpaceDE w:val="0"/>
        <w:autoSpaceDN w:val="0"/>
        <w:adjustRightInd w:val="0"/>
        <w:jc w:val="left"/>
        <w:rPr>
          <w:rFonts w:ascii="宋体" w:hAnsi="宋体" w:eastAsia="宋体" w:cs="宋体"/>
          <w:color w:val="auto"/>
          <w:kern w:val="0"/>
          <w:sz w:val="24"/>
          <w:szCs w:val="24"/>
          <w:highlight w:val="none"/>
        </w:rPr>
      </w:pPr>
    </w:p>
    <w:p w14:paraId="3A6079AE">
      <w:pPr>
        <w:autoSpaceDE w:val="0"/>
        <w:autoSpaceDN w:val="0"/>
        <w:adjustRightInd w:val="0"/>
        <w:jc w:val="left"/>
        <w:rPr>
          <w:rFonts w:ascii="宋体" w:hAnsi="宋体" w:eastAsia="宋体" w:cs="宋体"/>
          <w:color w:val="auto"/>
          <w:kern w:val="0"/>
          <w:sz w:val="24"/>
          <w:szCs w:val="24"/>
          <w:highlight w:val="none"/>
        </w:rPr>
      </w:pPr>
    </w:p>
    <w:p w14:paraId="6AB583F0">
      <w:pPr>
        <w:autoSpaceDE w:val="0"/>
        <w:autoSpaceDN w:val="0"/>
        <w:adjustRightInd w:val="0"/>
        <w:jc w:val="left"/>
        <w:rPr>
          <w:rFonts w:ascii="宋体" w:hAnsi="宋体" w:eastAsia="宋体" w:cs="宋体"/>
          <w:color w:val="auto"/>
          <w:kern w:val="0"/>
          <w:sz w:val="24"/>
          <w:szCs w:val="24"/>
          <w:highlight w:val="none"/>
        </w:rPr>
      </w:pPr>
    </w:p>
    <w:p w14:paraId="4FD2E495">
      <w:pPr>
        <w:autoSpaceDE w:val="0"/>
        <w:autoSpaceDN w:val="0"/>
        <w:adjustRightInd w:val="0"/>
        <w:jc w:val="left"/>
        <w:rPr>
          <w:rFonts w:ascii="宋体" w:hAnsi="宋体" w:eastAsia="宋体" w:cs="宋体"/>
          <w:color w:val="auto"/>
          <w:kern w:val="0"/>
          <w:sz w:val="24"/>
          <w:szCs w:val="24"/>
          <w:highlight w:val="none"/>
        </w:rPr>
      </w:pPr>
    </w:p>
    <w:p w14:paraId="072E71E1">
      <w:pPr>
        <w:autoSpaceDE w:val="0"/>
        <w:autoSpaceDN w:val="0"/>
        <w:adjustRightInd w:val="0"/>
        <w:jc w:val="left"/>
        <w:rPr>
          <w:rFonts w:ascii="宋体" w:hAnsi="宋体" w:eastAsia="宋体" w:cs="宋体"/>
          <w:color w:val="auto"/>
          <w:kern w:val="0"/>
          <w:sz w:val="24"/>
          <w:szCs w:val="24"/>
          <w:highlight w:val="none"/>
        </w:rPr>
      </w:pPr>
    </w:p>
    <w:p w14:paraId="00A34E4B">
      <w:pPr>
        <w:autoSpaceDE w:val="0"/>
        <w:autoSpaceDN w:val="0"/>
        <w:adjustRightInd w:val="0"/>
        <w:jc w:val="left"/>
        <w:rPr>
          <w:rFonts w:ascii="宋体" w:hAnsi="宋体" w:eastAsia="宋体" w:cs="宋体"/>
          <w:color w:val="auto"/>
          <w:kern w:val="0"/>
          <w:sz w:val="24"/>
          <w:szCs w:val="24"/>
          <w:highlight w:val="none"/>
        </w:rPr>
      </w:pPr>
    </w:p>
    <w:p w14:paraId="3485A2A5">
      <w:pPr>
        <w:autoSpaceDE w:val="0"/>
        <w:autoSpaceDN w:val="0"/>
        <w:adjustRightInd w:val="0"/>
        <w:jc w:val="left"/>
        <w:rPr>
          <w:rFonts w:ascii="宋体" w:hAnsi="宋体" w:eastAsia="宋体" w:cs="宋体"/>
          <w:color w:val="auto"/>
          <w:kern w:val="0"/>
          <w:sz w:val="24"/>
          <w:szCs w:val="24"/>
          <w:highlight w:val="none"/>
        </w:rPr>
      </w:pPr>
    </w:p>
    <w:p w14:paraId="0F021645">
      <w:pPr>
        <w:autoSpaceDE w:val="0"/>
        <w:autoSpaceDN w:val="0"/>
        <w:adjustRightInd w:val="0"/>
        <w:jc w:val="left"/>
        <w:rPr>
          <w:rFonts w:ascii="宋体" w:hAnsi="宋体" w:eastAsia="宋体" w:cs="宋体"/>
          <w:b/>
          <w:color w:val="auto"/>
          <w:kern w:val="0"/>
          <w:szCs w:val="21"/>
          <w:highlight w:val="none"/>
        </w:rPr>
      </w:pPr>
    </w:p>
    <w:p w14:paraId="23889CCC">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4625A3D">
      <w:pPr>
        <w:autoSpaceDE w:val="0"/>
        <w:autoSpaceDN w:val="0"/>
        <w:adjustRightInd w:val="0"/>
        <w:jc w:val="left"/>
        <w:rPr>
          <w:rFonts w:ascii="宋体" w:hAnsi="宋体" w:eastAsia="宋体" w:cs="宋体"/>
          <w:color w:val="auto"/>
          <w:kern w:val="0"/>
          <w:szCs w:val="21"/>
          <w:highlight w:val="none"/>
        </w:rPr>
      </w:pPr>
    </w:p>
    <w:p w14:paraId="6AC97ACA">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312"/>
      <w:bookmarkEnd w:id="313"/>
      <w:bookmarkEnd w:id="314"/>
      <w:bookmarkStart w:id="393" w:name="_Toc533708125"/>
      <w:bookmarkStart w:id="394" w:name="_Toc6240_WPSOffice_Level2"/>
      <w:bookmarkStart w:id="395" w:name="_Toc1977727"/>
      <w:bookmarkStart w:id="396" w:name="_Toc486167713"/>
      <w:r>
        <w:rPr>
          <w:rFonts w:hint="eastAsia" w:ascii="宋体" w:hAnsi="宋体" w:eastAsia="宋体" w:cs="宋体"/>
          <w:b/>
          <w:color w:val="auto"/>
          <w:szCs w:val="24"/>
          <w:highlight w:val="none"/>
        </w:rPr>
        <w:t>（2）法定代表人授权书格式</w:t>
      </w:r>
      <w:bookmarkEnd w:id="393"/>
      <w:bookmarkEnd w:id="394"/>
      <w:bookmarkEnd w:id="395"/>
      <w:bookmarkEnd w:id="396"/>
    </w:p>
    <w:p w14:paraId="44BCC3D5">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549F75DA">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397" w:name="_Toc29146_WPSOffice_Level3"/>
      <w:r>
        <w:rPr>
          <w:rFonts w:hint="eastAsia" w:ascii="宋体" w:hAnsi="宋体" w:eastAsia="宋体" w:cs="宋体"/>
          <w:b/>
          <w:bCs/>
          <w:color w:val="auto"/>
          <w:sz w:val="30"/>
          <w:szCs w:val="30"/>
          <w:highlight w:val="none"/>
          <w:lang w:val="zh-CN"/>
        </w:rPr>
        <w:t>法定代表人授权书</w:t>
      </w:r>
      <w:bookmarkEnd w:id="397"/>
    </w:p>
    <w:p w14:paraId="785B9DC9">
      <w:pPr>
        <w:autoSpaceDE w:val="0"/>
        <w:autoSpaceDN w:val="0"/>
        <w:adjustRightInd w:val="0"/>
        <w:spacing w:line="360" w:lineRule="auto"/>
        <w:jc w:val="center"/>
        <w:rPr>
          <w:rFonts w:ascii="宋体" w:hAnsi="宋体" w:eastAsia="宋体" w:cs="宋体"/>
          <w:color w:val="auto"/>
          <w:szCs w:val="28"/>
          <w:highlight w:val="none"/>
          <w:lang w:val="zh-CN"/>
        </w:rPr>
      </w:pPr>
    </w:p>
    <w:p w14:paraId="5B478B53">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致：东莞市水务集团供水有限公司</w:t>
      </w:r>
    </w:p>
    <w:p w14:paraId="43BB932F">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（响应供应商地址）的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（响应供应商名称）在下面签字或盖私章的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东莞市东宝路、东城东路中间绿化带苗木移栽项目</w:t>
      </w:r>
      <w:r>
        <w:rPr>
          <w:rFonts w:hint="eastAsia" w:ascii="宋体" w:hAnsi="宋体" w:eastAsia="宋体" w:cs="宋体"/>
          <w:color w:val="auto"/>
          <w:szCs w:val="21"/>
          <w:highlight w:val="none"/>
          <w:lang w:val="zh-CN"/>
        </w:rPr>
        <w:t>（采购编号：</w:t>
      </w:r>
      <w:r>
        <w:rPr>
          <w:rFonts w:hint="eastAsia" w:ascii="宋体" w:hAnsi="宋体" w:eastAsia="宋体" w:cs="宋体"/>
          <w:color w:val="auto"/>
          <w:szCs w:val="21"/>
          <w:highlight w:val="none"/>
          <w:u w:val="single"/>
          <w:lang w:val="zh-CN"/>
        </w:rPr>
        <w:t>0832-SFCX25DG109C</w:t>
      </w:r>
      <w:r>
        <w:rPr>
          <w:rFonts w:hint="eastAsia" w:ascii="宋体" w:hAnsi="宋体" w:eastAsia="宋体" w:cs="宋体"/>
          <w:color w:val="auto"/>
          <w:szCs w:val="21"/>
          <w:highlight w:val="none"/>
          <w:lang w:val="zh-CN"/>
        </w:rPr>
        <w:t>）的响应文件，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递交响应文件、参与响应文件开启会、代表我公司应谈判小组的要求对响应文件进行澄清、进行合同谈判和签署合同，以我公司的名义处理一切与之有关的事宜，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我承认代理人全权代表我所签署的本项目响应文件的内容及</w:t>
      </w:r>
      <w:r>
        <w:rPr>
          <w:rFonts w:hint="eastAsia" w:ascii="宋体" w:hAnsi="宋体" w:eastAsia="宋体" w:cs="宋体"/>
          <w:color w:val="auto"/>
          <w:szCs w:val="24"/>
          <w:highlight w:val="none"/>
          <w:lang w:val="zh-CN"/>
        </w:rPr>
        <w:t>所进行的上述活动。</w:t>
      </w:r>
    </w:p>
    <w:p w14:paraId="6F4116A4">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日签字生效，有效期至响应文件失效期止，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2022ACF0">
      <w:pPr>
        <w:spacing w:before="120" w:after="120" w:line="360" w:lineRule="auto"/>
        <w:ind w:left="348" w:leftChars="136" w:hanging="62"/>
        <w:rPr>
          <w:rFonts w:ascii="宋体" w:hAnsi="宋体" w:eastAsia="宋体" w:cs="宋体"/>
          <w:color w:val="auto"/>
          <w:szCs w:val="24"/>
          <w:highlight w:val="none"/>
        </w:rPr>
      </w:pPr>
    </w:p>
    <w:p w14:paraId="35F7784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响应供应商：（加盖响应供应商法人公章）</w:t>
      </w:r>
    </w:p>
    <w:p w14:paraId="7448358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响应供应商地址：</w:t>
      </w:r>
    </w:p>
    <w:p w14:paraId="2095F16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1A8EA582">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4B5554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6BE469C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5C54765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1275B4F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282C545"/>
                          <w:p w14:paraId="038C9A02"/>
                          <w:p w14:paraId="1E3F1743"/>
                          <w:p w14:paraId="7EAE8B61"/>
                          <w:p w14:paraId="4C856E7C">
                            <w:pPr>
                              <w:jc w:val="center"/>
                              <w:rPr>
                                <w:rFonts w:hint="eastAsia" w:ascii="宋体" w:hAnsi="宋体" w:eastAsia="宋体" w:cs="宋体"/>
                              </w:rPr>
                            </w:pPr>
                            <w:r>
                              <w:rPr>
                                <w:rFonts w:hint="eastAsia" w:ascii="宋体" w:hAnsi="宋体" w:eastAsia="宋体" w:cs="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6282C545"/>
                    <w:p w14:paraId="038C9A02"/>
                    <w:p w14:paraId="1E3F1743"/>
                    <w:p w14:paraId="7EAE8B61"/>
                    <w:p w14:paraId="4C856E7C">
                      <w:pPr>
                        <w:jc w:val="center"/>
                        <w:rPr>
                          <w:rFonts w:hint="eastAsia" w:ascii="宋体" w:hAnsi="宋体" w:eastAsia="宋体" w:cs="宋体"/>
                        </w:rPr>
                      </w:pPr>
                      <w:r>
                        <w:rPr>
                          <w:rFonts w:hint="eastAsia" w:ascii="宋体" w:hAnsi="宋体" w:eastAsia="宋体" w:cs="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65E0B2E"/>
                          <w:p w14:paraId="0A0791E5"/>
                          <w:p w14:paraId="4075C857"/>
                          <w:p w14:paraId="545B527D"/>
                          <w:p w14:paraId="65EC4BCB">
                            <w:pPr>
                              <w:jc w:val="center"/>
                              <w:rPr>
                                <w:rFonts w:hint="eastAsia" w:ascii="宋体" w:hAnsi="宋体" w:eastAsia="宋体" w:cs="宋体"/>
                              </w:rPr>
                            </w:pPr>
                            <w:r>
                              <w:rPr>
                                <w:rFonts w:hint="eastAsia" w:ascii="宋体" w:hAnsi="宋体" w:eastAsia="宋体" w:cs="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265E0B2E"/>
                    <w:p w14:paraId="0A0791E5"/>
                    <w:p w14:paraId="4075C857"/>
                    <w:p w14:paraId="545B527D"/>
                    <w:p w14:paraId="65EC4BCB">
                      <w:pPr>
                        <w:jc w:val="center"/>
                        <w:rPr>
                          <w:rFonts w:hint="eastAsia" w:ascii="宋体" w:hAnsi="宋体" w:eastAsia="宋体" w:cs="宋体"/>
                        </w:rPr>
                      </w:pPr>
                      <w:r>
                        <w:rPr>
                          <w:rFonts w:hint="eastAsia" w:ascii="宋体" w:hAnsi="宋体" w:eastAsia="宋体" w:cs="宋体"/>
                        </w:rPr>
                        <w:t>法定代表人身份证正面</w:t>
                      </w:r>
                    </w:p>
                  </w:txbxContent>
                </v:textbox>
              </v:shape>
            </w:pict>
          </mc:Fallback>
        </mc:AlternateContent>
      </w:r>
    </w:p>
    <w:p w14:paraId="25C3A67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1925EE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97B7D5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705B12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FB7A51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95C37D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02775F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708AB0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1AE028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76E72B1"/>
                          <w:p w14:paraId="145F498F">
                            <w:pPr>
                              <w:jc w:val="center"/>
                              <w:rPr>
                                <w:rFonts w:hAnsi="宋体"/>
                                <w:color w:val="FF0000"/>
                              </w:rPr>
                            </w:pPr>
                          </w:p>
                          <w:p w14:paraId="6BB9EAFF">
                            <w:pPr>
                              <w:jc w:val="center"/>
                              <w:rPr>
                                <w:rFonts w:hAnsi="宋体"/>
                                <w:color w:val="FF0000"/>
                              </w:rPr>
                            </w:pPr>
                          </w:p>
                          <w:p w14:paraId="5968089B">
                            <w:pPr>
                              <w:jc w:val="center"/>
                              <w:rPr>
                                <w:rFonts w:hAnsi="宋体"/>
                                <w:color w:val="FF0000"/>
                              </w:rPr>
                            </w:pPr>
                          </w:p>
                          <w:p w14:paraId="7F3D06B5">
                            <w:pPr>
                              <w:jc w:val="center"/>
                              <w:rPr>
                                <w:rFonts w:hint="eastAsia" w:ascii="宋体" w:hAnsi="宋体" w:eastAsia="宋体" w:cs="宋体"/>
                              </w:rPr>
                            </w:pPr>
                            <w:r>
                              <w:rPr>
                                <w:rFonts w:hint="eastAsia" w:ascii="宋体" w:hAnsi="宋体" w:eastAsia="宋体" w:cs="宋体"/>
                              </w:rPr>
                              <w:t>被授权人身份证反面</w:t>
                            </w:r>
                          </w:p>
                          <w:p w14:paraId="47984447"/>
                          <w:p w14:paraId="3AADB63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676E72B1"/>
                    <w:p w14:paraId="145F498F">
                      <w:pPr>
                        <w:jc w:val="center"/>
                        <w:rPr>
                          <w:rFonts w:hAnsi="宋体"/>
                          <w:color w:val="FF0000"/>
                        </w:rPr>
                      </w:pPr>
                    </w:p>
                    <w:p w14:paraId="6BB9EAFF">
                      <w:pPr>
                        <w:jc w:val="center"/>
                        <w:rPr>
                          <w:rFonts w:hAnsi="宋体"/>
                          <w:color w:val="FF0000"/>
                        </w:rPr>
                      </w:pPr>
                    </w:p>
                    <w:p w14:paraId="5968089B">
                      <w:pPr>
                        <w:jc w:val="center"/>
                        <w:rPr>
                          <w:rFonts w:hAnsi="宋体"/>
                          <w:color w:val="FF0000"/>
                        </w:rPr>
                      </w:pPr>
                    </w:p>
                    <w:p w14:paraId="7F3D06B5">
                      <w:pPr>
                        <w:jc w:val="center"/>
                        <w:rPr>
                          <w:rFonts w:hint="eastAsia" w:ascii="宋体" w:hAnsi="宋体" w:eastAsia="宋体" w:cs="宋体"/>
                        </w:rPr>
                      </w:pPr>
                      <w:r>
                        <w:rPr>
                          <w:rFonts w:hint="eastAsia" w:ascii="宋体" w:hAnsi="宋体" w:eastAsia="宋体" w:cs="宋体"/>
                        </w:rPr>
                        <w:t>被授权人身份证反面</w:t>
                      </w:r>
                    </w:p>
                    <w:p w14:paraId="47984447"/>
                    <w:p w14:paraId="3AADB63D"/>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746E1282"/>
                          <w:p w14:paraId="78B15C1E">
                            <w:pPr>
                              <w:jc w:val="center"/>
                              <w:rPr>
                                <w:rFonts w:hAnsi="宋体"/>
                                <w:color w:val="FF0000"/>
                              </w:rPr>
                            </w:pPr>
                          </w:p>
                          <w:p w14:paraId="26D396CE">
                            <w:pPr>
                              <w:jc w:val="center"/>
                              <w:rPr>
                                <w:rFonts w:hAnsi="宋体"/>
                                <w:color w:val="FF0000"/>
                              </w:rPr>
                            </w:pPr>
                          </w:p>
                          <w:p w14:paraId="13F8D40A">
                            <w:pPr>
                              <w:jc w:val="center"/>
                              <w:rPr>
                                <w:rFonts w:hAnsi="宋体"/>
                                <w:color w:val="FF0000"/>
                              </w:rPr>
                            </w:pPr>
                          </w:p>
                          <w:p w14:paraId="046EC54D">
                            <w:pPr>
                              <w:jc w:val="center"/>
                              <w:rPr>
                                <w:rFonts w:hint="eastAsia" w:ascii="宋体" w:hAnsi="宋体" w:eastAsia="宋体" w:cs="宋体"/>
                              </w:rPr>
                            </w:pPr>
                            <w:r>
                              <w:rPr>
                                <w:rFonts w:hint="eastAsia" w:ascii="宋体" w:hAnsi="宋体" w:eastAsia="宋体" w:cs="宋体"/>
                              </w:rPr>
                              <w:t>被授权人身份证正面</w:t>
                            </w:r>
                          </w:p>
                          <w:p w14:paraId="2CBB6DBA"/>
                          <w:p w14:paraId="30295703"/>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746E1282"/>
                    <w:p w14:paraId="78B15C1E">
                      <w:pPr>
                        <w:jc w:val="center"/>
                        <w:rPr>
                          <w:rFonts w:hAnsi="宋体"/>
                          <w:color w:val="FF0000"/>
                        </w:rPr>
                      </w:pPr>
                    </w:p>
                    <w:p w14:paraId="26D396CE">
                      <w:pPr>
                        <w:jc w:val="center"/>
                        <w:rPr>
                          <w:rFonts w:hAnsi="宋体"/>
                          <w:color w:val="FF0000"/>
                        </w:rPr>
                      </w:pPr>
                    </w:p>
                    <w:p w14:paraId="13F8D40A">
                      <w:pPr>
                        <w:jc w:val="center"/>
                        <w:rPr>
                          <w:rFonts w:hAnsi="宋体"/>
                          <w:color w:val="FF0000"/>
                        </w:rPr>
                      </w:pPr>
                    </w:p>
                    <w:p w14:paraId="046EC54D">
                      <w:pPr>
                        <w:jc w:val="center"/>
                        <w:rPr>
                          <w:rFonts w:hint="eastAsia" w:ascii="宋体" w:hAnsi="宋体" w:eastAsia="宋体" w:cs="宋体"/>
                        </w:rPr>
                      </w:pPr>
                      <w:r>
                        <w:rPr>
                          <w:rFonts w:hint="eastAsia" w:ascii="宋体" w:hAnsi="宋体" w:eastAsia="宋体" w:cs="宋体"/>
                        </w:rPr>
                        <w:t>被授权人身份证正面</w:t>
                      </w:r>
                    </w:p>
                    <w:p w14:paraId="2CBB6DBA"/>
                    <w:p w14:paraId="30295703"/>
                  </w:txbxContent>
                </v:textbox>
              </v:shape>
            </w:pict>
          </mc:Fallback>
        </mc:AlternateContent>
      </w:r>
    </w:p>
    <w:p w14:paraId="4D28548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7E2A63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84B200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A90969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D6056E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370FFBC">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1906" w:h="16838"/>
          <w:pgMar w:top="1191" w:right="1043" w:bottom="1191" w:left="1043" w:header="720" w:footer="720" w:gutter="0"/>
          <w:pgNumType w:fmt="decimal"/>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770AD087">
      <w:pPr>
        <w:pStyle w:val="6"/>
        <w:pageBreakBefore/>
        <w:spacing w:line="360" w:lineRule="auto"/>
        <w:rPr>
          <w:rFonts w:hint="eastAsia" w:hAnsi="宋体" w:eastAsia="宋体"/>
          <w:b/>
          <w:color w:val="auto"/>
          <w:sz w:val="30"/>
          <w:szCs w:val="30"/>
          <w:highlight w:val="none"/>
          <w:lang w:val="en-US" w:eastAsia="zh-CN"/>
        </w:rPr>
      </w:pPr>
      <w:bookmarkStart w:id="398" w:name="_Toc21989"/>
      <w:bookmarkStart w:id="399" w:name="_Toc15611"/>
      <w:bookmarkStart w:id="400" w:name="_Toc6745"/>
      <w:bookmarkStart w:id="401" w:name="_Toc2031_WPSOffice_Level2"/>
      <w:bookmarkStart w:id="402" w:name="_Toc104991881"/>
      <w:bookmarkStart w:id="403" w:name="_Toc102860423"/>
      <w:bookmarkStart w:id="404" w:name="_Toc94107215"/>
      <w:bookmarkStart w:id="405" w:name="_Toc1977731"/>
      <w:bookmarkStart w:id="406" w:name="_Toc160099516"/>
      <w:bookmarkStart w:id="407" w:name="_Toc140596934"/>
      <w:bookmarkStart w:id="408" w:name="_Toc486167714"/>
      <w:bookmarkStart w:id="409" w:name="_Toc102860079"/>
      <w:bookmarkStart w:id="410" w:name="_Toc533708126"/>
      <w:r>
        <w:rPr>
          <w:rFonts w:hint="eastAsia" w:hAnsi="宋体" w:cs="宋体"/>
          <w:b/>
          <w:color w:val="auto"/>
          <w:kern w:val="0"/>
          <w:sz w:val="32"/>
          <w:szCs w:val="32"/>
          <w:highlight w:val="none"/>
          <w:lang w:val="en-US" w:eastAsia="zh-CN"/>
        </w:rPr>
        <w:t>4</w:t>
      </w:r>
      <w:r>
        <w:rPr>
          <w:rFonts w:hint="eastAsia" w:ascii="宋体" w:hAnsi="宋体" w:eastAsia="宋体" w:cs="宋体"/>
          <w:b/>
          <w:color w:val="auto"/>
          <w:kern w:val="0"/>
          <w:sz w:val="32"/>
          <w:szCs w:val="32"/>
          <w:highlight w:val="none"/>
          <w:lang w:val="en-US" w:eastAsia="zh-CN"/>
        </w:rPr>
        <w:t>.</w:t>
      </w:r>
      <w:r>
        <w:rPr>
          <w:rFonts w:hint="eastAsia" w:hAnsi="宋体" w:cs="宋体"/>
          <w:b/>
          <w:color w:val="auto"/>
          <w:kern w:val="0"/>
          <w:sz w:val="32"/>
          <w:szCs w:val="32"/>
          <w:highlight w:val="none"/>
          <w:lang w:val="en-US" w:eastAsia="zh-CN"/>
        </w:rPr>
        <w:t xml:space="preserve">4 </w:t>
      </w:r>
      <w:r>
        <w:rPr>
          <w:rFonts w:hint="eastAsia" w:hAnsi="宋体"/>
          <w:b/>
          <w:bCs/>
          <w:color w:val="auto"/>
          <w:kern w:val="2"/>
          <w:sz w:val="32"/>
          <w:szCs w:val="32"/>
          <w:highlight w:val="none"/>
        </w:rPr>
        <w:t>资格业绩</w:t>
      </w:r>
      <w:r>
        <w:rPr>
          <w:rFonts w:hint="eastAsia" w:hAnsi="宋体"/>
          <w:b/>
          <w:bCs/>
          <w:color w:val="auto"/>
          <w:sz w:val="32"/>
          <w:szCs w:val="32"/>
          <w:highlight w:val="none"/>
        </w:rPr>
        <w:t>【响应供应商提供一份2022年1月1日以来具有一份</w:t>
      </w:r>
      <w:r>
        <w:rPr>
          <w:rFonts w:hint="eastAsia" w:hAnsi="宋体"/>
          <w:b/>
          <w:bCs/>
          <w:color w:val="auto"/>
          <w:sz w:val="32"/>
          <w:szCs w:val="32"/>
          <w:highlight w:val="none"/>
          <w:lang w:eastAsia="zh-CN"/>
        </w:rPr>
        <w:t>市政绿化迁移</w:t>
      </w:r>
      <w:r>
        <w:rPr>
          <w:rFonts w:hint="eastAsia" w:hAnsi="宋体"/>
          <w:b/>
          <w:bCs/>
          <w:color w:val="auto"/>
          <w:sz w:val="32"/>
          <w:szCs w:val="32"/>
          <w:highlight w:val="none"/>
        </w:rPr>
        <w:t>项目业绩（合同签订日期为2022年1月1日或以后</w:t>
      </w:r>
      <w:r>
        <w:rPr>
          <w:rFonts w:hint="eastAsia" w:hAnsi="宋体"/>
          <w:b/>
          <w:bCs/>
          <w:color w:val="auto"/>
          <w:sz w:val="32"/>
          <w:szCs w:val="32"/>
          <w:highlight w:val="none"/>
          <w:lang w:eastAsia="zh-CN"/>
        </w:rPr>
        <w:t>】</w:t>
      </w:r>
      <w:bookmarkEnd w:id="398"/>
      <w:bookmarkEnd w:id="399"/>
      <w:bookmarkEnd w:id="400"/>
    </w:p>
    <w:p w14:paraId="7A15BEE5">
      <w:pPr>
        <w:spacing w:line="360" w:lineRule="auto"/>
        <w:rPr>
          <w:rFonts w:hAnsi="宋体"/>
          <w:color w:val="auto"/>
          <w:szCs w:val="21"/>
          <w:highlight w:val="none"/>
          <w:lang w:val="zh-CN"/>
        </w:rPr>
      </w:pP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78"/>
        <w:gridCol w:w="1126"/>
        <w:gridCol w:w="1130"/>
        <w:gridCol w:w="1130"/>
        <w:gridCol w:w="1318"/>
        <w:gridCol w:w="1130"/>
        <w:gridCol w:w="1130"/>
        <w:gridCol w:w="1130"/>
        <w:gridCol w:w="930"/>
      </w:tblGrid>
      <w:tr w14:paraId="7C4A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97" w:type="pct"/>
            <w:noWrap w:val="0"/>
            <w:vAlign w:val="center"/>
          </w:tcPr>
          <w:p w14:paraId="2BE49D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74" w:type="pct"/>
            <w:noWrap w:val="0"/>
            <w:vAlign w:val="center"/>
          </w:tcPr>
          <w:p w14:paraId="0FF2DB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76" w:type="pct"/>
            <w:noWrap w:val="0"/>
            <w:vAlign w:val="center"/>
          </w:tcPr>
          <w:p w14:paraId="33F04C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76" w:type="pct"/>
            <w:noWrap w:val="0"/>
            <w:vAlign w:val="center"/>
          </w:tcPr>
          <w:p w14:paraId="0B6F12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672" w:type="pct"/>
            <w:noWrap w:val="0"/>
            <w:vAlign w:val="center"/>
          </w:tcPr>
          <w:p w14:paraId="5D7B8E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576" w:type="pct"/>
            <w:noWrap w:val="0"/>
            <w:vAlign w:val="center"/>
          </w:tcPr>
          <w:p w14:paraId="51ABF9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576" w:type="pct"/>
            <w:noWrap w:val="0"/>
            <w:vAlign w:val="center"/>
          </w:tcPr>
          <w:p w14:paraId="782FDD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576" w:type="pct"/>
            <w:noWrap w:val="0"/>
            <w:vAlign w:val="center"/>
          </w:tcPr>
          <w:p w14:paraId="741D7F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474" w:type="pct"/>
            <w:noWrap w:val="0"/>
            <w:vAlign w:val="center"/>
          </w:tcPr>
          <w:p w14:paraId="45A446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965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14:paraId="7DEF80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4" w:type="pct"/>
            <w:noWrap w:val="0"/>
            <w:vAlign w:val="center"/>
          </w:tcPr>
          <w:p w14:paraId="1A839D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4B14C8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3F6956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2" w:type="pct"/>
            <w:noWrap w:val="0"/>
            <w:vAlign w:val="center"/>
          </w:tcPr>
          <w:p w14:paraId="29B668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top"/>
          </w:tcPr>
          <w:p w14:paraId="53F813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399EE0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2C48F9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4" w:type="pct"/>
            <w:noWrap w:val="0"/>
            <w:vAlign w:val="center"/>
          </w:tcPr>
          <w:p w14:paraId="17B899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8BB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14:paraId="12B96B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4" w:type="pct"/>
            <w:noWrap w:val="0"/>
            <w:vAlign w:val="center"/>
          </w:tcPr>
          <w:p w14:paraId="4B7596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46E4BC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7246BC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2" w:type="pct"/>
            <w:noWrap w:val="0"/>
            <w:vAlign w:val="center"/>
          </w:tcPr>
          <w:p w14:paraId="7BFA74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top"/>
          </w:tcPr>
          <w:p w14:paraId="50E37E8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0D813F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6A0D0C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4" w:type="pct"/>
            <w:noWrap w:val="0"/>
            <w:vAlign w:val="center"/>
          </w:tcPr>
          <w:p w14:paraId="071CAA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5A9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14:paraId="742BB6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4" w:type="pct"/>
            <w:noWrap w:val="0"/>
            <w:vAlign w:val="center"/>
          </w:tcPr>
          <w:p w14:paraId="50FCAE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0A085C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262B86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2" w:type="pct"/>
            <w:noWrap w:val="0"/>
            <w:vAlign w:val="center"/>
          </w:tcPr>
          <w:p w14:paraId="566389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top"/>
          </w:tcPr>
          <w:p w14:paraId="09418A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0A1904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5B6EFC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4" w:type="pct"/>
            <w:noWrap w:val="0"/>
            <w:vAlign w:val="center"/>
          </w:tcPr>
          <w:p w14:paraId="41C991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367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14:paraId="48FC6E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4" w:type="pct"/>
            <w:noWrap w:val="0"/>
            <w:vAlign w:val="center"/>
          </w:tcPr>
          <w:p w14:paraId="75B3E9D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67A8C3F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709774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2" w:type="pct"/>
            <w:noWrap w:val="0"/>
            <w:vAlign w:val="center"/>
          </w:tcPr>
          <w:p w14:paraId="5426FF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top"/>
          </w:tcPr>
          <w:p w14:paraId="3D9460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0CCF7C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6" w:type="pct"/>
            <w:noWrap w:val="0"/>
            <w:vAlign w:val="center"/>
          </w:tcPr>
          <w:p w14:paraId="5D3569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4" w:type="pct"/>
            <w:noWrap w:val="0"/>
            <w:vAlign w:val="center"/>
          </w:tcPr>
          <w:p w14:paraId="02BDCC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729333D7">
      <w:pPr>
        <w:spacing w:line="360" w:lineRule="auto"/>
        <w:ind w:left="424" w:hanging="424" w:hangingChars="201"/>
        <w:rPr>
          <w:rFonts w:ascii="宋体" w:hAnsi="宋体" w:eastAsia="宋体" w:cs="宋体"/>
          <w:b/>
          <w:color w:val="auto"/>
          <w:szCs w:val="21"/>
          <w:highlight w:val="none"/>
          <w:lang w:val="zh-CN"/>
        </w:rPr>
      </w:pPr>
    </w:p>
    <w:p w14:paraId="2D2A523E">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5FD8A372">
      <w:pPr>
        <w:spacing w:line="360" w:lineRule="auto"/>
        <w:ind w:left="424" w:hanging="422" w:hangingChars="201"/>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（1）</w:t>
      </w:r>
      <w:r>
        <w:rPr>
          <w:rFonts w:hint="eastAsia" w:ascii="宋体" w:hAnsi="宋体" w:eastAsia="宋体" w:cs="宋体"/>
          <w:b w:val="0"/>
          <w:bCs w:val="0"/>
          <w:color w:val="auto"/>
          <w:szCs w:val="21"/>
          <w:highlight w:val="none"/>
        </w:rPr>
        <w:t>作为</w:t>
      </w:r>
      <w:r>
        <w:rPr>
          <w:rFonts w:hint="eastAsia" w:ascii="宋体" w:hAnsi="宋体" w:eastAsia="宋体" w:cs="宋体"/>
          <w:b w:val="0"/>
          <w:bCs w:val="0"/>
          <w:color w:val="auto"/>
          <w:szCs w:val="21"/>
          <w:highlight w:val="none"/>
          <w:lang w:val="en-US" w:eastAsia="zh-CN"/>
        </w:rPr>
        <w:t>响应供应商</w:t>
      </w:r>
      <w:r>
        <w:rPr>
          <w:rFonts w:hint="eastAsia" w:ascii="宋体" w:hAnsi="宋体" w:eastAsia="宋体" w:cs="宋体"/>
          <w:b w:val="0"/>
          <w:bCs w:val="0"/>
          <w:color w:val="auto"/>
          <w:szCs w:val="21"/>
          <w:highlight w:val="none"/>
        </w:rPr>
        <w:t>资格条件证明的业绩放置在此处</w:t>
      </w:r>
      <w:r>
        <w:rPr>
          <w:rFonts w:hint="eastAsia" w:ascii="宋体" w:hAnsi="宋体" w:eastAsia="宋体" w:cs="宋体"/>
          <w:b w:val="0"/>
          <w:bCs w:val="0"/>
          <w:color w:val="auto"/>
          <w:szCs w:val="21"/>
          <w:highlight w:val="none"/>
          <w:lang w:val="zh-CN"/>
        </w:rPr>
        <w:t>。</w:t>
      </w:r>
    </w:p>
    <w:p w14:paraId="59A2910A">
      <w:pPr>
        <w:spacing w:line="360" w:lineRule="auto"/>
        <w:ind w:left="422" w:hanging="422" w:hangingChars="201"/>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（2）</w:t>
      </w:r>
      <w:r>
        <w:rPr>
          <w:rFonts w:hint="eastAsia" w:ascii="宋体" w:hAnsi="宋体" w:eastAsia="宋体" w:cs="宋体"/>
          <w:b w:val="0"/>
          <w:bCs w:val="0"/>
          <w:color w:val="auto"/>
          <w:szCs w:val="21"/>
          <w:highlight w:val="none"/>
        </w:rPr>
        <w:t>业绩须附合同复印件加盖</w:t>
      </w:r>
      <w:r>
        <w:rPr>
          <w:rFonts w:hint="eastAsia" w:ascii="宋体" w:hAnsi="宋体" w:eastAsia="宋体" w:cs="宋体"/>
          <w:b w:val="0"/>
          <w:bCs w:val="0"/>
          <w:color w:val="auto"/>
          <w:szCs w:val="21"/>
          <w:highlight w:val="none"/>
          <w:lang w:eastAsia="zh-CN"/>
        </w:rPr>
        <w:t>响应供应商</w:t>
      </w:r>
      <w:r>
        <w:rPr>
          <w:rFonts w:hint="eastAsia" w:ascii="宋体" w:hAnsi="宋体" w:eastAsia="宋体" w:cs="宋体"/>
          <w:b w:val="0"/>
          <w:bCs w:val="0"/>
          <w:color w:val="auto"/>
          <w:szCs w:val="21"/>
          <w:highlight w:val="none"/>
        </w:rPr>
        <w:t>公章</w:t>
      </w:r>
      <w:r>
        <w:rPr>
          <w:rFonts w:hint="eastAsia" w:ascii="宋体" w:hAnsi="宋体" w:eastAsia="宋体" w:cs="宋体"/>
          <w:b w:val="0"/>
          <w:bCs w:val="0"/>
          <w:color w:val="auto"/>
          <w:szCs w:val="21"/>
          <w:highlight w:val="none"/>
          <w:lang w:val="zh-CN"/>
        </w:rPr>
        <w:t>。</w:t>
      </w:r>
    </w:p>
    <w:p w14:paraId="777EE174">
      <w:pPr>
        <w:tabs>
          <w:tab w:val="left" w:pos="567"/>
        </w:tabs>
        <w:autoSpaceDE w:val="0"/>
        <w:autoSpaceDN w:val="0"/>
        <w:adjustRightInd w:val="0"/>
        <w:spacing w:line="360" w:lineRule="auto"/>
        <w:jc w:val="left"/>
        <w:outlineLvl w:val="9"/>
        <w:rPr>
          <w:rFonts w:hint="eastAsia" w:ascii="宋体" w:hAnsi="宋体" w:eastAsia="宋体" w:cs="宋体"/>
          <w:b w:val="0"/>
          <w:bCs w:val="0"/>
          <w:color w:val="auto"/>
          <w:szCs w:val="21"/>
          <w:highlight w:val="none"/>
          <w:lang w:val="zh-CN"/>
        </w:rPr>
      </w:pPr>
      <w:bookmarkStart w:id="411" w:name="_Toc14967"/>
      <w:bookmarkStart w:id="412" w:name="_Toc6253"/>
      <w:r>
        <w:rPr>
          <w:rFonts w:hint="eastAsia" w:ascii="宋体" w:hAnsi="宋体" w:eastAsia="宋体" w:cs="宋体"/>
          <w:b w:val="0"/>
          <w:bCs w:val="0"/>
          <w:color w:val="auto"/>
          <w:szCs w:val="21"/>
          <w:highlight w:val="none"/>
          <w:lang w:val="zh-CN"/>
        </w:rPr>
        <w:t>（3）</w:t>
      </w:r>
      <w:bookmarkEnd w:id="411"/>
      <w:bookmarkEnd w:id="412"/>
      <w:r>
        <w:rPr>
          <w:rFonts w:hint="eastAsia" w:ascii="宋体" w:hAnsi="宋体" w:eastAsia="宋体" w:cs="宋体"/>
          <w:b w:val="0"/>
          <w:bCs w:val="0"/>
          <w:color w:val="auto"/>
          <w:szCs w:val="21"/>
          <w:highlight w:val="none"/>
          <w:lang w:val="zh-CN"/>
        </w:rPr>
        <w:t>若合同无法反映资格业绩条件的（合同签订日期为20</w:t>
      </w:r>
      <w:r>
        <w:rPr>
          <w:rFonts w:hint="eastAsia" w:ascii="宋体" w:hAnsi="宋体" w:eastAsia="宋体" w:cs="宋体"/>
          <w:b w:val="0"/>
          <w:bCs w:val="0"/>
          <w:color w:val="auto"/>
          <w:szCs w:val="21"/>
          <w:highlight w:val="none"/>
          <w:lang w:val="en-US" w:eastAsia="zh-CN"/>
        </w:rPr>
        <w:t>22</w:t>
      </w:r>
      <w:r>
        <w:rPr>
          <w:rFonts w:hint="eastAsia" w:ascii="宋体" w:hAnsi="宋体" w:eastAsia="宋体" w:cs="宋体"/>
          <w:b w:val="0"/>
          <w:bCs w:val="0"/>
          <w:color w:val="auto"/>
          <w:szCs w:val="21"/>
          <w:highlight w:val="none"/>
          <w:lang w:val="zh-CN"/>
        </w:rPr>
        <w:t>年1月1日或以后，合同标的必须包含市政绿化迁移），还需提供合同买方出具的书面补充情况说明文件复印件作为辅助证明（补充说明文件复印件能显示合同买方公章）。</w:t>
      </w:r>
    </w:p>
    <w:p w14:paraId="3AC3967F">
      <w:pPr>
        <w:tabs>
          <w:tab w:val="left" w:pos="567"/>
        </w:tabs>
        <w:autoSpaceDE w:val="0"/>
        <w:autoSpaceDN w:val="0"/>
        <w:adjustRightInd w:val="0"/>
        <w:spacing w:line="360" w:lineRule="auto"/>
        <w:jc w:val="left"/>
        <w:outlineLvl w:val="9"/>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w:t>
      </w: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zh-CN"/>
        </w:rPr>
        <w:t>）未按上述要求在此格式下提供证明材料的业绩，或在此格式下所附材料无法证明符合资格要求的业绩，按无效</w:t>
      </w:r>
      <w:r>
        <w:rPr>
          <w:rFonts w:hint="eastAsia" w:ascii="宋体" w:hAnsi="宋体" w:eastAsia="宋体" w:cs="宋体"/>
          <w:b w:val="0"/>
          <w:bCs w:val="0"/>
          <w:color w:val="auto"/>
          <w:szCs w:val="21"/>
          <w:highlight w:val="none"/>
          <w:lang w:val="en-US" w:eastAsia="zh-CN"/>
        </w:rPr>
        <w:t>响应</w:t>
      </w:r>
      <w:r>
        <w:rPr>
          <w:rFonts w:hint="eastAsia" w:ascii="宋体" w:hAnsi="宋体" w:eastAsia="宋体" w:cs="宋体"/>
          <w:b w:val="0"/>
          <w:bCs w:val="0"/>
          <w:color w:val="auto"/>
          <w:szCs w:val="21"/>
          <w:highlight w:val="none"/>
          <w:lang w:val="zh-CN"/>
        </w:rPr>
        <w:t>文件处理。</w:t>
      </w:r>
    </w:p>
    <w:p w14:paraId="2D824370">
      <w:pPr>
        <w:rPr>
          <w:rFonts w:hint="eastAsia" w:ascii="宋体" w:hAnsi="宋体" w:eastAsia="宋体" w:cs="宋体"/>
          <w:b/>
          <w:color w:val="auto"/>
          <w:kern w:val="0"/>
          <w:sz w:val="32"/>
          <w:szCs w:val="32"/>
          <w:highlight w:val="none"/>
          <w:lang w:val="en-US" w:eastAsia="zh-CN"/>
        </w:rPr>
      </w:pPr>
      <w:bookmarkStart w:id="413" w:name="_Toc419"/>
      <w:r>
        <w:rPr>
          <w:rFonts w:hint="eastAsia" w:ascii="宋体" w:hAnsi="宋体" w:eastAsia="宋体" w:cs="宋体"/>
          <w:b/>
          <w:color w:val="auto"/>
          <w:kern w:val="0"/>
          <w:sz w:val="32"/>
          <w:szCs w:val="32"/>
          <w:highlight w:val="none"/>
          <w:lang w:val="en-US" w:eastAsia="zh-CN"/>
        </w:rPr>
        <w:br w:type="page"/>
      </w:r>
    </w:p>
    <w:p w14:paraId="37065110">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414" w:name="_Toc18063"/>
      <w:bookmarkStart w:id="415" w:name="_Toc16426"/>
      <w:r>
        <w:rPr>
          <w:rFonts w:hint="eastAsia" w:ascii="宋体" w:hAnsi="宋体" w:eastAsia="宋体" w:cs="宋体"/>
          <w:b/>
          <w:color w:val="auto"/>
          <w:kern w:val="0"/>
          <w:sz w:val="32"/>
          <w:szCs w:val="32"/>
          <w:highlight w:val="none"/>
          <w:lang w:val="en-US" w:eastAsia="zh-CN"/>
        </w:rPr>
        <w:t xml:space="preserve">4.5 </w:t>
      </w:r>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eastAsia="zh-CN"/>
        </w:rPr>
        <w:t>响应供应商</w:t>
      </w:r>
      <w:r>
        <w:rPr>
          <w:rFonts w:hint="eastAsia" w:ascii="宋体" w:hAnsi="宋体" w:eastAsia="宋体" w:cs="宋体"/>
          <w:b/>
          <w:color w:val="auto"/>
          <w:kern w:val="0"/>
          <w:sz w:val="30"/>
          <w:szCs w:val="30"/>
          <w:highlight w:val="none"/>
        </w:rPr>
        <w:t>牵涉的其他（失信和违法）处罚说明格式</w:t>
      </w:r>
      <w:bookmarkEnd w:id="413"/>
      <w:bookmarkEnd w:id="414"/>
      <w:bookmarkEnd w:id="415"/>
    </w:p>
    <w:p w14:paraId="378BAA69">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eastAsia="zh-CN"/>
        </w:rPr>
        <w:t>响应供应商</w:t>
      </w:r>
      <w:r>
        <w:rPr>
          <w:rFonts w:hint="eastAsia" w:ascii="宋体" w:hAnsi="宋体" w:eastAsia="宋体" w:cs="宋体"/>
          <w:b/>
          <w:color w:val="auto"/>
          <w:kern w:val="0"/>
          <w:sz w:val="30"/>
          <w:szCs w:val="30"/>
          <w:highlight w:val="none"/>
        </w:rPr>
        <w:t>牵涉的其他（失信和违法）</w:t>
      </w:r>
      <w:r>
        <w:rPr>
          <w:rFonts w:hint="eastAsia" w:ascii="宋体" w:hAnsi="宋体" w:eastAsia="宋体" w:cs="宋体"/>
          <w:b/>
          <w:bCs/>
          <w:color w:val="auto"/>
          <w:sz w:val="32"/>
          <w:szCs w:val="32"/>
          <w:highlight w:val="none"/>
          <w:lang w:val="zh-CN"/>
        </w:rPr>
        <w:t>处罚说明</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BE5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50C3D8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62C883B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78F74EF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46273BA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495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66E7F0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11D955E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0D1AC0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0D0E8D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CD2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39B2D18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1966758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0E8DD27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0AA1C32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5D0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1721C88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721C786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28F590C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7488398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708760A3">
      <w:pPr>
        <w:autoSpaceDE w:val="0"/>
        <w:autoSpaceDN w:val="0"/>
        <w:adjustRightInd w:val="0"/>
        <w:spacing w:line="360" w:lineRule="auto"/>
        <w:jc w:val="left"/>
        <w:rPr>
          <w:rFonts w:ascii="宋体" w:hAnsi="宋体" w:eastAsia="宋体" w:cs="宋体"/>
          <w:color w:val="auto"/>
          <w:kern w:val="0"/>
          <w:szCs w:val="21"/>
          <w:highlight w:val="none"/>
        </w:rPr>
      </w:pPr>
    </w:p>
    <w:p w14:paraId="4807BEC7">
      <w:pPr>
        <w:autoSpaceDE w:val="0"/>
        <w:autoSpaceDN w:val="0"/>
        <w:adjustRightInd w:val="0"/>
        <w:spacing w:line="360" w:lineRule="auto"/>
        <w:jc w:val="left"/>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w:t>
      </w:r>
      <w:r>
        <w:rPr>
          <w:rFonts w:hint="eastAsia" w:ascii="宋体" w:hAnsi="宋体" w:eastAsia="宋体" w:cs="宋体"/>
          <w:color w:val="auto"/>
          <w:kern w:val="0"/>
          <w:szCs w:val="21"/>
          <w:highlight w:val="none"/>
          <w:lang w:eastAsia="zh-CN"/>
        </w:rPr>
        <w:t>响应供应商</w:t>
      </w:r>
      <w:r>
        <w:rPr>
          <w:rFonts w:hint="eastAsia" w:ascii="宋体" w:hAnsi="宋体" w:eastAsia="宋体" w:cs="宋体"/>
          <w:color w:val="auto"/>
          <w:kern w:val="0"/>
          <w:szCs w:val="21"/>
          <w:highlight w:val="none"/>
        </w:rPr>
        <w:t>及其不具有独立法人资格的分支机构的实际情况自行编写，无相关事项的，在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宋体"/>
          <w:color w:val="auto"/>
          <w:kern w:val="0"/>
          <w:szCs w:val="21"/>
          <w:highlight w:val="none"/>
          <w:lang w:eastAsia="zh-CN"/>
        </w:rPr>
        <w:t>响应供应商</w:t>
      </w:r>
      <w:r>
        <w:rPr>
          <w:rFonts w:hint="eastAsia" w:ascii="宋体" w:hAnsi="宋体" w:eastAsia="宋体" w:cs="宋体"/>
          <w:color w:val="auto"/>
          <w:kern w:val="0"/>
          <w:szCs w:val="21"/>
          <w:highlight w:val="none"/>
        </w:rPr>
        <w:t>须提供相关材料(复印件)佐证，需原件备查</w:t>
      </w:r>
      <w:r>
        <w:rPr>
          <w:rFonts w:hint="eastAsia" w:ascii="宋体" w:hAnsi="宋体" w:eastAsia="宋体" w:cs="宋体"/>
          <w:color w:val="auto"/>
          <w:szCs w:val="21"/>
          <w:highlight w:val="none"/>
          <w:lang w:val="zh-CN"/>
        </w:rPr>
        <w:t>。</w:t>
      </w:r>
    </w:p>
    <w:p w14:paraId="3272F7AE">
      <w:pPr>
        <w:autoSpaceDE w:val="0"/>
        <w:autoSpaceDN w:val="0"/>
        <w:adjustRightInd w:val="0"/>
        <w:spacing w:line="360" w:lineRule="auto"/>
        <w:jc w:val="left"/>
        <w:rPr>
          <w:rFonts w:hint="eastAsia" w:ascii="宋体" w:hAnsi="宋体" w:eastAsia="宋体" w:cs="宋体"/>
          <w:color w:val="auto"/>
          <w:szCs w:val="24"/>
          <w:highlight w:val="none"/>
          <w:lang w:val="zh-CN"/>
        </w:rPr>
      </w:pPr>
    </w:p>
    <w:p w14:paraId="37A6D89C">
      <w:pPr>
        <w:autoSpaceDE w:val="0"/>
        <w:autoSpaceDN w:val="0"/>
        <w:adjustRightInd w:val="0"/>
        <w:spacing w:line="360" w:lineRule="auto"/>
        <w:jc w:val="left"/>
        <w:rPr>
          <w:rFonts w:hint="eastAsia" w:ascii="宋体" w:hAnsi="宋体" w:eastAsia="宋体" w:cs="宋体"/>
          <w:color w:val="auto"/>
          <w:szCs w:val="24"/>
          <w:highlight w:val="none"/>
          <w:lang w:val="zh-CN"/>
        </w:rPr>
      </w:pPr>
    </w:p>
    <w:p w14:paraId="341FC63C">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响应供应商</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（加盖响应供应商法人公章）</w:t>
      </w:r>
    </w:p>
    <w:p w14:paraId="782DF441">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BD4C0CE">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p>
    <w:p w14:paraId="5CAEB125">
      <w:pPr>
        <w:rPr>
          <w:rFonts w:hint="eastAsia" w:ascii="宋体" w:hAnsi="宋体" w:eastAsia="宋体" w:cs="宋体"/>
          <w:b/>
          <w:color w:val="auto"/>
          <w:kern w:val="0"/>
          <w:sz w:val="32"/>
          <w:szCs w:val="32"/>
          <w:highlight w:val="none"/>
        </w:rPr>
      </w:pPr>
    </w:p>
    <w:p w14:paraId="218D9562">
      <w:pPr>
        <w:rPr>
          <w:rFonts w:ascii="宋体" w:hAnsi="宋体" w:eastAsia="宋体" w:cs="宋体"/>
          <w:color w:val="auto"/>
          <w:szCs w:val="24"/>
          <w:highlight w:val="none"/>
          <w:lang w:val="zh-CN"/>
        </w:rPr>
      </w:pPr>
      <w:r>
        <w:rPr>
          <w:rFonts w:hint="eastAsia" w:ascii="宋体" w:hAnsi="宋体" w:eastAsia="宋体" w:cs="宋体"/>
          <w:b/>
          <w:color w:val="auto"/>
          <w:kern w:val="0"/>
          <w:sz w:val="32"/>
          <w:szCs w:val="32"/>
          <w:highlight w:val="none"/>
          <w:lang w:val="en-US" w:eastAsia="zh-CN"/>
        </w:rPr>
        <w:br w:type="page"/>
      </w:r>
    </w:p>
    <w:p w14:paraId="39462B39">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416" w:name="_Toc5053"/>
      <w:bookmarkStart w:id="417" w:name="_Toc18849"/>
      <w:bookmarkStart w:id="418" w:name="_Toc5475"/>
      <w:r>
        <w:rPr>
          <w:rFonts w:hint="eastAsia" w:ascii="宋体" w:hAnsi="宋体" w:eastAsia="宋体" w:cs="宋体"/>
          <w:b/>
          <w:color w:val="auto"/>
          <w:sz w:val="32"/>
          <w:szCs w:val="32"/>
          <w:highlight w:val="none"/>
          <w:lang w:val="zh-CN"/>
        </w:rPr>
        <w:t>五</w:t>
      </w:r>
      <w:r>
        <w:rPr>
          <w:rFonts w:hint="eastAsia" w:ascii="宋体" w:hAnsi="宋体" w:eastAsia="宋体" w:cs="宋体"/>
          <w:b/>
          <w:color w:val="auto"/>
          <w:kern w:val="0"/>
          <w:sz w:val="32"/>
          <w:szCs w:val="32"/>
          <w:highlight w:val="none"/>
        </w:rPr>
        <w:t>、供应商基本情况一览表</w:t>
      </w:r>
      <w:bookmarkEnd w:id="401"/>
      <w:bookmarkEnd w:id="402"/>
      <w:bookmarkEnd w:id="403"/>
      <w:bookmarkEnd w:id="404"/>
      <w:bookmarkEnd w:id="405"/>
      <w:bookmarkEnd w:id="406"/>
      <w:bookmarkEnd w:id="407"/>
      <w:bookmarkEnd w:id="408"/>
      <w:bookmarkEnd w:id="409"/>
      <w:bookmarkEnd w:id="410"/>
      <w:bookmarkEnd w:id="416"/>
      <w:bookmarkEnd w:id="417"/>
      <w:bookmarkEnd w:id="418"/>
    </w:p>
    <w:p w14:paraId="0292641A">
      <w:pPr>
        <w:autoSpaceDE w:val="0"/>
        <w:autoSpaceDN w:val="0"/>
        <w:adjustRightInd w:val="0"/>
        <w:spacing w:line="360" w:lineRule="auto"/>
        <w:jc w:val="center"/>
        <w:rPr>
          <w:rFonts w:ascii="宋体" w:hAnsi="宋体" w:eastAsia="宋体" w:cs="宋体"/>
          <w:b/>
          <w:bCs/>
          <w:color w:val="auto"/>
          <w:sz w:val="30"/>
          <w:szCs w:val="30"/>
          <w:highlight w:val="none"/>
        </w:rPr>
      </w:pPr>
      <w:bookmarkStart w:id="419" w:name="_Toc2773_WPSOffice_Level3"/>
      <w:r>
        <w:rPr>
          <w:rFonts w:hint="eastAsia" w:ascii="宋体" w:hAnsi="宋体" w:eastAsia="宋体" w:cs="宋体"/>
          <w:b/>
          <w:bCs/>
          <w:color w:val="auto"/>
          <w:sz w:val="30"/>
          <w:szCs w:val="30"/>
          <w:highlight w:val="none"/>
          <w:lang w:val="zh-CN"/>
        </w:rPr>
        <w:t>供应商基本情况一览表</w:t>
      </w:r>
      <w:bookmarkEnd w:id="419"/>
    </w:p>
    <w:p w14:paraId="143DF8BE">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6D013FF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（1）响应供应商名称：________________________________________</w:t>
      </w:r>
    </w:p>
    <w:p w14:paraId="672BB89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69F7292F">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5E8A4F3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12141ED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6D2777D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550C7A6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6ED744A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7403167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622A2EB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0975F183">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1F90CA5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74B6113C">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251FC6F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6027FD1B">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7397BAB6">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7775948D">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3A8BA846">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32956221">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4921040C">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50146FED">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2024348E">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5E96A22A">
      <w:pPr>
        <w:autoSpaceDE w:val="0"/>
        <w:autoSpaceDN w:val="0"/>
        <w:adjustRightInd w:val="0"/>
        <w:spacing w:line="360" w:lineRule="auto"/>
        <w:ind w:firstLine="420" w:firstLineChars="200"/>
        <w:rPr>
          <w:rFonts w:ascii="宋体" w:hAnsi="宋体" w:eastAsia="宋体" w:cs="宋体"/>
          <w:color w:val="auto"/>
          <w:szCs w:val="24"/>
          <w:highlight w:val="none"/>
        </w:rPr>
      </w:pPr>
    </w:p>
    <w:p w14:paraId="14150E5A">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响应供应商</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（加盖响应供应商法人公章）</w:t>
      </w:r>
    </w:p>
    <w:p w14:paraId="69B2737D">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440ADCA5">
      <w:pPr>
        <w:rPr>
          <w:rFonts w:hint="eastAsia" w:ascii="宋体" w:hAnsi="宋体" w:eastAsia="宋体" w:cs="宋体"/>
          <w:b/>
          <w:color w:val="auto"/>
          <w:kern w:val="0"/>
          <w:sz w:val="32"/>
          <w:szCs w:val="32"/>
          <w:highlight w:val="none"/>
          <w:lang w:val="zh-CN"/>
        </w:rPr>
      </w:pPr>
      <w:bookmarkStart w:id="420" w:name="_Toc160099517"/>
      <w:bookmarkStart w:id="421" w:name="_Toc140596936"/>
      <w:bookmarkStart w:id="422" w:name="_Toc739_WPSOffice_Level2"/>
      <w:bookmarkStart w:id="423" w:name="_Toc104991883"/>
      <w:bookmarkStart w:id="424" w:name="_Toc102860425"/>
      <w:bookmarkStart w:id="425" w:name="_Toc486167716"/>
      <w:bookmarkStart w:id="426" w:name="_Toc94107217"/>
      <w:bookmarkStart w:id="427" w:name="_Toc102860081"/>
      <w:bookmarkStart w:id="428" w:name="_Toc533708130"/>
      <w:bookmarkStart w:id="429" w:name="_Toc1977736"/>
    </w:p>
    <w:p w14:paraId="5D4476F9">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1913CAE3">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430" w:name="_Toc8715"/>
      <w:bookmarkStart w:id="431" w:name="_Toc24129"/>
      <w:bookmarkStart w:id="432" w:name="_Toc31770"/>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lang w:val="zh-CN"/>
        </w:rPr>
        <w:t>合同条款偏离表格式</w:t>
      </w:r>
      <w:bookmarkEnd w:id="420"/>
      <w:bookmarkEnd w:id="421"/>
      <w:bookmarkEnd w:id="422"/>
      <w:bookmarkEnd w:id="423"/>
      <w:bookmarkEnd w:id="424"/>
      <w:bookmarkEnd w:id="425"/>
      <w:bookmarkEnd w:id="426"/>
      <w:bookmarkEnd w:id="427"/>
      <w:bookmarkEnd w:id="428"/>
      <w:bookmarkEnd w:id="429"/>
      <w:bookmarkEnd w:id="430"/>
      <w:bookmarkEnd w:id="431"/>
      <w:bookmarkEnd w:id="432"/>
    </w:p>
    <w:p w14:paraId="32296F38">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433" w:name="_Toc26412_WPSOffice_Level3"/>
      <w:r>
        <w:rPr>
          <w:rFonts w:hint="eastAsia" w:ascii="宋体" w:hAnsi="宋体" w:eastAsia="宋体" w:cs="宋体"/>
          <w:b/>
          <w:bCs/>
          <w:color w:val="auto"/>
          <w:kern w:val="0"/>
          <w:sz w:val="28"/>
          <w:szCs w:val="30"/>
          <w:highlight w:val="none"/>
          <w:lang w:val="zh-CN"/>
        </w:rPr>
        <w:t>东莞市东宝路、东城东路中间绿化带苗木移栽项目合同条款偏离表</w:t>
      </w:r>
      <w:bookmarkEnd w:id="433"/>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0F08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405B2A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64E857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谈判文件要求</w:t>
            </w:r>
          </w:p>
        </w:tc>
        <w:tc>
          <w:tcPr>
            <w:tcW w:w="4870" w:type="dxa"/>
            <w:gridSpan w:val="2"/>
            <w:vAlign w:val="center"/>
          </w:tcPr>
          <w:p w14:paraId="61F8191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响应文件内容</w:t>
            </w:r>
          </w:p>
        </w:tc>
      </w:tr>
      <w:tr w14:paraId="6D44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FFFD92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2A32F2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4AD4C9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35E7EF9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431397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5A54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453F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6656AB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第一条</w:t>
            </w:r>
          </w:p>
        </w:tc>
        <w:tc>
          <w:tcPr>
            <w:tcW w:w="3055" w:type="dxa"/>
            <w:vAlign w:val="center"/>
          </w:tcPr>
          <w:p w14:paraId="43470D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项目概况</w:t>
            </w:r>
          </w:p>
        </w:tc>
        <w:tc>
          <w:tcPr>
            <w:tcW w:w="1346" w:type="dxa"/>
            <w:vAlign w:val="center"/>
          </w:tcPr>
          <w:p w14:paraId="7A4D1EF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51550B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599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83081E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3182456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w:t>
            </w:r>
          </w:p>
        </w:tc>
        <w:tc>
          <w:tcPr>
            <w:tcW w:w="3055" w:type="dxa"/>
            <w:vAlign w:val="center"/>
          </w:tcPr>
          <w:p w14:paraId="4149BD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工作范围及内容</w:t>
            </w:r>
          </w:p>
        </w:tc>
        <w:tc>
          <w:tcPr>
            <w:tcW w:w="1346" w:type="dxa"/>
            <w:vAlign w:val="center"/>
          </w:tcPr>
          <w:p w14:paraId="173C11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ADDDF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93F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EF08A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0A4AC6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w:t>
            </w:r>
          </w:p>
        </w:tc>
        <w:tc>
          <w:tcPr>
            <w:tcW w:w="3055" w:type="dxa"/>
            <w:vAlign w:val="center"/>
          </w:tcPr>
          <w:p w14:paraId="2364320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技术要求</w:t>
            </w:r>
          </w:p>
        </w:tc>
        <w:tc>
          <w:tcPr>
            <w:tcW w:w="1346" w:type="dxa"/>
            <w:vAlign w:val="center"/>
          </w:tcPr>
          <w:p w14:paraId="4DF2B9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B4B0F6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779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E159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73D7E4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第四条</w:t>
            </w:r>
          </w:p>
        </w:tc>
        <w:tc>
          <w:tcPr>
            <w:tcW w:w="3055" w:type="dxa"/>
            <w:vAlign w:val="center"/>
          </w:tcPr>
          <w:p w14:paraId="3B8167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交付成果资料</w:t>
            </w:r>
          </w:p>
        </w:tc>
        <w:tc>
          <w:tcPr>
            <w:tcW w:w="1346" w:type="dxa"/>
            <w:vAlign w:val="center"/>
          </w:tcPr>
          <w:p w14:paraId="7A7DA5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6FBA0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3A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4F0923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6BD8E1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w:t>
            </w:r>
          </w:p>
        </w:tc>
        <w:tc>
          <w:tcPr>
            <w:tcW w:w="3055" w:type="dxa"/>
            <w:vAlign w:val="center"/>
          </w:tcPr>
          <w:p w14:paraId="36D6A0E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质量标准与验收</w:t>
            </w:r>
          </w:p>
        </w:tc>
        <w:tc>
          <w:tcPr>
            <w:tcW w:w="1346" w:type="dxa"/>
            <w:vAlign w:val="center"/>
          </w:tcPr>
          <w:p w14:paraId="47BDB3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A6169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27C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CB64F5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589BDE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第六条</w:t>
            </w:r>
          </w:p>
        </w:tc>
        <w:tc>
          <w:tcPr>
            <w:tcW w:w="3055" w:type="dxa"/>
            <w:vAlign w:val="center"/>
          </w:tcPr>
          <w:p w14:paraId="564062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人员要求</w:t>
            </w:r>
          </w:p>
        </w:tc>
        <w:tc>
          <w:tcPr>
            <w:tcW w:w="1346" w:type="dxa"/>
            <w:vAlign w:val="center"/>
          </w:tcPr>
          <w:p w14:paraId="413BDB1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D916F9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50D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E1EDE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648435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第七条</w:t>
            </w:r>
          </w:p>
        </w:tc>
        <w:tc>
          <w:tcPr>
            <w:tcW w:w="3055" w:type="dxa"/>
            <w:vAlign w:val="center"/>
          </w:tcPr>
          <w:p w14:paraId="223AFC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其他要求</w:t>
            </w:r>
          </w:p>
        </w:tc>
        <w:tc>
          <w:tcPr>
            <w:tcW w:w="1346" w:type="dxa"/>
            <w:vAlign w:val="center"/>
          </w:tcPr>
          <w:p w14:paraId="4931E6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F79E9C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751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37D1B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61C15F9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第八条</w:t>
            </w:r>
          </w:p>
        </w:tc>
        <w:tc>
          <w:tcPr>
            <w:tcW w:w="3055" w:type="dxa"/>
            <w:vAlign w:val="center"/>
          </w:tcPr>
          <w:p w14:paraId="444B3FE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合同价款与结算</w:t>
            </w:r>
          </w:p>
        </w:tc>
        <w:tc>
          <w:tcPr>
            <w:tcW w:w="1346" w:type="dxa"/>
            <w:vAlign w:val="center"/>
          </w:tcPr>
          <w:p w14:paraId="05303A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427B40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7AD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DFCD9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1ACF3D2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第九条</w:t>
            </w:r>
          </w:p>
        </w:tc>
        <w:tc>
          <w:tcPr>
            <w:tcW w:w="3055" w:type="dxa"/>
            <w:vAlign w:val="center"/>
          </w:tcPr>
          <w:p w14:paraId="2BFCE1D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履约担保</w:t>
            </w:r>
          </w:p>
        </w:tc>
        <w:tc>
          <w:tcPr>
            <w:tcW w:w="1346" w:type="dxa"/>
            <w:vAlign w:val="center"/>
          </w:tcPr>
          <w:p w14:paraId="7A02E12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4450A6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F19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2F230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325568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第十条</w:t>
            </w:r>
          </w:p>
        </w:tc>
        <w:tc>
          <w:tcPr>
            <w:tcW w:w="3055" w:type="dxa"/>
            <w:vAlign w:val="center"/>
          </w:tcPr>
          <w:p w14:paraId="6AD011A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违约责任</w:t>
            </w:r>
          </w:p>
        </w:tc>
        <w:tc>
          <w:tcPr>
            <w:tcW w:w="1346" w:type="dxa"/>
            <w:vAlign w:val="center"/>
          </w:tcPr>
          <w:p w14:paraId="2F6E59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CDF3A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C8D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C7BF95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6349BB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第十一条</w:t>
            </w:r>
          </w:p>
        </w:tc>
        <w:tc>
          <w:tcPr>
            <w:tcW w:w="3055" w:type="dxa"/>
            <w:vAlign w:val="center"/>
          </w:tcPr>
          <w:p w14:paraId="03E7608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不可抗力</w:t>
            </w:r>
          </w:p>
        </w:tc>
        <w:tc>
          <w:tcPr>
            <w:tcW w:w="1346" w:type="dxa"/>
            <w:vAlign w:val="center"/>
          </w:tcPr>
          <w:p w14:paraId="2EE53F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E994A7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A62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A2EB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653F97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第十二条</w:t>
            </w:r>
          </w:p>
        </w:tc>
        <w:tc>
          <w:tcPr>
            <w:tcW w:w="3055" w:type="dxa"/>
            <w:vAlign w:val="center"/>
          </w:tcPr>
          <w:p w14:paraId="3F93F74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争议解决</w:t>
            </w:r>
          </w:p>
        </w:tc>
        <w:tc>
          <w:tcPr>
            <w:tcW w:w="1346" w:type="dxa"/>
            <w:vAlign w:val="center"/>
          </w:tcPr>
          <w:p w14:paraId="4488EA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D428E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3CF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CB699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425" w:type="dxa"/>
            <w:vAlign w:val="center"/>
          </w:tcPr>
          <w:p w14:paraId="6C2E245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第十</w:t>
            </w:r>
            <w:r>
              <w:rPr>
                <w:rFonts w:hint="eastAsia" w:ascii="宋体" w:hAnsi="宋体" w:eastAsia="宋体" w:cs="宋体"/>
                <w:color w:val="auto"/>
                <w:kern w:val="0"/>
                <w:szCs w:val="21"/>
                <w:highlight w:val="none"/>
                <w:lang w:eastAsia="zh-CN"/>
              </w:rPr>
              <w:t>三</w:t>
            </w:r>
            <w:r>
              <w:rPr>
                <w:rFonts w:hint="eastAsia" w:ascii="宋体" w:hAnsi="宋体" w:eastAsia="宋体" w:cs="宋体"/>
                <w:color w:val="auto"/>
                <w:kern w:val="0"/>
                <w:szCs w:val="21"/>
                <w:highlight w:val="none"/>
              </w:rPr>
              <w:t>条</w:t>
            </w:r>
          </w:p>
        </w:tc>
        <w:tc>
          <w:tcPr>
            <w:tcW w:w="3055" w:type="dxa"/>
            <w:vAlign w:val="center"/>
          </w:tcPr>
          <w:p w14:paraId="3010C21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lang w:val="en-US"/>
              </w:rPr>
            </w:pPr>
            <w:r>
              <w:rPr>
                <w:rFonts w:hint="default" w:ascii="宋体" w:hAnsi="宋体" w:eastAsia="宋体" w:cs="Times New Roman"/>
                <w:color w:val="auto"/>
                <w:kern w:val="0"/>
                <w:szCs w:val="21"/>
                <w:highlight w:val="none"/>
                <w:lang w:val="en-US"/>
              </w:rPr>
              <w:t>其他</w:t>
            </w:r>
          </w:p>
        </w:tc>
        <w:tc>
          <w:tcPr>
            <w:tcW w:w="1346" w:type="dxa"/>
            <w:vAlign w:val="center"/>
          </w:tcPr>
          <w:p w14:paraId="79D461D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rPr>
            </w:pPr>
          </w:p>
        </w:tc>
        <w:tc>
          <w:tcPr>
            <w:tcW w:w="3524" w:type="dxa"/>
            <w:vAlign w:val="center"/>
          </w:tcPr>
          <w:p w14:paraId="0BF5371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rPr>
            </w:pPr>
          </w:p>
        </w:tc>
      </w:tr>
      <w:tr w14:paraId="4A26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C41EEE">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13</w:t>
            </w:r>
          </w:p>
        </w:tc>
        <w:tc>
          <w:tcPr>
            <w:tcW w:w="1425" w:type="dxa"/>
            <w:vAlign w:val="center"/>
          </w:tcPr>
          <w:p w14:paraId="4E75BE4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eastAsia="zh-CN"/>
              </w:rPr>
              <w:t>一</w:t>
            </w:r>
          </w:p>
        </w:tc>
        <w:tc>
          <w:tcPr>
            <w:tcW w:w="3055" w:type="dxa"/>
            <w:vAlign w:val="center"/>
          </w:tcPr>
          <w:p w14:paraId="4160F34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东莞市东宝路、东城东路中间绿化带苗木移栽项目清单</w:t>
            </w:r>
          </w:p>
        </w:tc>
        <w:tc>
          <w:tcPr>
            <w:tcW w:w="1346" w:type="dxa"/>
            <w:vAlign w:val="center"/>
          </w:tcPr>
          <w:p w14:paraId="07752C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B69CD8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FE7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E94D33">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14</w:t>
            </w:r>
          </w:p>
        </w:tc>
        <w:tc>
          <w:tcPr>
            <w:tcW w:w="1425" w:type="dxa"/>
            <w:vAlign w:val="center"/>
          </w:tcPr>
          <w:p w14:paraId="1960D20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附件二</w:t>
            </w:r>
          </w:p>
        </w:tc>
        <w:tc>
          <w:tcPr>
            <w:tcW w:w="3055" w:type="dxa"/>
            <w:vAlign w:val="center"/>
          </w:tcPr>
          <w:p w14:paraId="204772F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廉洁协议书</w:t>
            </w:r>
          </w:p>
        </w:tc>
        <w:tc>
          <w:tcPr>
            <w:tcW w:w="1346" w:type="dxa"/>
            <w:vAlign w:val="center"/>
          </w:tcPr>
          <w:p w14:paraId="04ACFB5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E7188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597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AB0DA3D">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5</w:t>
            </w:r>
          </w:p>
        </w:tc>
        <w:tc>
          <w:tcPr>
            <w:tcW w:w="1425" w:type="dxa"/>
            <w:vAlign w:val="center"/>
          </w:tcPr>
          <w:p w14:paraId="554F7174">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eastAsia="zh-CN"/>
              </w:rPr>
              <w:t>附件三</w:t>
            </w:r>
          </w:p>
        </w:tc>
        <w:tc>
          <w:tcPr>
            <w:tcW w:w="3055" w:type="dxa"/>
            <w:vAlign w:val="center"/>
          </w:tcPr>
          <w:p w14:paraId="2EB890E4">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安全文明施工管理协议书</w:t>
            </w:r>
          </w:p>
        </w:tc>
        <w:tc>
          <w:tcPr>
            <w:tcW w:w="1346" w:type="dxa"/>
            <w:vAlign w:val="center"/>
          </w:tcPr>
          <w:p w14:paraId="616499F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C5E96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E75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4ECC6C">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6</w:t>
            </w:r>
          </w:p>
        </w:tc>
        <w:tc>
          <w:tcPr>
            <w:tcW w:w="1425" w:type="dxa"/>
            <w:vAlign w:val="center"/>
          </w:tcPr>
          <w:p w14:paraId="5461EBC4">
            <w:pPr>
              <w:keepNext w:val="0"/>
              <w:keepLines w:val="0"/>
              <w:suppressLineNumbers w:val="0"/>
              <w:snapToGri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w:t>
            </w:r>
          </w:p>
        </w:tc>
        <w:tc>
          <w:tcPr>
            <w:tcW w:w="3055" w:type="dxa"/>
            <w:vAlign w:val="center"/>
          </w:tcPr>
          <w:p w14:paraId="6604611B">
            <w:pPr>
              <w:keepNext w:val="0"/>
              <w:keepLines w:val="0"/>
              <w:suppressLineNumbers w:val="0"/>
              <w:snapToGri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不可撤销银行履约保函</w:t>
            </w:r>
          </w:p>
        </w:tc>
        <w:tc>
          <w:tcPr>
            <w:tcW w:w="1346" w:type="dxa"/>
            <w:vAlign w:val="center"/>
          </w:tcPr>
          <w:p w14:paraId="3E0315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C8AAD5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E4B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ABB2C5F">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7</w:t>
            </w:r>
          </w:p>
        </w:tc>
        <w:tc>
          <w:tcPr>
            <w:tcW w:w="1425" w:type="dxa"/>
            <w:vAlign w:val="center"/>
          </w:tcPr>
          <w:p w14:paraId="53637F2E">
            <w:pPr>
              <w:keepNext w:val="0"/>
              <w:keepLines w:val="0"/>
              <w:suppressLineNumbers w:val="0"/>
              <w:snapToGri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w:t>
            </w:r>
          </w:p>
        </w:tc>
        <w:tc>
          <w:tcPr>
            <w:tcW w:w="3055" w:type="dxa"/>
            <w:vAlign w:val="center"/>
          </w:tcPr>
          <w:p w14:paraId="7A39FD50">
            <w:pPr>
              <w:keepNext w:val="0"/>
              <w:keepLines w:val="0"/>
              <w:suppressLineNumbers w:val="0"/>
              <w:snapToGri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14:paraId="7440BD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BCAA4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452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7BB183">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18</w:t>
            </w:r>
          </w:p>
        </w:tc>
        <w:tc>
          <w:tcPr>
            <w:tcW w:w="1425" w:type="dxa"/>
            <w:vAlign w:val="center"/>
          </w:tcPr>
          <w:p w14:paraId="50051A74">
            <w:pPr>
              <w:keepNext w:val="0"/>
              <w:keepLines w:val="0"/>
              <w:suppressLineNumbers w:val="0"/>
              <w:snapToGrid w:val="0"/>
              <w:spacing w:before="0" w:beforeAutospacing="0" w:after="0" w:afterAutospacing="0" w:line="400" w:lineRule="exact"/>
              <w:ind w:left="0" w:leftChars="0" w:right="0" w:rightChars="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w:t>
            </w:r>
          </w:p>
        </w:tc>
        <w:tc>
          <w:tcPr>
            <w:tcW w:w="3055" w:type="dxa"/>
            <w:vAlign w:val="center"/>
          </w:tcPr>
          <w:p w14:paraId="2A9240B0">
            <w:pPr>
              <w:keepNext w:val="0"/>
              <w:keepLines w:val="0"/>
              <w:suppressLineNumbers w:val="0"/>
              <w:snapToGrid w:val="0"/>
              <w:spacing w:before="0" w:beforeAutospacing="0" w:after="0" w:afterAutospacing="0" w:line="400" w:lineRule="exact"/>
              <w:ind w:left="0" w:leftChars="0" w:right="0" w:rightChars="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担保公司履约担保书</w:t>
            </w:r>
          </w:p>
        </w:tc>
        <w:tc>
          <w:tcPr>
            <w:tcW w:w="1346" w:type="dxa"/>
            <w:vAlign w:val="center"/>
          </w:tcPr>
          <w:p w14:paraId="0D2D25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2C106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2CAF9B77">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34DC5AE">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5F46051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响应供应商应对照谈判文件合同格式内合同条款及附件，逐条、如实地填写“偏离情况”项。“偏离情况”项为正偏离（或负偏离）的，必须在“具体偏离内容”项内详细说明与谈判文件的偏离内容，“偏离情况”项为无偏离的，在“具体偏离内容”项内填“无”。若发现虚假填写本表，或对合同及其附件响应有负偏离的，按无效响应文件处理。若发现此表未逐条填写视为完全满足谈判文件要求</w:t>
      </w:r>
      <w:r>
        <w:rPr>
          <w:rFonts w:hint="eastAsia" w:ascii="宋体" w:hAnsi="宋体" w:eastAsia="宋体" w:cs="Times New Roman"/>
          <w:b/>
          <w:color w:val="auto"/>
          <w:kern w:val="0"/>
          <w:szCs w:val="21"/>
          <w:highlight w:val="none"/>
        </w:rPr>
        <w:t>。</w:t>
      </w:r>
    </w:p>
    <w:p w14:paraId="3E9ECAB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响应文件对谈判文件合同条款的响应程度）分为：正偏离、负偏离、无偏离。正偏离是指响应供应商提供的服务（或货物、或工程）商务条件优于谈判文件的要求；负偏离是指响应供应商提供的服务（或货物、或工程）商务条件不满足或不完全满足谈判文件的要求；无偏离是指响应供应商提供的服务（或货物、或工程）商务条件完全满足谈判文件的要求。</w:t>
      </w:r>
    </w:p>
    <w:p w14:paraId="66E3646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（3）谈判文件“第五篇</w:t>
      </w:r>
      <w:r>
        <w:rPr>
          <w:rFonts w:ascii="宋体" w:hAnsi="宋体" w:eastAsia="宋体" w:cs="宋体"/>
          <w:color w:val="auto"/>
          <w:szCs w:val="21"/>
          <w:highlight w:val="none"/>
        </w:rPr>
        <w:t xml:space="preserve"> 相关保函格式”作为重要的商务条款，响应供应商的响应情况列入本合同条款偏离表。</w:t>
      </w:r>
    </w:p>
    <w:p w14:paraId="1C3B2EC4">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（4）如响应供应商差异内容较多可另附页说明，并在本偏离表“具体偏离内容”项注明其在响应文件中的具体页码。</w:t>
      </w:r>
    </w:p>
    <w:p w14:paraId="7E7B4CBB">
      <w:pPr>
        <w:spacing w:line="360" w:lineRule="auto"/>
        <w:ind w:left="357" w:leftChars="-100" w:hanging="567" w:hangingChars="270"/>
        <w:rPr>
          <w:rFonts w:ascii="宋体" w:hAnsi="宋体" w:eastAsia="宋体" w:cs="宋体"/>
          <w:color w:val="auto"/>
          <w:szCs w:val="21"/>
          <w:highlight w:val="none"/>
        </w:rPr>
      </w:pPr>
    </w:p>
    <w:p w14:paraId="2BB64075">
      <w:pPr>
        <w:spacing w:line="360" w:lineRule="auto"/>
        <w:ind w:left="357" w:leftChars="-100" w:hanging="567" w:hangingChars="270"/>
        <w:rPr>
          <w:rFonts w:ascii="宋体" w:hAnsi="宋体" w:eastAsia="宋体" w:cs="宋体"/>
          <w:color w:val="auto"/>
          <w:szCs w:val="21"/>
          <w:highlight w:val="none"/>
        </w:rPr>
      </w:pPr>
    </w:p>
    <w:p w14:paraId="6854E915">
      <w:pPr>
        <w:spacing w:line="360" w:lineRule="auto"/>
        <w:ind w:left="357" w:leftChars="-100" w:hanging="567" w:hangingChars="270"/>
        <w:rPr>
          <w:rFonts w:ascii="宋体" w:hAnsi="宋体" w:eastAsia="宋体" w:cs="宋体"/>
          <w:color w:val="auto"/>
          <w:szCs w:val="21"/>
          <w:highlight w:val="none"/>
        </w:rPr>
      </w:pPr>
    </w:p>
    <w:p w14:paraId="13867964">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响应供应商：</w:t>
      </w:r>
      <w:r>
        <w:rPr>
          <w:rFonts w:hint="eastAsia" w:ascii="宋体" w:hAnsi="宋体" w:eastAsia="宋体" w:cs="宋体"/>
          <w:color w:val="auto"/>
          <w:kern w:val="0"/>
          <w:szCs w:val="21"/>
          <w:highlight w:val="none"/>
          <w:lang w:val="zh-CN"/>
        </w:rPr>
        <w:t>（加盖响应供应商法人公章）</w:t>
      </w:r>
    </w:p>
    <w:p w14:paraId="7277630A">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7449510">
      <w:pPr>
        <w:tabs>
          <w:tab w:val="left" w:pos="567"/>
        </w:tabs>
        <w:autoSpaceDE w:val="0"/>
        <w:autoSpaceDN w:val="0"/>
        <w:adjustRightInd w:val="0"/>
        <w:spacing w:line="360" w:lineRule="auto"/>
        <w:jc w:val="left"/>
        <w:outlineLvl w:val="9"/>
        <w:rPr>
          <w:rFonts w:ascii="宋体" w:hAnsi="宋体" w:eastAsia="宋体" w:cs="Times New Roman"/>
          <w:color w:val="auto"/>
          <w:szCs w:val="24"/>
          <w:highlight w:val="none"/>
          <w:lang w:val="zh-CN"/>
        </w:rPr>
      </w:pPr>
      <w:r>
        <w:rPr>
          <w:rFonts w:hint="eastAsia" w:ascii="宋体" w:hAnsi="宋体" w:eastAsia="宋体" w:cs="宋体"/>
          <w:b/>
          <w:bCs/>
          <w:color w:val="auto"/>
          <w:kern w:val="0"/>
          <w:sz w:val="30"/>
          <w:szCs w:val="30"/>
          <w:highlight w:val="none"/>
          <w:lang w:val="zh-CN"/>
        </w:rPr>
        <w:br w:type="page"/>
      </w:r>
      <w:bookmarkStart w:id="434" w:name="_Toc486167717"/>
      <w:bookmarkStart w:id="435" w:name="_Toc27980_WPSOffice_Level2"/>
    </w:p>
    <w:bookmarkEnd w:id="434"/>
    <w:bookmarkEnd w:id="435"/>
    <w:p w14:paraId="1ED210DF">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436" w:name="_Toc9273"/>
      <w:bookmarkStart w:id="437" w:name="_Toc142508378"/>
      <w:bookmarkStart w:id="438" w:name="_Toc19890"/>
      <w:bookmarkStart w:id="439" w:name="_Toc16646"/>
      <w:bookmarkStart w:id="440" w:name="_Toc31965"/>
      <w:bookmarkStart w:id="441" w:name="_Toc18413"/>
      <w:bookmarkStart w:id="442" w:name="_Toc102860427"/>
      <w:bookmarkStart w:id="443" w:name="_Toc533708132"/>
      <w:bookmarkStart w:id="444" w:name="_Toc104991885"/>
      <w:bookmarkStart w:id="445" w:name="_Toc18175_WPSOffice_Level2"/>
      <w:bookmarkStart w:id="446" w:name="_Toc140596938"/>
      <w:bookmarkStart w:id="447" w:name="_Toc160099518"/>
      <w:bookmarkStart w:id="448" w:name="_Toc1977737"/>
      <w:bookmarkStart w:id="449" w:name="_Toc94107220"/>
      <w:bookmarkStart w:id="450" w:name="_Toc2249"/>
      <w:bookmarkStart w:id="451" w:name="_Toc486167719"/>
      <w:bookmarkStart w:id="452" w:name="_Toc102860083"/>
      <w:r>
        <w:rPr>
          <w:rFonts w:hint="eastAsia" w:ascii="宋体" w:hAnsi="宋体" w:eastAsia="宋体" w:cs="宋体"/>
          <w:b/>
          <w:bCs/>
          <w:color w:val="auto"/>
          <w:kern w:val="0"/>
          <w:sz w:val="32"/>
          <w:szCs w:val="32"/>
          <w:highlight w:val="none"/>
          <w:lang w:val="zh-CN"/>
        </w:rPr>
        <w:t>七、响应保证金汇入情况说明</w:t>
      </w:r>
      <w:bookmarkEnd w:id="436"/>
      <w:bookmarkEnd w:id="437"/>
      <w:bookmarkEnd w:id="438"/>
      <w:bookmarkEnd w:id="439"/>
      <w:bookmarkEnd w:id="440"/>
      <w:bookmarkEnd w:id="441"/>
    </w:p>
    <w:p w14:paraId="312217AD">
      <w:pPr>
        <w:autoSpaceDE w:val="0"/>
        <w:autoSpaceDN w:val="0"/>
        <w:adjustRightInd w:val="0"/>
        <w:spacing w:line="360" w:lineRule="auto"/>
        <w:jc w:val="left"/>
        <w:rPr>
          <w:rFonts w:ascii="宋体" w:hAnsi="宋体" w:eastAsia="宋体" w:cs="宋体"/>
          <w:color w:val="auto"/>
          <w:szCs w:val="24"/>
          <w:highlight w:val="none"/>
        </w:rPr>
      </w:pPr>
    </w:p>
    <w:p w14:paraId="32779AD8">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453" w:name="_Toc31832_WPSOffice_Level3"/>
      <w:r>
        <w:rPr>
          <w:rFonts w:hint="eastAsia" w:ascii="宋体" w:hAnsi="宋体" w:eastAsia="宋体" w:cs="宋体"/>
          <w:b/>
          <w:bCs/>
          <w:color w:val="auto"/>
          <w:kern w:val="0"/>
          <w:sz w:val="24"/>
          <w:szCs w:val="24"/>
          <w:highlight w:val="none"/>
          <w:lang w:eastAsia="zh-CN"/>
        </w:rPr>
        <w:t>响应保证金</w:t>
      </w:r>
      <w:r>
        <w:rPr>
          <w:rFonts w:hint="eastAsia" w:ascii="宋体" w:hAnsi="宋体" w:eastAsia="宋体" w:cs="宋体"/>
          <w:b/>
          <w:bCs/>
          <w:color w:val="auto"/>
          <w:kern w:val="0"/>
          <w:sz w:val="24"/>
          <w:szCs w:val="24"/>
          <w:highlight w:val="none"/>
        </w:rPr>
        <w:t>汇入情况说明</w:t>
      </w:r>
      <w:bookmarkEnd w:id="453"/>
    </w:p>
    <w:p w14:paraId="033B8130">
      <w:pPr>
        <w:autoSpaceDE w:val="0"/>
        <w:autoSpaceDN w:val="0"/>
        <w:adjustRightInd w:val="0"/>
        <w:spacing w:line="360" w:lineRule="auto"/>
        <w:jc w:val="center"/>
        <w:rPr>
          <w:rFonts w:ascii="宋体" w:hAnsi="宋体" w:eastAsia="宋体" w:cs="宋体"/>
          <w:b/>
          <w:bCs/>
          <w:color w:val="auto"/>
          <w:kern w:val="0"/>
          <w:szCs w:val="24"/>
          <w:highlight w:val="none"/>
        </w:rPr>
      </w:pPr>
    </w:p>
    <w:p w14:paraId="6274D1A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东莞市水务集团供水有限公司</w:t>
      </w:r>
      <w:r>
        <w:rPr>
          <w:rFonts w:hint="eastAsia" w:ascii="宋体" w:hAnsi="宋体" w:eastAsia="宋体" w:cs="宋体"/>
          <w:color w:val="auto"/>
          <w:szCs w:val="21"/>
          <w:highlight w:val="none"/>
        </w:rPr>
        <w:t>：</w:t>
      </w:r>
    </w:p>
    <w:p w14:paraId="36914B4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rPr>
        <w:t>东莞市东宝路、东城东路中间绿化带苗木移栽项目</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编号：</w:t>
      </w:r>
      <w:r>
        <w:rPr>
          <w:rFonts w:hint="eastAsia" w:ascii="宋体" w:hAnsi="宋体" w:eastAsia="宋体" w:cs="宋体"/>
          <w:color w:val="auto"/>
          <w:szCs w:val="21"/>
          <w:highlight w:val="none"/>
          <w:u w:val="single"/>
        </w:rPr>
        <w:t>0832-SFCX25DG109C</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40EA11C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w:t>
      </w:r>
      <w:r>
        <w:rPr>
          <w:rFonts w:hint="eastAsia" w:ascii="宋体" w:hAnsi="宋体" w:eastAsia="宋体" w:cs="宋体"/>
          <w:color w:val="auto"/>
          <w:szCs w:val="21"/>
          <w:highlight w:val="none"/>
          <w:lang w:eastAsia="zh-CN"/>
        </w:rPr>
        <w:t>响应保证金</w:t>
      </w:r>
      <w:r>
        <w:rPr>
          <w:rFonts w:hint="eastAsia" w:ascii="宋体" w:hAnsi="宋体" w:eastAsia="宋体" w:cs="宋体"/>
          <w:color w:val="auto"/>
          <w:szCs w:val="21"/>
          <w:highlight w:val="none"/>
        </w:rPr>
        <w:t>的汇款情况：（详见附件－</w:t>
      </w:r>
      <w:r>
        <w:rPr>
          <w:rFonts w:hint="eastAsia" w:ascii="宋体" w:hAnsi="宋体" w:eastAsia="宋体" w:cs="宋体"/>
          <w:color w:val="auto"/>
          <w:szCs w:val="21"/>
          <w:highlight w:val="none"/>
          <w:lang w:eastAsia="zh-CN"/>
        </w:rPr>
        <w:t>响应保证金</w:t>
      </w:r>
      <w:r>
        <w:rPr>
          <w:rFonts w:hint="eastAsia" w:ascii="宋体" w:hAnsi="宋体" w:eastAsia="宋体" w:cs="宋体"/>
          <w:color w:val="auto"/>
          <w:szCs w:val="21"/>
          <w:highlight w:val="none"/>
        </w:rPr>
        <w:t>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54C1AAC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4247DA7F">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7C1FDE8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090C62A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7F8A0C9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732EE0D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0856EF9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响应保证金</w:t>
      </w:r>
      <w:r>
        <w:rPr>
          <w:rFonts w:hint="eastAsia" w:ascii="宋体" w:hAnsi="宋体" w:eastAsia="宋体" w:cs="宋体"/>
          <w:color w:val="auto"/>
          <w:szCs w:val="21"/>
          <w:highlight w:val="none"/>
        </w:rPr>
        <w:t>退回时，请按上述资料退回。</w:t>
      </w:r>
    </w:p>
    <w:p w14:paraId="7091DECA">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lang w:eastAsia="zh-CN"/>
        </w:rPr>
        <w:t>供应商</w:t>
      </w:r>
      <w:r>
        <w:rPr>
          <w:rFonts w:hint="eastAsia" w:ascii="宋体" w:hAnsi="宋体" w:eastAsia="宋体" w:cs="宋体"/>
          <w:bCs/>
          <w:color w:val="auto"/>
          <w:szCs w:val="24"/>
          <w:highlight w:val="none"/>
        </w:rPr>
        <w:t>法人公章</w:t>
      </w:r>
      <w:r>
        <w:rPr>
          <w:rFonts w:hint="eastAsia" w:ascii="宋体" w:hAnsi="宋体" w:eastAsia="宋体" w:cs="宋体"/>
          <w:color w:val="auto"/>
          <w:szCs w:val="24"/>
          <w:highlight w:val="none"/>
        </w:rPr>
        <w:t>）</w:t>
      </w:r>
    </w:p>
    <w:p w14:paraId="5D1DCC0B">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35D7B76C">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73F7A97A">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6348FDFB">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22C511E7">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437F9BBE">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31386C3D">
      <w:pPr>
        <w:spacing w:line="360" w:lineRule="auto"/>
        <w:ind w:left="340" w:leftChars="162" w:firstLine="425"/>
        <w:rPr>
          <w:rFonts w:ascii="宋体" w:hAnsi="宋体" w:eastAsia="宋体" w:cs="宋体"/>
          <w:b/>
          <w:bCs/>
          <w:color w:val="auto"/>
          <w:szCs w:val="21"/>
          <w:highlight w:val="none"/>
        </w:rPr>
      </w:pPr>
      <w:bookmarkStart w:id="454" w:name="_Toc26208_WPSOffice_Level3"/>
      <w:r>
        <w:rPr>
          <w:rFonts w:hint="eastAsia" w:ascii="宋体" w:hAnsi="宋体" w:eastAsia="宋体" w:cs="宋体"/>
          <w:b/>
          <w:bCs/>
          <w:color w:val="auto"/>
          <w:szCs w:val="21"/>
          <w:highlight w:val="none"/>
        </w:rPr>
        <w:t>附：1、我方</w:t>
      </w:r>
      <w:r>
        <w:rPr>
          <w:rFonts w:hint="eastAsia" w:ascii="宋体" w:hAnsi="宋体" w:eastAsia="宋体" w:cs="宋体"/>
          <w:b/>
          <w:bCs/>
          <w:color w:val="auto"/>
          <w:szCs w:val="21"/>
          <w:highlight w:val="none"/>
          <w:lang w:eastAsia="zh-CN"/>
        </w:rPr>
        <w:t>响应保证金</w:t>
      </w:r>
      <w:r>
        <w:rPr>
          <w:rFonts w:hint="eastAsia" w:ascii="宋体" w:hAnsi="宋体" w:eastAsia="宋体" w:cs="宋体"/>
          <w:b/>
          <w:bCs/>
          <w:color w:val="auto"/>
          <w:szCs w:val="21"/>
          <w:highlight w:val="none"/>
        </w:rPr>
        <w:t>汇款凭证（复印件）</w:t>
      </w:r>
      <w:bookmarkEnd w:id="454"/>
    </w:p>
    <w:p w14:paraId="3990750D">
      <w:pPr>
        <w:spacing w:line="360" w:lineRule="auto"/>
        <w:ind w:left="340" w:leftChars="162" w:firstLine="839" w:firstLineChars="398"/>
        <w:rPr>
          <w:rFonts w:ascii="宋体" w:hAnsi="宋体" w:eastAsia="宋体" w:cs="宋体"/>
          <w:b/>
          <w:bCs/>
          <w:color w:val="auto"/>
          <w:szCs w:val="21"/>
          <w:highlight w:val="none"/>
        </w:rPr>
      </w:pPr>
      <w:bookmarkStart w:id="455" w:name="_Toc12992_WPSOffice_Level3"/>
      <w:r>
        <w:rPr>
          <w:rFonts w:hint="eastAsia" w:ascii="宋体" w:hAnsi="宋体" w:eastAsia="宋体" w:cs="宋体"/>
          <w:b/>
          <w:bCs/>
          <w:color w:val="auto"/>
          <w:szCs w:val="21"/>
          <w:highlight w:val="none"/>
        </w:rPr>
        <w:t>2、我方基本账户开户许可证（复印件）</w:t>
      </w:r>
      <w:bookmarkEnd w:id="455"/>
    </w:p>
    <w:p w14:paraId="66F1C640">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445FC3A8">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2658AD8F">
      <w:pPr>
        <w:spacing w:line="360" w:lineRule="auto"/>
        <w:rPr>
          <w:rFonts w:ascii="宋体" w:hAnsi="宋体" w:eastAsia="宋体" w:cs="宋体"/>
          <w:b/>
          <w:color w:val="auto"/>
          <w:kern w:val="0"/>
          <w:szCs w:val="21"/>
          <w:highlight w:val="none"/>
        </w:rPr>
      </w:pPr>
    </w:p>
    <w:p w14:paraId="2AE7A924">
      <w:pP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br w:type="page"/>
      </w:r>
    </w:p>
    <w:p w14:paraId="6A582500">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sectPr>
          <w:footerReference r:id="rId9" w:type="default"/>
          <w:pgSz w:w="11906" w:h="16838"/>
          <w:pgMar w:top="1440" w:right="1080" w:bottom="1440" w:left="1080" w:header="720" w:footer="720" w:gutter="0"/>
          <w:pgNumType w:fmt="decimal"/>
          <w:cols w:space="720" w:num="1"/>
          <w:titlePg/>
          <w:docGrid w:linePitch="326" w:charSpace="0"/>
        </w:sectPr>
      </w:pPr>
      <w:bookmarkStart w:id="456" w:name="_Toc20082"/>
      <w:bookmarkStart w:id="457" w:name="_Toc17003"/>
      <w:r>
        <w:rPr>
          <w:rFonts w:hint="eastAsia" w:ascii="宋体" w:hAnsi="宋体" w:eastAsia="宋体" w:cs="宋体"/>
          <w:b/>
          <w:bCs/>
          <w:color w:val="auto"/>
          <w:kern w:val="0"/>
          <w:sz w:val="32"/>
          <w:szCs w:val="32"/>
          <w:highlight w:val="none"/>
          <w:lang w:val="en-US" w:eastAsia="zh-CN"/>
        </w:rPr>
        <w:t>八</w:t>
      </w:r>
      <w:r>
        <w:rPr>
          <w:rFonts w:hint="eastAsia" w:ascii="宋体" w:hAnsi="宋体" w:eastAsia="宋体" w:cs="宋体"/>
          <w:b/>
          <w:bCs/>
          <w:color w:val="auto"/>
          <w:kern w:val="0"/>
          <w:sz w:val="32"/>
          <w:szCs w:val="32"/>
          <w:highlight w:val="none"/>
          <w:lang w:val="zh-CN"/>
        </w:rPr>
        <w:t>、</w:t>
      </w:r>
      <w:bookmarkEnd w:id="442"/>
      <w:bookmarkEnd w:id="443"/>
      <w:bookmarkEnd w:id="444"/>
      <w:bookmarkEnd w:id="445"/>
      <w:bookmarkEnd w:id="446"/>
      <w:bookmarkEnd w:id="447"/>
      <w:bookmarkEnd w:id="448"/>
      <w:bookmarkEnd w:id="449"/>
      <w:bookmarkEnd w:id="450"/>
      <w:bookmarkEnd w:id="451"/>
      <w:bookmarkEnd w:id="452"/>
      <w:bookmarkStart w:id="458" w:name="_Toc6809"/>
      <w:bookmarkStart w:id="459" w:name="_Toc140596939"/>
      <w:bookmarkStart w:id="460" w:name="_Toc160099519"/>
      <w:bookmarkStart w:id="461" w:name="_Toc94107221"/>
      <w:bookmarkStart w:id="462" w:name="_Toc104991886"/>
      <w:bookmarkStart w:id="463" w:name="_Toc102860084"/>
      <w:bookmarkStart w:id="464" w:name="_Toc1977738"/>
      <w:bookmarkStart w:id="465" w:name="_Toc102860428"/>
      <w:bookmarkStart w:id="466" w:name="_Toc533708134"/>
      <w:bookmarkStart w:id="467" w:name="_Toc486167721"/>
      <w:r>
        <w:rPr>
          <w:rFonts w:hint="eastAsia" w:ascii="宋体" w:hAnsi="宋体" w:eastAsia="宋体" w:cs="宋体"/>
          <w:b/>
          <w:bCs/>
          <w:color w:val="auto"/>
          <w:kern w:val="0"/>
          <w:sz w:val="32"/>
          <w:szCs w:val="32"/>
          <w:highlight w:val="none"/>
          <w:lang w:val="zh-CN"/>
        </w:rPr>
        <w:t>供应商资格证明文件以外的其他资质证书、知识产权证书及获得的相关获奖、认证证书、社会评价资料证明文件复印件等供应商认为有需要证明其具备为本次采购项目提供货物和服务能力的有关其它商务文件（不做强制要求）</w:t>
      </w:r>
      <w:bookmarkEnd w:id="456"/>
      <w:bookmarkEnd w:id="457"/>
      <w:bookmarkEnd w:id="458"/>
      <w:bookmarkEnd w:id="459"/>
      <w:bookmarkEnd w:id="460"/>
      <w:bookmarkEnd w:id="461"/>
      <w:bookmarkEnd w:id="462"/>
      <w:bookmarkEnd w:id="463"/>
      <w:bookmarkEnd w:id="464"/>
      <w:bookmarkEnd w:id="465"/>
    </w:p>
    <w:p w14:paraId="0E3D649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468" w:name="_Toc15147"/>
      <w:bookmarkStart w:id="469" w:name="_Toc102860429"/>
      <w:bookmarkStart w:id="470" w:name="_Toc104991887"/>
      <w:bookmarkStart w:id="471" w:name="_Toc24110"/>
      <w:bookmarkStart w:id="472" w:name="_Toc94107222"/>
      <w:bookmarkStart w:id="473" w:name="_Toc1977739"/>
      <w:bookmarkStart w:id="474" w:name="_Toc140596940"/>
      <w:bookmarkStart w:id="475" w:name="_Toc160099520"/>
      <w:bookmarkStart w:id="476" w:name="_Toc22750"/>
      <w:bookmarkStart w:id="477" w:name="_Toc102860085"/>
      <w:r>
        <w:rPr>
          <w:rFonts w:hint="eastAsia" w:ascii="宋体" w:hAnsi="宋体" w:eastAsia="宋体" w:cs="宋体"/>
          <w:b/>
          <w:color w:val="auto"/>
          <w:kern w:val="0"/>
          <w:sz w:val="32"/>
          <w:szCs w:val="32"/>
          <w:highlight w:val="none"/>
          <w:lang w:eastAsia="zh-CN"/>
        </w:rPr>
        <w:t>九</w:t>
      </w:r>
      <w:r>
        <w:rPr>
          <w:rFonts w:hint="eastAsia" w:ascii="宋体" w:hAnsi="宋体" w:eastAsia="宋体" w:cs="宋体"/>
          <w:b/>
          <w:color w:val="auto"/>
          <w:kern w:val="0"/>
          <w:sz w:val="32"/>
          <w:szCs w:val="32"/>
          <w:highlight w:val="none"/>
        </w:rPr>
        <w:t>、技术响应文件格式</w:t>
      </w:r>
      <w:bookmarkEnd w:id="466"/>
      <w:bookmarkEnd w:id="468"/>
      <w:bookmarkEnd w:id="469"/>
      <w:bookmarkEnd w:id="470"/>
      <w:bookmarkEnd w:id="471"/>
      <w:bookmarkEnd w:id="472"/>
      <w:bookmarkEnd w:id="473"/>
      <w:bookmarkEnd w:id="474"/>
      <w:bookmarkEnd w:id="475"/>
      <w:bookmarkEnd w:id="476"/>
      <w:bookmarkEnd w:id="477"/>
    </w:p>
    <w:p w14:paraId="57AD66EB">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响应供应商应按照谈判文件响应供应商须知关于响应文件组成部分的要求编制技术文件，主要包括但不限于以下内容：</w:t>
      </w:r>
    </w:p>
    <w:p w14:paraId="5E6C94D8">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52BC9B94">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2、总体实施方案（</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自行编写）；</w:t>
      </w:r>
    </w:p>
    <w:p w14:paraId="47BA2A97">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进度保障措施（</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自行编写）；</w:t>
      </w:r>
    </w:p>
    <w:p w14:paraId="3BEF2AAC">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应急处理方案（</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自行编写）；</w:t>
      </w:r>
    </w:p>
    <w:p w14:paraId="6B77546E">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售后服务方案（</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自行编写）；</w:t>
      </w:r>
    </w:p>
    <w:p w14:paraId="6AB836A5">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、响应供应商认为有必要提供的其它材料（不做强制要求）。</w:t>
      </w:r>
    </w:p>
    <w:p w14:paraId="59F3BD7C">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467"/>
      <w:bookmarkStart w:id="478" w:name="_Toc14778"/>
      <w:bookmarkStart w:id="479" w:name="_Toc104991888"/>
      <w:bookmarkStart w:id="480" w:name="_Toc160099521"/>
      <w:bookmarkStart w:id="481" w:name="_Toc533708135"/>
      <w:bookmarkStart w:id="482" w:name="_Toc140596941"/>
      <w:bookmarkStart w:id="483" w:name="_Toc94107223"/>
      <w:bookmarkStart w:id="484" w:name="_Toc102860086"/>
      <w:bookmarkStart w:id="485" w:name="_Toc2851"/>
      <w:bookmarkStart w:id="486" w:name="_Toc1977740"/>
      <w:bookmarkStart w:id="487" w:name="_Toc102860430"/>
      <w:bookmarkStart w:id="488" w:name="_Toc31169"/>
      <w:r>
        <w:rPr>
          <w:rFonts w:hint="eastAsia" w:ascii="宋体" w:hAnsi="宋体" w:eastAsia="宋体" w:cs="宋体"/>
          <w:b/>
          <w:color w:val="auto"/>
          <w:kern w:val="0"/>
          <w:sz w:val="30"/>
          <w:szCs w:val="30"/>
          <w:highlight w:val="none"/>
          <w:lang w:val="en-US" w:eastAsia="zh-CN"/>
        </w:rPr>
        <w:t>9</w:t>
      </w:r>
      <w:r>
        <w:rPr>
          <w:rFonts w:hint="eastAsia" w:ascii="宋体" w:hAnsi="宋体" w:eastAsia="宋体" w:cs="宋体"/>
          <w:b/>
          <w:color w:val="auto"/>
          <w:kern w:val="0"/>
          <w:sz w:val="30"/>
          <w:szCs w:val="30"/>
          <w:highlight w:val="none"/>
        </w:rPr>
        <w:t>.1 用户需求偏离表格式</w:t>
      </w:r>
      <w:bookmarkEnd w:id="478"/>
      <w:bookmarkEnd w:id="479"/>
      <w:bookmarkEnd w:id="480"/>
      <w:bookmarkEnd w:id="481"/>
      <w:bookmarkEnd w:id="482"/>
      <w:bookmarkEnd w:id="483"/>
      <w:bookmarkEnd w:id="484"/>
      <w:bookmarkEnd w:id="485"/>
      <w:bookmarkEnd w:id="486"/>
      <w:bookmarkEnd w:id="487"/>
      <w:bookmarkEnd w:id="488"/>
    </w:p>
    <w:p w14:paraId="6B7163C6">
      <w:pPr>
        <w:spacing w:before="120" w:after="120" w:line="360" w:lineRule="auto"/>
        <w:jc w:val="center"/>
        <w:rPr>
          <w:rFonts w:ascii="宋体" w:hAnsi="宋体" w:eastAsia="宋体" w:cs="Times New Roman"/>
          <w:color w:val="auto"/>
          <w:kern w:val="0"/>
          <w:szCs w:val="21"/>
          <w:highlight w:val="none"/>
        </w:rPr>
      </w:pPr>
      <w:bookmarkStart w:id="489" w:name="_Toc17449_WPSOffice_Level3"/>
      <w:r>
        <w:rPr>
          <w:rFonts w:hint="eastAsia" w:ascii="宋体" w:hAnsi="宋体" w:eastAsia="宋体" w:cs="宋体"/>
          <w:b/>
          <w:color w:val="auto"/>
          <w:kern w:val="0"/>
          <w:sz w:val="30"/>
          <w:szCs w:val="30"/>
          <w:highlight w:val="none"/>
          <w:lang w:val="zh-CN"/>
        </w:rPr>
        <w:t>用户需求偏离表</w:t>
      </w:r>
      <w:bookmarkEnd w:id="489"/>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919"/>
        <w:gridCol w:w="6206"/>
        <w:gridCol w:w="699"/>
        <w:gridCol w:w="837"/>
        <w:gridCol w:w="803"/>
      </w:tblGrid>
      <w:tr w14:paraId="49DA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5" w:type="pct"/>
            <w:vMerge w:val="restart"/>
            <w:vAlign w:val="center"/>
          </w:tcPr>
          <w:p w14:paraId="30E0873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0" w:type="pct"/>
            <w:gridSpan w:val="2"/>
            <w:vAlign w:val="center"/>
          </w:tcPr>
          <w:p w14:paraId="4EAB175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谈判文件要求</w:t>
            </w:r>
          </w:p>
        </w:tc>
        <w:tc>
          <w:tcPr>
            <w:tcW w:w="1163" w:type="pct"/>
            <w:gridSpan w:val="3"/>
            <w:vAlign w:val="center"/>
          </w:tcPr>
          <w:p w14:paraId="25ACD30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响应文件内容</w:t>
            </w:r>
          </w:p>
        </w:tc>
      </w:tr>
      <w:tr w14:paraId="196F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5" w:type="pct"/>
            <w:vMerge w:val="continue"/>
            <w:vAlign w:val="center"/>
          </w:tcPr>
          <w:p w14:paraId="65856AFA">
            <w:pPr>
              <w:keepNext/>
              <w:keepLines/>
              <w:suppressLineNumbers w:val="0"/>
              <w:spacing w:before="0" w:beforeAutospacing="0" w:after="0" w:afterAutospacing="0" w:line="400" w:lineRule="exact"/>
              <w:ind w:left="0" w:right="0"/>
              <w:jc w:val="center"/>
              <w:outlineLvl w:val="0"/>
              <w:rPr>
                <w:rFonts w:hint="eastAsia" w:ascii="宋体" w:hAnsi="宋体" w:eastAsia="宋体" w:cs="宋体"/>
                <w:color w:val="auto"/>
                <w:kern w:val="0"/>
                <w:sz w:val="21"/>
                <w:szCs w:val="21"/>
                <w:highlight w:val="none"/>
              </w:rPr>
            </w:pPr>
          </w:p>
        </w:tc>
        <w:tc>
          <w:tcPr>
            <w:tcW w:w="458" w:type="pct"/>
            <w:vAlign w:val="center"/>
          </w:tcPr>
          <w:p w14:paraId="77F59A5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1" w:type="pct"/>
            <w:vAlign w:val="center"/>
          </w:tcPr>
          <w:p w14:paraId="1E50043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69A8EA5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7" w:type="pct"/>
            <w:vAlign w:val="center"/>
          </w:tcPr>
          <w:p w14:paraId="761F00A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7" w:type="pct"/>
            <w:vAlign w:val="center"/>
          </w:tcPr>
          <w:p w14:paraId="32127F3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6A09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85" w:type="pct"/>
            <w:vAlign w:val="center"/>
          </w:tcPr>
          <w:p w14:paraId="3A84DA4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8" w:type="pct"/>
            <w:vAlign w:val="center"/>
          </w:tcPr>
          <w:p w14:paraId="32147689">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一</w:t>
            </w:r>
          </w:p>
        </w:tc>
        <w:tc>
          <w:tcPr>
            <w:tcW w:w="3091" w:type="pct"/>
            <w:vAlign w:val="center"/>
          </w:tcPr>
          <w:p w14:paraId="07A866E0">
            <w:pPr>
              <w:pStyle w:val="166"/>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项目背景</w:t>
            </w:r>
          </w:p>
        </w:tc>
        <w:tc>
          <w:tcPr>
            <w:tcW w:w="348" w:type="pct"/>
            <w:vAlign w:val="center"/>
          </w:tcPr>
          <w:p w14:paraId="5549F3EC">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c>
          <w:tcPr>
            <w:tcW w:w="417" w:type="pct"/>
            <w:vAlign w:val="center"/>
          </w:tcPr>
          <w:p w14:paraId="3821C097">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c>
          <w:tcPr>
            <w:tcW w:w="397" w:type="pct"/>
            <w:vAlign w:val="center"/>
          </w:tcPr>
          <w:p w14:paraId="630E360A">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r>
      <w:tr w14:paraId="7F8C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85" w:type="pct"/>
            <w:vAlign w:val="center"/>
          </w:tcPr>
          <w:p w14:paraId="04FF9A7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8" w:type="pct"/>
            <w:vAlign w:val="center"/>
          </w:tcPr>
          <w:p w14:paraId="539E3935">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二</w:t>
            </w:r>
          </w:p>
        </w:tc>
        <w:tc>
          <w:tcPr>
            <w:tcW w:w="3091" w:type="pct"/>
            <w:vAlign w:val="center"/>
          </w:tcPr>
          <w:p w14:paraId="6B0B8C43">
            <w:pPr>
              <w:pStyle w:val="166"/>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348" w:type="pct"/>
            <w:vAlign w:val="center"/>
          </w:tcPr>
          <w:p w14:paraId="0859623C">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c>
          <w:tcPr>
            <w:tcW w:w="417" w:type="pct"/>
            <w:vAlign w:val="center"/>
          </w:tcPr>
          <w:p w14:paraId="4D1710D7">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c>
          <w:tcPr>
            <w:tcW w:w="397" w:type="pct"/>
            <w:vAlign w:val="center"/>
          </w:tcPr>
          <w:p w14:paraId="26E1877B">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r>
      <w:tr w14:paraId="391E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6EDB6A6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8" w:type="pct"/>
            <w:vAlign w:val="center"/>
          </w:tcPr>
          <w:p w14:paraId="09987D8A">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w:t>
            </w:r>
          </w:p>
        </w:tc>
        <w:tc>
          <w:tcPr>
            <w:tcW w:w="3091" w:type="pct"/>
            <w:vAlign w:val="center"/>
          </w:tcPr>
          <w:p w14:paraId="49962C7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用户需求核心内容</w:t>
            </w:r>
          </w:p>
        </w:tc>
        <w:tc>
          <w:tcPr>
            <w:tcW w:w="348" w:type="pct"/>
            <w:vAlign w:val="center"/>
          </w:tcPr>
          <w:p w14:paraId="5E281483">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c>
          <w:tcPr>
            <w:tcW w:w="417" w:type="pct"/>
            <w:vAlign w:val="center"/>
          </w:tcPr>
          <w:p w14:paraId="7A4538A8">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c>
          <w:tcPr>
            <w:tcW w:w="397" w:type="pct"/>
            <w:vAlign w:val="center"/>
          </w:tcPr>
          <w:p w14:paraId="12543C4F">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r>
      <w:tr w14:paraId="0567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1C0D0D9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bookmarkStart w:id="490" w:name="_Toc5258"/>
            <w:r>
              <w:rPr>
                <w:rFonts w:hint="eastAsia" w:ascii="宋体" w:hAnsi="宋体" w:eastAsia="宋体" w:cs="宋体"/>
                <w:color w:val="auto"/>
                <w:kern w:val="0"/>
                <w:sz w:val="21"/>
                <w:szCs w:val="21"/>
                <w:highlight w:val="none"/>
                <w:lang w:val="en-US" w:eastAsia="zh-CN"/>
              </w:rPr>
              <w:t>4</w:t>
            </w:r>
          </w:p>
        </w:tc>
        <w:tc>
          <w:tcPr>
            <w:tcW w:w="458" w:type="pct"/>
            <w:vAlign w:val="center"/>
          </w:tcPr>
          <w:p w14:paraId="03056054">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四</w:t>
            </w:r>
          </w:p>
        </w:tc>
        <w:tc>
          <w:tcPr>
            <w:tcW w:w="3091" w:type="pct"/>
            <w:vAlign w:val="center"/>
          </w:tcPr>
          <w:p w14:paraId="1771A72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结算方式</w:t>
            </w:r>
          </w:p>
        </w:tc>
        <w:tc>
          <w:tcPr>
            <w:tcW w:w="348" w:type="pct"/>
            <w:vAlign w:val="center"/>
          </w:tcPr>
          <w:p w14:paraId="55E8957D">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c>
          <w:tcPr>
            <w:tcW w:w="417" w:type="pct"/>
            <w:vAlign w:val="center"/>
          </w:tcPr>
          <w:p w14:paraId="64747B8D">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c>
          <w:tcPr>
            <w:tcW w:w="397" w:type="pct"/>
            <w:vAlign w:val="center"/>
          </w:tcPr>
          <w:p w14:paraId="68B5759C">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r>
      <w:tr w14:paraId="4838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2B5F3E1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rPr>
            </w:pPr>
            <w:bookmarkStart w:id="491" w:name="_Toc6894"/>
            <w:r>
              <w:rPr>
                <w:rFonts w:hint="eastAsia" w:ascii="宋体" w:hAnsi="宋体" w:eastAsia="宋体" w:cs="宋体"/>
                <w:color w:val="auto"/>
                <w:kern w:val="0"/>
                <w:sz w:val="21"/>
                <w:szCs w:val="21"/>
                <w:highlight w:val="none"/>
                <w:lang w:val="en-US" w:eastAsia="zh-CN"/>
              </w:rPr>
              <w:t>5</w:t>
            </w:r>
          </w:p>
        </w:tc>
        <w:tc>
          <w:tcPr>
            <w:tcW w:w="458" w:type="pct"/>
            <w:vAlign w:val="center"/>
          </w:tcPr>
          <w:p w14:paraId="56C5CD6C">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五</w:t>
            </w:r>
          </w:p>
        </w:tc>
        <w:tc>
          <w:tcPr>
            <w:tcW w:w="3091" w:type="pct"/>
            <w:vAlign w:val="center"/>
          </w:tcPr>
          <w:p w14:paraId="4FFF90C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付款方式</w:t>
            </w:r>
          </w:p>
        </w:tc>
        <w:tc>
          <w:tcPr>
            <w:tcW w:w="348" w:type="pct"/>
            <w:vAlign w:val="center"/>
          </w:tcPr>
          <w:p w14:paraId="31872E5D">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c>
          <w:tcPr>
            <w:tcW w:w="417" w:type="pct"/>
            <w:vAlign w:val="center"/>
          </w:tcPr>
          <w:p w14:paraId="23C7C99E">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c>
          <w:tcPr>
            <w:tcW w:w="397" w:type="pct"/>
            <w:vAlign w:val="center"/>
          </w:tcPr>
          <w:p w14:paraId="2CA47214">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r>
      <w:tr w14:paraId="741D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12198E77">
            <w:pPr>
              <w:keepNext/>
              <w:keepLines/>
              <w:suppressLineNumbers w:val="0"/>
              <w:tabs>
                <w:tab w:val="left" w:pos="414"/>
              </w:tabs>
              <w:spacing w:before="0" w:beforeAutospacing="0" w:after="0" w:afterAutospacing="0" w:line="400" w:lineRule="exact"/>
              <w:ind w:left="0" w:right="0"/>
              <w:jc w:val="left"/>
              <w:outlineLvl w:val="2"/>
              <w:rPr>
                <w:rFonts w:hint="eastAsia" w:ascii="宋体" w:hAnsi="宋体" w:eastAsia="宋体" w:cs="宋体"/>
                <w:color w:val="auto"/>
                <w:kern w:val="0"/>
                <w:sz w:val="21"/>
                <w:szCs w:val="21"/>
                <w:highlight w:val="none"/>
                <w:lang w:eastAsia="zh-CN"/>
              </w:rPr>
            </w:pPr>
            <w:bookmarkStart w:id="492" w:name="_Toc11914"/>
            <w:r>
              <w:rPr>
                <w:rFonts w:hint="eastAsia" w:ascii="宋体" w:hAnsi="宋体" w:eastAsia="宋体" w:cs="宋体"/>
                <w:color w:val="auto"/>
                <w:kern w:val="0"/>
                <w:sz w:val="21"/>
                <w:szCs w:val="21"/>
                <w:highlight w:val="none"/>
                <w:lang w:eastAsia="zh-CN"/>
              </w:rPr>
              <w:t>用户需求书“★”条款</w:t>
            </w:r>
            <w:bookmarkEnd w:id="490"/>
            <w:bookmarkEnd w:id="491"/>
            <w:bookmarkEnd w:id="492"/>
          </w:p>
        </w:tc>
      </w:tr>
      <w:tr w14:paraId="0EB1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17A17CE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458" w:type="pct"/>
            <w:vAlign w:val="center"/>
          </w:tcPr>
          <w:p w14:paraId="3B5EE5B6">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t>三</w:t>
            </w:r>
          </w:p>
        </w:tc>
        <w:tc>
          <w:tcPr>
            <w:tcW w:w="3091" w:type="pct"/>
            <w:vAlign w:val="top"/>
          </w:tcPr>
          <w:p w14:paraId="516EE321">
            <w:pPr>
              <w:pStyle w:val="166"/>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三、用户需求核心内容</w:t>
            </w:r>
          </w:p>
          <w:p w14:paraId="70A15371">
            <w:pPr>
              <w:pStyle w:val="166"/>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（六）人员要求</w:t>
            </w:r>
          </w:p>
          <w:p w14:paraId="248CFF26">
            <w:pPr>
              <w:pStyle w:val="166"/>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服务供应商项目负责人需具备市政/园林绿化相关专业中级工程师或以上职称。（投标时须提供对应职称证书及</w:t>
            </w:r>
            <w:r>
              <w:rPr>
                <w:rFonts w:hint="eastAsia" w:ascii="宋体" w:hAnsi="宋体" w:eastAsia="宋体" w:cs="宋体"/>
                <w:b w:val="0"/>
                <w:bCs w:val="0"/>
                <w:color w:val="auto"/>
                <w:kern w:val="0"/>
                <w:sz w:val="21"/>
                <w:szCs w:val="21"/>
                <w:highlight w:val="none"/>
                <w:lang w:val="zh-CN"/>
              </w:rPr>
              <w:t>社保部门出具的</w:t>
            </w:r>
            <w:r>
              <w:rPr>
                <w:rFonts w:hint="eastAsia" w:hAnsi="宋体" w:eastAsia="宋体" w:cs="宋体"/>
                <w:b w:val="0"/>
                <w:bCs w:val="0"/>
                <w:color w:val="auto"/>
                <w:kern w:val="0"/>
                <w:sz w:val="21"/>
                <w:szCs w:val="21"/>
                <w:highlight w:val="none"/>
                <w:lang w:val="en-US" w:eastAsia="zh-CN"/>
              </w:rPr>
              <w:t>服务</w:t>
            </w:r>
            <w:r>
              <w:rPr>
                <w:rFonts w:hint="eastAsia" w:ascii="宋体" w:hAnsi="宋体" w:eastAsia="宋体" w:cs="宋体"/>
                <w:b w:val="0"/>
                <w:bCs w:val="0"/>
                <w:color w:val="auto"/>
                <w:kern w:val="0"/>
                <w:sz w:val="21"/>
                <w:szCs w:val="21"/>
                <w:highlight w:val="none"/>
                <w:lang w:val="zh-CN"/>
              </w:rPr>
              <w:t>供应商为其购买的</w:t>
            </w:r>
            <w:r>
              <w:rPr>
                <w:rFonts w:hint="eastAsia" w:ascii="宋体" w:hAnsi="宋体" w:eastAsia="宋体" w:cs="宋体"/>
                <w:b w:val="0"/>
                <w:bCs w:val="0"/>
                <w:color w:val="auto"/>
                <w:kern w:val="0"/>
                <w:sz w:val="21"/>
                <w:szCs w:val="21"/>
                <w:highlight w:val="none"/>
                <w:lang w:val="en-US" w:eastAsia="zh-CN"/>
              </w:rPr>
              <w:t>2025年4月至6月</w:t>
            </w:r>
            <w:r>
              <w:rPr>
                <w:rFonts w:hint="eastAsia" w:hAnsi="宋体" w:eastAsia="宋体" w:cs="宋体"/>
                <w:b w:val="0"/>
                <w:bCs w:val="0"/>
                <w:color w:val="auto"/>
                <w:kern w:val="0"/>
                <w:sz w:val="21"/>
                <w:szCs w:val="21"/>
                <w:highlight w:val="none"/>
                <w:lang w:val="en-US" w:eastAsia="zh-CN"/>
              </w:rPr>
              <w:t>份</w:t>
            </w:r>
            <w:r>
              <w:rPr>
                <w:rFonts w:hint="eastAsia" w:ascii="宋体" w:hAnsi="宋体" w:eastAsia="宋体" w:cs="宋体"/>
                <w:b w:val="0"/>
                <w:bCs w:val="0"/>
                <w:color w:val="auto"/>
                <w:kern w:val="0"/>
                <w:sz w:val="21"/>
                <w:szCs w:val="21"/>
                <w:highlight w:val="none"/>
                <w:lang w:val="zh-CN"/>
              </w:rPr>
              <w:t>社会保险证明材料加盖供应商公章。</w:t>
            </w:r>
            <w:r>
              <w:rPr>
                <w:rFonts w:hint="eastAsia" w:ascii="宋体" w:hAnsi="宋体" w:eastAsia="宋体" w:cs="宋体"/>
                <w:b w:val="0"/>
                <w:bCs w:val="0"/>
                <w:color w:val="auto"/>
                <w:kern w:val="0"/>
                <w:sz w:val="21"/>
                <w:szCs w:val="21"/>
                <w:highlight w:val="none"/>
                <w:lang w:val="en-US" w:eastAsia="zh-CN"/>
              </w:rPr>
              <w:t>）</w:t>
            </w:r>
          </w:p>
        </w:tc>
        <w:tc>
          <w:tcPr>
            <w:tcW w:w="348" w:type="pct"/>
            <w:vAlign w:val="center"/>
          </w:tcPr>
          <w:p w14:paraId="74FBF080">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c>
          <w:tcPr>
            <w:tcW w:w="417" w:type="pct"/>
            <w:vAlign w:val="center"/>
          </w:tcPr>
          <w:p w14:paraId="0D2353D3">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c>
          <w:tcPr>
            <w:tcW w:w="397" w:type="pct"/>
            <w:vAlign w:val="center"/>
          </w:tcPr>
          <w:p w14:paraId="0BB6DC09">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21"/>
                <w:szCs w:val="21"/>
                <w:highlight w:val="none"/>
              </w:rPr>
            </w:pPr>
          </w:p>
        </w:tc>
      </w:tr>
    </w:tbl>
    <w:p w14:paraId="75ABE997">
      <w:pPr>
        <w:spacing w:line="360" w:lineRule="auto"/>
        <w:rPr>
          <w:rFonts w:ascii="宋体" w:hAnsi="宋体" w:eastAsia="宋体" w:cs="宋体"/>
          <w:color w:val="auto"/>
          <w:szCs w:val="21"/>
          <w:highlight w:val="none"/>
        </w:rPr>
      </w:pPr>
    </w:p>
    <w:p w14:paraId="49032C0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3339732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响应供应商应对照谈判文件用户需求书的响应(其中</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用户需求书特别说明</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lang w:val="en-US" w:eastAsia="zh-CN"/>
        </w:rPr>
        <w:t>及</w:t>
      </w:r>
      <w:r>
        <w:rPr>
          <w:rFonts w:hint="eastAsia" w:ascii="宋体" w:hAnsi="宋体" w:eastAsia="宋体" w:cs="宋体"/>
          <w:b/>
          <w:color w:val="auto"/>
          <w:szCs w:val="21"/>
          <w:highlight w:val="none"/>
          <w:u w:val="single"/>
        </w:rPr>
        <w:t>“第一节 项目的基本情况及污水处理厂设计”</w:t>
      </w:r>
      <w:r>
        <w:rPr>
          <w:rFonts w:hint="eastAsia" w:ascii="宋体" w:hAnsi="宋体" w:eastAsia="宋体" w:cs="宋体"/>
          <w:b/>
          <w:color w:val="auto"/>
          <w:szCs w:val="21"/>
          <w:highlight w:val="none"/>
          <w:u w:val="single"/>
          <w:lang w:val="en-US" w:eastAsia="zh-CN"/>
        </w:rPr>
        <w:t>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若发现未填写本表，或虚假填写本表，或伪造、变造证明材料的，按无效响应文件处理</w:t>
      </w:r>
      <w:r>
        <w:rPr>
          <w:rFonts w:hint="eastAsia" w:ascii="宋体" w:hAnsi="宋体" w:eastAsia="宋体" w:cs="宋体"/>
          <w:b/>
          <w:color w:val="auto"/>
          <w:szCs w:val="21"/>
          <w:highlight w:val="none"/>
          <w:u w:val="single"/>
        </w:rPr>
        <w:t>。未填写“★”条款以外的条款的，视为完全满足</w:t>
      </w:r>
      <w:r>
        <w:rPr>
          <w:rFonts w:hint="eastAsia" w:ascii="宋体" w:hAnsi="宋体" w:eastAsia="宋体" w:cs="宋体"/>
          <w:b/>
          <w:color w:val="auto"/>
          <w:szCs w:val="21"/>
          <w:highlight w:val="none"/>
          <w:u w:val="single"/>
          <w:lang w:val="en-US" w:eastAsia="zh-CN"/>
        </w:rPr>
        <w:t>谈判</w:t>
      </w:r>
      <w:r>
        <w:rPr>
          <w:rFonts w:hint="eastAsia" w:ascii="宋体" w:hAnsi="宋体" w:eastAsia="宋体" w:cs="宋体"/>
          <w:b/>
          <w:color w:val="auto"/>
          <w:szCs w:val="21"/>
          <w:highlight w:val="none"/>
          <w:u w:val="single"/>
        </w:rPr>
        <w:t>文件要求。</w:t>
      </w:r>
    </w:p>
    <w:p w14:paraId="7471AB2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响应文件对谈判文件用户需求的响应程度）分为：正偏离、负偏离、无偏离。正偏离是指响应供应商对用户需求响应优于谈判文件的要求；负偏离是指响应供应商对用户需求响应不满足或不完全满足谈判文件的要求；无偏离是指响应供应商对用户需求响应完全满足谈判文件的要求。 </w:t>
      </w:r>
    </w:p>
    <w:p w14:paraId="4EFD1EB0">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谈判文件的偏离内容，“偏离情况”项为无偏离的，在“实质性响应的具体内容”项内填“完全响应谈判文件要求”即可，也可进一步说明响应的具体内容。响应供应商可将反映</w:t>
      </w:r>
      <w:r>
        <w:rPr>
          <w:rFonts w:hint="eastAsia" w:ascii="宋体" w:hAnsi="宋体" w:eastAsia="宋体" w:cs="Times New Roman"/>
          <w:b/>
          <w:color w:val="auto"/>
          <w:kern w:val="0"/>
          <w:szCs w:val="21"/>
          <w:highlight w:val="none"/>
          <w:u w:val="single"/>
          <w:lang w:eastAsia="zh-CN"/>
        </w:rPr>
        <w:t>拟供货物</w:t>
      </w:r>
      <w:r>
        <w:rPr>
          <w:rFonts w:hint="eastAsia" w:ascii="宋体" w:hAnsi="宋体" w:eastAsia="宋体" w:cs="Times New Roman"/>
          <w:b/>
          <w:color w:val="auto"/>
          <w:kern w:val="0"/>
          <w:szCs w:val="21"/>
          <w:highlight w:val="none"/>
          <w:u w:val="single"/>
        </w:rPr>
        <w:t>技术参数、性能、功能的技术支持资料作为本表的附件，并在本偏离表“对应证明材料页码”项内注明其在响应文件中的具体页码。</w:t>
      </w:r>
    </w:p>
    <w:p w14:paraId="4B45955C">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”的地方均被视为重要的技术指标要求或性能要求。响应供应商要特别加以注意，必须对此回答并完全满足这些要求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lang w:val="zh-CN"/>
        </w:rPr>
        <w:t>。</w:t>
      </w:r>
    </w:p>
    <w:p w14:paraId="3A643038">
      <w:pPr>
        <w:spacing w:line="360" w:lineRule="auto"/>
        <w:rPr>
          <w:rFonts w:ascii="宋体" w:hAnsi="宋体" w:eastAsia="宋体" w:cs="宋体"/>
          <w:color w:val="auto"/>
          <w:szCs w:val="21"/>
          <w:highlight w:val="none"/>
        </w:rPr>
      </w:pPr>
    </w:p>
    <w:p w14:paraId="6151DB50">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响应供应商：（</w:t>
      </w:r>
      <w:r>
        <w:rPr>
          <w:rFonts w:hint="eastAsia" w:ascii="宋体" w:hAnsi="宋体" w:eastAsia="宋体" w:cs="宋体"/>
          <w:color w:val="auto"/>
          <w:szCs w:val="21"/>
          <w:highlight w:val="none"/>
          <w:lang w:val="zh-CN"/>
        </w:rPr>
        <w:t>加盖响应供应商法人公章</w:t>
      </w:r>
      <w:r>
        <w:rPr>
          <w:rFonts w:hint="eastAsia" w:ascii="宋体" w:hAnsi="宋体" w:eastAsia="宋体" w:cs="宋体"/>
          <w:color w:val="auto"/>
          <w:kern w:val="0"/>
          <w:szCs w:val="21"/>
          <w:highlight w:val="none"/>
        </w:rPr>
        <w:t>）</w:t>
      </w:r>
    </w:p>
    <w:p w14:paraId="6C75902E">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4AE54568">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493" w:name="_Toc102860090"/>
      <w:bookmarkStart w:id="494" w:name="_Toc160099524"/>
      <w:bookmarkStart w:id="495" w:name="_Toc94107227"/>
      <w:bookmarkStart w:id="496" w:name="_Toc102860434"/>
      <w:bookmarkStart w:id="497" w:name="_Toc104991892"/>
      <w:bookmarkStart w:id="498" w:name="_Toc140596945"/>
    </w:p>
    <w:p w14:paraId="48E30748">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99" w:name="_Toc32425"/>
      <w:bookmarkStart w:id="500" w:name="_Toc7952"/>
      <w:bookmarkStart w:id="501" w:name="_Toc15856"/>
      <w:r>
        <w:rPr>
          <w:rFonts w:hint="eastAsia" w:ascii="宋体" w:hAnsi="宋体" w:eastAsia="宋体" w:cs="宋体"/>
          <w:b/>
          <w:color w:val="auto"/>
          <w:kern w:val="0"/>
          <w:sz w:val="30"/>
          <w:szCs w:val="30"/>
          <w:highlight w:val="none"/>
          <w:lang w:val="en-US" w:eastAsia="zh-CN"/>
        </w:rPr>
        <w:t>9</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lang w:val="en-US" w:eastAsia="zh-CN"/>
        </w:rPr>
        <w:t>2</w:t>
      </w:r>
      <w:r>
        <w:rPr>
          <w:rFonts w:ascii="宋体" w:hAnsi="宋体" w:eastAsia="宋体" w:cs="宋体"/>
          <w:b/>
          <w:color w:val="auto"/>
          <w:kern w:val="0"/>
          <w:sz w:val="30"/>
          <w:szCs w:val="30"/>
          <w:highlight w:val="none"/>
        </w:rPr>
        <w:t xml:space="preserve"> </w:t>
      </w:r>
      <w:bookmarkEnd w:id="493"/>
      <w:bookmarkEnd w:id="494"/>
      <w:bookmarkEnd w:id="495"/>
      <w:bookmarkEnd w:id="496"/>
      <w:bookmarkEnd w:id="497"/>
      <w:bookmarkEnd w:id="498"/>
      <w:bookmarkEnd w:id="499"/>
      <w:r>
        <w:rPr>
          <w:rFonts w:hint="eastAsia" w:ascii="宋体" w:hAnsi="宋体" w:eastAsia="宋体" w:cs="宋体"/>
          <w:b/>
          <w:color w:val="auto"/>
          <w:kern w:val="0"/>
          <w:sz w:val="30"/>
          <w:szCs w:val="30"/>
          <w:highlight w:val="none"/>
        </w:rPr>
        <w:t>总体实施方案</w:t>
      </w:r>
      <w:bookmarkEnd w:id="500"/>
      <w:bookmarkEnd w:id="501"/>
    </w:p>
    <w:p w14:paraId="662ED38C">
      <w:pPr>
        <w:autoSpaceDE w:val="0"/>
        <w:autoSpaceDN w:val="0"/>
        <w:adjustRightInd w:val="0"/>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说明：响应供应商自行提供书面说明和资料。</w:t>
      </w:r>
    </w:p>
    <w:p w14:paraId="7A99422C">
      <w:pPr>
        <w:autoSpaceDE w:val="0"/>
        <w:autoSpaceDN w:val="0"/>
        <w:adjustRightInd w:val="0"/>
        <w:jc w:val="left"/>
        <w:rPr>
          <w:rFonts w:ascii="宋体" w:hAnsi="宋体" w:eastAsia="宋体" w:cs="Times New Roman"/>
          <w:color w:val="auto"/>
          <w:kern w:val="0"/>
          <w:sz w:val="24"/>
          <w:szCs w:val="24"/>
          <w:highlight w:val="none"/>
        </w:rPr>
      </w:pPr>
    </w:p>
    <w:p w14:paraId="25230782">
      <w:pPr>
        <w:autoSpaceDE w:val="0"/>
        <w:autoSpaceDN w:val="0"/>
        <w:adjustRightInd w:val="0"/>
        <w:jc w:val="left"/>
        <w:rPr>
          <w:rFonts w:ascii="宋体" w:hAnsi="宋体" w:eastAsia="宋体" w:cs="Times New Roman"/>
          <w:color w:val="auto"/>
          <w:kern w:val="0"/>
          <w:sz w:val="24"/>
          <w:szCs w:val="24"/>
          <w:highlight w:val="none"/>
        </w:rPr>
      </w:pPr>
    </w:p>
    <w:p w14:paraId="728BFCEB">
      <w:pPr>
        <w:autoSpaceDE w:val="0"/>
        <w:autoSpaceDN w:val="0"/>
        <w:adjustRightInd w:val="0"/>
        <w:jc w:val="left"/>
        <w:rPr>
          <w:rFonts w:ascii="宋体" w:hAnsi="宋体" w:eastAsia="宋体" w:cs="Times New Roman"/>
          <w:color w:val="auto"/>
          <w:kern w:val="0"/>
          <w:sz w:val="24"/>
          <w:szCs w:val="24"/>
          <w:highlight w:val="none"/>
        </w:rPr>
      </w:pPr>
    </w:p>
    <w:p w14:paraId="0AF11706">
      <w:pPr>
        <w:autoSpaceDE w:val="0"/>
        <w:autoSpaceDN w:val="0"/>
        <w:adjustRightInd w:val="0"/>
        <w:jc w:val="left"/>
        <w:rPr>
          <w:rFonts w:ascii="宋体" w:hAnsi="宋体" w:eastAsia="宋体" w:cs="Times New Roman"/>
          <w:color w:val="auto"/>
          <w:kern w:val="0"/>
          <w:sz w:val="24"/>
          <w:szCs w:val="24"/>
          <w:highlight w:val="none"/>
        </w:rPr>
      </w:pPr>
    </w:p>
    <w:p w14:paraId="760F0261">
      <w:pPr>
        <w:autoSpaceDE w:val="0"/>
        <w:autoSpaceDN w:val="0"/>
        <w:adjustRightInd w:val="0"/>
        <w:jc w:val="left"/>
        <w:rPr>
          <w:rFonts w:ascii="宋体" w:hAnsi="宋体" w:eastAsia="宋体" w:cs="Times New Roman"/>
          <w:color w:val="auto"/>
          <w:kern w:val="0"/>
          <w:sz w:val="24"/>
          <w:szCs w:val="24"/>
          <w:highlight w:val="none"/>
        </w:rPr>
      </w:pPr>
    </w:p>
    <w:p w14:paraId="2A1041B5">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ascii="宋体" w:hAnsi="宋体" w:eastAsia="宋体" w:cs="Times New Roman"/>
          <w:color w:val="auto"/>
          <w:kern w:val="0"/>
          <w:sz w:val="24"/>
          <w:szCs w:val="24"/>
          <w:highlight w:val="none"/>
        </w:rPr>
        <w:br w:type="page"/>
      </w:r>
      <w:bookmarkStart w:id="502" w:name="_Toc102860091"/>
      <w:bookmarkStart w:id="503" w:name="_Toc140596946"/>
      <w:bookmarkStart w:id="504" w:name="_Toc1448"/>
      <w:bookmarkStart w:id="505" w:name="_Toc94107228"/>
      <w:bookmarkStart w:id="506" w:name="_Toc104991893"/>
      <w:bookmarkStart w:id="507" w:name="_Toc160099525"/>
      <w:bookmarkStart w:id="508" w:name="_Toc102860435"/>
      <w:bookmarkStart w:id="509" w:name="_Toc8285"/>
      <w:bookmarkStart w:id="510" w:name="_Toc31147"/>
      <w:r>
        <w:rPr>
          <w:rFonts w:hint="eastAsia" w:ascii="宋体" w:hAnsi="宋体" w:eastAsia="宋体" w:cs="宋体"/>
          <w:b/>
          <w:color w:val="auto"/>
          <w:kern w:val="0"/>
          <w:sz w:val="30"/>
          <w:szCs w:val="30"/>
          <w:highlight w:val="none"/>
          <w:lang w:val="en-US" w:eastAsia="zh-CN"/>
        </w:rPr>
        <w:t>9</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lang w:val="en-US" w:eastAsia="zh-CN"/>
        </w:rPr>
        <w:t>3</w:t>
      </w:r>
      <w:r>
        <w:rPr>
          <w:rFonts w:ascii="宋体" w:hAnsi="宋体" w:eastAsia="宋体" w:cs="宋体"/>
          <w:b/>
          <w:color w:val="auto"/>
          <w:kern w:val="0"/>
          <w:sz w:val="30"/>
          <w:szCs w:val="30"/>
          <w:highlight w:val="none"/>
        </w:rPr>
        <w:t xml:space="preserve"> </w:t>
      </w:r>
      <w:bookmarkEnd w:id="502"/>
      <w:bookmarkEnd w:id="503"/>
      <w:bookmarkEnd w:id="504"/>
      <w:bookmarkEnd w:id="505"/>
      <w:bookmarkEnd w:id="506"/>
      <w:bookmarkEnd w:id="507"/>
      <w:bookmarkEnd w:id="508"/>
      <w:r>
        <w:rPr>
          <w:rFonts w:hint="eastAsia" w:ascii="宋体" w:hAnsi="宋体" w:eastAsia="宋体" w:cs="宋体"/>
          <w:b/>
          <w:color w:val="auto"/>
          <w:kern w:val="0"/>
          <w:sz w:val="30"/>
          <w:szCs w:val="30"/>
          <w:highlight w:val="none"/>
        </w:rPr>
        <w:t>进度保障措施</w:t>
      </w:r>
      <w:bookmarkEnd w:id="509"/>
      <w:bookmarkEnd w:id="510"/>
    </w:p>
    <w:p w14:paraId="3AF0118D">
      <w:pPr>
        <w:autoSpaceDE w:val="0"/>
        <w:autoSpaceDN w:val="0"/>
        <w:adjustRightInd w:val="0"/>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说明：响应供应商自行提供书面说明和资料。</w:t>
      </w:r>
    </w:p>
    <w:p w14:paraId="6D56C0A9">
      <w:pPr>
        <w:tabs>
          <w:tab w:val="left" w:pos="567"/>
        </w:tabs>
        <w:autoSpaceDE w:val="0"/>
        <w:autoSpaceDN w:val="0"/>
        <w:adjustRightInd w:val="0"/>
        <w:spacing w:line="360" w:lineRule="auto"/>
        <w:jc w:val="left"/>
        <w:outlineLvl w:val="9"/>
        <w:rPr>
          <w:rFonts w:ascii="宋体" w:hAnsi="宋体" w:eastAsia="宋体" w:cs="Times New Roman"/>
          <w:color w:val="auto"/>
          <w:kern w:val="3"/>
          <w:szCs w:val="21"/>
          <w:highlight w:val="none"/>
        </w:rPr>
      </w:pPr>
      <w:r>
        <w:rPr>
          <w:rFonts w:ascii="宋体" w:hAnsi="宋体" w:eastAsia="宋体" w:cs="Times New Roman"/>
          <w:color w:val="auto"/>
          <w:kern w:val="3"/>
          <w:szCs w:val="21"/>
          <w:highlight w:val="none"/>
        </w:rPr>
        <w:t xml:space="preserve"> </w:t>
      </w:r>
    </w:p>
    <w:p w14:paraId="15DE41A9">
      <w:pPr>
        <w:spacing w:line="360" w:lineRule="auto"/>
        <w:ind w:firstLine="4200" w:firstLineChars="2000"/>
        <w:rPr>
          <w:rFonts w:ascii="宋体" w:hAnsi="宋体" w:eastAsia="宋体" w:cs="Times New Roman"/>
          <w:color w:val="auto"/>
          <w:kern w:val="0"/>
          <w:szCs w:val="21"/>
          <w:highlight w:val="none"/>
        </w:rPr>
      </w:pPr>
    </w:p>
    <w:p w14:paraId="7D954027">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ascii="宋体" w:hAnsi="宋体" w:eastAsia="宋体" w:cs="Times New Roman"/>
          <w:color w:val="auto"/>
          <w:kern w:val="0"/>
          <w:sz w:val="24"/>
          <w:szCs w:val="24"/>
          <w:highlight w:val="none"/>
        </w:rPr>
        <w:br w:type="page"/>
      </w:r>
      <w:bookmarkStart w:id="511" w:name="_Toc25929"/>
      <w:bookmarkStart w:id="512" w:name="_Toc11874"/>
      <w:bookmarkStart w:id="513" w:name="_Toc102860093"/>
      <w:bookmarkStart w:id="514" w:name="_Toc1977744"/>
      <w:bookmarkStart w:id="515" w:name="_Toc160099526"/>
      <w:bookmarkStart w:id="516" w:name="_Toc104991895"/>
      <w:bookmarkStart w:id="517" w:name="_Toc102860437"/>
      <w:bookmarkStart w:id="518" w:name="_Toc140596948"/>
      <w:bookmarkStart w:id="519" w:name="_Toc533708139"/>
      <w:r>
        <w:rPr>
          <w:rFonts w:hint="eastAsia" w:ascii="宋体" w:hAnsi="宋体" w:eastAsia="宋体" w:cs="宋体"/>
          <w:b/>
          <w:color w:val="auto"/>
          <w:kern w:val="0"/>
          <w:sz w:val="30"/>
          <w:szCs w:val="30"/>
          <w:highlight w:val="none"/>
          <w:lang w:val="en-US" w:eastAsia="zh-CN"/>
        </w:rPr>
        <w:t>9</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应急处理方案</w:t>
      </w:r>
      <w:bookmarkEnd w:id="511"/>
      <w:bookmarkEnd w:id="512"/>
    </w:p>
    <w:p w14:paraId="54313E8D">
      <w:pPr>
        <w:autoSpaceDE w:val="0"/>
        <w:autoSpaceDN w:val="0"/>
        <w:adjustRightInd w:val="0"/>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说明：响应供应商自行提供书面说明和资料。</w:t>
      </w:r>
    </w:p>
    <w:p w14:paraId="32E4AD92">
      <w:pPr>
        <w:tabs>
          <w:tab w:val="left" w:pos="567"/>
        </w:tabs>
        <w:autoSpaceDE w:val="0"/>
        <w:autoSpaceDN w:val="0"/>
        <w:adjustRightInd w:val="0"/>
        <w:spacing w:line="360" w:lineRule="auto"/>
        <w:jc w:val="left"/>
        <w:outlineLvl w:val="9"/>
        <w:rPr>
          <w:rFonts w:ascii="宋体" w:hAnsi="宋体" w:eastAsia="宋体" w:cs="Times New Roman"/>
          <w:color w:val="auto"/>
          <w:kern w:val="3"/>
          <w:szCs w:val="21"/>
          <w:highlight w:val="none"/>
        </w:rPr>
      </w:pPr>
      <w:r>
        <w:rPr>
          <w:rFonts w:ascii="宋体" w:hAnsi="宋体" w:eastAsia="宋体" w:cs="Times New Roman"/>
          <w:color w:val="auto"/>
          <w:kern w:val="3"/>
          <w:szCs w:val="21"/>
          <w:highlight w:val="none"/>
        </w:rPr>
        <w:t xml:space="preserve"> </w:t>
      </w:r>
    </w:p>
    <w:p w14:paraId="79443524">
      <w:pPr>
        <w:numPr>
          <w:ilvl w:val="0"/>
          <w:numId w:val="0"/>
        </w:numPr>
        <w:autoSpaceDE w:val="0"/>
        <w:autoSpaceDN w:val="0"/>
        <w:adjustRightInd w:val="0"/>
        <w:snapToGrid w:val="0"/>
        <w:spacing w:line="360" w:lineRule="auto"/>
        <w:ind w:left="840" w:leftChars="0" w:firstLine="0" w:firstLineChars="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41969F6E">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20" w:name="_Toc9784"/>
      <w:bookmarkStart w:id="521" w:name="_Toc10103"/>
      <w:r>
        <w:rPr>
          <w:rFonts w:hint="eastAsia" w:ascii="宋体" w:hAnsi="宋体" w:eastAsia="宋体" w:cs="宋体"/>
          <w:b/>
          <w:color w:val="auto"/>
          <w:kern w:val="0"/>
          <w:sz w:val="30"/>
          <w:szCs w:val="30"/>
          <w:highlight w:val="none"/>
          <w:lang w:val="en-US" w:eastAsia="zh-CN"/>
        </w:rPr>
        <w:t>9</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售后服务方案</w:t>
      </w:r>
      <w:bookmarkEnd w:id="520"/>
      <w:bookmarkEnd w:id="521"/>
    </w:p>
    <w:p w14:paraId="75511ABE">
      <w:pPr>
        <w:autoSpaceDE w:val="0"/>
        <w:autoSpaceDN w:val="0"/>
        <w:adjustRightInd w:val="0"/>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说明：响应供应商自行提供书面说明和资料。</w:t>
      </w:r>
    </w:p>
    <w:p w14:paraId="5BC73D4A">
      <w:pPr>
        <w:tabs>
          <w:tab w:val="left" w:pos="567"/>
        </w:tabs>
        <w:autoSpaceDE w:val="0"/>
        <w:autoSpaceDN w:val="0"/>
        <w:adjustRightInd w:val="0"/>
        <w:spacing w:line="360" w:lineRule="auto"/>
        <w:jc w:val="left"/>
        <w:outlineLvl w:val="9"/>
        <w:rPr>
          <w:rFonts w:ascii="宋体" w:hAnsi="宋体" w:eastAsia="宋体" w:cs="Times New Roman"/>
          <w:color w:val="auto"/>
          <w:kern w:val="3"/>
          <w:szCs w:val="21"/>
          <w:highlight w:val="none"/>
        </w:rPr>
      </w:pPr>
      <w:r>
        <w:rPr>
          <w:rFonts w:ascii="宋体" w:hAnsi="宋体" w:eastAsia="宋体" w:cs="Times New Roman"/>
          <w:color w:val="auto"/>
          <w:kern w:val="3"/>
          <w:szCs w:val="21"/>
          <w:highlight w:val="none"/>
        </w:rPr>
        <w:t xml:space="preserve"> </w:t>
      </w:r>
    </w:p>
    <w:p w14:paraId="07985612">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bookmarkEnd w:id="513"/>
    <w:bookmarkEnd w:id="514"/>
    <w:bookmarkEnd w:id="515"/>
    <w:bookmarkEnd w:id="516"/>
    <w:bookmarkEnd w:id="517"/>
    <w:bookmarkEnd w:id="518"/>
    <w:p w14:paraId="35A3505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ascii="宋体" w:hAnsi="宋体" w:eastAsia="宋体" w:cs="宋体"/>
          <w:b/>
          <w:color w:val="auto"/>
          <w:kern w:val="0"/>
          <w:sz w:val="30"/>
          <w:szCs w:val="30"/>
          <w:highlight w:val="none"/>
        </w:rPr>
      </w:pPr>
      <w:bookmarkStart w:id="522" w:name="_Toc102860438"/>
      <w:bookmarkStart w:id="523" w:name="_Toc140596949"/>
      <w:bookmarkStart w:id="524" w:name="_Toc104991896"/>
      <w:bookmarkStart w:id="525" w:name="_Toc102860094"/>
      <w:bookmarkStart w:id="526" w:name="_Toc160099527"/>
      <w:r>
        <w:rPr>
          <w:rFonts w:hint="eastAsia" w:ascii="宋体" w:hAnsi="宋体" w:eastAsia="宋体" w:cs="宋体"/>
          <w:b/>
          <w:color w:val="auto"/>
          <w:kern w:val="0"/>
          <w:sz w:val="30"/>
          <w:szCs w:val="30"/>
          <w:highlight w:val="none"/>
          <w:lang w:val="en-US" w:eastAsia="zh-CN"/>
        </w:rPr>
        <w:t>9</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lang w:val="en-US" w:eastAsia="zh-CN"/>
        </w:rPr>
        <w:t>6</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响应供应商认为有必要提供的其它材料（不做强制要求）</w:t>
      </w:r>
      <w:bookmarkEnd w:id="522"/>
      <w:bookmarkEnd w:id="523"/>
      <w:bookmarkEnd w:id="524"/>
      <w:bookmarkEnd w:id="525"/>
      <w:bookmarkEnd w:id="526"/>
    </w:p>
    <w:p w14:paraId="43A28AE5">
      <w:pPr>
        <w:autoSpaceDE w:val="0"/>
        <w:autoSpaceDN w:val="0"/>
        <w:adjustRightInd w:val="0"/>
        <w:jc w:val="left"/>
        <w:rPr>
          <w:rFonts w:ascii="宋体" w:hAnsi="宋体" w:eastAsia="宋体" w:cs="Times New Roman"/>
          <w:color w:val="auto"/>
          <w:kern w:val="0"/>
          <w:sz w:val="24"/>
          <w:szCs w:val="24"/>
          <w:highlight w:val="none"/>
        </w:rPr>
      </w:pPr>
    </w:p>
    <w:p w14:paraId="08232600">
      <w:pPr>
        <w:autoSpaceDE w:val="0"/>
        <w:autoSpaceDN w:val="0"/>
        <w:adjustRightInd w:val="0"/>
        <w:jc w:val="left"/>
        <w:rPr>
          <w:rFonts w:ascii="宋体" w:hAnsi="宋体" w:eastAsia="宋体" w:cs="Times New Roman"/>
          <w:color w:val="auto"/>
          <w:kern w:val="0"/>
          <w:sz w:val="24"/>
          <w:szCs w:val="24"/>
          <w:highlight w:val="none"/>
        </w:rPr>
      </w:pPr>
    </w:p>
    <w:p w14:paraId="0FB797C4">
      <w:pPr>
        <w:autoSpaceDE w:val="0"/>
        <w:autoSpaceDN w:val="0"/>
        <w:adjustRightInd w:val="0"/>
        <w:jc w:val="left"/>
        <w:rPr>
          <w:rFonts w:ascii="宋体" w:hAnsi="宋体" w:eastAsia="宋体" w:cs="Times New Roman"/>
          <w:color w:val="auto"/>
          <w:kern w:val="0"/>
          <w:sz w:val="24"/>
          <w:szCs w:val="24"/>
          <w:highlight w:val="none"/>
        </w:rPr>
      </w:pPr>
    </w:p>
    <w:p w14:paraId="68806F70">
      <w:pPr>
        <w:autoSpaceDE w:val="0"/>
        <w:autoSpaceDN w:val="0"/>
        <w:adjustRightInd w:val="0"/>
        <w:jc w:val="left"/>
        <w:rPr>
          <w:rFonts w:ascii="宋体" w:hAnsi="宋体" w:eastAsia="宋体" w:cs="Times New Roman"/>
          <w:color w:val="auto"/>
          <w:kern w:val="0"/>
          <w:sz w:val="24"/>
          <w:szCs w:val="24"/>
          <w:highlight w:val="none"/>
        </w:rPr>
      </w:pPr>
    </w:p>
    <w:p w14:paraId="7509B46D">
      <w:pPr>
        <w:autoSpaceDE w:val="0"/>
        <w:autoSpaceDN w:val="0"/>
        <w:adjustRightInd w:val="0"/>
        <w:jc w:val="left"/>
        <w:rPr>
          <w:rFonts w:ascii="宋体" w:hAnsi="宋体" w:eastAsia="宋体" w:cs="Times New Roman"/>
          <w:color w:val="auto"/>
          <w:kern w:val="0"/>
          <w:sz w:val="24"/>
          <w:szCs w:val="24"/>
          <w:highlight w:val="none"/>
        </w:rPr>
      </w:pPr>
    </w:p>
    <w:p w14:paraId="4F1ADBED">
      <w:pPr>
        <w:autoSpaceDE w:val="0"/>
        <w:autoSpaceDN w:val="0"/>
        <w:adjustRightInd w:val="0"/>
        <w:jc w:val="left"/>
        <w:rPr>
          <w:rFonts w:ascii="宋体" w:hAnsi="宋体" w:eastAsia="宋体" w:cs="Times New Roman"/>
          <w:color w:val="auto"/>
          <w:kern w:val="0"/>
          <w:sz w:val="24"/>
          <w:szCs w:val="24"/>
          <w:highlight w:val="none"/>
        </w:rPr>
      </w:pPr>
    </w:p>
    <w:p w14:paraId="2D41E0E5">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3AF442A8">
      <w:pPr>
        <w:autoSpaceDE w:val="0"/>
        <w:autoSpaceDN w:val="0"/>
        <w:adjustRightInd w:val="0"/>
        <w:jc w:val="left"/>
        <w:rPr>
          <w:rFonts w:ascii="宋体" w:hAnsi="宋体" w:eastAsia="宋体" w:cs="Times New Roman"/>
          <w:color w:val="auto"/>
          <w:kern w:val="0"/>
          <w:sz w:val="24"/>
          <w:szCs w:val="24"/>
          <w:highlight w:val="none"/>
        </w:rPr>
      </w:pPr>
    </w:p>
    <w:p w14:paraId="533FF65F">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527" w:name="_Toc18873"/>
      <w:bookmarkStart w:id="528" w:name="_Toc160099528"/>
      <w:bookmarkStart w:id="529" w:name="_Toc22601_WPSOffice_Level1"/>
      <w:bookmarkStart w:id="530" w:name="_Toc522047402"/>
      <w:bookmarkStart w:id="531" w:name="_Toc521918141"/>
      <w:r>
        <w:rPr>
          <w:rFonts w:hint="eastAsia" w:ascii="宋体" w:hAnsi="宋体" w:eastAsia="宋体" w:cs="宋体"/>
          <w:b/>
          <w:bCs/>
          <w:color w:val="auto"/>
          <w:kern w:val="44"/>
          <w:sz w:val="32"/>
          <w:szCs w:val="32"/>
          <w:highlight w:val="none"/>
          <w:lang w:val="zh-CN"/>
        </w:rPr>
        <w:t>附件一：评审工作大纲</w:t>
      </w:r>
      <w:bookmarkEnd w:id="527"/>
      <w:bookmarkEnd w:id="528"/>
    </w:p>
    <w:p w14:paraId="2D4E15D7">
      <w:pPr>
        <w:autoSpaceDE w:val="0"/>
        <w:autoSpaceDN w:val="0"/>
        <w:adjustRightInd w:val="0"/>
        <w:spacing w:line="400" w:lineRule="atLeast"/>
        <w:jc w:val="center"/>
        <w:rPr>
          <w:rFonts w:ascii="宋体" w:hAnsi="宋体" w:eastAsia="宋体" w:cs="宋体"/>
          <w:b/>
          <w:bCs/>
          <w:color w:val="auto"/>
          <w:szCs w:val="21"/>
          <w:highlight w:val="none"/>
        </w:rPr>
      </w:pPr>
    </w:p>
    <w:p w14:paraId="766DDAD0">
      <w:pPr>
        <w:autoSpaceDE w:val="0"/>
        <w:autoSpaceDN w:val="0"/>
        <w:adjustRightInd w:val="0"/>
        <w:spacing w:line="400" w:lineRule="atLeast"/>
        <w:jc w:val="center"/>
        <w:rPr>
          <w:rFonts w:ascii="宋体" w:hAnsi="宋体" w:eastAsia="宋体" w:cs="宋体"/>
          <w:b/>
          <w:bCs/>
          <w:color w:val="auto"/>
          <w:szCs w:val="21"/>
          <w:highlight w:val="none"/>
        </w:rPr>
      </w:pPr>
    </w:p>
    <w:p w14:paraId="0A23D87A">
      <w:pPr>
        <w:autoSpaceDE w:val="0"/>
        <w:autoSpaceDN w:val="0"/>
        <w:adjustRightInd w:val="0"/>
        <w:spacing w:line="400" w:lineRule="atLeast"/>
        <w:jc w:val="center"/>
        <w:rPr>
          <w:rFonts w:ascii="宋体" w:hAnsi="宋体" w:eastAsia="宋体" w:cs="宋体"/>
          <w:b/>
          <w:bCs/>
          <w:color w:val="auto"/>
          <w:szCs w:val="21"/>
          <w:highlight w:val="none"/>
        </w:rPr>
      </w:pPr>
    </w:p>
    <w:p w14:paraId="6F9C02E8">
      <w:pPr>
        <w:autoSpaceDE w:val="0"/>
        <w:autoSpaceDN w:val="0"/>
        <w:adjustRightInd w:val="0"/>
        <w:spacing w:line="400" w:lineRule="atLeast"/>
        <w:jc w:val="center"/>
        <w:rPr>
          <w:rFonts w:ascii="宋体" w:hAnsi="宋体" w:eastAsia="宋体" w:cs="宋体"/>
          <w:b/>
          <w:bCs/>
          <w:color w:val="auto"/>
          <w:szCs w:val="21"/>
          <w:highlight w:val="none"/>
        </w:rPr>
      </w:pPr>
    </w:p>
    <w:p w14:paraId="3866F7F6">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东莞市东宝路、东城东路中间绿化带苗木移栽项目</w:t>
      </w:r>
    </w:p>
    <w:p w14:paraId="76F14958">
      <w:pPr>
        <w:autoSpaceDE w:val="0"/>
        <w:autoSpaceDN w:val="0"/>
        <w:adjustRightInd w:val="0"/>
        <w:spacing w:line="360" w:lineRule="auto"/>
        <w:jc w:val="center"/>
        <w:rPr>
          <w:rFonts w:ascii="宋体" w:hAnsi="宋体" w:eastAsia="宋体" w:cs="宋体"/>
          <w:b/>
          <w:bCs/>
          <w:color w:val="auto"/>
          <w:sz w:val="36"/>
          <w:szCs w:val="36"/>
          <w:highlight w:val="none"/>
        </w:rPr>
      </w:pPr>
      <w:bookmarkStart w:id="532" w:name="_Toc14752_WPSOffice_Level1"/>
      <w:r>
        <w:rPr>
          <w:rFonts w:hint="eastAsia" w:ascii="宋体" w:hAnsi="宋体" w:eastAsia="宋体" w:cs="宋体"/>
          <w:b/>
          <w:bCs/>
          <w:color w:val="auto"/>
          <w:sz w:val="36"/>
          <w:szCs w:val="36"/>
          <w:highlight w:val="none"/>
          <w:lang w:val="zh-CN"/>
        </w:rPr>
        <w:t>（采购编号：0832-SFCX25DG109C）</w:t>
      </w:r>
      <w:bookmarkEnd w:id="532"/>
    </w:p>
    <w:p w14:paraId="0D1C6987">
      <w:pPr>
        <w:autoSpaceDE w:val="0"/>
        <w:autoSpaceDN w:val="0"/>
        <w:adjustRightInd w:val="0"/>
        <w:spacing w:line="400" w:lineRule="atLeast"/>
        <w:jc w:val="center"/>
        <w:rPr>
          <w:rFonts w:ascii="宋体" w:hAnsi="宋体" w:eastAsia="宋体" w:cs="宋体"/>
          <w:b/>
          <w:bCs/>
          <w:color w:val="auto"/>
          <w:sz w:val="36"/>
          <w:szCs w:val="36"/>
          <w:highlight w:val="none"/>
        </w:rPr>
      </w:pPr>
    </w:p>
    <w:p w14:paraId="0D1720A6">
      <w:pPr>
        <w:autoSpaceDE w:val="0"/>
        <w:autoSpaceDN w:val="0"/>
        <w:adjustRightInd w:val="0"/>
        <w:spacing w:line="400" w:lineRule="atLeast"/>
        <w:jc w:val="center"/>
        <w:rPr>
          <w:rFonts w:ascii="宋体" w:hAnsi="宋体" w:eastAsia="宋体" w:cs="宋体"/>
          <w:b/>
          <w:bCs/>
          <w:color w:val="auto"/>
          <w:sz w:val="36"/>
          <w:szCs w:val="36"/>
          <w:highlight w:val="none"/>
        </w:rPr>
      </w:pPr>
    </w:p>
    <w:p w14:paraId="319B893E">
      <w:pPr>
        <w:autoSpaceDE w:val="0"/>
        <w:autoSpaceDN w:val="0"/>
        <w:adjustRightInd w:val="0"/>
        <w:spacing w:line="400" w:lineRule="atLeast"/>
        <w:jc w:val="center"/>
        <w:rPr>
          <w:rFonts w:ascii="宋体" w:hAnsi="宋体" w:eastAsia="宋体" w:cs="宋体"/>
          <w:b/>
          <w:bCs/>
          <w:color w:val="auto"/>
          <w:sz w:val="36"/>
          <w:szCs w:val="36"/>
          <w:highlight w:val="none"/>
        </w:rPr>
      </w:pPr>
    </w:p>
    <w:p w14:paraId="4190A08E">
      <w:pPr>
        <w:autoSpaceDE w:val="0"/>
        <w:autoSpaceDN w:val="0"/>
        <w:adjustRightInd w:val="0"/>
        <w:spacing w:line="400" w:lineRule="atLeast"/>
        <w:jc w:val="center"/>
        <w:rPr>
          <w:rFonts w:ascii="宋体" w:hAnsi="宋体" w:eastAsia="宋体" w:cs="宋体"/>
          <w:b/>
          <w:bCs/>
          <w:color w:val="auto"/>
          <w:sz w:val="36"/>
          <w:szCs w:val="36"/>
          <w:highlight w:val="none"/>
        </w:rPr>
      </w:pPr>
    </w:p>
    <w:p w14:paraId="6960BE0A">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533" w:name="_Toc18947_WPSOffice_Level2"/>
      <w:r>
        <w:rPr>
          <w:rFonts w:hint="eastAsia" w:ascii="宋体" w:hAnsi="宋体" w:eastAsia="宋体" w:cs="宋体"/>
          <w:b/>
          <w:bCs/>
          <w:color w:val="auto"/>
          <w:sz w:val="72"/>
          <w:szCs w:val="72"/>
          <w:highlight w:val="none"/>
          <w:lang w:val="zh-CN"/>
        </w:rPr>
        <w:t>评审工作大纲</w:t>
      </w:r>
      <w:bookmarkEnd w:id="533"/>
    </w:p>
    <w:p w14:paraId="38623F2C">
      <w:pPr>
        <w:autoSpaceDE w:val="0"/>
        <w:autoSpaceDN w:val="0"/>
        <w:adjustRightInd w:val="0"/>
        <w:spacing w:line="400" w:lineRule="atLeast"/>
        <w:jc w:val="center"/>
        <w:rPr>
          <w:rFonts w:ascii="宋体" w:hAnsi="宋体" w:eastAsia="宋体" w:cs="宋体"/>
          <w:b/>
          <w:bCs/>
          <w:color w:val="auto"/>
          <w:sz w:val="36"/>
          <w:szCs w:val="36"/>
          <w:highlight w:val="none"/>
        </w:rPr>
      </w:pPr>
    </w:p>
    <w:p w14:paraId="6D70D8BF">
      <w:pPr>
        <w:autoSpaceDE w:val="0"/>
        <w:autoSpaceDN w:val="0"/>
        <w:adjustRightInd w:val="0"/>
        <w:spacing w:line="400" w:lineRule="atLeast"/>
        <w:rPr>
          <w:rFonts w:ascii="宋体" w:hAnsi="宋体" w:eastAsia="宋体" w:cs="宋体"/>
          <w:b/>
          <w:bCs/>
          <w:color w:val="auto"/>
          <w:sz w:val="36"/>
          <w:szCs w:val="36"/>
          <w:highlight w:val="none"/>
        </w:rPr>
      </w:pPr>
    </w:p>
    <w:p w14:paraId="035362DD">
      <w:pPr>
        <w:autoSpaceDE w:val="0"/>
        <w:autoSpaceDN w:val="0"/>
        <w:adjustRightInd w:val="0"/>
        <w:spacing w:line="400" w:lineRule="atLeast"/>
        <w:jc w:val="center"/>
        <w:rPr>
          <w:rFonts w:ascii="宋体" w:hAnsi="宋体" w:eastAsia="宋体" w:cs="宋体"/>
          <w:b/>
          <w:bCs/>
          <w:color w:val="auto"/>
          <w:sz w:val="36"/>
          <w:szCs w:val="36"/>
          <w:highlight w:val="none"/>
        </w:rPr>
      </w:pPr>
    </w:p>
    <w:p w14:paraId="5FEF4B6A">
      <w:pPr>
        <w:autoSpaceDE w:val="0"/>
        <w:autoSpaceDN w:val="0"/>
        <w:adjustRightInd w:val="0"/>
        <w:spacing w:line="400" w:lineRule="atLeast"/>
        <w:jc w:val="center"/>
        <w:rPr>
          <w:rFonts w:ascii="宋体" w:hAnsi="宋体" w:eastAsia="宋体" w:cs="宋体"/>
          <w:b/>
          <w:bCs/>
          <w:color w:val="auto"/>
          <w:sz w:val="36"/>
          <w:szCs w:val="36"/>
          <w:highlight w:val="none"/>
        </w:rPr>
      </w:pPr>
    </w:p>
    <w:p w14:paraId="4DBF3D6A">
      <w:pPr>
        <w:autoSpaceDE w:val="0"/>
        <w:autoSpaceDN w:val="0"/>
        <w:adjustRightInd w:val="0"/>
        <w:spacing w:line="400" w:lineRule="atLeast"/>
        <w:jc w:val="center"/>
        <w:rPr>
          <w:rFonts w:ascii="宋体" w:hAnsi="宋体" w:eastAsia="宋体" w:cs="宋体"/>
          <w:b/>
          <w:bCs/>
          <w:color w:val="auto"/>
          <w:sz w:val="36"/>
          <w:szCs w:val="36"/>
          <w:highlight w:val="none"/>
        </w:rPr>
      </w:pPr>
    </w:p>
    <w:p w14:paraId="5FA7F8AF">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14:paraId="1C2D747D">
      <w:pPr>
        <w:autoSpaceDE w:val="0"/>
        <w:autoSpaceDN w:val="0"/>
        <w:adjustRightInd w:val="0"/>
        <w:spacing w:line="400" w:lineRule="atLeast"/>
        <w:jc w:val="center"/>
        <w:rPr>
          <w:rFonts w:ascii="宋体" w:hAnsi="宋体" w:eastAsia="宋体" w:cs="宋体"/>
          <w:b/>
          <w:bCs/>
          <w:color w:val="auto"/>
          <w:sz w:val="36"/>
          <w:szCs w:val="36"/>
          <w:highlight w:val="none"/>
        </w:rPr>
      </w:pPr>
    </w:p>
    <w:p w14:paraId="2B0C7BAA">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534" w:name="_Toc32395_WPSOffice_Level1"/>
      <w:r>
        <w:rPr>
          <w:rFonts w:hint="eastAsia" w:ascii="宋体" w:hAnsi="宋体" w:eastAsia="宋体" w:cs="宋体"/>
          <w:b/>
          <w:bCs/>
          <w:color w:val="auto"/>
          <w:sz w:val="36"/>
          <w:szCs w:val="36"/>
          <w:highlight w:val="none"/>
          <w:lang w:val="zh-CN"/>
        </w:rPr>
        <w:t>目录</w:t>
      </w:r>
      <w:bookmarkEnd w:id="534"/>
    </w:p>
    <w:p w14:paraId="787132C1">
      <w:pPr>
        <w:autoSpaceDE w:val="0"/>
        <w:autoSpaceDN w:val="0"/>
        <w:adjustRightInd w:val="0"/>
        <w:spacing w:line="400" w:lineRule="atLeast"/>
        <w:jc w:val="center"/>
        <w:rPr>
          <w:rFonts w:ascii="宋体" w:hAnsi="宋体" w:eastAsia="宋体" w:cs="宋体"/>
          <w:color w:val="auto"/>
          <w:sz w:val="44"/>
          <w:szCs w:val="44"/>
          <w:highlight w:val="none"/>
        </w:rPr>
      </w:pPr>
    </w:p>
    <w:p w14:paraId="281CF5CF">
      <w:pPr>
        <w:autoSpaceDE w:val="0"/>
        <w:autoSpaceDN w:val="0"/>
        <w:adjustRightInd w:val="0"/>
        <w:spacing w:line="360" w:lineRule="auto"/>
        <w:ind w:left="567" w:hanging="567"/>
        <w:rPr>
          <w:rFonts w:ascii="宋体" w:hAnsi="宋体" w:eastAsia="宋体" w:cs="宋体"/>
          <w:color w:val="auto"/>
          <w:szCs w:val="30"/>
          <w:highlight w:val="none"/>
        </w:rPr>
      </w:pPr>
      <w:bookmarkStart w:id="535"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535"/>
    </w:p>
    <w:p w14:paraId="1CBDC13C">
      <w:pPr>
        <w:autoSpaceDE w:val="0"/>
        <w:autoSpaceDN w:val="0"/>
        <w:adjustRightInd w:val="0"/>
        <w:spacing w:line="360" w:lineRule="auto"/>
        <w:ind w:left="567" w:hanging="567"/>
        <w:rPr>
          <w:rFonts w:ascii="宋体" w:hAnsi="宋体" w:eastAsia="宋体" w:cs="宋体"/>
          <w:color w:val="auto"/>
          <w:szCs w:val="30"/>
          <w:highlight w:val="none"/>
        </w:rPr>
      </w:pPr>
      <w:bookmarkStart w:id="536"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响应文件的初审</w:t>
      </w:r>
      <w:bookmarkEnd w:id="536"/>
    </w:p>
    <w:p w14:paraId="202A1287">
      <w:pPr>
        <w:autoSpaceDE w:val="0"/>
        <w:autoSpaceDN w:val="0"/>
        <w:adjustRightInd w:val="0"/>
        <w:spacing w:line="360" w:lineRule="auto"/>
        <w:ind w:left="567" w:hanging="567"/>
        <w:rPr>
          <w:rFonts w:ascii="宋体" w:hAnsi="宋体" w:eastAsia="宋体" w:cs="宋体"/>
          <w:color w:val="auto"/>
          <w:szCs w:val="30"/>
          <w:highlight w:val="none"/>
        </w:rPr>
      </w:pPr>
      <w:bookmarkStart w:id="537"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537"/>
    </w:p>
    <w:p w14:paraId="063B7E99">
      <w:pPr>
        <w:autoSpaceDE w:val="0"/>
        <w:autoSpaceDN w:val="0"/>
        <w:adjustRightInd w:val="0"/>
        <w:spacing w:line="360" w:lineRule="auto"/>
        <w:ind w:left="567" w:hanging="567"/>
        <w:rPr>
          <w:rFonts w:ascii="宋体" w:hAnsi="宋体" w:eastAsia="宋体" w:cs="宋体"/>
          <w:color w:val="auto"/>
          <w:szCs w:val="30"/>
          <w:highlight w:val="none"/>
        </w:rPr>
      </w:pPr>
      <w:bookmarkStart w:id="538" w:name="_Toc1206_WPSOffice_Level1"/>
      <w:r>
        <w:rPr>
          <w:rFonts w:hint="eastAsia" w:ascii="宋体" w:hAnsi="宋体" w:eastAsia="宋体" w:cs="宋体"/>
          <w:color w:val="auto"/>
          <w:szCs w:val="30"/>
          <w:highlight w:val="none"/>
        </w:rPr>
        <w:t>四、 谈判和最后报价</w:t>
      </w:r>
      <w:bookmarkEnd w:id="538"/>
    </w:p>
    <w:p w14:paraId="44F32238">
      <w:pPr>
        <w:autoSpaceDE w:val="0"/>
        <w:autoSpaceDN w:val="0"/>
        <w:adjustRightInd w:val="0"/>
        <w:spacing w:line="360" w:lineRule="auto"/>
        <w:ind w:left="567" w:hanging="567"/>
        <w:rPr>
          <w:rFonts w:ascii="宋体" w:hAnsi="宋体" w:eastAsia="宋体" w:cs="宋体"/>
          <w:color w:val="auto"/>
          <w:szCs w:val="30"/>
          <w:highlight w:val="none"/>
        </w:rPr>
      </w:pPr>
      <w:bookmarkStart w:id="539"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推荐成交候选人</w:t>
      </w:r>
      <w:bookmarkEnd w:id="539"/>
    </w:p>
    <w:p w14:paraId="5E59C98F">
      <w:pPr>
        <w:autoSpaceDE w:val="0"/>
        <w:autoSpaceDN w:val="0"/>
        <w:adjustRightInd w:val="0"/>
        <w:spacing w:line="360" w:lineRule="auto"/>
        <w:ind w:left="567" w:hanging="567"/>
        <w:rPr>
          <w:rFonts w:ascii="宋体" w:hAnsi="宋体" w:eastAsia="宋体" w:cs="宋体"/>
          <w:color w:val="auto"/>
          <w:szCs w:val="30"/>
          <w:highlight w:val="none"/>
        </w:rPr>
      </w:pPr>
      <w:bookmarkStart w:id="540"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编写评审报告</w:t>
      </w:r>
      <w:bookmarkEnd w:id="540"/>
    </w:p>
    <w:p w14:paraId="451BF0C3">
      <w:pPr>
        <w:autoSpaceDE w:val="0"/>
        <w:autoSpaceDN w:val="0"/>
        <w:adjustRightInd w:val="0"/>
        <w:spacing w:line="360" w:lineRule="auto"/>
        <w:ind w:left="567" w:hanging="567"/>
        <w:rPr>
          <w:rFonts w:ascii="宋体" w:hAnsi="宋体" w:eastAsia="宋体" w:cs="宋体"/>
          <w:color w:val="auto"/>
          <w:szCs w:val="30"/>
          <w:highlight w:val="none"/>
        </w:rPr>
      </w:pPr>
      <w:bookmarkStart w:id="541"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541"/>
    </w:p>
    <w:p w14:paraId="639F2A75">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22F9D2FF">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00874F22">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1AD40A3E">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542"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542"/>
    </w:p>
    <w:p w14:paraId="78F7A9BE">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1F3F9956">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东莞市东宝路、东城东路中间绿化带苗木移栽项目</w:t>
      </w:r>
      <w:r>
        <w:rPr>
          <w:rFonts w:hint="eastAsia" w:ascii="宋体" w:hAnsi="宋体" w:eastAsia="宋体" w:cs="宋体"/>
          <w:color w:val="auto"/>
          <w:szCs w:val="21"/>
          <w:highlight w:val="none"/>
          <w:lang w:val="zh-CN"/>
        </w:rPr>
        <w:t>(采购编号：0832-SFCX25DG109C</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采购</w:t>
      </w:r>
      <w:r>
        <w:rPr>
          <w:rFonts w:hint="eastAsia" w:ascii="宋体" w:hAnsi="宋体" w:eastAsia="宋体" w:cs="宋体"/>
          <w:color w:val="auto"/>
          <w:kern w:val="0"/>
          <w:szCs w:val="32"/>
          <w:highlight w:val="none"/>
        </w:rPr>
        <w:t>按照《中华人民共和国招标投标法》等有关规定进行。</w:t>
      </w:r>
    </w:p>
    <w:p w14:paraId="6F42D738">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评审必须遵循公平、公正、诚实信用的原则。</w:t>
      </w:r>
    </w:p>
    <w:p w14:paraId="6574641E">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采购代理机构</w:t>
      </w:r>
      <w:r>
        <w:rPr>
          <w:rFonts w:hint="eastAsia" w:ascii="宋体" w:hAnsi="宋体" w:eastAsia="宋体" w:cs="宋体"/>
          <w:color w:val="auto"/>
          <w:kern w:val="0"/>
          <w:szCs w:val="32"/>
          <w:highlight w:val="none"/>
        </w:rPr>
        <w:t>(三方诚信招标有限公司）组</w:t>
      </w:r>
      <w:r>
        <w:rPr>
          <w:rFonts w:hint="eastAsia" w:ascii="宋体" w:hAnsi="宋体" w:eastAsia="宋体" w:cs="宋体"/>
          <w:color w:val="auto"/>
          <w:szCs w:val="24"/>
          <w:highlight w:val="none"/>
          <w:lang w:val="zh-CN"/>
        </w:rPr>
        <w:t>织评审工作，全过程接受采购人、主管部门的监督、管理和指导。</w:t>
      </w:r>
    </w:p>
    <w:p w14:paraId="5B8740AA">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评审按照谈判文件规定的内容进行。</w:t>
      </w:r>
    </w:p>
    <w:p w14:paraId="55CA04BF">
      <w:pPr>
        <w:numPr>
          <w:ilvl w:val="1"/>
          <w:numId w:val="3"/>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本办法的评审对象是指响应供应商按照谈判文件要求提供的有效响应文件，包括响应供应商应谈判小组要求对原响应文件作出的正式书面澄清文件。</w:t>
      </w:r>
    </w:p>
    <w:p w14:paraId="4D2CD1E1">
      <w:pPr>
        <w:autoSpaceDE w:val="0"/>
        <w:autoSpaceDN w:val="0"/>
        <w:adjustRightInd w:val="0"/>
        <w:spacing w:line="360" w:lineRule="auto"/>
        <w:rPr>
          <w:rFonts w:ascii="宋体" w:hAnsi="宋体" w:eastAsia="宋体" w:cs="宋体"/>
          <w:color w:val="auto"/>
          <w:sz w:val="24"/>
          <w:szCs w:val="24"/>
          <w:highlight w:val="none"/>
          <w:lang w:val="zh-CN"/>
        </w:rPr>
      </w:pPr>
    </w:p>
    <w:p w14:paraId="620D99D2">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谈判小组的组成</w:t>
      </w:r>
    </w:p>
    <w:p w14:paraId="303F3C57">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谈判小组</w:t>
      </w:r>
      <w:r>
        <w:rPr>
          <w:rFonts w:hint="eastAsia" w:ascii="宋体" w:hAnsi="宋体" w:eastAsia="宋体" w:cs="宋体"/>
          <w:color w:val="auto"/>
          <w:kern w:val="0"/>
          <w:szCs w:val="24"/>
          <w:highlight w:val="none"/>
        </w:rPr>
        <w:t>由采购人和技术、经济等方面的专家组成，成员为</w:t>
      </w:r>
      <w:r>
        <w:rPr>
          <w:rFonts w:hint="eastAsia" w:ascii="宋体" w:hAnsi="宋体" w:eastAsia="宋体" w:cs="宋体"/>
          <w:color w:val="auto"/>
          <w:kern w:val="0"/>
          <w:szCs w:val="24"/>
          <w:highlight w:val="none"/>
          <w:lang w:val="en-US" w:eastAsia="zh-CN"/>
        </w:rPr>
        <w:t>5</w:t>
      </w:r>
      <w:r>
        <w:rPr>
          <w:rFonts w:ascii="宋体" w:hAnsi="宋体" w:eastAsia="宋体" w:cs="宋体"/>
          <w:color w:val="auto"/>
          <w:kern w:val="0"/>
          <w:szCs w:val="24"/>
          <w:highlight w:val="none"/>
        </w:rPr>
        <w:t>人以上（含</w:t>
      </w:r>
      <w:r>
        <w:rPr>
          <w:rFonts w:hint="eastAsia" w:ascii="宋体" w:hAnsi="宋体" w:eastAsia="宋体" w:cs="宋体"/>
          <w:color w:val="auto"/>
          <w:kern w:val="0"/>
          <w:szCs w:val="24"/>
          <w:highlight w:val="none"/>
          <w:lang w:val="en-US" w:eastAsia="zh-CN"/>
        </w:rPr>
        <w:t>5</w:t>
      </w:r>
      <w:r>
        <w:rPr>
          <w:rFonts w:ascii="宋体" w:hAnsi="宋体" w:eastAsia="宋体" w:cs="宋体"/>
          <w:color w:val="auto"/>
          <w:kern w:val="0"/>
          <w:szCs w:val="24"/>
          <w:highlight w:val="none"/>
        </w:rPr>
        <w:t>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0D37E400">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评审工作组由采购人、采购代理机构及有关专家组成，由谈判小组确认，并接受其领导。</w:t>
      </w:r>
    </w:p>
    <w:p w14:paraId="300A0FB3">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评审工作组分成谈判小组、采购代理机构秘书组。</w:t>
      </w:r>
    </w:p>
    <w:p w14:paraId="08F612FE">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谈判小组应相对独立工作，负责评审、撰写评审报告。采购代理机构秘书组负责评审过程中资料的保管、发放及回收，协调技术和谈判小组评审工作的进展和整理、汇总评审资料及复核。</w:t>
      </w:r>
    </w:p>
    <w:p w14:paraId="7FE7102A">
      <w:pPr>
        <w:autoSpaceDE w:val="0"/>
        <w:autoSpaceDN w:val="0"/>
        <w:adjustRightInd w:val="0"/>
        <w:spacing w:line="360" w:lineRule="auto"/>
        <w:rPr>
          <w:rFonts w:ascii="宋体" w:hAnsi="宋体" w:eastAsia="宋体" w:cs="宋体"/>
          <w:color w:val="auto"/>
          <w:sz w:val="24"/>
          <w:szCs w:val="24"/>
          <w:highlight w:val="none"/>
          <w:lang w:val="zh-CN"/>
        </w:rPr>
      </w:pPr>
    </w:p>
    <w:p w14:paraId="49E6A5D8">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谈判小组</w:t>
      </w:r>
      <w:r>
        <w:rPr>
          <w:rFonts w:hint="eastAsia" w:ascii="宋体" w:hAnsi="宋体" w:eastAsia="宋体" w:cs="宋体"/>
          <w:b/>
          <w:bCs/>
          <w:color w:val="auto"/>
          <w:szCs w:val="24"/>
          <w:highlight w:val="none"/>
          <w:lang w:val="zh-CN"/>
        </w:rPr>
        <w:t>职责</w:t>
      </w:r>
    </w:p>
    <w:p w14:paraId="37701B2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审查响应文件是否符合谈判文件要求，并作出评价；</w:t>
      </w:r>
    </w:p>
    <w:p w14:paraId="77D089C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要求响应供应商对响应文件有关事项作出解释或者澄清；</w:t>
      </w:r>
    </w:p>
    <w:p w14:paraId="51386B7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推荐成交候选人名单及排序；</w:t>
      </w:r>
    </w:p>
    <w:p w14:paraId="21FD0DD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向采购人、采购代理机构或者有关部门报告非法干预评审工作的行为。</w:t>
      </w:r>
    </w:p>
    <w:p w14:paraId="5FACC62D">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301938D5">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4、谈判小组义务</w:t>
      </w:r>
    </w:p>
    <w:p w14:paraId="2BBCC06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6AC295E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按照谈判文件规定的评审方法和评审标准进行评审，对评审意见承担个人责任；</w:t>
      </w:r>
    </w:p>
    <w:p w14:paraId="22FB94E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对评审过程和结果，以及响应供应商的商业秘密保密；</w:t>
      </w:r>
    </w:p>
    <w:p w14:paraId="243726F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参与评审报告的起草；</w:t>
      </w:r>
    </w:p>
    <w:p w14:paraId="53F5D5B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19254E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配合采购人、采购代理机构答复响应供应商提出的质疑、异议。</w:t>
      </w:r>
    </w:p>
    <w:p w14:paraId="11D997B3">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7612930F">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3CB5FFFE">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b/>
          <w:color w:val="auto"/>
          <w:highlight w:val="none"/>
          <w:lang w:val="zh-CN"/>
        </w:rPr>
        <w:t>竞争性谈判：</w:t>
      </w:r>
    </w:p>
    <w:p w14:paraId="3A4E05CC">
      <w:pPr>
        <w:autoSpaceDE w:val="0"/>
        <w:autoSpaceDN w:val="0"/>
        <w:adjustRightInd w:val="0"/>
        <w:spacing w:line="360" w:lineRule="auto"/>
        <w:ind w:left="477" w:hanging="476" w:hangingChars="227"/>
        <w:jc w:val="left"/>
        <w:rPr>
          <w:rFonts w:ascii="宋体" w:hAnsi="宋体" w:eastAsia="宋体" w:cs="宋体"/>
          <w:color w:val="auto"/>
          <w:kern w:val="0"/>
          <w:sz w:val="21"/>
          <w:szCs w:val="21"/>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宋体"/>
          <w:color w:val="auto"/>
          <w:kern w:val="0"/>
          <w:sz w:val="21"/>
          <w:szCs w:val="21"/>
          <w:highlight w:val="none"/>
          <w:lang w:val="zh-CN"/>
        </w:rPr>
        <w:t>评审首先由谈判小组对供应商的响应文件做资格性检查、符合性审查，对未能通过初审的响应文件不再进入下一阶段谈判。</w:t>
      </w:r>
    </w:p>
    <w:p w14:paraId="5AA48656">
      <w:pPr>
        <w:autoSpaceDE w:val="0"/>
        <w:autoSpaceDN w:val="0"/>
        <w:adjustRightInd w:val="0"/>
        <w:spacing w:line="360" w:lineRule="auto"/>
        <w:ind w:left="477" w:hanging="476" w:hangingChars="227"/>
        <w:jc w:val="left"/>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5.2</w:t>
      </w:r>
      <w:r>
        <w:rPr>
          <w:rFonts w:hint="eastAsia" w:ascii="宋体" w:hAnsi="宋体" w:eastAsia="宋体" w:cs="宋体"/>
          <w:color w:val="auto"/>
          <w:kern w:val="2"/>
          <w:sz w:val="21"/>
          <w:szCs w:val="24"/>
          <w:highlight w:val="none"/>
          <w:lang w:val="zh-CN"/>
        </w:rPr>
        <w:t xml:space="preserve"> </w:t>
      </w:r>
      <w:r>
        <w:rPr>
          <w:rFonts w:hint="eastAsia" w:ascii="宋体" w:hAnsi="宋体" w:eastAsia="宋体" w:cs="宋体"/>
          <w:color w:val="auto"/>
          <w:kern w:val="0"/>
          <w:sz w:val="21"/>
          <w:szCs w:val="21"/>
          <w:highlight w:val="none"/>
          <w:lang w:val="zh-CN"/>
        </w:rPr>
        <w:t>谈判小组将集中与单一通过初审的供应商(以响应供应商签到时间顺序为准)分别进行现场谈判，并给予所有参加谈判的响应供应商平等的谈判机会。如需要，进行必要的澄清工</w:t>
      </w:r>
      <w:r>
        <w:rPr>
          <w:rFonts w:hint="eastAsia" w:ascii="宋体" w:hAnsi="宋体" w:eastAsia="宋体" w:cs="宋体"/>
          <w:color w:val="auto"/>
          <w:kern w:val="0"/>
          <w:sz w:val="24"/>
          <w:szCs w:val="24"/>
          <w:highlight w:val="none"/>
          <w:lang w:val="zh-CN"/>
        </w:rPr>
        <w:t>作</w:t>
      </w:r>
      <w:r>
        <w:rPr>
          <w:rFonts w:hint="eastAsia" w:ascii="宋体" w:hAnsi="宋体" w:eastAsia="宋体" w:cs="宋体"/>
          <w:color w:val="auto"/>
          <w:kern w:val="0"/>
          <w:sz w:val="21"/>
          <w:szCs w:val="21"/>
          <w:highlight w:val="none"/>
          <w:lang w:val="zh-CN"/>
        </w:rPr>
        <w:t>。</w:t>
      </w:r>
    </w:p>
    <w:p w14:paraId="5BC203D3">
      <w:pPr>
        <w:autoSpaceDE w:val="0"/>
        <w:autoSpaceDN w:val="0"/>
        <w:adjustRightInd w:val="0"/>
        <w:spacing w:line="360" w:lineRule="auto"/>
        <w:ind w:left="477" w:hanging="476" w:hangingChars="227"/>
        <w:jc w:val="left"/>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5.3</w:t>
      </w:r>
      <w:r>
        <w:rPr>
          <w:rFonts w:hint="eastAsia" w:ascii="宋体" w:hAnsi="宋体" w:eastAsia="宋体" w:cs="宋体"/>
          <w:color w:val="auto"/>
          <w:kern w:val="2"/>
          <w:sz w:val="21"/>
          <w:szCs w:val="24"/>
          <w:highlight w:val="none"/>
          <w:lang w:val="zh-CN"/>
        </w:rPr>
        <w:t xml:space="preserve"> </w:t>
      </w:r>
      <w:r>
        <w:rPr>
          <w:rFonts w:hint="eastAsia" w:ascii="宋体" w:hAnsi="宋体" w:eastAsia="宋体" w:cs="宋体"/>
          <w:color w:val="auto"/>
          <w:kern w:val="0"/>
          <w:sz w:val="21"/>
          <w:szCs w:val="21"/>
          <w:highlight w:val="none"/>
          <w:lang w:val="zh-CN"/>
        </w:rPr>
        <w:t>谈判小组将逐一对响应文件初审合格的供应商首次报价进行谈判。</w:t>
      </w:r>
    </w:p>
    <w:p w14:paraId="41115775">
      <w:pPr>
        <w:autoSpaceDE w:val="0"/>
        <w:autoSpaceDN w:val="0"/>
        <w:adjustRightInd w:val="0"/>
        <w:spacing w:line="360" w:lineRule="auto"/>
        <w:ind w:left="477" w:hanging="476" w:hangingChars="227"/>
        <w:jc w:val="left"/>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5.4</w:t>
      </w:r>
      <w:r>
        <w:rPr>
          <w:rFonts w:hint="eastAsia" w:ascii="宋体" w:hAnsi="宋体" w:eastAsia="宋体" w:cs="宋体"/>
          <w:color w:val="auto"/>
          <w:kern w:val="2"/>
          <w:sz w:val="21"/>
          <w:szCs w:val="24"/>
          <w:highlight w:val="none"/>
          <w:lang w:val="zh-CN"/>
        </w:rPr>
        <w:t xml:space="preserve"> </w:t>
      </w:r>
      <w:r>
        <w:rPr>
          <w:rFonts w:hint="eastAsia" w:ascii="宋体" w:hAnsi="宋体" w:eastAsia="宋体" w:cs="宋体"/>
          <w:color w:val="auto"/>
          <w:kern w:val="0"/>
          <w:sz w:val="21"/>
          <w:szCs w:val="21"/>
          <w:highlight w:val="none"/>
          <w:lang w:val="zh-CN"/>
        </w:rPr>
        <w:t>在谈判过程中，谈判小组可以根据竞争性谈判文件和谈判情况实质性变动采购需求中的技术、 服务要求以及合同草案条款，但不得变动竞争性谈判文件中的其他内容。实质性变动的内容， 须经采购人确认，对竞争性谈判文件作出的实质性变动是竞争性谈判文件的有效组成部分，谈判小组应当及时以书面形式同时通知所有参加谈判的供应商。</w:t>
      </w:r>
    </w:p>
    <w:p w14:paraId="168671B0">
      <w:pPr>
        <w:autoSpaceDE w:val="0"/>
        <w:autoSpaceDN w:val="0"/>
        <w:adjustRightInd w:val="0"/>
        <w:spacing w:line="360" w:lineRule="auto"/>
        <w:ind w:left="477" w:hanging="476" w:hangingChars="227"/>
        <w:jc w:val="left"/>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5.5</w:t>
      </w:r>
      <w:r>
        <w:rPr>
          <w:rFonts w:hint="eastAsia" w:ascii="宋体" w:hAnsi="宋体" w:eastAsia="宋体" w:cs="宋体"/>
          <w:color w:val="auto"/>
          <w:kern w:val="2"/>
          <w:sz w:val="21"/>
          <w:szCs w:val="24"/>
          <w:highlight w:val="none"/>
          <w:lang w:val="zh-CN"/>
        </w:rPr>
        <w:t xml:space="preserve"> </w:t>
      </w:r>
      <w:r>
        <w:rPr>
          <w:rFonts w:hint="eastAsia" w:ascii="宋体" w:hAnsi="宋体" w:eastAsia="宋体" w:cs="宋体"/>
          <w:color w:val="auto"/>
          <w:kern w:val="0"/>
          <w:sz w:val="21"/>
          <w:szCs w:val="21"/>
          <w:highlight w:val="none"/>
          <w:lang w:val="zh-CN"/>
        </w:rPr>
        <w:t>供应商应当按照竞争性谈判文件的变动情况和谈判小组的要求重新提交响应文件，并由其法定 代表人或授权代表签字或者加盖公章。由授权代表签字的，应当附法定代表人授权书。供应商为自然人的，应当由本人签字并附身份证明。</w:t>
      </w:r>
    </w:p>
    <w:p w14:paraId="08025817">
      <w:pPr>
        <w:autoSpaceDE w:val="0"/>
        <w:autoSpaceDN w:val="0"/>
        <w:adjustRightInd w:val="0"/>
        <w:spacing w:line="360" w:lineRule="auto"/>
        <w:ind w:left="477" w:hanging="476" w:hangingChars="227"/>
        <w:jc w:val="left"/>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5.6</w:t>
      </w:r>
      <w:r>
        <w:rPr>
          <w:rFonts w:hint="eastAsia" w:ascii="宋体" w:hAnsi="宋体" w:eastAsia="宋体" w:cs="宋体"/>
          <w:color w:val="auto"/>
          <w:kern w:val="2"/>
          <w:sz w:val="21"/>
          <w:szCs w:val="24"/>
          <w:highlight w:val="none"/>
          <w:lang w:val="zh-CN"/>
        </w:rPr>
        <w:t xml:space="preserve"> </w:t>
      </w:r>
      <w:r>
        <w:rPr>
          <w:rFonts w:hint="eastAsia" w:ascii="宋体" w:hAnsi="宋体" w:eastAsia="宋体" w:cs="宋体"/>
          <w:color w:val="auto"/>
          <w:kern w:val="0"/>
          <w:sz w:val="21"/>
          <w:szCs w:val="21"/>
          <w:highlight w:val="none"/>
          <w:lang w:val="zh-CN"/>
        </w:rPr>
        <w:t>竞争性谈判文件能够详细列明采购标的的技术、服务要求的，谈判结束后，所有作出实质性响应的有效供应商应在规定的时间内集中密封提交最后报价(最后报价时间视谈判进程由谈判小组决定),最后报价是供应商响应文件的有效组成部分。如在谈判中谈判小组没有对本谈判文件作实质性变动增加新的需求，后一轮报价不得高于前一轮报价。</w:t>
      </w:r>
    </w:p>
    <w:p w14:paraId="70DEDA13">
      <w:pPr>
        <w:autoSpaceDE w:val="0"/>
        <w:autoSpaceDN w:val="0"/>
        <w:adjustRightInd w:val="0"/>
        <w:spacing w:line="360" w:lineRule="auto"/>
        <w:ind w:left="477" w:hanging="476" w:hangingChars="227"/>
        <w:jc w:val="left"/>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w:t>
      </w:r>
      <w:r>
        <w:rPr>
          <w:rFonts w:hint="eastAsia" w:ascii="宋体" w:hAnsi="宋体" w:eastAsia="宋体" w:cs="宋体"/>
          <w:color w:val="auto"/>
          <w:kern w:val="0"/>
          <w:sz w:val="21"/>
          <w:szCs w:val="21"/>
          <w:highlight w:val="none"/>
        </w:rPr>
        <w:t>7</w:t>
      </w:r>
      <w:r>
        <w:rPr>
          <w:rFonts w:hint="eastAsia" w:ascii="宋体" w:hAnsi="宋体" w:eastAsia="宋体" w:cs="宋体"/>
          <w:color w:val="auto"/>
          <w:kern w:val="2"/>
          <w:sz w:val="21"/>
          <w:szCs w:val="24"/>
          <w:highlight w:val="none"/>
          <w:lang w:val="zh-CN"/>
        </w:rPr>
        <w:t xml:space="preserve"> </w:t>
      </w:r>
      <w:r>
        <w:rPr>
          <w:rFonts w:hint="eastAsia" w:ascii="宋体" w:hAnsi="宋体" w:eastAsia="宋体" w:cs="宋体"/>
          <w:color w:val="auto"/>
          <w:kern w:val="0"/>
          <w:sz w:val="21"/>
          <w:szCs w:val="21"/>
          <w:highlight w:val="none"/>
          <w:lang w:val="zh-CN"/>
        </w:rPr>
        <w:t>谈判小组采用最低评标价法对供应商的响应文件和最后报价进行评审。</w:t>
      </w:r>
    </w:p>
    <w:p w14:paraId="0252DBF4">
      <w:pPr>
        <w:keepNext w:val="0"/>
        <w:keepLines w:val="0"/>
        <w:widowControl w:val="0"/>
        <w:suppressLineNumbers w:val="0"/>
        <w:spacing w:before="0" w:beforeAutospacing="0" w:after="0" w:afterAutospacing="0" w:line="360" w:lineRule="auto"/>
        <w:ind w:left="518" w:right="0" w:hanging="518"/>
        <w:jc w:val="both"/>
        <w:rPr>
          <w:rFonts w:hint="eastAsia" w:ascii="宋体" w:hAnsi="宋体" w:eastAsia="宋体" w:cs="宋体"/>
          <w:b/>
          <w:bCs/>
          <w:color w:val="auto"/>
          <w:szCs w:val="21"/>
          <w:highlight w:val="none"/>
          <w:lang w:bidi="ar"/>
        </w:rPr>
      </w:pPr>
      <w:r>
        <w:rPr>
          <w:rFonts w:hint="eastAsia" w:ascii="宋体" w:hAnsi="宋体" w:eastAsia="宋体" w:cs="宋体"/>
          <w:color w:val="auto"/>
          <w:kern w:val="0"/>
          <w:sz w:val="21"/>
          <w:szCs w:val="21"/>
          <w:highlight w:val="none"/>
          <w:lang w:val="zh-CN"/>
        </w:rPr>
        <w:t>5.</w:t>
      </w: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val="zh-CN"/>
        </w:rPr>
        <w:t xml:space="preserve"> 谈判小组根据评审结果编写评审报告</w:t>
      </w:r>
      <w:r>
        <w:rPr>
          <w:rFonts w:hint="eastAsia" w:ascii="宋体" w:hAnsi="宋体" w:eastAsia="宋体" w:cs="宋体"/>
          <w:b/>
          <w:bCs/>
          <w:color w:val="auto"/>
          <w:kern w:val="2"/>
          <w:sz w:val="21"/>
          <w:szCs w:val="21"/>
          <w:highlight w:val="none"/>
          <w:lang w:val="en-US" w:eastAsia="zh-CN" w:bidi="ar"/>
        </w:rPr>
        <w:t>。</w:t>
      </w:r>
    </w:p>
    <w:p w14:paraId="2A43DD12">
      <w:pPr>
        <w:spacing w:line="360" w:lineRule="auto"/>
        <w:ind w:left="0" w:firstLine="0"/>
        <w:rPr>
          <w:rFonts w:ascii="宋体" w:hAnsi="宋体" w:eastAsia="宋体"/>
          <w:b/>
          <w:color w:val="auto"/>
          <w:highlight w:val="none"/>
          <w:lang w:val="zh-CN"/>
        </w:rPr>
      </w:pPr>
    </w:p>
    <w:p w14:paraId="217B6978">
      <w:pPr>
        <w:rPr>
          <w:color w:val="auto"/>
          <w:highlight w:val="none"/>
          <w:lang w:val="zh-CN"/>
        </w:rPr>
      </w:pPr>
    </w:p>
    <w:p w14:paraId="739BA0E1">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543" w:name="_Toc19435_WPSOffice_Level1"/>
      <w:r>
        <w:rPr>
          <w:rFonts w:hint="eastAsia" w:ascii="宋体" w:hAnsi="宋体" w:eastAsia="宋体" w:cs="宋体"/>
          <w:b/>
          <w:bCs/>
          <w:color w:val="auto"/>
          <w:sz w:val="28"/>
          <w:szCs w:val="28"/>
          <w:highlight w:val="none"/>
          <w:lang w:val="zh-CN"/>
        </w:rPr>
        <w:t>二、响应文件的初审</w:t>
      </w:r>
      <w:bookmarkEnd w:id="543"/>
    </w:p>
    <w:p w14:paraId="53AFB845">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6、响应文件的初审分为资格性检查和符合性检查。</w:t>
      </w:r>
    </w:p>
    <w:p w14:paraId="29897106">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资格性检查是指谈判小组依据法律法规和谈判文件的规定，对响应文件中的资格证明、响应保证金、</w:t>
      </w:r>
      <w:r>
        <w:rPr>
          <w:rFonts w:hint="eastAsia" w:ascii="宋体" w:hAnsi="宋体" w:eastAsia="宋体" w:cs="宋体"/>
          <w:color w:val="auto"/>
          <w:szCs w:val="24"/>
          <w:highlight w:val="none"/>
          <w:lang w:val="en-US" w:eastAsia="zh-CN"/>
        </w:rPr>
        <w:t>响应供应商</w:t>
      </w:r>
      <w:r>
        <w:rPr>
          <w:rFonts w:hint="eastAsia" w:ascii="宋体" w:hAnsi="宋体" w:eastAsia="宋体" w:cs="宋体"/>
          <w:color w:val="auto"/>
          <w:szCs w:val="24"/>
          <w:highlight w:val="none"/>
          <w:lang w:val="zh-CN"/>
        </w:rPr>
        <w:t>（含其不具有独立法人资格的分支机构）信用（由</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lang w:val="zh-CN"/>
        </w:rPr>
        <w:t>代理机构在递交</w:t>
      </w:r>
      <w:r>
        <w:rPr>
          <w:rFonts w:hint="eastAsia" w:ascii="宋体" w:hAnsi="宋体" w:eastAsia="宋体" w:cs="宋体"/>
          <w:color w:val="auto"/>
          <w:szCs w:val="24"/>
          <w:highlight w:val="none"/>
          <w:lang w:val="en-US" w:eastAsia="zh-CN"/>
        </w:rPr>
        <w:t>响应</w:t>
      </w:r>
      <w:r>
        <w:rPr>
          <w:rFonts w:hint="eastAsia" w:ascii="宋体" w:hAnsi="宋体" w:eastAsia="宋体" w:cs="宋体"/>
          <w:color w:val="auto"/>
          <w:szCs w:val="24"/>
          <w:highlight w:val="none"/>
          <w:lang w:val="zh-CN"/>
        </w:rPr>
        <w:t>文件截止时间当天通过“信用中国”网站对</w:t>
      </w:r>
      <w:r>
        <w:rPr>
          <w:rFonts w:hint="eastAsia" w:ascii="宋体" w:hAnsi="宋体" w:eastAsia="宋体" w:cs="宋体"/>
          <w:color w:val="auto"/>
          <w:szCs w:val="24"/>
          <w:highlight w:val="none"/>
          <w:lang w:val="en-US" w:eastAsia="zh-CN"/>
        </w:rPr>
        <w:t>响应供应商</w:t>
      </w:r>
      <w:r>
        <w:rPr>
          <w:rFonts w:hint="eastAsia" w:ascii="宋体" w:hAnsi="宋体" w:eastAsia="宋体" w:cs="宋体"/>
          <w:color w:val="auto"/>
          <w:szCs w:val="24"/>
          <w:highlight w:val="none"/>
          <w:lang w:val="zh-CN"/>
        </w:rPr>
        <w:t>信用进行查询，</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lang w:val="zh-CN"/>
        </w:rPr>
        <w:t>代理机构将查询情况提交</w:t>
      </w:r>
      <w:r>
        <w:rPr>
          <w:rFonts w:hint="eastAsia" w:ascii="宋体" w:hAnsi="宋体" w:eastAsia="宋体" w:cs="宋体"/>
          <w:color w:val="auto"/>
          <w:szCs w:val="24"/>
          <w:highlight w:val="none"/>
          <w:lang w:val="en-US" w:eastAsia="zh-CN"/>
        </w:rPr>
        <w:t>谈判</w:t>
      </w:r>
      <w:r>
        <w:rPr>
          <w:rFonts w:hint="eastAsia" w:ascii="宋体" w:hAnsi="宋体" w:eastAsia="宋体" w:cs="宋体"/>
          <w:color w:val="auto"/>
          <w:szCs w:val="24"/>
          <w:highlight w:val="none"/>
          <w:lang w:val="zh-CN"/>
        </w:rPr>
        <w:t>评审）等进行审查，以确定响应供应商是否具备</w:t>
      </w:r>
      <w:r>
        <w:rPr>
          <w:rFonts w:hint="eastAsia" w:ascii="宋体" w:hAnsi="宋体" w:eastAsia="宋体" w:cs="宋体"/>
          <w:color w:val="auto"/>
          <w:szCs w:val="24"/>
          <w:highlight w:val="none"/>
          <w:lang w:val="en-US" w:eastAsia="zh-CN"/>
        </w:rPr>
        <w:t>谈判</w:t>
      </w:r>
      <w:r>
        <w:rPr>
          <w:rFonts w:hint="eastAsia" w:ascii="宋体" w:hAnsi="宋体" w:eastAsia="宋体" w:cs="宋体"/>
          <w:color w:val="auto"/>
          <w:szCs w:val="24"/>
          <w:highlight w:val="none"/>
          <w:lang w:val="zh-CN"/>
        </w:rPr>
        <w:t>资格。</w:t>
      </w:r>
    </w:p>
    <w:p w14:paraId="29905BB2">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符合性检查是指谈判小组依据谈判文件规定，从响应文件的有效性、完整性和对谈判文件的响应程度进行审查，以确定是否对谈判文件的实质性要求作出响应。</w:t>
      </w:r>
    </w:p>
    <w:p w14:paraId="2A1E1951">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指的是符合谈判文件要求的全部“★”条款和验收标准而无任何重大偏离或保留。重大偏离或保留系指实质上影响到合同项下的供货及服务范围、质量和性能，或指与谈判文件有实质不一致，限制了合同项下委托人的权利和承包人的义务, 或对该重大偏离的修改对提交实质性响应的其他响应供应商将不公平。</w:t>
      </w:r>
    </w:p>
    <w:p w14:paraId="14371ACE">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谈判小组决定响应文件的响应性是基于响应文件的内容本身而不靠外部的证据。</w:t>
      </w:r>
      <w:r>
        <w:rPr>
          <w:rFonts w:hint="eastAsia" w:ascii="宋体" w:hAnsi="宋体" w:eastAsia="宋体" w:cs="宋体"/>
          <w:b/>
          <w:bCs/>
          <w:color w:val="auto"/>
          <w:kern w:val="2"/>
          <w:sz w:val="21"/>
          <w:szCs w:val="21"/>
          <w:highlight w:val="none"/>
          <w:u w:val="single"/>
          <w:lang w:val="zh-CN"/>
        </w:rPr>
        <w:t>对是否符合实质性响应竞争性谈判文件有争议的响应文件,谈判小组将以记名方式表决,</w:t>
      </w:r>
      <w:r>
        <w:rPr>
          <w:rFonts w:hint="eastAsia" w:ascii="宋体" w:hAnsi="宋体" w:eastAsia="宋体" w:cs="宋体"/>
          <w:b/>
          <w:bCs/>
          <w:color w:val="auto"/>
          <w:kern w:val="2"/>
          <w:sz w:val="21"/>
          <w:szCs w:val="21"/>
          <w:highlight w:val="none"/>
          <w:u w:val="single"/>
        </w:rPr>
        <w:t>根据少数服从多数的原则，获多数表决通过的供应商</w:t>
      </w:r>
      <w:r>
        <w:rPr>
          <w:rFonts w:hint="eastAsia" w:ascii="宋体" w:hAnsi="宋体" w:eastAsia="宋体" w:cs="宋体"/>
          <w:b/>
          <w:bCs/>
          <w:color w:val="auto"/>
          <w:kern w:val="2"/>
          <w:sz w:val="21"/>
          <w:szCs w:val="21"/>
          <w:highlight w:val="none"/>
          <w:u w:val="single"/>
          <w:lang w:val="zh-CN"/>
        </w:rPr>
        <w:t>才有资格进入下一阶段的评审,否则将被认定为无效响应文件</w:t>
      </w:r>
      <w:r>
        <w:rPr>
          <w:rFonts w:hint="eastAsia" w:ascii="宋体" w:hAnsi="宋体" w:eastAsia="宋体" w:cs="宋体"/>
          <w:b/>
          <w:bCs/>
          <w:color w:val="auto"/>
          <w:kern w:val="2"/>
          <w:sz w:val="21"/>
          <w:szCs w:val="21"/>
          <w:highlight w:val="none"/>
          <w:lang w:val="zh-CN"/>
        </w:rPr>
        <w:t>。</w:t>
      </w:r>
    </w:p>
    <w:p w14:paraId="0ED2ECEC">
      <w:pPr>
        <w:autoSpaceDE w:val="0"/>
        <w:autoSpaceDN w:val="0"/>
        <w:adjustRightInd w:val="0"/>
        <w:spacing w:line="360" w:lineRule="auto"/>
        <w:rPr>
          <w:rFonts w:ascii="宋体" w:hAnsi="宋体" w:eastAsia="宋体" w:cs="宋体"/>
          <w:b/>
          <w:color w:val="auto"/>
          <w:szCs w:val="21"/>
          <w:highlight w:val="none"/>
          <w:lang w:val="zh-CN"/>
        </w:rPr>
      </w:pPr>
    </w:p>
    <w:p w14:paraId="324FFFD7">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7、响应文件出现下列情况之一的，被认定为无效</w:t>
      </w:r>
      <w:r>
        <w:rPr>
          <w:rFonts w:hint="eastAsia" w:ascii="宋体" w:hAnsi="宋体" w:eastAsia="宋体" w:cs="宋体"/>
          <w:b/>
          <w:color w:val="auto"/>
          <w:szCs w:val="21"/>
          <w:highlight w:val="none"/>
          <w:lang w:val="en-US" w:eastAsia="zh-CN"/>
        </w:rPr>
        <w:t>响应文件</w:t>
      </w:r>
      <w:r>
        <w:rPr>
          <w:rFonts w:hint="eastAsia" w:ascii="宋体" w:hAnsi="宋体" w:eastAsia="宋体" w:cs="宋体"/>
          <w:b/>
          <w:color w:val="auto"/>
          <w:szCs w:val="21"/>
          <w:highlight w:val="none"/>
          <w:lang w:val="zh-CN"/>
        </w:rPr>
        <w:t>：</w:t>
      </w:r>
    </w:p>
    <w:p w14:paraId="5F7F0573">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color w:val="auto"/>
          <w:szCs w:val="21"/>
          <w:highlight w:val="none"/>
          <w:lang w:val="zh-CN"/>
        </w:rPr>
        <w:t>供应商未按竞争性谈判文件要求缴纳响应保证金</w:t>
      </w:r>
      <w:r>
        <w:rPr>
          <w:rFonts w:hint="eastAsia" w:ascii="宋体" w:hAnsi="宋体" w:eastAsia="宋体" w:cs="宋体"/>
          <w:b/>
          <w:bCs/>
          <w:color w:val="auto"/>
          <w:kern w:val="0"/>
          <w:szCs w:val="21"/>
          <w:highlight w:val="none"/>
        </w:rPr>
        <w:t>；</w:t>
      </w:r>
    </w:p>
    <w:p w14:paraId="7DF12D76">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响应供应商的响应报价高于响应最高限价；</w:t>
      </w:r>
    </w:p>
    <w:p w14:paraId="50B32EC8">
      <w:pPr>
        <w:tabs>
          <w:tab w:val="left" w:pos="567"/>
        </w:tabs>
        <w:spacing w:line="360" w:lineRule="auto"/>
        <w:ind w:left="632" w:hanging="632" w:hangingChars="300"/>
        <w:rPr>
          <w:rFonts w:hint="default"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7.3  供应商以低于企业成本价报价，且供应商不能合理说明或不能提供相关证明材料；</w:t>
      </w:r>
    </w:p>
    <w:p w14:paraId="5B4EF263">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w:t>
      </w:r>
      <w:r>
        <w:rPr>
          <w:rFonts w:hint="eastAsia" w:ascii="宋体" w:hAnsi="宋体" w:eastAsia="宋体" w:cs="宋体"/>
          <w:b/>
          <w:color w:val="auto"/>
          <w:kern w:val="0"/>
          <w:szCs w:val="21"/>
          <w:highlight w:val="none"/>
          <w:lang w:val="en-US" w:eastAsia="zh-CN"/>
        </w:rPr>
        <w:t>4</w:t>
      </w:r>
      <w:r>
        <w:rPr>
          <w:rFonts w:hint="eastAsia" w:ascii="宋体" w:hAnsi="宋体" w:eastAsia="宋体" w:cs="宋体"/>
          <w:b/>
          <w:color w:val="auto"/>
          <w:kern w:val="0"/>
          <w:szCs w:val="21"/>
          <w:highlight w:val="none"/>
        </w:rPr>
        <w:t xml:space="preserve">  响应供应商递交两份或多份内容不同的响应文件，或在一份响应文件中报有两个或多个报价，且未书面声明哪一个有效；</w:t>
      </w:r>
    </w:p>
    <w:p w14:paraId="7FA4CA7D">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 xml:space="preserve">  </w:t>
      </w:r>
      <w:r>
        <w:rPr>
          <w:rFonts w:hint="eastAsia" w:ascii="宋体" w:hAnsi="宋体" w:eastAsia="宋体" w:cs="宋体"/>
          <w:b/>
          <w:color w:val="auto"/>
          <w:kern w:val="0"/>
          <w:szCs w:val="21"/>
          <w:highlight w:val="none"/>
        </w:rPr>
        <w:t>响应供应商不符合合格响应供应商的基本条件[含未提供资格证明文件，或响应供应商（含其不具有独立法人资格的分支机构）被列入“信用中国”网站（www.creditchina.gov.cn）失信被执行人、重大税收违法失信主体、政府采购严重违法失信行为记录名单（处罚期限届满的除外）]；</w:t>
      </w:r>
    </w:p>
    <w:p w14:paraId="0E2F4FFB">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响应文件未按照谈判文件规定要求密封；响应文件无法定代表人或其授权代表签字（或盖私章），或签字人无法定代表人有效授权的；签字盖章不符合谈判文件要求的； </w:t>
      </w:r>
    </w:p>
    <w:p w14:paraId="7AD0B62C">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响应有效期限不符合要求；</w:t>
      </w:r>
    </w:p>
    <w:p w14:paraId="4EE77399">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xml:space="preserve">  响应文件未对采购范围内的全部内容进行</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报价</w:t>
      </w:r>
      <w:r>
        <w:rPr>
          <w:rFonts w:hint="eastAsia" w:ascii="宋体" w:hAnsi="宋体" w:eastAsia="宋体" w:cs="Times New Roman"/>
          <w:b/>
          <w:color w:val="auto"/>
          <w:kern w:val="0"/>
          <w:szCs w:val="21"/>
          <w:highlight w:val="none"/>
        </w:rPr>
        <w:t>或</w:t>
      </w:r>
      <w:r>
        <w:rPr>
          <w:rFonts w:hint="eastAsia" w:ascii="宋体" w:hAnsi="宋体" w:eastAsia="宋体" w:cs="Times New Roman"/>
          <w:b/>
          <w:color w:val="auto"/>
          <w:kern w:val="0"/>
          <w:szCs w:val="21"/>
          <w:highlight w:val="none"/>
          <w:lang w:val="en-US" w:eastAsia="zh-CN"/>
        </w:rPr>
        <w:t>响应</w:t>
      </w:r>
      <w:r>
        <w:rPr>
          <w:rFonts w:hint="eastAsia" w:ascii="宋体" w:hAnsi="宋体" w:eastAsia="宋体" w:cs="Times New Roman"/>
          <w:b/>
          <w:color w:val="auto"/>
          <w:kern w:val="0"/>
          <w:szCs w:val="21"/>
          <w:highlight w:val="none"/>
        </w:rPr>
        <w:t>方案不是唯一</w:t>
      </w:r>
      <w:r>
        <w:rPr>
          <w:rFonts w:hint="eastAsia" w:ascii="宋体" w:hAnsi="宋体" w:eastAsia="宋体" w:cs="宋体"/>
          <w:b/>
          <w:bCs/>
          <w:color w:val="auto"/>
          <w:kern w:val="0"/>
          <w:szCs w:val="21"/>
          <w:highlight w:val="none"/>
        </w:rPr>
        <w:t>；</w:t>
      </w:r>
    </w:p>
    <w:p w14:paraId="29D4E09C">
      <w:pPr>
        <w:spacing w:line="360" w:lineRule="auto"/>
        <w:ind w:left="624" w:hanging="624" w:hangingChars="2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9</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rPr>
        <w:t>未提供或虚假填写《合同条款偏离表》和《用户需求偏离表》的，或经谈判小组与供应商进行谈判后，供应商最终的《合同条款偏离表》响应条款有重大的负偏离导致采购人利益无法得到保障、存在采购人无法接受的风险的</w:t>
      </w:r>
      <w:r>
        <w:rPr>
          <w:rFonts w:ascii="宋体" w:hAnsi="宋体" w:eastAsia="宋体" w:cs="Times New Roman"/>
          <w:b/>
          <w:color w:val="auto"/>
          <w:kern w:val="0"/>
          <w:szCs w:val="21"/>
          <w:highlight w:val="none"/>
        </w:rPr>
        <w:t>；</w:t>
      </w:r>
    </w:p>
    <w:p w14:paraId="63084AE7">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谈判文件提出的实质性要求和条件（标注★的条款）</w:t>
      </w:r>
      <w:r>
        <w:rPr>
          <w:rFonts w:hint="eastAsia" w:ascii="宋体" w:hAnsi="宋体" w:eastAsia="宋体" w:cs="Times New Roman"/>
          <w:b/>
          <w:color w:val="auto"/>
          <w:kern w:val="0"/>
          <w:szCs w:val="21"/>
          <w:highlight w:val="none"/>
        </w:rPr>
        <w:t>。</w:t>
      </w:r>
    </w:p>
    <w:p w14:paraId="22EA3469">
      <w:pPr>
        <w:autoSpaceDE w:val="0"/>
        <w:autoSpaceDN w:val="0"/>
        <w:adjustRightInd w:val="0"/>
        <w:spacing w:line="360" w:lineRule="auto"/>
        <w:ind w:left="315" w:hanging="315" w:hangingChars="150"/>
        <w:rPr>
          <w:rFonts w:ascii="宋体" w:hAnsi="宋体" w:eastAsia="宋体" w:cs="宋体"/>
          <w:bCs/>
          <w:color w:val="auto"/>
          <w:kern w:val="0"/>
          <w:szCs w:val="24"/>
          <w:highlight w:val="none"/>
          <w:lang w:val="zh-CN"/>
        </w:rPr>
      </w:pPr>
    </w:p>
    <w:p w14:paraId="3F46CFC7">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谈判小组应当书面要求存在细微偏差的响应供应商在评审结束前予以补正。细微偏差是指响应文件在实质上响应谈判文件要求，但在个别地方存在漏项或者提供了不完整的技术方案信息和数据等情况，并且补正这些遗漏或者不完整不会对其他响应供应商造成不公平的结果。细微偏差不影响响应文件的有效性。</w:t>
      </w:r>
    </w:p>
    <w:p w14:paraId="06C41F7A">
      <w:pPr>
        <w:spacing w:line="360" w:lineRule="auto"/>
        <w:ind w:left="480"/>
        <w:rPr>
          <w:rFonts w:ascii="宋体" w:hAnsi="宋体" w:eastAsia="宋体" w:cs="宋体"/>
          <w:b/>
          <w:color w:val="auto"/>
          <w:kern w:val="0"/>
          <w:szCs w:val="21"/>
          <w:highlight w:val="none"/>
        </w:rPr>
      </w:pPr>
    </w:p>
    <w:p w14:paraId="703CB7AD">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544" w:name="_Toc4109_WPSOffice_Level1"/>
      <w:r>
        <w:rPr>
          <w:rFonts w:hint="eastAsia" w:ascii="宋体" w:hAnsi="宋体" w:eastAsia="宋体" w:cs="宋体"/>
          <w:b/>
          <w:bCs/>
          <w:color w:val="auto"/>
          <w:sz w:val="28"/>
          <w:szCs w:val="28"/>
          <w:highlight w:val="none"/>
          <w:lang w:val="zh-CN"/>
        </w:rPr>
        <w:t>三、澄清有关问题</w:t>
      </w:r>
      <w:bookmarkEnd w:id="544"/>
    </w:p>
    <w:p w14:paraId="10E7F68F">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响应文件</w:t>
      </w:r>
      <w:r>
        <w:rPr>
          <w:rFonts w:hint="eastAsia" w:ascii="宋体" w:hAnsi="宋体" w:eastAsia="宋体" w:cs="宋体"/>
          <w:color w:val="auto"/>
          <w:szCs w:val="24"/>
          <w:highlight w:val="none"/>
          <w:lang w:val="zh-CN"/>
        </w:rPr>
        <w:t>的资格性检查及符合性检查过程中，</w:t>
      </w:r>
      <w:r>
        <w:rPr>
          <w:rFonts w:hint="eastAsia" w:ascii="宋体" w:hAnsi="宋体" w:eastAsia="宋体" w:cs="宋体"/>
          <w:color w:val="auto"/>
          <w:kern w:val="0"/>
          <w:szCs w:val="24"/>
          <w:highlight w:val="none"/>
          <w:lang w:val="zh-CN"/>
        </w:rPr>
        <w:t>响应供应商</w:t>
      </w:r>
      <w:r>
        <w:rPr>
          <w:rFonts w:hint="eastAsia" w:ascii="宋体" w:hAnsi="宋体" w:eastAsia="宋体" w:cs="宋体"/>
          <w:color w:val="auto"/>
          <w:szCs w:val="24"/>
          <w:highlight w:val="none"/>
          <w:lang w:val="zh-CN"/>
        </w:rPr>
        <w:t>可应谈判小组要求对</w:t>
      </w:r>
      <w:r>
        <w:rPr>
          <w:rFonts w:hint="eastAsia" w:ascii="宋体" w:hAnsi="宋体" w:eastAsia="宋体" w:cs="宋体"/>
          <w:color w:val="auto"/>
          <w:kern w:val="0"/>
          <w:szCs w:val="24"/>
          <w:highlight w:val="none"/>
          <w:lang w:val="zh-CN"/>
        </w:rPr>
        <w:t>响应文件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响应文件</w:t>
      </w:r>
      <w:r>
        <w:rPr>
          <w:rFonts w:hint="eastAsia" w:ascii="宋体" w:hAnsi="宋体" w:eastAsia="宋体" w:cs="宋体"/>
          <w:color w:val="auto"/>
          <w:szCs w:val="24"/>
          <w:highlight w:val="none"/>
          <w:lang w:val="zh-CN"/>
        </w:rPr>
        <w:t>的一部分。</w:t>
      </w:r>
    </w:p>
    <w:p w14:paraId="11DA2C26">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响应文件</w:t>
      </w:r>
      <w:r>
        <w:rPr>
          <w:rFonts w:hint="eastAsia" w:ascii="宋体" w:hAnsi="宋体" w:eastAsia="宋体" w:cs="宋体"/>
          <w:color w:val="auto"/>
          <w:szCs w:val="24"/>
          <w:highlight w:val="none"/>
          <w:lang w:val="zh-CN"/>
        </w:rPr>
        <w:t>中含义不明确、同类问题表述不一致或者有明显文字和计算错误的内容，谈判小组可以书面形式（由谈判小组专家签字）要求响应供应商作出必要的澄清、说明或者纠正。</w:t>
      </w:r>
    </w:p>
    <w:p w14:paraId="34091B46">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响应供应商的澄清、说明或者纠正应当采用书面形式，由其授权的代表签字，并不得超出响应文件的范围或者改变响应文件的实质性内容。</w:t>
      </w:r>
    </w:p>
    <w:p w14:paraId="4E5804D9">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经过澄清后仍不符合要求，重大（实质性）偏差仍存在，且不可接受，响应供应商则被认为是“不响应谈判文件要求的响应供应商”，不再进入下一步评审。</w:t>
      </w:r>
    </w:p>
    <w:p w14:paraId="129E0842">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响应文件报价计算错误的修正</w:t>
      </w:r>
    </w:p>
    <w:p w14:paraId="1F47BA54">
      <w:pPr>
        <w:spacing w:line="360" w:lineRule="auto"/>
        <w:ind w:left="567"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（1）谈判小组将对确定为实质上响应谈判文件要求的响应文件进行校核，看其是否有计算或表达上的错误，修正错误的原则为：</w:t>
      </w:r>
    </w:p>
    <w:p w14:paraId="5A8CF059">
      <w:pPr>
        <w:autoSpaceDE w:val="0"/>
        <w:autoSpaceDN w:val="0"/>
        <w:adjustRightInd w:val="0"/>
        <w:spacing w:line="360" w:lineRule="auto"/>
        <w:ind w:firstLine="420" w:firstLineChars="20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A</w:t>
      </w:r>
      <w:r>
        <w:rPr>
          <w:rFonts w:hint="eastAsia" w:ascii="宋体" w:hAnsi="宋体" w:eastAsia="宋体" w:cs="Times New Roman"/>
          <w:color w:val="auto"/>
          <w:szCs w:val="21"/>
          <w:highlight w:val="none"/>
          <w:lang w:val="zh-CN"/>
        </w:rPr>
        <w:t>）当以数字表示的金额与以文字表示的金额不一致时，以文字表示的金额为准。</w:t>
      </w:r>
    </w:p>
    <w:p w14:paraId="2B886DCA">
      <w:pPr>
        <w:autoSpaceDE w:val="0"/>
        <w:autoSpaceDN w:val="0"/>
        <w:adjustRightInd w:val="0"/>
        <w:spacing w:line="360" w:lineRule="auto"/>
        <w:ind w:firstLine="420" w:firstLineChars="20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B</w:t>
      </w:r>
      <w:r>
        <w:rPr>
          <w:rFonts w:hint="eastAsia" w:ascii="宋体" w:hAnsi="宋体" w:eastAsia="宋体" w:cs="Times New Roman"/>
          <w:color w:val="auto"/>
          <w:szCs w:val="21"/>
          <w:highlight w:val="none"/>
          <w:lang w:val="zh-CN"/>
        </w:rPr>
        <w:t>）当分项报价明细表内累计与</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lang w:val="zh-CN"/>
        </w:rPr>
        <w:t>报价表不符时，以响应报价表为准，修正分项报价明细表内的各分项报价。</w:t>
      </w:r>
    </w:p>
    <w:p w14:paraId="39B44890">
      <w:pPr>
        <w:autoSpaceDE w:val="0"/>
        <w:autoSpaceDN w:val="0"/>
        <w:adjustRightInd w:val="0"/>
        <w:spacing w:line="360" w:lineRule="auto"/>
        <w:ind w:firstLine="424" w:firstLineChars="202"/>
        <w:jc w:val="left"/>
        <w:rPr>
          <w:rFonts w:ascii="宋体" w:hAnsi="宋体" w:eastAsia="宋体" w:cs="Times New Roman"/>
          <w:color w:val="auto"/>
          <w:kern w:val="0"/>
          <w:sz w:val="24"/>
          <w:szCs w:val="24"/>
          <w:highlight w:val="none"/>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C</w:t>
      </w:r>
      <w:r>
        <w:rPr>
          <w:rFonts w:hint="eastAsia" w:ascii="宋体" w:hAnsi="宋体" w:eastAsia="宋体" w:cs="Times New Roman"/>
          <w:color w:val="auto"/>
          <w:szCs w:val="21"/>
          <w:highlight w:val="none"/>
          <w:lang w:val="zh-CN"/>
        </w:rPr>
        <w:t>）按前述修正原则排序依次进行修正至唯一值后的报价表经双方确认后，作为响应供应商的响应报价。</w:t>
      </w:r>
    </w:p>
    <w:p w14:paraId="1A3BB834">
      <w:pPr>
        <w:spacing w:line="360" w:lineRule="auto"/>
        <w:ind w:left="422" w:hanging="420" w:hangingChars="200"/>
        <w:jc w:val="both"/>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按上述报价修正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的原则及方法调整或修正响应文件的响应报价，调整后的响应报价对响应供应商起约束作用。如果响应供应商不接受修正后的报价，则其响应将被拒绝，作为无效</w:t>
      </w:r>
      <w:r>
        <w:rPr>
          <w:rFonts w:hint="eastAsia" w:ascii="宋体" w:hAnsi="宋体" w:eastAsia="宋体" w:cs="宋体"/>
          <w:b/>
          <w:color w:val="auto"/>
          <w:kern w:val="0"/>
          <w:szCs w:val="21"/>
          <w:highlight w:val="none"/>
          <w:u w:val="single"/>
          <w:lang w:val="en-US" w:eastAsia="zh-CN"/>
        </w:rPr>
        <w:t>响应文件</w:t>
      </w:r>
      <w:r>
        <w:rPr>
          <w:rFonts w:hint="eastAsia" w:ascii="宋体" w:hAnsi="宋体" w:eastAsia="宋体" w:cs="宋体"/>
          <w:b/>
          <w:color w:val="auto"/>
          <w:kern w:val="0"/>
          <w:szCs w:val="21"/>
          <w:highlight w:val="none"/>
          <w:u w:val="single"/>
          <w:lang w:val="zh-CN"/>
        </w:rPr>
        <w:t>处理</w:t>
      </w:r>
      <w:r>
        <w:rPr>
          <w:rFonts w:hint="eastAsia" w:ascii="宋体" w:hAnsi="宋体" w:eastAsia="宋体" w:cs="宋体"/>
          <w:b/>
          <w:color w:val="auto"/>
          <w:kern w:val="0"/>
          <w:szCs w:val="21"/>
          <w:highlight w:val="none"/>
          <w:lang w:val="zh-CN"/>
        </w:rPr>
        <w:t>。</w:t>
      </w:r>
    </w:p>
    <w:p w14:paraId="4FDAC509">
      <w:pPr>
        <w:spacing w:line="360" w:lineRule="auto"/>
        <w:ind w:left="422" w:hanging="422" w:hangingChars="20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9.5 </w:t>
      </w:r>
      <w:r>
        <w:rPr>
          <w:rFonts w:hint="eastAsia" w:ascii="宋体" w:hAnsi="宋体" w:eastAsia="宋体" w:cs="宋体"/>
          <w:b/>
          <w:bCs/>
          <w:color w:val="auto"/>
          <w:kern w:val="2"/>
          <w:sz w:val="21"/>
          <w:szCs w:val="21"/>
          <w:highlight w:val="none"/>
          <w:u w:val="single"/>
          <w:lang w:val="zh-CN"/>
        </w:rPr>
        <w:t>谈判小组按上述修正误差的原则调整的价格对其响应供应商具有约束力。如果响应供应商不接受修正后的价格，其</w:t>
      </w:r>
      <w:r>
        <w:rPr>
          <w:rFonts w:hint="eastAsia" w:ascii="宋体" w:hAnsi="宋体" w:eastAsia="宋体" w:cs="宋体"/>
          <w:b/>
          <w:bCs/>
          <w:color w:val="auto"/>
          <w:kern w:val="2"/>
          <w:sz w:val="21"/>
          <w:szCs w:val="21"/>
          <w:highlight w:val="none"/>
          <w:u w:val="single"/>
        </w:rPr>
        <w:t>响应</w:t>
      </w:r>
      <w:r>
        <w:rPr>
          <w:rFonts w:hint="eastAsia" w:ascii="宋体" w:hAnsi="宋体" w:eastAsia="宋体" w:cs="宋体"/>
          <w:b/>
          <w:bCs/>
          <w:color w:val="auto"/>
          <w:kern w:val="2"/>
          <w:sz w:val="21"/>
          <w:szCs w:val="21"/>
          <w:highlight w:val="none"/>
          <w:u w:val="single"/>
          <w:lang w:val="zh-CN"/>
        </w:rPr>
        <w:t>将被拒绝，</w:t>
      </w:r>
      <w:r>
        <w:rPr>
          <w:rFonts w:hint="eastAsia" w:ascii="宋体" w:hAnsi="宋体" w:eastAsia="宋体" w:cs="宋体"/>
          <w:b/>
          <w:bCs/>
          <w:color w:val="auto"/>
          <w:kern w:val="2"/>
          <w:sz w:val="21"/>
          <w:szCs w:val="21"/>
          <w:highlight w:val="none"/>
          <w:u w:val="single"/>
        </w:rPr>
        <w:t>作为无效响应处理</w:t>
      </w:r>
      <w:r>
        <w:rPr>
          <w:rFonts w:hint="eastAsia" w:ascii="宋体" w:hAnsi="宋体" w:eastAsia="宋体" w:cs="宋体"/>
          <w:b/>
          <w:bCs/>
          <w:color w:val="auto"/>
          <w:kern w:val="2"/>
          <w:sz w:val="21"/>
          <w:szCs w:val="21"/>
          <w:highlight w:val="none"/>
          <w:lang w:val="zh-CN"/>
        </w:rPr>
        <w:t>。</w:t>
      </w:r>
    </w:p>
    <w:p w14:paraId="676CE6AA">
      <w:pPr>
        <w:spacing w:line="360" w:lineRule="auto"/>
        <w:ind w:left="420" w:hanging="420" w:hanging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 xml:space="preserve">9.6 </w:t>
      </w:r>
      <w:r>
        <w:rPr>
          <w:rFonts w:hint="eastAsia" w:ascii="宋体" w:hAnsi="宋体" w:eastAsia="宋体" w:cs="宋体"/>
          <w:bCs/>
          <w:color w:val="auto"/>
          <w:sz w:val="21"/>
          <w:szCs w:val="21"/>
          <w:highlight w:val="none"/>
          <w:lang w:val="zh-CN"/>
        </w:rPr>
        <w:t>若</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出现</w:t>
      </w:r>
      <w:r>
        <w:rPr>
          <w:rFonts w:hint="eastAsia" w:ascii="宋体" w:hAnsi="宋体" w:eastAsia="宋体" w:cs="宋体"/>
          <w:bCs/>
          <w:color w:val="auto"/>
          <w:sz w:val="21"/>
          <w:szCs w:val="21"/>
          <w:highlight w:val="none"/>
        </w:rPr>
        <w:t>不合理报价</w:t>
      </w:r>
      <w:r>
        <w:rPr>
          <w:rFonts w:hint="eastAsia" w:ascii="宋体" w:hAnsi="宋体" w:eastAsia="宋体" w:cs="宋体"/>
          <w:bCs/>
          <w:color w:val="auto"/>
          <w:sz w:val="21"/>
          <w:szCs w:val="21"/>
          <w:highlight w:val="none"/>
          <w:lang w:val="zh-CN"/>
        </w:rPr>
        <w:t>，有可能影响服务质量和不能诚信履约的，</w:t>
      </w:r>
      <w:r>
        <w:rPr>
          <w:rFonts w:hint="eastAsia" w:ascii="宋体" w:hAnsi="宋体" w:eastAsia="宋体" w:cs="宋体"/>
          <w:bCs/>
          <w:color w:val="auto"/>
          <w:sz w:val="21"/>
          <w:szCs w:val="21"/>
          <w:highlight w:val="none"/>
        </w:rPr>
        <w:t>谈判小组</w:t>
      </w:r>
      <w:r>
        <w:rPr>
          <w:rFonts w:hint="eastAsia" w:ascii="宋体" w:hAnsi="宋体" w:eastAsia="宋体" w:cs="宋体"/>
          <w:bCs/>
          <w:color w:val="auto"/>
          <w:sz w:val="21"/>
          <w:szCs w:val="21"/>
          <w:highlight w:val="none"/>
          <w:lang w:val="zh-CN"/>
        </w:rPr>
        <w:t>将要求该</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作出书面说明并提供相关证明材料，以确定</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是否以超出企业成本价报价。</w:t>
      </w:r>
      <w:r>
        <w:rPr>
          <w:rFonts w:hint="eastAsia" w:ascii="宋体" w:hAnsi="宋体" w:eastAsia="宋体" w:cs="宋体"/>
          <w:b/>
          <w:color w:val="auto"/>
          <w:sz w:val="21"/>
          <w:szCs w:val="21"/>
          <w:highlight w:val="none"/>
          <w:u w:val="single"/>
          <w:lang w:val="zh-CN"/>
        </w:rPr>
        <w:t>若</w:t>
      </w:r>
      <w:r>
        <w:rPr>
          <w:rFonts w:hint="eastAsia" w:ascii="宋体" w:hAnsi="宋体" w:eastAsia="宋体" w:cs="宋体"/>
          <w:b/>
          <w:color w:val="auto"/>
          <w:sz w:val="21"/>
          <w:szCs w:val="21"/>
          <w:highlight w:val="none"/>
          <w:u w:val="single"/>
        </w:rPr>
        <w:t>供应商</w:t>
      </w:r>
      <w:r>
        <w:rPr>
          <w:rFonts w:hint="eastAsia" w:ascii="宋体" w:hAnsi="宋体" w:eastAsia="宋体" w:cs="宋体"/>
          <w:b/>
          <w:color w:val="auto"/>
          <w:sz w:val="21"/>
          <w:szCs w:val="21"/>
          <w:highlight w:val="none"/>
          <w:u w:val="single"/>
          <w:lang w:val="zh-CN"/>
        </w:rPr>
        <w:t>不能合理说明或不能提供相关证明材料的，</w:t>
      </w:r>
      <w:r>
        <w:rPr>
          <w:rFonts w:hint="eastAsia" w:ascii="宋体" w:hAnsi="宋体" w:eastAsia="宋体" w:cs="宋体"/>
          <w:b/>
          <w:color w:val="auto"/>
          <w:sz w:val="21"/>
          <w:szCs w:val="21"/>
          <w:highlight w:val="none"/>
          <w:u w:val="single"/>
        </w:rPr>
        <w:t>谈判小组</w:t>
      </w:r>
      <w:r>
        <w:rPr>
          <w:rFonts w:hint="eastAsia" w:ascii="宋体" w:hAnsi="宋体" w:eastAsia="宋体" w:cs="宋体"/>
          <w:b/>
          <w:color w:val="auto"/>
          <w:sz w:val="21"/>
          <w:szCs w:val="21"/>
          <w:highlight w:val="none"/>
          <w:u w:val="single"/>
          <w:lang w:val="zh-CN"/>
        </w:rPr>
        <w:t>将认定其</w:t>
      </w:r>
      <w:r>
        <w:rPr>
          <w:rFonts w:hint="eastAsia" w:ascii="宋体" w:hAnsi="宋体" w:eastAsia="宋体" w:cs="宋体"/>
          <w:b/>
          <w:color w:val="auto"/>
          <w:sz w:val="21"/>
          <w:szCs w:val="21"/>
          <w:highlight w:val="none"/>
          <w:u w:val="single"/>
        </w:rPr>
        <w:t>响应</w:t>
      </w:r>
      <w:r>
        <w:rPr>
          <w:rFonts w:hint="eastAsia" w:ascii="宋体" w:hAnsi="宋体" w:eastAsia="宋体" w:cs="宋体"/>
          <w:b/>
          <w:color w:val="auto"/>
          <w:sz w:val="21"/>
          <w:szCs w:val="21"/>
          <w:highlight w:val="none"/>
          <w:u w:val="single"/>
          <w:lang w:val="zh-CN"/>
        </w:rPr>
        <w:t>报价超出成本，同时否决其</w:t>
      </w:r>
      <w:r>
        <w:rPr>
          <w:rFonts w:hint="eastAsia" w:ascii="宋体" w:hAnsi="宋体" w:eastAsia="宋体" w:cs="宋体"/>
          <w:b/>
          <w:color w:val="auto"/>
          <w:sz w:val="21"/>
          <w:szCs w:val="21"/>
          <w:highlight w:val="none"/>
          <w:u w:val="single"/>
        </w:rPr>
        <w:t>递交的响应文件</w:t>
      </w:r>
      <w:r>
        <w:rPr>
          <w:rFonts w:hint="eastAsia" w:ascii="宋体" w:hAnsi="宋体" w:eastAsia="宋体" w:cs="宋体"/>
          <w:b/>
          <w:color w:val="auto"/>
          <w:sz w:val="21"/>
          <w:szCs w:val="21"/>
          <w:highlight w:val="none"/>
          <w:lang w:val="zh-CN"/>
        </w:rPr>
        <w:t>。</w:t>
      </w:r>
    </w:p>
    <w:p w14:paraId="7F973FE2">
      <w:pPr>
        <w:spacing w:line="360" w:lineRule="auto"/>
        <w:ind w:left="567" w:hanging="569" w:hangingChars="270"/>
        <w:rPr>
          <w:rFonts w:ascii="宋体" w:hAnsi="宋体" w:eastAsia="宋体" w:cs="宋体"/>
          <w:b/>
          <w:color w:val="auto"/>
          <w:kern w:val="0"/>
          <w:szCs w:val="21"/>
          <w:highlight w:val="none"/>
          <w:lang w:val="zh-CN"/>
        </w:rPr>
      </w:pPr>
    </w:p>
    <w:p w14:paraId="215E6368">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545" w:name="_Toc8518_WPSOffice_Level1"/>
    </w:p>
    <w:p w14:paraId="4932005D">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四、谈判和</w:t>
      </w:r>
      <w:bookmarkEnd w:id="545"/>
      <w:r>
        <w:rPr>
          <w:rFonts w:hint="eastAsia" w:ascii="宋体" w:hAnsi="宋体" w:eastAsia="宋体" w:cs="宋体"/>
          <w:b/>
          <w:bCs/>
          <w:color w:val="auto"/>
          <w:sz w:val="28"/>
          <w:szCs w:val="28"/>
          <w:highlight w:val="none"/>
          <w:lang w:val="zh-CN"/>
        </w:rPr>
        <w:t>最后报价</w:t>
      </w:r>
    </w:p>
    <w:p w14:paraId="0EFC0483">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Times New Roman"/>
          <w:color w:val="auto"/>
          <w:kern w:val="0"/>
          <w:szCs w:val="24"/>
          <w:highlight w:val="none"/>
          <w:lang w:val="zh-CN"/>
        </w:rPr>
        <w:t>谈判小组所有成员应当</w:t>
      </w:r>
      <w:r>
        <w:rPr>
          <w:rFonts w:hint="eastAsia" w:ascii="宋体" w:hAnsi="宋体" w:eastAsia="宋体" w:cs="Times New Roman"/>
          <w:color w:val="auto"/>
          <w:szCs w:val="21"/>
          <w:highlight w:val="none"/>
          <w:lang w:val="zh-CN"/>
        </w:rPr>
        <w:t>集中按递交</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lang w:val="zh-CN"/>
        </w:rPr>
        <w:t>文件的先后顺序逐一与合格的</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kern w:val="0"/>
          <w:szCs w:val="21"/>
          <w:highlight w:val="none"/>
        </w:rPr>
        <w:t>进行相同轮次（一个或多个回合）谈判</w:t>
      </w:r>
      <w:r>
        <w:rPr>
          <w:rFonts w:hint="eastAsia" w:ascii="宋体" w:hAnsi="宋体" w:eastAsia="宋体" w:cs="Times New Roman"/>
          <w:color w:val="auto"/>
          <w:kern w:val="0"/>
          <w:szCs w:val="24"/>
          <w:highlight w:val="none"/>
          <w:lang w:val="zh-CN"/>
        </w:rPr>
        <w:t>，并给予所有参加谈判的供应商平等的谈判机会。</w:t>
      </w:r>
    </w:p>
    <w:p w14:paraId="73099B78">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10.1 在谈判过程中，谈判小组可以根据谈判文件和谈判情况实质性变动采购需求中的技术、服务要求以及合同草案条款，但不得变动谈判文件中的其他内容。实质性变动的内容，须经采购人代表确认。</w:t>
      </w:r>
    </w:p>
    <w:p w14:paraId="483461C2">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10.2 </w:t>
      </w:r>
      <w:r>
        <w:rPr>
          <w:rFonts w:hint="eastAsia" w:ascii="宋体" w:hAnsi="宋体" w:eastAsia="宋体" w:cs="Times New Roman"/>
          <w:color w:val="auto"/>
          <w:kern w:val="0"/>
          <w:szCs w:val="21"/>
          <w:highlight w:val="none"/>
        </w:rPr>
        <w:t>对谈判文件作出的实质性变动是谈判文件的有效组成部分，谈判小组应当及时、同时通知所有参加谈判的供应商。</w:t>
      </w:r>
    </w:p>
    <w:p w14:paraId="60727AD4">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10.</w:t>
      </w:r>
      <w:r>
        <w:rPr>
          <w:rFonts w:hint="eastAsia" w:ascii="宋体" w:hAnsi="宋体" w:eastAsia="宋体" w:cs="Times New Roman"/>
          <w:color w:val="auto"/>
          <w:szCs w:val="24"/>
          <w:highlight w:val="none"/>
          <w:lang w:val="zh-CN"/>
        </w:rPr>
        <w:t>3</w:t>
      </w:r>
      <w:r>
        <w:rPr>
          <w:rFonts w:ascii="宋体" w:hAnsi="宋体" w:eastAsia="宋体" w:cs="Times New Roman"/>
          <w:color w:val="auto"/>
          <w:szCs w:val="24"/>
          <w:highlight w:val="none"/>
          <w:lang w:val="zh-CN"/>
        </w:rPr>
        <w:tab/>
      </w:r>
      <w:r>
        <w:rPr>
          <w:rFonts w:hint="eastAsia" w:ascii="宋体" w:hAnsi="宋体" w:eastAsia="宋体" w:cs="Times New Roman"/>
          <w:color w:val="auto"/>
          <w:szCs w:val="24"/>
          <w:highlight w:val="none"/>
          <w:lang w:val="zh-CN"/>
        </w:rPr>
        <w:t>供应商应当按照谈判文件的变动情况和谈判小组的要求进行最终报价或重新提交响应文件，并由其法定代表人或授权代表签字或者加盖公章。</w:t>
      </w:r>
    </w:p>
    <w:p w14:paraId="1BF487F7">
      <w:pPr>
        <w:spacing w:line="360" w:lineRule="auto"/>
        <w:ind w:left="518" w:hanging="518"/>
        <w:rPr>
          <w:rFonts w:ascii="宋体" w:hAnsi="宋体" w:eastAsia="宋体" w:cs="宋体"/>
          <w:bCs/>
          <w:color w:val="auto"/>
          <w:szCs w:val="24"/>
          <w:highlight w:val="none"/>
          <w:lang w:val="zh-CN"/>
        </w:rPr>
      </w:pPr>
    </w:p>
    <w:p w14:paraId="4FBE5316">
      <w:pPr>
        <w:spacing w:line="360" w:lineRule="auto"/>
        <w:ind w:left="518" w:hanging="518"/>
        <w:rPr>
          <w:rFonts w:ascii="宋体" w:hAnsi="宋体" w:eastAsia="宋体"/>
          <w:bCs/>
          <w:color w:val="auto"/>
          <w:highlight w:val="none"/>
        </w:rPr>
      </w:pPr>
      <w:r>
        <w:rPr>
          <w:rFonts w:hint="eastAsia" w:ascii="宋体" w:hAnsi="宋体" w:eastAsia="宋体" w:cs="宋体"/>
          <w:bCs/>
          <w:color w:val="auto"/>
          <w:szCs w:val="24"/>
          <w:highlight w:val="none"/>
          <w:lang w:val="zh-CN"/>
        </w:rPr>
        <w:t>11、</w:t>
      </w:r>
      <w:r>
        <w:rPr>
          <w:rFonts w:hint="eastAsia" w:ascii="宋体" w:hAnsi="宋体" w:eastAsia="宋体"/>
          <w:bCs/>
          <w:color w:val="auto"/>
          <w:highlight w:val="none"/>
        </w:rPr>
        <w:t>谈判结束后，谈判小组应当要求所有实质性响应的供应商在规定时间内提交最后报价。最后报价是供应商响应文件的有效组成部分。</w:t>
      </w:r>
    </w:p>
    <w:p w14:paraId="6977B3C6">
      <w:pPr>
        <w:spacing w:line="360" w:lineRule="auto"/>
        <w:ind w:left="518" w:hanging="518"/>
        <w:rPr>
          <w:rFonts w:ascii="宋体" w:hAnsi="宋体" w:eastAsia="宋体"/>
          <w:color w:val="auto"/>
          <w:szCs w:val="21"/>
          <w:highlight w:val="none"/>
        </w:rPr>
      </w:pPr>
      <w:r>
        <w:rPr>
          <w:rFonts w:hint="eastAsia" w:ascii="宋体" w:hAnsi="宋体" w:eastAsia="宋体"/>
          <w:color w:val="auto"/>
          <w:highlight w:val="none"/>
          <w:lang w:val="zh-CN"/>
        </w:rPr>
        <w:t>11</w:t>
      </w:r>
      <w:r>
        <w:rPr>
          <w:rFonts w:ascii="宋体" w:hAnsi="宋体" w:eastAsia="宋体"/>
          <w:color w:val="auto"/>
          <w:highlight w:val="none"/>
          <w:lang w:val="zh-CN"/>
        </w:rPr>
        <w:t>.</w:t>
      </w:r>
      <w:r>
        <w:rPr>
          <w:rFonts w:hint="eastAsia" w:ascii="宋体" w:hAnsi="宋体" w:eastAsia="宋体"/>
          <w:color w:val="auto"/>
          <w:highlight w:val="none"/>
          <w:lang w:val="zh-CN"/>
        </w:rPr>
        <w:t>1</w:t>
      </w:r>
      <w:r>
        <w:rPr>
          <w:rFonts w:ascii="宋体" w:hAnsi="宋体" w:eastAsia="宋体"/>
          <w:color w:val="auto"/>
          <w:highlight w:val="none"/>
        </w:rPr>
        <w:t xml:space="preserve"> </w:t>
      </w:r>
      <w:r>
        <w:rPr>
          <w:rFonts w:hint="eastAsia" w:ascii="宋体" w:hAnsi="宋体" w:eastAsia="宋体"/>
          <w:color w:val="auto"/>
          <w:highlight w:val="none"/>
        </w:rPr>
        <w:t>谈判结束后，已提交响应文件的供应商，</w:t>
      </w:r>
      <w:r>
        <w:rPr>
          <w:rFonts w:hint="eastAsia" w:ascii="宋体" w:hAnsi="宋体" w:eastAsia="宋体"/>
          <w:b/>
          <w:bCs/>
          <w:color w:val="auto"/>
          <w:highlight w:val="none"/>
        </w:rPr>
        <w:t>如无实质性变动采购需求中的技术、服务要求以及合同草案条款的，供应商若不参与二次报价环节的，则默认第一次报价为最后报价。</w:t>
      </w:r>
      <w:r>
        <w:rPr>
          <w:rFonts w:hint="eastAsia" w:ascii="宋体" w:hAnsi="宋体" w:eastAsia="宋体"/>
          <w:color w:val="auto"/>
          <w:highlight w:val="none"/>
        </w:rPr>
        <w:t>如有实质性变动采购需求中的技术、服务要求以及合同草案条款的，在提交最后报价之前，供应商可以根据谈判情况退出谈判。</w:t>
      </w:r>
    </w:p>
    <w:p w14:paraId="1A1994F5">
      <w:pPr>
        <w:spacing w:line="360" w:lineRule="auto"/>
        <w:ind w:left="518" w:hanging="518"/>
        <w:rPr>
          <w:rFonts w:ascii="宋体" w:hAnsi="宋体" w:eastAsia="宋体"/>
          <w:color w:val="auto"/>
          <w:highlight w:val="none"/>
          <w:lang w:val="zh-CN"/>
        </w:rPr>
      </w:pPr>
    </w:p>
    <w:p w14:paraId="40CA439B">
      <w:pPr>
        <w:tabs>
          <w:tab w:val="left" w:pos="1701"/>
        </w:tabs>
        <w:autoSpaceDE w:val="0"/>
        <w:autoSpaceDN w:val="0"/>
        <w:adjustRightInd w:val="0"/>
        <w:spacing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12、谈判小组采用最低评审价法对资格性检查和符合性检查合格的响应供应商的响应文件和最后报价进行评审。</w:t>
      </w:r>
    </w:p>
    <w:p w14:paraId="5A4970F8">
      <w:pPr>
        <w:autoSpaceDE w:val="0"/>
        <w:autoSpaceDN w:val="0"/>
        <w:adjustRightInd w:val="0"/>
        <w:spacing w:line="360" w:lineRule="auto"/>
        <w:rPr>
          <w:rFonts w:ascii="宋体" w:hAnsi="宋体" w:eastAsia="宋体" w:cs="宋体"/>
          <w:b/>
          <w:bCs/>
          <w:color w:val="auto"/>
          <w:sz w:val="28"/>
          <w:szCs w:val="28"/>
          <w:highlight w:val="none"/>
        </w:rPr>
      </w:pPr>
    </w:p>
    <w:p w14:paraId="390AACCD">
      <w:pPr>
        <w:autoSpaceDE w:val="0"/>
        <w:autoSpaceDN w:val="0"/>
        <w:adjustRightInd w:val="0"/>
        <w:spacing w:line="360" w:lineRule="auto"/>
        <w:jc w:val="center"/>
        <w:rPr>
          <w:rFonts w:ascii="宋体" w:hAnsi="宋体" w:eastAsia="宋体" w:cs="宋体"/>
          <w:b/>
          <w:bCs/>
          <w:color w:val="auto"/>
          <w:sz w:val="28"/>
          <w:szCs w:val="28"/>
          <w:highlight w:val="none"/>
        </w:rPr>
      </w:pPr>
      <w:bookmarkStart w:id="546" w:name="_Toc518_WPSOffice_Level1"/>
      <w:r>
        <w:rPr>
          <w:rFonts w:hint="eastAsia" w:ascii="宋体" w:hAnsi="宋体" w:eastAsia="宋体" w:cs="宋体"/>
          <w:b/>
          <w:bCs/>
          <w:color w:val="auto"/>
          <w:sz w:val="28"/>
          <w:szCs w:val="28"/>
          <w:highlight w:val="none"/>
          <w:lang w:val="zh-CN"/>
        </w:rPr>
        <w:t>五、推荐成交候选人</w:t>
      </w:r>
      <w:bookmarkEnd w:id="546"/>
    </w:p>
    <w:p w14:paraId="24673FFB">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Arial"/>
          <w:color w:val="auto"/>
          <w:highlight w:val="none"/>
          <w:lang w:val="zh-CN"/>
        </w:rPr>
        <w:t>谈判小组</w:t>
      </w:r>
      <w:r>
        <w:rPr>
          <w:rFonts w:hint="eastAsia" w:ascii="宋体" w:hAnsi="宋体" w:eastAsia="宋体"/>
          <w:color w:val="auto"/>
          <w:szCs w:val="21"/>
          <w:highlight w:val="none"/>
          <w:lang w:val="zh-CN"/>
        </w:rPr>
        <w:t>将</w:t>
      </w:r>
      <w:r>
        <w:rPr>
          <w:rFonts w:hint="eastAsia" w:ascii="宋体" w:hAnsi="宋体" w:eastAsia="宋体"/>
          <w:color w:val="auto"/>
          <w:szCs w:val="21"/>
          <w:highlight w:val="none"/>
        </w:rPr>
        <w:t>从质量和服务均能满足谈判文件实质性响应要求的供应商中，按照最后报价由低到高的顺序向采购人推荐最后报价最低的响应供应商为第一成交候选人，推荐最后报价次低的响应供应商为第二成交候选人。</w:t>
      </w:r>
      <w:r>
        <w:rPr>
          <w:rFonts w:hint="eastAsia" w:ascii="宋体" w:hAnsi="宋体" w:eastAsia="宋体" w:cs="Times New Roman"/>
          <w:color w:val="auto"/>
          <w:kern w:val="0"/>
          <w:szCs w:val="21"/>
          <w:highlight w:val="none"/>
        </w:rPr>
        <w:t>采购人将确定第一成交候选人为成交人。</w:t>
      </w:r>
    </w:p>
    <w:p w14:paraId="10B6C1A9">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lang w:val="en-US" w:eastAsia="zh-CN"/>
        </w:rPr>
        <w:t>如出现两个或以上相同报价，</w:t>
      </w:r>
      <w:r>
        <w:rPr>
          <w:rFonts w:hint="eastAsia" w:ascii="宋体" w:hAnsi="宋体" w:eastAsia="宋体" w:cs="Times New Roman"/>
          <w:color w:val="auto"/>
          <w:kern w:val="0"/>
          <w:szCs w:val="21"/>
          <w:highlight w:val="none"/>
        </w:rPr>
        <w:t>由</w:t>
      </w:r>
      <w:r>
        <w:rPr>
          <w:rFonts w:hint="eastAsia" w:ascii="宋体" w:hAnsi="宋体" w:eastAsia="宋体" w:cs="Times New Roman"/>
          <w:color w:val="auto"/>
          <w:kern w:val="0"/>
          <w:szCs w:val="21"/>
          <w:highlight w:val="none"/>
          <w:lang w:val="en-US" w:eastAsia="zh-CN"/>
        </w:rPr>
        <w:t>谈判小组按供应商提供的商务文件、技术方案及措施等资料综合考虑</w:t>
      </w:r>
      <w:r>
        <w:rPr>
          <w:rFonts w:hint="eastAsia" w:ascii="宋体" w:hAnsi="宋体" w:eastAsia="宋体" w:cs="Times New Roman"/>
          <w:color w:val="auto"/>
          <w:kern w:val="0"/>
          <w:szCs w:val="21"/>
          <w:highlight w:val="none"/>
        </w:rPr>
        <w:t>进行投票，得票多的排名在先。当第一轮投票结果为</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得票数相同时，再次进行投票，如此类推，直到能确定排序次序为止。</w:t>
      </w:r>
      <w:r>
        <w:rPr>
          <w:rFonts w:hint="eastAsia" w:ascii="宋体" w:hAnsi="宋体" w:eastAsia="宋体" w:cs="Times New Roman"/>
          <w:color w:val="auto"/>
          <w:kern w:val="0"/>
          <w:szCs w:val="21"/>
          <w:highlight w:val="none"/>
          <w:lang w:val="en-US" w:eastAsia="zh-CN"/>
        </w:rPr>
        <w:t>推荐得票最高的为第一成交候选人，推荐得票次高的为第二成交候选人</w:t>
      </w:r>
      <w:r>
        <w:rPr>
          <w:rFonts w:ascii="宋体" w:hAnsi="宋体" w:eastAsia="宋体" w:cs="Times New Roman"/>
          <w:color w:val="auto"/>
          <w:kern w:val="0"/>
          <w:szCs w:val="21"/>
          <w:highlight w:val="none"/>
        </w:rPr>
        <w:t>。</w:t>
      </w:r>
    </w:p>
    <w:p w14:paraId="489D853F">
      <w:pPr>
        <w:widowControl/>
        <w:spacing w:line="360" w:lineRule="auto"/>
        <w:jc w:val="left"/>
        <w:rPr>
          <w:rFonts w:ascii="宋体" w:hAnsi="宋体" w:eastAsia="宋体" w:cs="宋体"/>
          <w:color w:val="auto"/>
          <w:kern w:val="0"/>
          <w:szCs w:val="21"/>
          <w:highlight w:val="none"/>
        </w:rPr>
      </w:pPr>
    </w:p>
    <w:p w14:paraId="6B97F702">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547" w:name="_Toc22724_WPSOffice_Level1"/>
      <w:r>
        <w:rPr>
          <w:rFonts w:hint="eastAsia" w:ascii="宋体" w:hAnsi="宋体" w:eastAsia="宋体" w:cs="宋体"/>
          <w:b/>
          <w:bCs/>
          <w:color w:val="auto"/>
          <w:sz w:val="28"/>
          <w:szCs w:val="28"/>
          <w:highlight w:val="none"/>
          <w:lang w:val="zh-CN"/>
        </w:rPr>
        <w:t>六、编写评审报告</w:t>
      </w:r>
      <w:bookmarkEnd w:id="547"/>
    </w:p>
    <w:p w14:paraId="546F6BBB">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、谈判小组根据评审结果撰写评审报告。评审报告是谈判小组根据全体谈判小组成员签字的原始评审记录和评审结果编写的报告，其主要内容包括：</w:t>
      </w:r>
    </w:p>
    <w:p w14:paraId="1FE94D4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（1）谈判邀请时间、谈判日期和地点；</w:t>
      </w:r>
    </w:p>
    <w:p w14:paraId="23373D4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（2）响应供应商名单和谈判小组成员名单；</w:t>
      </w:r>
    </w:p>
    <w:p w14:paraId="5926999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（3）评审方法和标准；</w:t>
      </w:r>
    </w:p>
    <w:p w14:paraId="0E8836E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（4）评审记录和评审情况及说明，包括无效响应供应商名单及原因；</w:t>
      </w:r>
    </w:p>
    <w:p w14:paraId="5413538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（5）评审结果和成交候选响应供应商排序表；</w:t>
      </w:r>
    </w:p>
    <w:p w14:paraId="226166E6">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（6）谈判小组的推荐</w:t>
      </w:r>
      <w:r>
        <w:rPr>
          <w:rFonts w:hint="eastAsia" w:ascii="宋体" w:hAnsi="宋体" w:eastAsia="宋体" w:cs="宋体"/>
          <w:color w:val="auto"/>
          <w:szCs w:val="24"/>
          <w:highlight w:val="none"/>
          <w:lang w:val="zh-CN"/>
        </w:rPr>
        <w:t>建议。</w:t>
      </w:r>
    </w:p>
    <w:p w14:paraId="6B852D23">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416B6B7D">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48" w:name="_Toc23773_WPSOffice_Level1"/>
      <w:r>
        <w:rPr>
          <w:rFonts w:hint="eastAsia" w:ascii="宋体" w:hAnsi="宋体" w:eastAsia="宋体" w:cs="宋体"/>
          <w:b/>
          <w:bCs/>
          <w:color w:val="auto"/>
          <w:sz w:val="28"/>
          <w:szCs w:val="28"/>
          <w:highlight w:val="none"/>
          <w:lang w:val="zh-CN"/>
        </w:rPr>
        <w:t>七、注意事项</w:t>
      </w:r>
      <w:bookmarkEnd w:id="548"/>
    </w:p>
    <w:p w14:paraId="5D720EE9">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4EC0E48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（1）在评审工作期间，所有分发的响应文件、资料等仅限于在评审场所中使用，不得带往其它地方，所有的谈判文件、响应文件、资料等一律编号登记；</w:t>
      </w:r>
    </w:p>
    <w:p w14:paraId="2138D697">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0CE4588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响应文件、响应报价、评审方式、谈判小组的决定、评审组织机构、评审人员名单等）披露给未参加评审的任何无关人员，包括上级领导、同级和下级人员，任何与评审无关的人员（包括亲朋好友和同事）不得进入评审场所；</w:t>
      </w:r>
    </w:p>
    <w:p w14:paraId="0B93E017">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在举行与各响应供应商的澄清会之前谈判小组应明确参加会议的人员及主谈人。任何需要响应供应商在澄清会上澄清的问题必须经谈判小组成员签字并由主谈人提出。在澄清期间，对于涉及本规定保密范畴的所有内容，主谈人不得向响应供应商透露；</w:t>
      </w:r>
    </w:p>
    <w:p w14:paraId="382E2B1F">
      <w:pPr>
        <w:widowControl/>
        <w:autoSpaceDE w:val="0"/>
        <w:autoSpaceDN w:val="0"/>
        <w:adjustRightInd w:val="0"/>
        <w:spacing w:line="360" w:lineRule="auto"/>
        <w:ind w:left="436" w:leftChars="-59" w:hanging="560" w:hangingChars="267"/>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bookmarkEnd w:id="519"/>
      <w:bookmarkEnd w:id="529"/>
      <w:bookmarkEnd w:id="530"/>
      <w:bookmarkEnd w:id="531"/>
    </w:p>
    <w:sectPr>
      <w:pgSz w:w="11906" w:h="16838"/>
      <w:pgMar w:top="1191" w:right="1043" w:bottom="1191" w:left="1043" w:header="720" w:footer="720" w:gutter="0"/>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BB4F">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11D4E">
                          <w:pPr>
                            <w:pStyle w:val="30"/>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9E11D4E">
                    <w:pPr>
                      <w:pStyle w:val="30"/>
                    </w:pPr>
                    <w:r>
                      <w:fldChar w:fldCharType="begin"/>
                    </w:r>
                    <w:r>
                      <w:instrText xml:space="preserve"> PAGE  \* MERGEFORMAT </w:instrText>
                    </w:r>
                    <w:r>
                      <w:fldChar w:fldCharType="separate"/>
                    </w:r>
                    <w:r>
                      <w:t>93</w:t>
                    </w:r>
                    <w:r>
                      <w:fldChar w:fldCharType="end"/>
                    </w:r>
                  </w:p>
                </w:txbxContent>
              </v:textbox>
            </v:shape>
          </w:pict>
        </mc:Fallback>
      </mc:AlternateContent>
    </w:r>
  </w:p>
  <w:p w14:paraId="2C24A3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486A4">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9B6D2">
                          <w:pPr>
                            <w:pStyle w:val="30"/>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399B6D2">
                    <w:pPr>
                      <w:pStyle w:val="30"/>
                    </w:pPr>
                    <w:r>
                      <w:fldChar w:fldCharType="begin"/>
                    </w:r>
                    <w:r>
                      <w:instrText xml:space="preserve"> PAGE  \* MERGEFORMAT </w:instrText>
                    </w:r>
                    <w:r>
                      <w:fldChar w:fldCharType="separate"/>
                    </w:r>
                    <w:r>
                      <w:t>92</w:t>
                    </w:r>
                    <w:r>
                      <w:fldChar w:fldCharType="end"/>
                    </w:r>
                  </w:p>
                </w:txbxContent>
              </v:textbox>
            </v:shape>
          </w:pict>
        </mc:Fallback>
      </mc:AlternateContent>
    </w:r>
  </w:p>
  <w:p w14:paraId="5936BB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3603">
    <w:pPr>
      <w:pStyle w:val="3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476FF">
                          <w:pPr>
                            <w:pStyle w:val="30"/>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C476FF">
                    <w:pPr>
                      <w:pStyle w:val="30"/>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EC10">
    <w:pPr>
      <w:pStyle w:val="3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94E28">
                          <w:pPr>
                            <w:pStyle w:val="3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0994E28">
                    <w:pPr>
                      <w:pStyle w:val="3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A2DA">
    <w:pPr>
      <w:pStyle w:val="3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1B9F1">
                          <w:pPr>
                            <w:pStyle w:val="30"/>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231B9F1">
                    <w:pPr>
                      <w:pStyle w:val="30"/>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D496">
    <w:pPr>
      <w:pStyle w:val="3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449EB">
                          <w:pPr>
                            <w:pStyle w:val="30"/>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8A449EB">
                    <w:pPr>
                      <w:pStyle w:val="30"/>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2FE7C">
    <w:pPr>
      <w:pStyle w:val="3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CCD54">
                          <w:pPr>
                            <w:pStyle w:val="30"/>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2ACCD54">
                    <w:pPr>
                      <w:pStyle w:val="30"/>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63703"/>
    <w:multiLevelType w:val="singleLevel"/>
    <w:tmpl w:val="CE963703"/>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jY0YzU5NjdjMzcwMjQ4MDc1N2YxYWVmN2FmOTkifQ=="/>
    <w:docVar w:name="KSO_WPS_MARK_KEY" w:val="2cae4ba4-de45-41f1-a53b-19f2204fc62d"/>
  </w:docVars>
  <w:rsids>
    <w:rsidRoot w:val="001E63B6"/>
    <w:rsid w:val="000011AE"/>
    <w:rsid w:val="00004430"/>
    <w:rsid w:val="00006AEC"/>
    <w:rsid w:val="00013CEB"/>
    <w:rsid w:val="00015A2E"/>
    <w:rsid w:val="000245A6"/>
    <w:rsid w:val="0002570D"/>
    <w:rsid w:val="00027708"/>
    <w:rsid w:val="00035595"/>
    <w:rsid w:val="00035731"/>
    <w:rsid w:val="00037BCE"/>
    <w:rsid w:val="00040BE6"/>
    <w:rsid w:val="00040F92"/>
    <w:rsid w:val="00046C4B"/>
    <w:rsid w:val="0005166C"/>
    <w:rsid w:val="00052FA1"/>
    <w:rsid w:val="00054A52"/>
    <w:rsid w:val="00054D9C"/>
    <w:rsid w:val="00060D1B"/>
    <w:rsid w:val="000622F9"/>
    <w:rsid w:val="0006385C"/>
    <w:rsid w:val="000640CD"/>
    <w:rsid w:val="000768C6"/>
    <w:rsid w:val="000770B9"/>
    <w:rsid w:val="000776B3"/>
    <w:rsid w:val="0008097F"/>
    <w:rsid w:val="000853A8"/>
    <w:rsid w:val="00086847"/>
    <w:rsid w:val="00094AF8"/>
    <w:rsid w:val="000957DF"/>
    <w:rsid w:val="00096234"/>
    <w:rsid w:val="000A1CF3"/>
    <w:rsid w:val="000A31BD"/>
    <w:rsid w:val="000A34F7"/>
    <w:rsid w:val="000A65CD"/>
    <w:rsid w:val="000A73D7"/>
    <w:rsid w:val="000B2945"/>
    <w:rsid w:val="000B4B09"/>
    <w:rsid w:val="000C18B7"/>
    <w:rsid w:val="000C5D06"/>
    <w:rsid w:val="000C6A11"/>
    <w:rsid w:val="000D0B5D"/>
    <w:rsid w:val="000D3477"/>
    <w:rsid w:val="000D5537"/>
    <w:rsid w:val="000D75D3"/>
    <w:rsid w:val="000E3ECA"/>
    <w:rsid w:val="000E4A4F"/>
    <w:rsid w:val="000E4D54"/>
    <w:rsid w:val="000F0A84"/>
    <w:rsid w:val="000F60F9"/>
    <w:rsid w:val="000F7CCE"/>
    <w:rsid w:val="001009D3"/>
    <w:rsid w:val="001059DC"/>
    <w:rsid w:val="0010738F"/>
    <w:rsid w:val="0011440A"/>
    <w:rsid w:val="00114519"/>
    <w:rsid w:val="001233ED"/>
    <w:rsid w:val="00127946"/>
    <w:rsid w:val="001303A4"/>
    <w:rsid w:val="00131275"/>
    <w:rsid w:val="00131E91"/>
    <w:rsid w:val="001321B8"/>
    <w:rsid w:val="001450A8"/>
    <w:rsid w:val="001523C0"/>
    <w:rsid w:val="00152F07"/>
    <w:rsid w:val="0015711A"/>
    <w:rsid w:val="001633D7"/>
    <w:rsid w:val="001644BA"/>
    <w:rsid w:val="001647C7"/>
    <w:rsid w:val="00165203"/>
    <w:rsid w:val="00166309"/>
    <w:rsid w:val="00170004"/>
    <w:rsid w:val="0017375E"/>
    <w:rsid w:val="00174AE6"/>
    <w:rsid w:val="00175404"/>
    <w:rsid w:val="001758D3"/>
    <w:rsid w:val="001761D5"/>
    <w:rsid w:val="00177B51"/>
    <w:rsid w:val="0018078B"/>
    <w:rsid w:val="00183344"/>
    <w:rsid w:val="001845F8"/>
    <w:rsid w:val="0019310A"/>
    <w:rsid w:val="0019682B"/>
    <w:rsid w:val="001A1FCB"/>
    <w:rsid w:val="001B74B3"/>
    <w:rsid w:val="001C1427"/>
    <w:rsid w:val="001C2086"/>
    <w:rsid w:val="001C4AC2"/>
    <w:rsid w:val="001C6FAA"/>
    <w:rsid w:val="001D00B3"/>
    <w:rsid w:val="001D5A65"/>
    <w:rsid w:val="001D6B15"/>
    <w:rsid w:val="001E4158"/>
    <w:rsid w:val="001E4511"/>
    <w:rsid w:val="001E6227"/>
    <w:rsid w:val="001E63B6"/>
    <w:rsid w:val="001E6DD8"/>
    <w:rsid w:val="001F0290"/>
    <w:rsid w:val="001F3DE7"/>
    <w:rsid w:val="001F6A01"/>
    <w:rsid w:val="002014C0"/>
    <w:rsid w:val="00202DB9"/>
    <w:rsid w:val="00215B7A"/>
    <w:rsid w:val="00223D5B"/>
    <w:rsid w:val="00224547"/>
    <w:rsid w:val="0022528C"/>
    <w:rsid w:val="002258BB"/>
    <w:rsid w:val="00225B7D"/>
    <w:rsid w:val="002260FC"/>
    <w:rsid w:val="002315B7"/>
    <w:rsid w:val="002347FE"/>
    <w:rsid w:val="0024360C"/>
    <w:rsid w:val="002451A7"/>
    <w:rsid w:val="002458D6"/>
    <w:rsid w:val="00247373"/>
    <w:rsid w:val="00253349"/>
    <w:rsid w:val="00253453"/>
    <w:rsid w:val="00257859"/>
    <w:rsid w:val="00260C05"/>
    <w:rsid w:val="00261575"/>
    <w:rsid w:val="00262407"/>
    <w:rsid w:val="00263FF7"/>
    <w:rsid w:val="00265C58"/>
    <w:rsid w:val="00275E0E"/>
    <w:rsid w:val="0028057C"/>
    <w:rsid w:val="0028146F"/>
    <w:rsid w:val="002831F6"/>
    <w:rsid w:val="0028614B"/>
    <w:rsid w:val="00290CBF"/>
    <w:rsid w:val="00291E40"/>
    <w:rsid w:val="0029590E"/>
    <w:rsid w:val="00295AA3"/>
    <w:rsid w:val="002A3AD3"/>
    <w:rsid w:val="002A3EB3"/>
    <w:rsid w:val="002A575B"/>
    <w:rsid w:val="002A6137"/>
    <w:rsid w:val="002A643F"/>
    <w:rsid w:val="002B1734"/>
    <w:rsid w:val="002B5DBC"/>
    <w:rsid w:val="002B7423"/>
    <w:rsid w:val="002B7CA9"/>
    <w:rsid w:val="002C2231"/>
    <w:rsid w:val="002C248C"/>
    <w:rsid w:val="002C4A4A"/>
    <w:rsid w:val="002C5744"/>
    <w:rsid w:val="002D0003"/>
    <w:rsid w:val="002D1442"/>
    <w:rsid w:val="002E4079"/>
    <w:rsid w:val="002E53C4"/>
    <w:rsid w:val="002F10FF"/>
    <w:rsid w:val="002F68EE"/>
    <w:rsid w:val="002F73D2"/>
    <w:rsid w:val="002F7DEF"/>
    <w:rsid w:val="003014E2"/>
    <w:rsid w:val="003021FF"/>
    <w:rsid w:val="00302D85"/>
    <w:rsid w:val="0030753D"/>
    <w:rsid w:val="00311DA1"/>
    <w:rsid w:val="003121B1"/>
    <w:rsid w:val="003155E6"/>
    <w:rsid w:val="0031709C"/>
    <w:rsid w:val="0031735D"/>
    <w:rsid w:val="003223D5"/>
    <w:rsid w:val="00322AA4"/>
    <w:rsid w:val="00325EF0"/>
    <w:rsid w:val="00326230"/>
    <w:rsid w:val="00326290"/>
    <w:rsid w:val="00330DA7"/>
    <w:rsid w:val="00331086"/>
    <w:rsid w:val="00331B68"/>
    <w:rsid w:val="00332B99"/>
    <w:rsid w:val="00332C2D"/>
    <w:rsid w:val="00335872"/>
    <w:rsid w:val="00344808"/>
    <w:rsid w:val="00344D95"/>
    <w:rsid w:val="00345DDD"/>
    <w:rsid w:val="003462FF"/>
    <w:rsid w:val="003476F4"/>
    <w:rsid w:val="00347A73"/>
    <w:rsid w:val="00347CB0"/>
    <w:rsid w:val="00352495"/>
    <w:rsid w:val="00353707"/>
    <w:rsid w:val="00354BE6"/>
    <w:rsid w:val="0035524D"/>
    <w:rsid w:val="00357E51"/>
    <w:rsid w:val="003628C2"/>
    <w:rsid w:val="00364854"/>
    <w:rsid w:val="00366BB7"/>
    <w:rsid w:val="003721DF"/>
    <w:rsid w:val="00374002"/>
    <w:rsid w:val="003748D5"/>
    <w:rsid w:val="003765DF"/>
    <w:rsid w:val="003766A3"/>
    <w:rsid w:val="0037694B"/>
    <w:rsid w:val="00381E11"/>
    <w:rsid w:val="003824D1"/>
    <w:rsid w:val="00393711"/>
    <w:rsid w:val="00393CBD"/>
    <w:rsid w:val="00395C76"/>
    <w:rsid w:val="003A2B25"/>
    <w:rsid w:val="003A5520"/>
    <w:rsid w:val="003B077B"/>
    <w:rsid w:val="003B3342"/>
    <w:rsid w:val="003B5C9C"/>
    <w:rsid w:val="003C193B"/>
    <w:rsid w:val="003D0D72"/>
    <w:rsid w:val="003D17A4"/>
    <w:rsid w:val="003D39E2"/>
    <w:rsid w:val="003D3F68"/>
    <w:rsid w:val="003D69E8"/>
    <w:rsid w:val="003D7286"/>
    <w:rsid w:val="003E006E"/>
    <w:rsid w:val="003E30F8"/>
    <w:rsid w:val="003E399E"/>
    <w:rsid w:val="003E6830"/>
    <w:rsid w:val="003E7AD6"/>
    <w:rsid w:val="003F1113"/>
    <w:rsid w:val="003F3875"/>
    <w:rsid w:val="003F42C0"/>
    <w:rsid w:val="003F51B0"/>
    <w:rsid w:val="003F5FAC"/>
    <w:rsid w:val="00401C43"/>
    <w:rsid w:val="004033E1"/>
    <w:rsid w:val="00405E84"/>
    <w:rsid w:val="0040607F"/>
    <w:rsid w:val="00416369"/>
    <w:rsid w:val="00417860"/>
    <w:rsid w:val="00420A7A"/>
    <w:rsid w:val="004235AF"/>
    <w:rsid w:val="0042558D"/>
    <w:rsid w:val="00426ABB"/>
    <w:rsid w:val="00427A89"/>
    <w:rsid w:val="00430830"/>
    <w:rsid w:val="0043107A"/>
    <w:rsid w:val="00432C43"/>
    <w:rsid w:val="004359C6"/>
    <w:rsid w:val="004359CA"/>
    <w:rsid w:val="004360FC"/>
    <w:rsid w:val="0043632F"/>
    <w:rsid w:val="004378C7"/>
    <w:rsid w:val="00437B9C"/>
    <w:rsid w:val="00437FC4"/>
    <w:rsid w:val="00441805"/>
    <w:rsid w:val="00441A8C"/>
    <w:rsid w:val="004438DD"/>
    <w:rsid w:val="00444B08"/>
    <w:rsid w:val="004551D1"/>
    <w:rsid w:val="0045753C"/>
    <w:rsid w:val="004577C3"/>
    <w:rsid w:val="0046038A"/>
    <w:rsid w:val="00460F3E"/>
    <w:rsid w:val="004637D2"/>
    <w:rsid w:val="00464570"/>
    <w:rsid w:val="004761B2"/>
    <w:rsid w:val="00481355"/>
    <w:rsid w:val="00481AFA"/>
    <w:rsid w:val="0049337D"/>
    <w:rsid w:val="00494E25"/>
    <w:rsid w:val="004A32C6"/>
    <w:rsid w:val="004B1C50"/>
    <w:rsid w:val="004B3D7A"/>
    <w:rsid w:val="004B5D4C"/>
    <w:rsid w:val="004B604C"/>
    <w:rsid w:val="004C04A8"/>
    <w:rsid w:val="004D7884"/>
    <w:rsid w:val="004E1370"/>
    <w:rsid w:val="004E4ADE"/>
    <w:rsid w:val="004E5028"/>
    <w:rsid w:val="004E5F4E"/>
    <w:rsid w:val="004F2802"/>
    <w:rsid w:val="00500B9E"/>
    <w:rsid w:val="00503499"/>
    <w:rsid w:val="00506501"/>
    <w:rsid w:val="00507BC4"/>
    <w:rsid w:val="00513AFE"/>
    <w:rsid w:val="00513DB6"/>
    <w:rsid w:val="00514012"/>
    <w:rsid w:val="00524E92"/>
    <w:rsid w:val="00531482"/>
    <w:rsid w:val="00531E28"/>
    <w:rsid w:val="005344B1"/>
    <w:rsid w:val="005423E7"/>
    <w:rsid w:val="005572B4"/>
    <w:rsid w:val="0056010A"/>
    <w:rsid w:val="005623EF"/>
    <w:rsid w:val="00563302"/>
    <w:rsid w:val="00566E76"/>
    <w:rsid w:val="005706C0"/>
    <w:rsid w:val="00571307"/>
    <w:rsid w:val="005743EA"/>
    <w:rsid w:val="00576890"/>
    <w:rsid w:val="00576F2E"/>
    <w:rsid w:val="00581210"/>
    <w:rsid w:val="00581FC3"/>
    <w:rsid w:val="005832B2"/>
    <w:rsid w:val="00583DB7"/>
    <w:rsid w:val="005851F1"/>
    <w:rsid w:val="00590A99"/>
    <w:rsid w:val="005910B4"/>
    <w:rsid w:val="00596A23"/>
    <w:rsid w:val="005A21E4"/>
    <w:rsid w:val="005A2299"/>
    <w:rsid w:val="005B735D"/>
    <w:rsid w:val="005C4A71"/>
    <w:rsid w:val="005C6F40"/>
    <w:rsid w:val="005D26E3"/>
    <w:rsid w:val="005D4119"/>
    <w:rsid w:val="005D66C2"/>
    <w:rsid w:val="005D751A"/>
    <w:rsid w:val="005E2AC9"/>
    <w:rsid w:val="005E2C51"/>
    <w:rsid w:val="005E4D67"/>
    <w:rsid w:val="005F3645"/>
    <w:rsid w:val="005F3D7C"/>
    <w:rsid w:val="00600133"/>
    <w:rsid w:val="00602D7E"/>
    <w:rsid w:val="00603BD0"/>
    <w:rsid w:val="0060555D"/>
    <w:rsid w:val="00606161"/>
    <w:rsid w:val="006062B3"/>
    <w:rsid w:val="00610559"/>
    <w:rsid w:val="00612EB1"/>
    <w:rsid w:val="0061352C"/>
    <w:rsid w:val="00614257"/>
    <w:rsid w:val="006165C8"/>
    <w:rsid w:val="00617182"/>
    <w:rsid w:val="006175B4"/>
    <w:rsid w:val="00617AAD"/>
    <w:rsid w:val="00621CDC"/>
    <w:rsid w:val="006229B2"/>
    <w:rsid w:val="00625E3D"/>
    <w:rsid w:val="00630B61"/>
    <w:rsid w:val="006402A6"/>
    <w:rsid w:val="006411CC"/>
    <w:rsid w:val="0064276D"/>
    <w:rsid w:val="00642CD9"/>
    <w:rsid w:val="00643188"/>
    <w:rsid w:val="00644B65"/>
    <w:rsid w:val="006520FB"/>
    <w:rsid w:val="006530F8"/>
    <w:rsid w:val="006537BE"/>
    <w:rsid w:val="00662175"/>
    <w:rsid w:val="0066377C"/>
    <w:rsid w:val="00664B13"/>
    <w:rsid w:val="006654C0"/>
    <w:rsid w:val="0066592B"/>
    <w:rsid w:val="0067518B"/>
    <w:rsid w:val="00675A2E"/>
    <w:rsid w:val="00675C8E"/>
    <w:rsid w:val="00681997"/>
    <w:rsid w:val="0068405C"/>
    <w:rsid w:val="00691017"/>
    <w:rsid w:val="0069152C"/>
    <w:rsid w:val="006958BD"/>
    <w:rsid w:val="0069742C"/>
    <w:rsid w:val="006A29A5"/>
    <w:rsid w:val="006A2BD9"/>
    <w:rsid w:val="006A3C57"/>
    <w:rsid w:val="006A4F83"/>
    <w:rsid w:val="006A5072"/>
    <w:rsid w:val="006B2E47"/>
    <w:rsid w:val="006B2EE9"/>
    <w:rsid w:val="006B5151"/>
    <w:rsid w:val="006B52BA"/>
    <w:rsid w:val="006B6946"/>
    <w:rsid w:val="006C0867"/>
    <w:rsid w:val="006C2D84"/>
    <w:rsid w:val="006C2F7D"/>
    <w:rsid w:val="006C3580"/>
    <w:rsid w:val="006C3F4D"/>
    <w:rsid w:val="006C6349"/>
    <w:rsid w:val="006D0D6C"/>
    <w:rsid w:val="006D2A67"/>
    <w:rsid w:val="006D479F"/>
    <w:rsid w:val="006E2E51"/>
    <w:rsid w:val="006F6DB2"/>
    <w:rsid w:val="00701D19"/>
    <w:rsid w:val="00704A1D"/>
    <w:rsid w:val="00704B3A"/>
    <w:rsid w:val="00710CF8"/>
    <w:rsid w:val="00711E08"/>
    <w:rsid w:val="007122DF"/>
    <w:rsid w:val="007124E4"/>
    <w:rsid w:val="007138FD"/>
    <w:rsid w:val="00716BB1"/>
    <w:rsid w:val="007172FD"/>
    <w:rsid w:val="007200C8"/>
    <w:rsid w:val="007215F6"/>
    <w:rsid w:val="00721A6F"/>
    <w:rsid w:val="00721BAA"/>
    <w:rsid w:val="007230AA"/>
    <w:rsid w:val="00725C15"/>
    <w:rsid w:val="00730F88"/>
    <w:rsid w:val="0073469D"/>
    <w:rsid w:val="00745968"/>
    <w:rsid w:val="00747A3E"/>
    <w:rsid w:val="007730C9"/>
    <w:rsid w:val="00775150"/>
    <w:rsid w:val="00776B48"/>
    <w:rsid w:val="0078099D"/>
    <w:rsid w:val="007832A6"/>
    <w:rsid w:val="00787DE8"/>
    <w:rsid w:val="0079031C"/>
    <w:rsid w:val="0079048F"/>
    <w:rsid w:val="007942D8"/>
    <w:rsid w:val="00794983"/>
    <w:rsid w:val="00796ED7"/>
    <w:rsid w:val="00797F6E"/>
    <w:rsid w:val="007A6E3A"/>
    <w:rsid w:val="007A7740"/>
    <w:rsid w:val="007B2706"/>
    <w:rsid w:val="007B4F1D"/>
    <w:rsid w:val="007B5810"/>
    <w:rsid w:val="007B77D0"/>
    <w:rsid w:val="007C002A"/>
    <w:rsid w:val="007C024B"/>
    <w:rsid w:val="007C5523"/>
    <w:rsid w:val="007C594C"/>
    <w:rsid w:val="007D408A"/>
    <w:rsid w:val="007D4A5A"/>
    <w:rsid w:val="007D6463"/>
    <w:rsid w:val="007D6B20"/>
    <w:rsid w:val="007E0673"/>
    <w:rsid w:val="007E167F"/>
    <w:rsid w:val="007E32FC"/>
    <w:rsid w:val="007F01A2"/>
    <w:rsid w:val="007F0378"/>
    <w:rsid w:val="007F2ABC"/>
    <w:rsid w:val="007F4502"/>
    <w:rsid w:val="007F7FEC"/>
    <w:rsid w:val="008028DB"/>
    <w:rsid w:val="008045FB"/>
    <w:rsid w:val="0081027D"/>
    <w:rsid w:val="00811CE1"/>
    <w:rsid w:val="00815457"/>
    <w:rsid w:val="008179B0"/>
    <w:rsid w:val="00817B3D"/>
    <w:rsid w:val="00822299"/>
    <w:rsid w:val="008229E7"/>
    <w:rsid w:val="008279A7"/>
    <w:rsid w:val="00831B7F"/>
    <w:rsid w:val="00846D7A"/>
    <w:rsid w:val="00847D92"/>
    <w:rsid w:val="0085250F"/>
    <w:rsid w:val="008525D6"/>
    <w:rsid w:val="0085388E"/>
    <w:rsid w:val="00856F5E"/>
    <w:rsid w:val="008604D1"/>
    <w:rsid w:val="008659E9"/>
    <w:rsid w:val="008702B3"/>
    <w:rsid w:val="0087095D"/>
    <w:rsid w:val="00871835"/>
    <w:rsid w:val="00871F12"/>
    <w:rsid w:val="00875420"/>
    <w:rsid w:val="00875899"/>
    <w:rsid w:val="00876184"/>
    <w:rsid w:val="00880885"/>
    <w:rsid w:val="00880A50"/>
    <w:rsid w:val="00884732"/>
    <w:rsid w:val="00887BC8"/>
    <w:rsid w:val="0089007C"/>
    <w:rsid w:val="008928AE"/>
    <w:rsid w:val="00893092"/>
    <w:rsid w:val="00893674"/>
    <w:rsid w:val="00894583"/>
    <w:rsid w:val="008A05ED"/>
    <w:rsid w:val="008A4C9B"/>
    <w:rsid w:val="008B08C5"/>
    <w:rsid w:val="008B5639"/>
    <w:rsid w:val="008B6384"/>
    <w:rsid w:val="008B6557"/>
    <w:rsid w:val="008B74A7"/>
    <w:rsid w:val="008C02C2"/>
    <w:rsid w:val="008C1CB3"/>
    <w:rsid w:val="008C258D"/>
    <w:rsid w:val="008C28A0"/>
    <w:rsid w:val="008C79D2"/>
    <w:rsid w:val="008C7F21"/>
    <w:rsid w:val="008D1795"/>
    <w:rsid w:val="008D28E8"/>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1B29"/>
    <w:rsid w:val="00931F69"/>
    <w:rsid w:val="00932BD9"/>
    <w:rsid w:val="0094152D"/>
    <w:rsid w:val="0094670F"/>
    <w:rsid w:val="009479D0"/>
    <w:rsid w:val="00953CA2"/>
    <w:rsid w:val="00961BA9"/>
    <w:rsid w:val="00966641"/>
    <w:rsid w:val="00967923"/>
    <w:rsid w:val="009701D2"/>
    <w:rsid w:val="0097462A"/>
    <w:rsid w:val="00975940"/>
    <w:rsid w:val="00986292"/>
    <w:rsid w:val="00987779"/>
    <w:rsid w:val="00996340"/>
    <w:rsid w:val="009A2AA5"/>
    <w:rsid w:val="009A63FB"/>
    <w:rsid w:val="009B0D6A"/>
    <w:rsid w:val="009B267A"/>
    <w:rsid w:val="009B55D4"/>
    <w:rsid w:val="009B787A"/>
    <w:rsid w:val="009B7A49"/>
    <w:rsid w:val="009B7AD9"/>
    <w:rsid w:val="009C3180"/>
    <w:rsid w:val="009C387D"/>
    <w:rsid w:val="009C571F"/>
    <w:rsid w:val="009C6BD9"/>
    <w:rsid w:val="009D0461"/>
    <w:rsid w:val="009D4188"/>
    <w:rsid w:val="009D4EFC"/>
    <w:rsid w:val="009D7FA3"/>
    <w:rsid w:val="009E09A0"/>
    <w:rsid w:val="009E216D"/>
    <w:rsid w:val="009E6283"/>
    <w:rsid w:val="009E63CA"/>
    <w:rsid w:val="009F23B0"/>
    <w:rsid w:val="009F34CB"/>
    <w:rsid w:val="009F7460"/>
    <w:rsid w:val="00A031FC"/>
    <w:rsid w:val="00A0367E"/>
    <w:rsid w:val="00A03E44"/>
    <w:rsid w:val="00A03F97"/>
    <w:rsid w:val="00A075A8"/>
    <w:rsid w:val="00A07B11"/>
    <w:rsid w:val="00A10A7B"/>
    <w:rsid w:val="00A15F6A"/>
    <w:rsid w:val="00A22365"/>
    <w:rsid w:val="00A311C2"/>
    <w:rsid w:val="00A32233"/>
    <w:rsid w:val="00A36A24"/>
    <w:rsid w:val="00A376FB"/>
    <w:rsid w:val="00A45306"/>
    <w:rsid w:val="00A45D73"/>
    <w:rsid w:val="00A605C1"/>
    <w:rsid w:val="00A62F8C"/>
    <w:rsid w:val="00A64725"/>
    <w:rsid w:val="00A6666A"/>
    <w:rsid w:val="00A71158"/>
    <w:rsid w:val="00A73490"/>
    <w:rsid w:val="00A73BF2"/>
    <w:rsid w:val="00A74DCC"/>
    <w:rsid w:val="00A819B6"/>
    <w:rsid w:val="00A91C8B"/>
    <w:rsid w:val="00A95824"/>
    <w:rsid w:val="00AB2EDC"/>
    <w:rsid w:val="00AB35C0"/>
    <w:rsid w:val="00AB47F4"/>
    <w:rsid w:val="00AB5FC6"/>
    <w:rsid w:val="00AB62ED"/>
    <w:rsid w:val="00AC136E"/>
    <w:rsid w:val="00AC1F6A"/>
    <w:rsid w:val="00AC413D"/>
    <w:rsid w:val="00AC53AB"/>
    <w:rsid w:val="00AC6C54"/>
    <w:rsid w:val="00AD1434"/>
    <w:rsid w:val="00AD3A9D"/>
    <w:rsid w:val="00AD5F9E"/>
    <w:rsid w:val="00AD79D3"/>
    <w:rsid w:val="00AE25B7"/>
    <w:rsid w:val="00AE5434"/>
    <w:rsid w:val="00AE6DBF"/>
    <w:rsid w:val="00AE75DB"/>
    <w:rsid w:val="00B0092D"/>
    <w:rsid w:val="00B01C60"/>
    <w:rsid w:val="00B01D22"/>
    <w:rsid w:val="00B03A00"/>
    <w:rsid w:val="00B0445D"/>
    <w:rsid w:val="00B0447C"/>
    <w:rsid w:val="00B04CD8"/>
    <w:rsid w:val="00B05E53"/>
    <w:rsid w:val="00B072AA"/>
    <w:rsid w:val="00B10650"/>
    <w:rsid w:val="00B10926"/>
    <w:rsid w:val="00B10E08"/>
    <w:rsid w:val="00B11436"/>
    <w:rsid w:val="00B12341"/>
    <w:rsid w:val="00B14CC7"/>
    <w:rsid w:val="00B25D19"/>
    <w:rsid w:val="00B262E6"/>
    <w:rsid w:val="00B32E0E"/>
    <w:rsid w:val="00B359D9"/>
    <w:rsid w:val="00B35BC7"/>
    <w:rsid w:val="00B37665"/>
    <w:rsid w:val="00B40B8B"/>
    <w:rsid w:val="00B4404D"/>
    <w:rsid w:val="00B50993"/>
    <w:rsid w:val="00B5589D"/>
    <w:rsid w:val="00B56753"/>
    <w:rsid w:val="00B63168"/>
    <w:rsid w:val="00B6388D"/>
    <w:rsid w:val="00B63E9B"/>
    <w:rsid w:val="00B64963"/>
    <w:rsid w:val="00B70085"/>
    <w:rsid w:val="00B7099F"/>
    <w:rsid w:val="00B71873"/>
    <w:rsid w:val="00B72A5D"/>
    <w:rsid w:val="00B7334E"/>
    <w:rsid w:val="00B736B7"/>
    <w:rsid w:val="00B73C45"/>
    <w:rsid w:val="00B82E01"/>
    <w:rsid w:val="00B84DD7"/>
    <w:rsid w:val="00B903AE"/>
    <w:rsid w:val="00B91811"/>
    <w:rsid w:val="00B94460"/>
    <w:rsid w:val="00B9561A"/>
    <w:rsid w:val="00B9752C"/>
    <w:rsid w:val="00BA5C29"/>
    <w:rsid w:val="00BA63F2"/>
    <w:rsid w:val="00BA6AB3"/>
    <w:rsid w:val="00BB0A5D"/>
    <w:rsid w:val="00BB0AF9"/>
    <w:rsid w:val="00BB6C9A"/>
    <w:rsid w:val="00BB78A2"/>
    <w:rsid w:val="00BC0594"/>
    <w:rsid w:val="00BC0EF2"/>
    <w:rsid w:val="00BC11FC"/>
    <w:rsid w:val="00BC1F54"/>
    <w:rsid w:val="00BC4C9D"/>
    <w:rsid w:val="00BC54FC"/>
    <w:rsid w:val="00BC640D"/>
    <w:rsid w:val="00BC6CEA"/>
    <w:rsid w:val="00BD2118"/>
    <w:rsid w:val="00BD5092"/>
    <w:rsid w:val="00BD594D"/>
    <w:rsid w:val="00BD5997"/>
    <w:rsid w:val="00BE1C56"/>
    <w:rsid w:val="00BE6F50"/>
    <w:rsid w:val="00BF12DB"/>
    <w:rsid w:val="00BF1BA3"/>
    <w:rsid w:val="00BF4F28"/>
    <w:rsid w:val="00BF588D"/>
    <w:rsid w:val="00C01939"/>
    <w:rsid w:val="00C03447"/>
    <w:rsid w:val="00C07EF5"/>
    <w:rsid w:val="00C11BCE"/>
    <w:rsid w:val="00C128FE"/>
    <w:rsid w:val="00C13304"/>
    <w:rsid w:val="00C1777A"/>
    <w:rsid w:val="00C17E34"/>
    <w:rsid w:val="00C231CE"/>
    <w:rsid w:val="00C236FA"/>
    <w:rsid w:val="00C24C44"/>
    <w:rsid w:val="00C26B0C"/>
    <w:rsid w:val="00C301DD"/>
    <w:rsid w:val="00C30F18"/>
    <w:rsid w:val="00C331D1"/>
    <w:rsid w:val="00C35958"/>
    <w:rsid w:val="00C35960"/>
    <w:rsid w:val="00C36B20"/>
    <w:rsid w:val="00C372A8"/>
    <w:rsid w:val="00C375FF"/>
    <w:rsid w:val="00C40848"/>
    <w:rsid w:val="00C50E47"/>
    <w:rsid w:val="00C562AA"/>
    <w:rsid w:val="00C574F4"/>
    <w:rsid w:val="00C645AF"/>
    <w:rsid w:val="00C65B52"/>
    <w:rsid w:val="00C701BD"/>
    <w:rsid w:val="00C747C6"/>
    <w:rsid w:val="00C756C3"/>
    <w:rsid w:val="00C80F66"/>
    <w:rsid w:val="00C82F83"/>
    <w:rsid w:val="00C84AE8"/>
    <w:rsid w:val="00C85D1B"/>
    <w:rsid w:val="00C96DDA"/>
    <w:rsid w:val="00CB2F40"/>
    <w:rsid w:val="00CB3273"/>
    <w:rsid w:val="00CB5D3E"/>
    <w:rsid w:val="00CC4C46"/>
    <w:rsid w:val="00CC6AAB"/>
    <w:rsid w:val="00CC77FF"/>
    <w:rsid w:val="00CC7CF5"/>
    <w:rsid w:val="00CD14AB"/>
    <w:rsid w:val="00CD4C5B"/>
    <w:rsid w:val="00CD7F00"/>
    <w:rsid w:val="00CE1B2E"/>
    <w:rsid w:val="00CE3C5A"/>
    <w:rsid w:val="00CE59C6"/>
    <w:rsid w:val="00CE7586"/>
    <w:rsid w:val="00CE7975"/>
    <w:rsid w:val="00CF0E26"/>
    <w:rsid w:val="00CF3742"/>
    <w:rsid w:val="00CF72FD"/>
    <w:rsid w:val="00D03659"/>
    <w:rsid w:val="00D03EDF"/>
    <w:rsid w:val="00D10DC0"/>
    <w:rsid w:val="00D11555"/>
    <w:rsid w:val="00D126D8"/>
    <w:rsid w:val="00D13D6D"/>
    <w:rsid w:val="00D20C74"/>
    <w:rsid w:val="00D24FD7"/>
    <w:rsid w:val="00D25647"/>
    <w:rsid w:val="00D33D06"/>
    <w:rsid w:val="00D34FE4"/>
    <w:rsid w:val="00D377A7"/>
    <w:rsid w:val="00D40DA7"/>
    <w:rsid w:val="00D4481D"/>
    <w:rsid w:val="00D44C95"/>
    <w:rsid w:val="00D452A7"/>
    <w:rsid w:val="00D4584F"/>
    <w:rsid w:val="00D50F5D"/>
    <w:rsid w:val="00D54725"/>
    <w:rsid w:val="00D559FF"/>
    <w:rsid w:val="00D57F61"/>
    <w:rsid w:val="00D60965"/>
    <w:rsid w:val="00D62B8C"/>
    <w:rsid w:val="00D62E52"/>
    <w:rsid w:val="00D63276"/>
    <w:rsid w:val="00D66F39"/>
    <w:rsid w:val="00D72137"/>
    <w:rsid w:val="00D760E7"/>
    <w:rsid w:val="00D84015"/>
    <w:rsid w:val="00D84B36"/>
    <w:rsid w:val="00D85853"/>
    <w:rsid w:val="00D912B2"/>
    <w:rsid w:val="00D936A0"/>
    <w:rsid w:val="00D94173"/>
    <w:rsid w:val="00D97162"/>
    <w:rsid w:val="00D97CE9"/>
    <w:rsid w:val="00DA0148"/>
    <w:rsid w:val="00DA36E7"/>
    <w:rsid w:val="00DA4999"/>
    <w:rsid w:val="00DA4FC7"/>
    <w:rsid w:val="00DA550D"/>
    <w:rsid w:val="00DA7017"/>
    <w:rsid w:val="00DB13DD"/>
    <w:rsid w:val="00DB1B31"/>
    <w:rsid w:val="00DB1C27"/>
    <w:rsid w:val="00DB38EE"/>
    <w:rsid w:val="00DB7905"/>
    <w:rsid w:val="00DB7973"/>
    <w:rsid w:val="00DC13AB"/>
    <w:rsid w:val="00DC398C"/>
    <w:rsid w:val="00DC3EF1"/>
    <w:rsid w:val="00DC5E8C"/>
    <w:rsid w:val="00DC5EF2"/>
    <w:rsid w:val="00DC7EF7"/>
    <w:rsid w:val="00DD205B"/>
    <w:rsid w:val="00DD2F4C"/>
    <w:rsid w:val="00DD356D"/>
    <w:rsid w:val="00DD6796"/>
    <w:rsid w:val="00DD6B5E"/>
    <w:rsid w:val="00DD6BD4"/>
    <w:rsid w:val="00DE4E3D"/>
    <w:rsid w:val="00DE5E58"/>
    <w:rsid w:val="00DE7B46"/>
    <w:rsid w:val="00DF487E"/>
    <w:rsid w:val="00E0162C"/>
    <w:rsid w:val="00E02320"/>
    <w:rsid w:val="00E11487"/>
    <w:rsid w:val="00E14ACC"/>
    <w:rsid w:val="00E15A8C"/>
    <w:rsid w:val="00E324E6"/>
    <w:rsid w:val="00E4144C"/>
    <w:rsid w:val="00E44F84"/>
    <w:rsid w:val="00E463C6"/>
    <w:rsid w:val="00E53121"/>
    <w:rsid w:val="00E5318E"/>
    <w:rsid w:val="00E53532"/>
    <w:rsid w:val="00E56901"/>
    <w:rsid w:val="00E6034D"/>
    <w:rsid w:val="00E71967"/>
    <w:rsid w:val="00E73C84"/>
    <w:rsid w:val="00E754B1"/>
    <w:rsid w:val="00E77DF0"/>
    <w:rsid w:val="00E801B5"/>
    <w:rsid w:val="00E81B87"/>
    <w:rsid w:val="00E905E8"/>
    <w:rsid w:val="00E91AD9"/>
    <w:rsid w:val="00E93F56"/>
    <w:rsid w:val="00E952D9"/>
    <w:rsid w:val="00E96773"/>
    <w:rsid w:val="00E97CB9"/>
    <w:rsid w:val="00EA1DC2"/>
    <w:rsid w:val="00EA306C"/>
    <w:rsid w:val="00EB27E9"/>
    <w:rsid w:val="00EB33AB"/>
    <w:rsid w:val="00EB37C9"/>
    <w:rsid w:val="00EB607A"/>
    <w:rsid w:val="00EC134E"/>
    <w:rsid w:val="00ED0445"/>
    <w:rsid w:val="00ED3C3B"/>
    <w:rsid w:val="00ED7C90"/>
    <w:rsid w:val="00EE48C3"/>
    <w:rsid w:val="00EF199D"/>
    <w:rsid w:val="00EF4E12"/>
    <w:rsid w:val="00EF5326"/>
    <w:rsid w:val="00EF65F3"/>
    <w:rsid w:val="00F01510"/>
    <w:rsid w:val="00F02A6D"/>
    <w:rsid w:val="00F0424C"/>
    <w:rsid w:val="00F04B6E"/>
    <w:rsid w:val="00F07AED"/>
    <w:rsid w:val="00F10495"/>
    <w:rsid w:val="00F10DA8"/>
    <w:rsid w:val="00F1168A"/>
    <w:rsid w:val="00F12A10"/>
    <w:rsid w:val="00F178A5"/>
    <w:rsid w:val="00F2391C"/>
    <w:rsid w:val="00F26293"/>
    <w:rsid w:val="00F31E30"/>
    <w:rsid w:val="00F3326F"/>
    <w:rsid w:val="00F334D9"/>
    <w:rsid w:val="00F33D93"/>
    <w:rsid w:val="00F34781"/>
    <w:rsid w:val="00F36D58"/>
    <w:rsid w:val="00F41A5D"/>
    <w:rsid w:val="00F470A2"/>
    <w:rsid w:val="00F552E5"/>
    <w:rsid w:val="00F56AA8"/>
    <w:rsid w:val="00F60825"/>
    <w:rsid w:val="00F67C91"/>
    <w:rsid w:val="00F70B32"/>
    <w:rsid w:val="00F723F9"/>
    <w:rsid w:val="00F80E9B"/>
    <w:rsid w:val="00F82315"/>
    <w:rsid w:val="00F835A6"/>
    <w:rsid w:val="00F83D3C"/>
    <w:rsid w:val="00F840D6"/>
    <w:rsid w:val="00F8684D"/>
    <w:rsid w:val="00F900BE"/>
    <w:rsid w:val="00F903B6"/>
    <w:rsid w:val="00F93916"/>
    <w:rsid w:val="00F95DA9"/>
    <w:rsid w:val="00F97392"/>
    <w:rsid w:val="00F97DF6"/>
    <w:rsid w:val="00FA4EEC"/>
    <w:rsid w:val="00FB2801"/>
    <w:rsid w:val="00FB335B"/>
    <w:rsid w:val="00FB3F23"/>
    <w:rsid w:val="00FB4EAA"/>
    <w:rsid w:val="00FC26F1"/>
    <w:rsid w:val="00FC5512"/>
    <w:rsid w:val="00FC6366"/>
    <w:rsid w:val="00FD0CD9"/>
    <w:rsid w:val="00FD4970"/>
    <w:rsid w:val="00FD6927"/>
    <w:rsid w:val="00FE02D9"/>
    <w:rsid w:val="00FE14F9"/>
    <w:rsid w:val="00FF2EFF"/>
    <w:rsid w:val="00FF406F"/>
    <w:rsid w:val="00FF4843"/>
    <w:rsid w:val="00FF49AE"/>
    <w:rsid w:val="00FF5EEA"/>
    <w:rsid w:val="01E31C58"/>
    <w:rsid w:val="0274782E"/>
    <w:rsid w:val="032F484D"/>
    <w:rsid w:val="0399107E"/>
    <w:rsid w:val="03F12441"/>
    <w:rsid w:val="043800B2"/>
    <w:rsid w:val="058F7720"/>
    <w:rsid w:val="059C62E2"/>
    <w:rsid w:val="06400AC6"/>
    <w:rsid w:val="076A5E60"/>
    <w:rsid w:val="07E25D0F"/>
    <w:rsid w:val="08A511D7"/>
    <w:rsid w:val="08F116C7"/>
    <w:rsid w:val="091246B7"/>
    <w:rsid w:val="0A002B1A"/>
    <w:rsid w:val="0A021D94"/>
    <w:rsid w:val="0A172F05"/>
    <w:rsid w:val="0A920906"/>
    <w:rsid w:val="0B6D619D"/>
    <w:rsid w:val="0C14696F"/>
    <w:rsid w:val="0C321039"/>
    <w:rsid w:val="0C3F1A4F"/>
    <w:rsid w:val="0D0B2D24"/>
    <w:rsid w:val="0E41411D"/>
    <w:rsid w:val="0F241091"/>
    <w:rsid w:val="0F251137"/>
    <w:rsid w:val="0FF80960"/>
    <w:rsid w:val="1006084F"/>
    <w:rsid w:val="109B002E"/>
    <w:rsid w:val="10E41B4F"/>
    <w:rsid w:val="12713341"/>
    <w:rsid w:val="12AA12B5"/>
    <w:rsid w:val="1373528F"/>
    <w:rsid w:val="1394392D"/>
    <w:rsid w:val="13AF9336"/>
    <w:rsid w:val="142E2645"/>
    <w:rsid w:val="146F60C4"/>
    <w:rsid w:val="14D41BB2"/>
    <w:rsid w:val="15596588"/>
    <w:rsid w:val="159C7EB0"/>
    <w:rsid w:val="15EE364B"/>
    <w:rsid w:val="15F968CB"/>
    <w:rsid w:val="16CF2421"/>
    <w:rsid w:val="182F3583"/>
    <w:rsid w:val="1A5F7738"/>
    <w:rsid w:val="1A620D3B"/>
    <w:rsid w:val="1A6E1674"/>
    <w:rsid w:val="1ABA0739"/>
    <w:rsid w:val="1ABE70B6"/>
    <w:rsid w:val="1ABF21DB"/>
    <w:rsid w:val="1B0940FF"/>
    <w:rsid w:val="1B6804C1"/>
    <w:rsid w:val="1BC52228"/>
    <w:rsid w:val="1BED3623"/>
    <w:rsid w:val="1C521AE9"/>
    <w:rsid w:val="1C874183"/>
    <w:rsid w:val="1FBEC6D0"/>
    <w:rsid w:val="207A1985"/>
    <w:rsid w:val="20BF6545"/>
    <w:rsid w:val="2119360A"/>
    <w:rsid w:val="22472B4C"/>
    <w:rsid w:val="22ED20B6"/>
    <w:rsid w:val="235C0DA4"/>
    <w:rsid w:val="246F652F"/>
    <w:rsid w:val="259B0AFF"/>
    <w:rsid w:val="27054585"/>
    <w:rsid w:val="276B4647"/>
    <w:rsid w:val="27BE4E00"/>
    <w:rsid w:val="27C2075D"/>
    <w:rsid w:val="28604501"/>
    <w:rsid w:val="28793A7C"/>
    <w:rsid w:val="287B4AB7"/>
    <w:rsid w:val="288E082B"/>
    <w:rsid w:val="28CD7B64"/>
    <w:rsid w:val="2A3A0DE8"/>
    <w:rsid w:val="2ADE65BF"/>
    <w:rsid w:val="2B1B4789"/>
    <w:rsid w:val="2BFF4E3C"/>
    <w:rsid w:val="2C535C4A"/>
    <w:rsid w:val="2CFC2BFE"/>
    <w:rsid w:val="2D65240C"/>
    <w:rsid w:val="2E6B1ABD"/>
    <w:rsid w:val="2EBB01C8"/>
    <w:rsid w:val="2EDE0F4B"/>
    <w:rsid w:val="2EEC3009"/>
    <w:rsid w:val="2FDFD09C"/>
    <w:rsid w:val="304973BB"/>
    <w:rsid w:val="306E3B3E"/>
    <w:rsid w:val="306E48A0"/>
    <w:rsid w:val="314D028A"/>
    <w:rsid w:val="322C0F09"/>
    <w:rsid w:val="32481417"/>
    <w:rsid w:val="329B1B01"/>
    <w:rsid w:val="32FD4EF1"/>
    <w:rsid w:val="330676B8"/>
    <w:rsid w:val="332A6515"/>
    <w:rsid w:val="355530AA"/>
    <w:rsid w:val="356674DA"/>
    <w:rsid w:val="35ED4223"/>
    <w:rsid w:val="364631D7"/>
    <w:rsid w:val="368928C2"/>
    <w:rsid w:val="374E6901"/>
    <w:rsid w:val="37AA2658"/>
    <w:rsid w:val="37FE867A"/>
    <w:rsid w:val="38506B7C"/>
    <w:rsid w:val="393A06C0"/>
    <w:rsid w:val="39EF831D"/>
    <w:rsid w:val="39FB003B"/>
    <w:rsid w:val="3A1C3858"/>
    <w:rsid w:val="3B616683"/>
    <w:rsid w:val="3BE03AD0"/>
    <w:rsid w:val="3C16472F"/>
    <w:rsid w:val="3C636EF3"/>
    <w:rsid w:val="3C7A1ABD"/>
    <w:rsid w:val="3CE420CC"/>
    <w:rsid w:val="3D874321"/>
    <w:rsid w:val="3DC03E2D"/>
    <w:rsid w:val="3EFE0C40"/>
    <w:rsid w:val="3F076C53"/>
    <w:rsid w:val="3F200A6F"/>
    <w:rsid w:val="3F2535EA"/>
    <w:rsid w:val="3F5B255F"/>
    <w:rsid w:val="3FBC492D"/>
    <w:rsid w:val="3FEE9FF4"/>
    <w:rsid w:val="3FEF9392"/>
    <w:rsid w:val="3FF9B9D3"/>
    <w:rsid w:val="41343155"/>
    <w:rsid w:val="416E5997"/>
    <w:rsid w:val="42420841"/>
    <w:rsid w:val="43236DF2"/>
    <w:rsid w:val="43B50E83"/>
    <w:rsid w:val="43B7517C"/>
    <w:rsid w:val="443703F4"/>
    <w:rsid w:val="45120CAB"/>
    <w:rsid w:val="46002A4C"/>
    <w:rsid w:val="4616768B"/>
    <w:rsid w:val="46E20478"/>
    <w:rsid w:val="47056F93"/>
    <w:rsid w:val="47074250"/>
    <w:rsid w:val="476316CA"/>
    <w:rsid w:val="47F44D14"/>
    <w:rsid w:val="48A83C10"/>
    <w:rsid w:val="498B4DAC"/>
    <w:rsid w:val="4ABE4EBD"/>
    <w:rsid w:val="4BB4AF1D"/>
    <w:rsid w:val="4BB86D6B"/>
    <w:rsid w:val="4BEB6129"/>
    <w:rsid w:val="4C285237"/>
    <w:rsid w:val="4C7FFE59"/>
    <w:rsid w:val="4CC77FE2"/>
    <w:rsid w:val="4D6B1B3A"/>
    <w:rsid w:val="4DBE0512"/>
    <w:rsid w:val="4EA00F1C"/>
    <w:rsid w:val="4F0A4599"/>
    <w:rsid w:val="4F525D75"/>
    <w:rsid w:val="50986FC7"/>
    <w:rsid w:val="51ED4F92"/>
    <w:rsid w:val="52382D31"/>
    <w:rsid w:val="52CC3E8A"/>
    <w:rsid w:val="532820A9"/>
    <w:rsid w:val="553FDFF1"/>
    <w:rsid w:val="5592568C"/>
    <w:rsid w:val="56B37004"/>
    <w:rsid w:val="57455A39"/>
    <w:rsid w:val="57A23CDC"/>
    <w:rsid w:val="58341500"/>
    <w:rsid w:val="587B272D"/>
    <w:rsid w:val="589D0BB5"/>
    <w:rsid w:val="592C41B1"/>
    <w:rsid w:val="59E05A57"/>
    <w:rsid w:val="5A0A615A"/>
    <w:rsid w:val="5AD16EFB"/>
    <w:rsid w:val="5BE12FA3"/>
    <w:rsid w:val="5C002AE0"/>
    <w:rsid w:val="5D530128"/>
    <w:rsid w:val="5D7F107A"/>
    <w:rsid w:val="5D8866EC"/>
    <w:rsid w:val="5E21105E"/>
    <w:rsid w:val="5E345E62"/>
    <w:rsid w:val="5E47472B"/>
    <w:rsid w:val="5E500D4F"/>
    <w:rsid w:val="5EA1422D"/>
    <w:rsid w:val="5EBF421E"/>
    <w:rsid w:val="5EC265F9"/>
    <w:rsid w:val="5ECC03B8"/>
    <w:rsid w:val="5FCB2A1D"/>
    <w:rsid w:val="5FCE52D9"/>
    <w:rsid w:val="5FFC8BB9"/>
    <w:rsid w:val="60037D86"/>
    <w:rsid w:val="61130844"/>
    <w:rsid w:val="613E396F"/>
    <w:rsid w:val="61C72FCF"/>
    <w:rsid w:val="62970B0C"/>
    <w:rsid w:val="63341B88"/>
    <w:rsid w:val="63672753"/>
    <w:rsid w:val="63863A7B"/>
    <w:rsid w:val="63EE52C7"/>
    <w:rsid w:val="64021F6A"/>
    <w:rsid w:val="645E5CB5"/>
    <w:rsid w:val="650502C1"/>
    <w:rsid w:val="65E62E7A"/>
    <w:rsid w:val="65FF4FF1"/>
    <w:rsid w:val="665854F1"/>
    <w:rsid w:val="66F57886"/>
    <w:rsid w:val="67043421"/>
    <w:rsid w:val="6748407F"/>
    <w:rsid w:val="67A770C7"/>
    <w:rsid w:val="67BB5990"/>
    <w:rsid w:val="67D749CA"/>
    <w:rsid w:val="67E41D0B"/>
    <w:rsid w:val="67FE0631"/>
    <w:rsid w:val="68151FD4"/>
    <w:rsid w:val="68F45AB1"/>
    <w:rsid w:val="69900C0D"/>
    <w:rsid w:val="6A15739F"/>
    <w:rsid w:val="6AAD178D"/>
    <w:rsid w:val="6AC07529"/>
    <w:rsid w:val="6AFB05FD"/>
    <w:rsid w:val="6B1F675B"/>
    <w:rsid w:val="6B976E9C"/>
    <w:rsid w:val="6BBB3071"/>
    <w:rsid w:val="6C77269B"/>
    <w:rsid w:val="6CC649E7"/>
    <w:rsid w:val="6E5F5941"/>
    <w:rsid w:val="6F1F1552"/>
    <w:rsid w:val="6F5F71DE"/>
    <w:rsid w:val="70476F30"/>
    <w:rsid w:val="717E6D7C"/>
    <w:rsid w:val="730B464C"/>
    <w:rsid w:val="7322122F"/>
    <w:rsid w:val="739227D6"/>
    <w:rsid w:val="742755C6"/>
    <w:rsid w:val="74A84D3C"/>
    <w:rsid w:val="74DF38CD"/>
    <w:rsid w:val="7671300D"/>
    <w:rsid w:val="76FEBB0D"/>
    <w:rsid w:val="77146D65"/>
    <w:rsid w:val="77687D2F"/>
    <w:rsid w:val="77A7573E"/>
    <w:rsid w:val="78040F32"/>
    <w:rsid w:val="78441D25"/>
    <w:rsid w:val="78CE90EF"/>
    <w:rsid w:val="798F5037"/>
    <w:rsid w:val="7A962EAF"/>
    <w:rsid w:val="7D2C6AB3"/>
    <w:rsid w:val="7D6457E7"/>
    <w:rsid w:val="7D6531A0"/>
    <w:rsid w:val="7DE7C0E1"/>
    <w:rsid w:val="7E725402"/>
    <w:rsid w:val="7E7D24F3"/>
    <w:rsid w:val="7E846ACC"/>
    <w:rsid w:val="7E9276DB"/>
    <w:rsid w:val="7ED60597"/>
    <w:rsid w:val="7F4D7500"/>
    <w:rsid w:val="7F6E013E"/>
    <w:rsid w:val="7FAD31AE"/>
    <w:rsid w:val="7FBF3C22"/>
    <w:rsid w:val="7FF64874"/>
    <w:rsid w:val="7FF73431"/>
    <w:rsid w:val="7FFC7113"/>
    <w:rsid w:val="9EFF3004"/>
    <w:rsid w:val="BDFFFCB4"/>
    <w:rsid w:val="CF1F3F48"/>
    <w:rsid w:val="CFFA7AA0"/>
    <w:rsid w:val="D8FF8605"/>
    <w:rsid w:val="DD85AE15"/>
    <w:rsid w:val="DDBDD430"/>
    <w:rsid w:val="DE5FFBF6"/>
    <w:rsid w:val="DEFD662D"/>
    <w:rsid w:val="DFF743DA"/>
    <w:rsid w:val="E2E757CF"/>
    <w:rsid w:val="E39F77B5"/>
    <w:rsid w:val="E3D94C24"/>
    <w:rsid w:val="EEDEA96D"/>
    <w:rsid w:val="EFAF623B"/>
    <w:rsid w:val="F1AB9D11"/>
    <w:rsid w:val="F1F7C241"/>
    <w:rsid w:val="F38FDB9E"/>
    <w:rsid w:val="F57F9874"/>
    <w:rsid w:val="F7BF79A3"/>
    <w:rsid w:val="F7F4618A"/>
    <w:rsid w:val="FBBE69EF"/>
    <w:rsid w:val="FBEE9D47"/>
    <w:rsid w:val="FDFFA93C"/>
    <w:rsid w:val="FEE2995E"/>
    <w:rsid w:val="FF7F9FA5"/>
    <w:rsid w:val="FFE1DD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5"/>
    <w:link w:val="157"/>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6"/>
    <w:link w:val="54"/>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51"/>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57"/>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9"/>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9"/>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60"/>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61"/>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62"/>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125"/>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First Indent"/>
    <w:basedOn w:val="2"/>
    <w:link w:val="208"/>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customStyle="1" w:styleId="10">
    <w:name w:val="模板正文"/>
    <w:basedOn w:val="1"/>
    <w:link w:val="101"/>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toc 7"/>
    <w:basedOn w:val="1"/>
    <w:next w:val="1"/>
    <w:unhideWhenUsed/>
    <w:qFormat/>
    <w:uiPriority w:val="39"/>
    <w:pPr>
      <w:ind w:left="2520" w:leftChars="1200"/>
    </w:pPr>
  </w:style>
  <w:style w:type="paragraph" w:styleId="15">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6">
    <w:name w:val="caption"/>
    <w:basedOn w:val="1"/>
    <w:next w:val="1"/>
    <w:link w:val="90"/>
    <w:qFormat/>
    <w:uiPriority w:val="0"/>
    <w:pPr>
      <w:autoSpaceDE w:val="0"/>
      <w:autoSpaceDN w:val="0"/>
      <w:adjustRightInd w:val="0"/>
      <w:spacing w:before="152" w:after="160"/>
      <w:jc w:val="left"/>
    </w:pPr>
    <w:rPr>
      <w:rFonts w:ascii="Arial" w:hAnsi="Arial" w:eastAsia="黑体" w:cs="Arial"/>
    </w:rPr>
  </w:style>
  <w:style w:type="paragraph" w:styleId="17">
    <w:name w:val="Document Map"/>
    <w:basedOn w:val="1"/>
    <w:link w:val="123"/>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170"/>
    <w:unhideWhenUsed/>
    <w:qFormat/>
    <w:uiPriority w:val="99"/>
    <w:pPr>
      <w:jc w:val="left"/>
    </w:pPr>
  </w:style>
  <w:style w:type="paragraph" w:styleId="20">
    <w:name w:val="Body Text 3"/>
    <w:basedOn w:val="1"/>
    <w:link w:val="163"/>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1">
    <w:name w:val="List Bullet 3"/>
    <w:basedOn w:val="1"/>
    <w:semiHidden/>
    <w:unhideWhenUsed/>
    <w:qFormat/>
    <w:uiPriority w:val="99"/>
    <w:pPr>
      <w:numPr>
        <w:ilvl w:val="0"/>
        <w:numId w:val="1"/>
      </w:numPr>
    </w:pPr>
  </w:style>
  <w:style w:type="paragraph" w:styleId="22">
    <w:name w:val="Body Text Indent"/>
    <w:basedOn w:val="1"/>
    <w:link w:val="99"/>
    <w:qFormat/>
    <w:uiPriority w:val="0"/>
    <w:pPr>
      <w:ind w:left="567" w:leftChars="270"/>
    </w:pPr>
    <w:rPr>
      <w:rFonts w:ascii="Times New Roman" w:hAnsi="Times New Roman" w:eastAsia="宋体" w:cs="Times New Roman"/>
      <w:szCs w:val="20"/>
    </w:rPr>
  </w:style>
  <w:style w:type="paragraph" w:styleId="23">
    <w:name w:val="toc 5"/>
    <w:basedOn w:val="1"/>
    <w:next w:val="1"/>
    <w:unhideWhenUsed/>
    <w:qFormat/>
    <w:uiPriority w:val="39"/>
    <w:pPr>
      <w:ind w:left="1680" w:leftChars="800"/>
    </w:pPr>
  </w:style>
  <w:style w:type="paragraph" w:styleId="24">
    <w:name w:val="toc 3"/>
    <w:basedOn w:val="1"/>
    <w:next w:val="1"/>
    <w:unhideWhenUsed/>
    <w:qFormat/>
    <w:uiPriority w:val="39"/>
    <w:pPr>
      <w:tabs>
        <w:tab w:val="right" w:leader="dot" w:pos="10144"/>
      </w:tabs>
      <w:ind w:left="840" w:leftChars="400"/>
    </w:pPr>
  </w:style>
  <w:style w:type="paragraph" w:styleId="25">
    <w:name w:val="Plain Text"/>
    <w:basedOn w:val="1"/>
    <w:link w:val="107"/>
    <w:qFormat/>
    <w:uiPriority w:val="0"/>
    <w:rPr>
      <w:rFonts w:ascii="宋体" w:hAnsi="Courier New" w:eastAsia="宋体"/>
    </w:rPr>
  </w:style>
  <w:style w:type="paragraph" w:styleId="26">
    <w:name w:val="toc 8"/>
    <w:basedOn w:val="1"/>
    <w:next w:val="1"/>
    <w:unhideWhenUsed/>
    <w:qFormat/>
    <w:uiPriority w:val="39"/>
    <w:pPr>
      <w:ind w:left="2940" w:leftChars="1400"/>
    </w:pPr>
  </w:style>
  <w:style w:type="paragraph" w:styleId="27">
    <w:name w:val="Date"/>
    <w:basedOn w:val="1"/>
    <w:next w:val="1"/>
    <w:link w:val="115"/>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8">
    <w:name w:val="Body Text Indent 2"/>
    <w:basedOn w:val="1"/>
    <w:link w:val="108"/>
    <w:qFormat/>
    <w:uiPriority w:val="0"/>
    <w:pPr>
      <w:tabs>
        <w:tab w:val="left" w:pos="8640"/>
      </w:tabs>
      <w:ind w:left="1260"/>
    </w:pPr>
    <w:rPr>
      <w:rFonts w:ascii="宋体" w:hAnsi="Times New Roman" w:eastAsia="宋体" w:cs="Times New Roman"/>
      <w:szCs w:val="20"/>
    </w:rPr>
  </w:style>
  <w:style w:type="paragraph" w:styleId="29">
    <w:name w:val="Balloon Text"/>
    <w:basedOn w:val="1"/>
    <w:link w:val="81"/>
    <w:qFormat/>
    <w:uiPriority w:val="0"/>
    <w:rPr>
      <w:rFonts w:ascii="Times New Roman" w:hAnsi="Times New Roman" w:eastAsia="宋体" w:cs="Times New Roman"/>
      <w:sz w:val="18"/>
      <w:szCs w:val="18"/>
    </w:rPr>
  </w:style>
  <w:style w:type="paragraph" w:styleId="30">
    <w:name w:val="footer"/>
    <w:basedOn w:val="1"/>
    <w:link w:val="85"/>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31">
    <w:name w:val="header"/>
    <w:basedOn w:val="1"/>
    <w:link w:val="127"/>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2">
    <w:name w:val="toc 1"/>
    <w:basedOn w:val="1"/>
    <w:next w:val="1"/>
    <w:unhideWhenUsed/>
    <w:qFormat/>
    <w:uiPriority w:val="39"/>
  </w:style>
  <w:style w:type="paragraph" w:styleId="33">
    <w:name w:val="toc 4"/>
    <w:basedOn w:val="1"/>
    <w:next w:val="1"/>
    <w:unhideWhenUsed/>
    <w:qFormat/>
    <w:uiPriority w:val="39"/>
    <w:pPr>
      <w:ind w:left="1260" w:leftChars="600"/>
    </w:pPr>
  </w:style>
  <w:style w:type="paragraph" w:styleId="34">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5">
    <w:name w:val="toc 6"/>
    <w:basedOn w:val="1"/>
    <w:next w:val="1"/>
    <w:unhideWhenUsed/>
    <w:qFormat/>
    <w:uiPriority w:val="39"/>
    <w:pPr>
      <w:ind w:left="2100" w:leftChars="1000"/>
    </w:pPr>
  </w:style>
  <w:style w:type="paragraph" w:styleId="36">
    <w:name w:val="Body Text Indent 3"/>
    <w:basedOn w:val="1"/>
    <w:link w:val="161"/>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style>
  <w:style w:type="paragraph" w:styleId="39">
    <w:name w:val="Body Text 2"/>
    <w:basedOn w:val="1"/>
    <w:link w:val="150"/>
    <w:qFormat/>
    <w:uiPriority w:val="0"/>
    <w:pPr>
      <w:tabs>
        <w:tab w:val="left" w:pos="0"/>
      </w:tabs>
      <w:spacing w:line="400" w:lineRule="atLeast"/>
    </w:pPr>
    <w:rPr>
      <w:rFonts w:ascii="Arial" w:hAnsi="Arial" w:eastAsia="宋体" w:cs="Times New Roman"/>
      <w:color w:val="000000"/>
      <w:szCs w:val="24"/>
    </w:rPr>
  </w:style>
  <w:style w:type="paragraph" w:styleId="40">
    <w:name w:val="HTML Preformatted"/>
    <w:basedOn w:val="1"/>
    <w:link w:val="9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41">
    <w:name w:val="Normal (Web)"/>
    <w:basedOn w:val="1"/>
    <w:link w:val="100"/>
    <w:qFormat/>
    <w:uiPriority w:val="0"/>
    <w:pPr>
      <w:widowControl/>
      <w:spacing w:before="100" w:beforeAutospacing="1" w:after="100" w:afterAutospacing="1"/>
      <w:jc w:val="left"/>
    </w:pPr>
    <w:rPr>
      <w:rFonts w:ascii="宋体" w:hAnsi="宋体"/>
      <w:sz w:val="15"/>
      <w:szCs w:val="15"/>
    </w:rPr>
  </w:style>
  <w:style w:type="paragraph" w:styleId="42">
    <w:name w:val="Title"/>
    <w:basedOn w:val="1"/>
    <w:next w:val="1"/>
    <w:link w:val="65"/>
    <w:qFormat/>
    <w:uiPriority w:val="10"/>
    <w:pPr>
      <w:spacing w:before="120" w:after="60" w:line="300" w:lineRule="auto"/>
      <w:jc w:val="left"/>
      <w:outlineLvl w:val="0"/>
    </w:pPr>
    <w:rPr>
      <w:rFonts w:ascii="等线 Light" w:hAnsi="等线 Light" w:eastAsia="仿宋"/>
      <w:b/>
      <w:bCs/>
      <w:sz w:val="28"/>
      <w:szCs w:val="32"/>
    </w:rPr>
  </w:style>
  <w:style w:type="paragraph" w:styleId="43">
    <w:name w:val="annotation subject"/>
    <w:basedOn w:val="19"/>
    <w:next w:val="19"/>
    <w:link w:val="117"/>
    <w:qFormat/>
    <w:uiPriority w:val="99"/>
    <w:pPr>
      <w:autoSpaceDE w:val="0"/>
      <w:autoSpaceDN w:val="0"/>
      <w:adjustRightInd w:val="0"/>
    </w:pPr>
    <w:rPr>
      <w:rFonts w:ascii="宋体" w:hAnsi="Times New Roman" w:eastAsia="宋体" w:cs="Times New Roman"/>
      <w:b/>
      <w:bCs/>
      <w:kern w:val="0"/>
      <w:sz w:val="24"/>
      <w:szCs w:val="24"/>
    </w:rPr>
  </w:style>
  <w:style w:type="paragraph" w:styleId="44">
    <w:name w:val="Body Text First Indent 2"/>
    <w:basedOn w:val="22"/>
    <w:next w:val="15"/>
    <w:unhideWhenUsed/>
    <w:qFormat/>
    <w:uiPriority w:val="99"/>
    <w:pPr>
      <w:tabs>
        <w:tab w:val="left" w:pos="0"/>
        <w:tab w:val="left" w:pos="540"/>
        <w:tab w:val="left" w:pos="630"/>
        <w:tab w:val="left" w:pos="1440"/>
      </w:tabs>
      <w:adjustRightInd/>
      <w:spacing w:after="120" w:line="360" w:lineRule="auto"/>
      <w:ind w:left="420" w:leftChars="200" w:firstLine="420" w:firstLineChars="200"/>
      <w:textAlignment w:val="auto"/>
    </w:pPr>
    <w:rPr>
      <w:kern w:val="0"/>
      <w:sz w:val="20"/>
      <w:szCs w:val="20"/>
    </w:rPr>
  </w:style>
  <w:style w:type="table" w:styleId="46">
    <w:name w:val="Table Grid"/>
    <w:basedOn w:val="4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qFormat/>
    <w:uiPriority w:val="0"/>
    <w:rPr>
      <w:lang w:val="en-US" w:eastAsia="zh-CN" w:bidi="ar-SA"/>
    </w:rPr>
  </w:style>
  <w:style w:type="character" w:styleId="50">
    <w:name w:val="FollowedHyperlink"/>
    <w:unhideWhenUsed/>
    <w:qFormat/>
    <w:uiPriority w:val="99"/>
    <w:rPr>
      <w:color w:val="954F72"/>
      <w:u w:val="single"/>
    </w:rPr>
  </w:style>
  <w:style w:type="character" w:styleId="51">
    <w:name w:val="Emphasis"/>
    <w:qFormat/>
    <w:uiPriority w:val="0"/>
    <w:rPr>
      <w:i/>
      <w:iCs/>
    </w:rPr>
  </w:style>
  <w:style w:type="character" w:styleId="52">
    <w:name w:val="Hyperlink"/>
    <w:qFormat/>
    <w:uiPriority w:val="99"/>
    <w:rPr>
      <w:rFonts w:hint="default" w:ascii="Arial" w:hAnsi="Arial" w:cs="Arial"/>
      <w:color w:val="000000"/>
      <w:sz w:val="20"/>
      <w:szCs w:val="20"/>
      <w:u w:val="none"/>
    </w:rPr>
  </w:style>
  <w:style w:type="character" w:styleId="53">
    <w:name w:val="annotation reference"/>
    <w:qFormat/>
    <w:uiPriority w:val="99"/>
    <w:rPr>
      <w:sz w:val="21"/>
      <w:szCs w:val="21"/>
    </w:rPr>
  </w:style>
  <w:style w:type="character" w:customStyle="1" w:styleId="54">
    <w:name w:val="标题 2 Char"/>
    <w:basedOn w:val="47"/>
    <w:link w:val="5"/>
    <w:qFormat/>
    <w:uiPriority w:val="0"/>
    <w:rPr>
      <w:rFonts w:ascii="宋体" w:hAnsi="Calibri" w:eastAsia="宋体" w:cs="Times New Roman"/>
      <w:kern w:val="0"/>
      <w:sz w:val="24"/>
      <w:szCs w:val="24"/>
    </w:rPr>
  </w:style>
  <w:style w:type="character" w:customStyle="1" w:styleId="55">
    <w:name w:val="标题 1 字符"/>
    <w:basedOn w:val="47"/>
    <w:qFormat/>
    <w:uiPriority w:val="0"/>
    <w:rPr>
      <w:b/>
      <w:bCs/>
      <w:kern w:val="44"/>
      <w:sz w:val="44"/>
      <w:szCs w:val="44"/>
    </w:rPr>
  </w:style>
  <w:style w:type="character" w:customStyle="1" w:styleId="56">
    <w:name w:val="标题 3 字符"/>
    <w:basedOn w:val="47"/>
    <w:qFormat/>
    <w:uiPriority w:val="0"/>
    <w:rPr>
      <w:b/>
      <w:bCs/>
      <w:sz w:val="32"/>
      <w:szCs w:val="32"/>
    </w:rPr>
  </w:style>
  <w:style w:type="character" w:customStyle="1" w:styleId="57">
    <w:name w:val="标题 4 Char1"/>
    <w:basedOn w:val="47"/>
    <w:link w:val="7"/>
    <w:qFormat/>
    <w:uiPriority w:val="9"/>
    <w:rPr>
      <w:rFonts w:ascii="Arial" w:hAnsi="Arial" w:eastAsia="黑体" w:cs="Times New Roman"/>
      <w:b/>
      <w:bCs/>
      <w:kern w:val="0"/>
      <w:sz w:val="28"/>
      <w:szCs w:val="28"/>
    </w:rPr>
  </w:style>
  <w:style w:type="character" w:customStyle="1" w:styleId="58">
    <w:name w:val="标题 5 字符"/>
    <w:basedOn w:val="47"/>
    <w:qFormat/>
    <w:uiPriority w:val="9"/>
    <w:rPr>
      <w:b/>
      <w:bCs/>
      <w:sz w:val="28"/>
      <w:szCs w:val="28"/>
    </w:rPr>
  </w:style>
  <w:style w:type="character" w:customStyle="1" w:styleId="59">
    <w:name w:val="标题 6 字符"/>
    <w:basedOn w:val="47"/>
    <w:qFormat/>
    <w:uiPriority w:val="0"/>
    <w:rPr>
      <w:rFonts w:asciiTheme="majorHAnsi" w:hAnsiTheme="majorHAnsi" w:eastAsiaTheme="majorEastAsia" w:cstheme="majorBidi"/>
      <w:b/>
      <w:bCs/>
      <w:sz w:val="24"/>
      <w:szCs w:val="24"/>
    </w:rPr>
  </w:style>
  <w:style w:type="character" w:customStyle="1" w:styleId="60">
    <w:name w:val="标题 7 Char"/>
    <w:basedOn w:val="47"/>
    <w:link w:val="11"/>
    <w:qFormat/>
    <w:uiPriority w:val="9"/>
    <w:rPr>
      <w:rFonts w:ascii="Times New Roman" w:hAnsi="Calibri" w:eastAsia="黑体" w:cs="Times New Roman"/>
      <w:b/>
      <w:bCs/>
      <w:kern w:val="0"/>
      <w:sz w:val="28"/>
      <w:szCs w:val="24"/>
    </w:rPr>
  </w:style>
  <w:style w:type="character" w:customStyle="1" w:styleId="61">
    <w:name w:val="标题 8 Char"/>
    <w:basedOn w:val="47"/>
    <w:link w:val="12"/>
    <w:qFormat/>
    <w:uiPriority w:val="9"/>
    <w:rPr>
      <w:rFonts w:ascii="Times New Roman" w:hAnsi="Calibri" w:eastAsia="黑体" w:cs="Times New Roman"/>
      <w:b/>
      <w:kern w:val="0"/>
      <w:sz w:val="28"/>
      <w:szCs w:val="24"/>
    </w:rPr>
  </w:style>
  <w:style w:type="character" w:customStyle="1" w:styleId="62">
    <w:name w:val="标题 9 Char"/>
    <w:basedOn w:val="47"/>
    <w:link w:val="13"/>
    <w:qFormat/>
    <w:uiPriority w:val="9"/>
    <w:rPr>
      <w:rFonts w:ascii="Times New Roman" w:hAnsi="Calibri" w:eastAsia="黑体" w:cs="Times New Roman"/>
      <w:b/>
      <w:kern w:val="0"/>
      <w:sz w:val="28"/>
      <w:szCs w:val="24"/>
    </w:rPr>
  </w:style>
  <w:style w:type="character" w:customStyle="1" w:styleId="63">
    <w:name w:val="正文文本缩进 字符"/>
    <w:qFormat/>
    <w:uiPriority w:val="0"/>
    <w:rPr>
      <w:rFonts w:ascii="Times New Roman" w:hAnsi="Times New Roman" w:eastAsia="宋体" w:cs="Times New Roman"/>
      <w:szCs w:val="20"/>
    </w:rPr>
  </w:style>
  <w:style w:type="character" w:customStyle="1" w:styleId="64">
    <w:name w:val="普通(网站) Char"/>
    <w:qFormat/>
    <w:locked/>
    <w:uiPriority w:val="0"/>
    <w:rPr>
      <w:rFonts w:ascii="宋体" w:hAnsi="宋体"/>
      <w:sz w:val="15"/>
      <w:szCs w:val="15"/>
    </w:rPr>
  </w:style>
  <w:style w:type="character" w:customStyle="1" w:styleId="65">
    <w:name w:val="标题 Char"/>
    <w:link w:val="42"/>
    <w:qFormat/>
    <w:uiPriority w:val="10"/>
    <w:rPr>
      <w:rFonts w:ascii="等线 Light" w:hAnsi="等线 Light" w:eastAsia="仿宋"/>
      <w:b/>
      <w:bCs/>
      <w:sz w:val="28"/>
      <w:szCs w:val="32"/>
    </w:rPr>
  </w:style>
  <w:style w:type="character" w:customStyle="1" w:styleId="66">
    <w:name w:val="日期 Char"/>
    <w:semiHidden/>
    <w:qFormat/>
    <w:uiPriority w:val="99"/>
    <w:rPr>
      <w:kern w:val="2"/>
      <w:sz w:val="21"/>
    </w:rPr>
  </w:style>
  <w:style w:type="character" w:customStyle="1" w:styleId="67">
    <w:name w:val="文档结构图 字符1"/>
    <w:semiHidden/>
    <w:qFormat/>
    <w:uiPriority w:val="99"/>
    <w:rPr>
      <w:rFonts w:ascii="Microsoft YaHei UI" w:hAnsi="Calibri" w:eastAsia="Microsoft YaHei UI" w:cs="Times New Roman"/>
      <w:kern w:val="0"/>
      <w:sz w:val="18"/>
      <w:szCs w:val="18"/>
    </w:rPr>
  </w:style>
  <w:style w:type="character" w:customStyle="1" w:styleId="68">
    <w:name w:val="批注文字 Char"/>
    <w:semiHidden/>
    <w:qFormat/>
    <w:uiPriority w:val="99"/>
    <w:rPr>
      <w:kern w:val="2"/>
      <w:sz w:val="21"/>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next w:val="1"/>
    <w:link w:val="69"/>
    <w:qFormat/>
    <w:uiPriority w:val="0"/>
    <w:pPr>
      <w:spacing w:line="600" w:lineRule="exact"/>
      <w:ind w:firstLine="639" w:firstLineChars="206"/>
    </w:pPr>
    <w:rPr>
      <w:rFonts w:ascii="仿宋_GB2312" w:hAnsi="宋体" w:eastAsia="仿宋_GB2312"/>
      <w:sz w:val="31"/>
      <w:szCs w:val="28"/>
    </w:rPr>
  </w:style>
  <w:style w:type="character" w:customStyle="1" w:styleId="71">
    <w:name w:val="批注文字 字符"/>
    <w:semiHidden/>
    <w:qFormat/>
    <w:uiPriority w:val="99"/>
    <w:rPr>
      <w:rFonts w:ascii="Times New Roman" w:hAnsi="Times New Roman"/>
      <w:kern w:val="2"/>
      <w:sz w:val="24"/>
      <w:szCs w:val="24"/>
    </w:rPr>
  </w:style>
  <w:style w:type="character" w:customStyle="1" w:styleId="72">
    <w:name w:val="正文文本缩进 Char"/>
    <w:qFormat/>
    <w:uiPriority w:val="0"/>
    <w:rPr>
      <w:rFonts w:ascii="Times New Roman" w:hAnsi="Times New Roman" w:eastAsia="宋体" w:cs="Times New Roman"/>
      <w:szCs w:val="20"/>
      <w:lang w:val="en-US" w:eastAsia="zh-CN"/>
    </w:rPr>
  </w:style>
  <w:style w:type="character" w:customStyle="1" w:styleId="73">
    <w:name w:val="批注框文本 字符1"/>
    <w:semiHidden/>
    <w:qFormat/>
    <w:uiPriority w:val="99"/>
    <w:rPr>
      <w:rFonts w:ascii="宋体" w:hAnsi="Calibri" w:eastAsia="宋体" w:cs="Times New Roman"/>
      <w:kern w:val="0"/>
      <w:sz w:val="18"/>
      <w:szCs w:val="18"/>
    </w:rPr>
  </w:style>
  <w:style w:type="character" w:customStyle="1" w:styleId="74">
    <w:name w:val="List Paragraph Char"/>
    <w:link w:val="75"/>
    <w:qFormat/>
    <w:uiPriority w:val="34"/>
    <w:rPr>
      <w:rFonts w:ascii="Calibri" w:hAnsi="Calibri"/>
    </w:rPr>
  </w:style>
  <w:style w:type="paragraph" w:customStyle="1" w:styleId="75">
    <w:name w:val="列出段落1"/>
    <w:basedOn w:val="1"/>
    <w:link w:val="74"/>
    <w:qFormat/>
    <w:uiPriority w:val="34"/>
    <w:pPr>
      <w:ind w:firstLine="420" w:firstLineChars="200"/>
    </w:pPr>
    <w:rPr>
      <w:rFonts w:ascii="Calibri" w:hAnsi="Calibri"/>
    </w:rPr>
  </w:style>
  <w:style w:type="character" w:customStyle="1" w:styleId="76">
    <w:name w:val="标书正文 字符"/>
    <w:link w:val="77"/>
    <w:qFormat/>
    <w:uiPriority w:val="0"/>
    <w:rPr>
      <w:rFonts w:ascii="Calibri" w:hAnsi="Calibri" w:eastAsia="仿宋"/>
      <w:sz w:val="24"/>
      <w:szCs w:val="21"/>
    </w:rPr>
  </w:style>
  <w:style w:type="paragraph" w:customStyle="1" w:styleId="77">
    <w:name w:val="标书正文"/>
    <w:basedOn w:val="1"/>
    <w:link w:val="76"/>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8">
    <w:name w:val="正文文本 字符"/>
    <w:semiHidden/>
    <w:qFormat/>
    <w:uiPriority w:val="99"/>
    <w:rPr>
      <w:rFonts w:ascii="Times New Roman" w:hAnsi="Times New Roman"/>
      <w:kern w:val="2"/>
      <w:sz w:val="24"/>
      <w:szCs w:val="24"/>
    </w:rPr>
  </w:style>
  <w:style w:type="character" w:customStyle="1" w:styleId="79">
    <w:name w:val="页脚 Char"/>
    <w:qFormat/>
    <w:uiPriority w:val="0"/>
    <w:rPr>
      <w:kern w:val="2"/>
      <w:sz w:val="18"/>
      <w:szCs w:val="18"/>
    </w:rPr>
  </w:style>
  <w:style w:type="character" w:customStyle="1" w:styleId="80">
    <w:name w:val="neir1"/>
    <w:qFormat/>
    <w:uiPriority w:val="0"/>
    <w:rPr>
      <w:rFonts w:hint="default" w:ascii="ˎ̥" w:hAnsi="ˎ̥"/>
      <w:color w:val="333333"/>
      <w:sz w:val="21"/>
      <w:szCs w:val="21"/>
      <w:u w:val="none"/>
    </w:rPr>
  </w:style>
  <w:style w:type="character" w:customStyle="1" w:styleId="81">
    <w:name w:val="批注框文本 Char1"/>
    <w:link w:val="29"/>
    <w:qFormat/>
    <w:uiPriority w:val="0"/>
    <w:rPr>
      <w:rFonts w:ascii="Times New Roman" w:hAnsi="Times New Roman" w:eastAsia="宋体" w:cs="Times New Roman"/>
      <w:sz w:val="18"/>
      <w:szCs w:val="18"/>
    </w:rPr>
  </w:style>
  <w:style w:type="character" w:customStyle="1" w:styleId="82">
    <w:name w:val="正文文本 3 字符1"/>
    <w:semiHidden/>
    <w:qFormat/>
    <w:uiPriority w:val="99"/>
    <w:rPr>
      <w:rFonts w:ascii="宋体" w:hAnsi="Calibri" w:eastAsia="宋体" w:cs="Times New Roman"/>
      <w:kern w:val="0"/>
      <w:sz w:val="16"/>
      <w:szCs w:val="16"/>
    </w:rPr>
  </w:style>
  <w:style w:type="character" w:customStyle="1" w:styleId="83">
    <w:name w:val="正文文本 字符3"/>
    <w:semiHidden/>
    <w:qFormat/>
    <w:uiPriority w:val="99"/>
    <w:rPr>
      <w:rFonts w:ascii="宋体" w:hAnsi="Calibri" w:eastAsia="宋体" w:cs="Times New Roman"/>
      <w:kern w:val="0"/>
      <w:sz w:val="24"/>
      <w:szCs w:val="24"/>
    </w:rPr>
  </w:style>
  <w:style w:type="character" w:customStyle="1" w:styleId="84">
    <w:name w:val="日期 字符1"/>
    <w:semiHidden/>
    <w:qFormat/>
    <w:uiPriority w:val="99"/>
    <w:rPr>
      <w:rFonts w:ascii="宋体" w:hAnsi="Calibri" w:eastAsia="宋体" w:cs="Times New Roman"/>
      <w:kern w:val="0"/>
      <w:sz w:val="24"/>
      <w:szCs w:val="24"/>
    </w:rPr>
  </w:style>
  <w:style w:type="character" w:customStyle="1" w:styleId="85">
    <w:name w:val="页脚 Char2"/>
    <w:link w:val="30"/>
    <w:qFormat/>
    <w:uiPriority w:val="99"/>
    <w:rPr>
      <w:rFonts w:ascii="宋体" w:eastAsia="宋体"/>
      <w:sz w:val="18"/>
      <w:szCs w:val="18"/>
    </w:rPr>
  </w:style>
  <w:style w:type="character" w:customStyle="1" w:styleId="86">
    <w:name w:val="吉奥正文 Char"/>
    <w:link w:val="87"/>
    <w:qFormat/>
    <w:locked/>
    <w:uiPriority w:val="0"/>
    <w:rPr>
      <w:rFonts w:eastAsia="仿宋_GB2312"/>
      <w:sz w:val="28"/>
    </w:rPr>
  </w:style>
  <w:style w:type="paragraph" w:customStyle="1" w:styleId="87">
    <w:name w:val="吉奥正文"/>
    <w:basedOn w:val="1"/>
    <w:link w:val="86"/>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8">
    <w:name w:val="页脚 Char1"/>
    <w:qFormat/>
    <w:uiPriority w:val="99"/>
    <w:rPr>
      <w:rFonts w:ascii="宋体" w:hAnsi="Times New Roman" w:eastAsia="宋体" w:cs="Times New Roman"/>
      <w:kern w:val="0"/>
      <w:sz w:val="18"/>
      <w:szCs w:val="18"/>
    </w:rPr>
  </w:style>
  <w:style w:type="character" w:customStyle="1" w:styleId="89">
    <w:name w:val="标题 字符"/>
    <w:qFormat/>
    <w:uiPriority w:val="10"/>
    <w:rPr>
      <w:rFonts w:ascii="Cambria" w:hAnsi="Cambria" w:eastAsia="宋体" w:cs="Times New Roman"/>
      <w:b/>
      <w:bCs/>
      <w:kern w:val="0"/>
      <w:sz w:val="32"/>
      <w:szCs w:val="32"/>
      <w:lang w:val="en-US" w:eastAsia="zh-CN"/>
    </w:rPr>
  </w:style>
  <w:style w:type="character" w:customStyle="1" w:styleId="90">
    <w:name w:val="题注 Char"/>
    <w:link w:val="16"/>
    <w:qFormat/>
    <w:uiPriority w:val="0"/>
    <w:rPr>
      <w:rFonts w:ascii="Arial" w:hAnsi="Arial" w:eastAsia="黑体" w:cs="Arial"/>
    </w:rPr>
  </w:style>
  <w:style w:type="character" w:customStyle="1" w:styleId="91">
    <w:name w:val="批注文字 字符2"/>
    <w:qFormat/>
    <w:uiPriority w:val="99"/>
    <w:rPr>
      <w:rFonts w:ascii="宋体" w:hAnsi="Times New Roman" w:eastAsia="宋体" w:cs="Times New Roman"/>
      <w:kern w:val="0"/>
      <w:sz w:val="24"/>
      <w:szCs w:val="24"/>
    </w:rPr>
  </w:style>
  <w:style w:type="character" w:customStyle="1" w:styleId="92">
    <w:name w:val="批注主题 字符1"/>
    <w:semiHidden/>
    <w:qFormat/>
    <w:uiPriority w:val="99"/>
    <w:rPr>
      <w:rFonts w:ascii="宋体" w:hAnsi="Calibri" w:eastAsia="宋体" w:cs="Times New Roman"/>
      <w:b/>
      <w:bCs/>
      <w:kern w:val="0"/>
      <w:sz w:val="24"/>
      <w:szCs w:val="24"/>
    </w:rPr>
  </w:style>
  <w:style w:type="character" w:customStyle="1" w:styleId="93">
    <w:name w:val="HTML 预设格式 Char"/>
    <w:link w:val="40"/>
    <w:qFormat/>
    <w:uiPriority w:val="99"/>
    <w:rPr>
      <w:rFonts w:ascii="Arial" w:hAnsi="Arial" w:eastAsia="宋体" w:cs="Arial"/>
      <w:szCs w:val="21"/>
    </w:rPr>
  </w:style>
  <w:style w:type="character" w:customStyle="1" w:styleId="94">
    <w:name w:val="标题 3.1 Char"/>
    <w:link w:val="95"/>
    <w:qFormat/>
    <w:uiPriority w:val="0"/>
    <w:rPr>
      <w:rFonts w:ascii="宋体" w:hAnsi="宋体"/>
      <w:b/>
      <w:bCs/>
      <w:sz w:val="32"/>
      <w:szCs w:val="32"/>
    </w:rPr>
  </w:style>
  <w:style w:type="paragraph" w:customStyle="1" w:styleId="95">
    <w:name w:val="标题 3.1"/>
    <w:basedOn w:val="6"/>
    <w:link w:val="94"/>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6">
    <w:name w:val="HTML 预设格式 Char1"/>
    <w:semiHidden/>
    <w:qFormat/>
    <w:uiPriority w:val="99"/>
    <w:rPr>
      <w:rFonts w:ascii="Courier New" w:hAnsi="Courier New" w:eastAsia="宋体" w:cs="Courier New"/>
      <w:kern w:val="0"/>
      <w:sz w:val="20"/>
      <w:szCs w:val="20"/>
    </w:rPr>
  </w:style>
  <w:style w:type="character" w:customStyle="1" w:styleId="97">
    <w:name w:val="批注文字 字符1"/>
    <w:qFormat/>
    <w:uiPriority w:val="0"/>
    <w:rPr>
      <w:rFonts w:eastAsia="宋体"/>
      <w:kern w:val="2"/>
      <w:sz w:val="24"/>
      <w:szCs w:val="24"/>
      <w:lang w:val="en-US" w:eastAsia="zh-CN" w:bidi="ar-SA"/>
    </w:rPr>
  </w:style>
  <w:style w:type="character" w:customStyle="1" w:styleId="98">
    <w:name w:val="正文文本缩进 字符2"/>
    <w:semiHidden/>
    <w:qFormat/>
    <w:uiPriority w:val="99"/>
    <w:rPr>
      <w:rFonts w:ascii="宋体" w:hAnsi="Calibri" w:eastAsia="宋体" w:cs="Times New Roman"/>
      <w:kern w:val="0"/>
      <w:sz w:val="24"/>
      <w:szCs w:val="24"/>
    </w:rPr>
  </w:style>
  <w:style w:type="character" w:customStyle="1" w:styleId="99">
    <w:name w:val="正文文本缩进 Char1"/>
    <w:link w:val="22"/>
    <w:qFormat/>
    <w:uiPriority w:val="0"/>
    <w:rPr>
      <w:rFonts w:ascii="Times New Roman" w:hAnsi="Times New Roman" w:eastAsia="宋体" w:cs="Times New Roman"/>
      <w:szCs w:val="20"/>
    </w:rPr>
  </w:style>
  <w:style w:type="character" w:customStyle="1" w:styleId="100">
    <w:name w:val="普通(网站) Char1"/>
    <w:link w:val="41"/>
    <w:qFormat/>
    <w:locked/>
    <w:uiPriority w:val="0"/>
    <w:rPr>
      <w:rFonts w:ascii="宋体" w:hAnsi="宋体"/>
      <w:sz w:val="15"/>
      <w:szCs w:val="15"/>
    </w:rPr>
  </w:style>
  <w:style w:type="character" w:customStyle="1" w:styleId="101">
    <w:name w:val="模板正文 Char"/>
    <w:link w:val="10"/>
    <w:qFormat/>
    <w:uiPriority w:val="0"/>
    <w:rPr>
      <w:rFonts w:ascii="宋体" w:eastAsia="仿宋"/>
      <w:sz w:val="24"/>
      <w:szCs w:val="21"/>
    </w:rPr>
  </w:style>
  <w:style w:type="character" w:customStyle="1" w:styleId="102">
    <w:name w:val="批注主题 Char"/>
    <w:semiHidden/>
    <w:qFormat/>
    <w:uiPriority w:val="99"/>
    <w:rPr>
      <w:b/>
      <w:bCs/>
      <w:kern w:val="2"/>
      <w:sz w:val="21"/>
    </w:rPr>
  </w:style>
  <w:style w:type="character" w:customStyle="1" w:styleId="103">
    <w:name w:val="正文文本 Char1"/>
    <w:qFormat/>
    <w:uiPriority w:val="0"/>
    <w:rPr>
      <w:rFonts w:ascii="宋体" w:hAnsi="Times New Roman" w:eastAsia="宋体" w:cs="Times New Roman"/>
      <w:kern w:val="0"/>
      <w:sz w:val="24"/>
      <w:szCs w:val="24"/>
    </w:rPr>
  </w:style>
  <w:style w:type="character" w:customStyle="1" w:styleId="104">
    <w:name w:val="正文文本 字符1"/>
    <w:qFormat/>
    <w:uiPriority w:val="99"/>
    <w:rPr>
      <w:rFonts w:ascii="宋体" w:eastAsia="宋体"/>
      <w:b/>
      <w:bCs/>
      <w:sz w:val="84"/>
      <w:szCs w:val="84"/>
      <w:lang w:val="zh-CN"/>
    </w:rPr>
  </w:style>
  <w:style w:type="character" w:customStyle="1" w:styleId="105">
    <w:name w:val="标题 1 Char"/>
    <w:qFormat/>
    <w:uiPriority w:val="9"/>
    <w:rPr>
      <w:rFonts w:ascii="宋体" w:hAnsi="Times New Roman" w:eastAsia="宋体" w:cs="Times New Roman"/>
      <w:kern w:val="0"/>
      <w:sz w:val="24"/>
      <w:szCs w:val="24"/>
    </w:rPr>
  </w:style>
  <w:style w:type="character" w:customStyle="1" w:styleId="106">
    <w:name w:val="正文文本 Char2"/>
    <w:qFormat/>
    <w:uiPriority w:val="99"/>
    <w:rPr>
      <w:rFonts w:ascii="宋体" w:eastAsia="宋体"/>
      <w:b/>
      <w:bCs/>
      <w:sz w:val="84"/>
      <w:szCs w:val="84"/>
      <w:lang w:val="zh-CN"/>
    </w:rPr>
  </w:style>
  <w:style w:type="character" w:customStyle="1" w:styleId="107">
    <w:name w:val="纯文本 Char2"/>
    <w:link w:val="25"/>
    <w:qFormat/>
    <w:uiPriority w:val="0"/>
    <w:rPr>
      <w:rFonts w:ascii="宋体" w:hAnsi="Courier New" w:eastAsia="宋体"/>
    </w:rPr>
  </w:style>
  <w:style w:type="character" w:customStyle="1" w:styleId="108">
    <w:name w:val="正文文本缩进 2 Char"/>
    <w:link w:val="28"/>
    <w:qFormat/>
    <w:uiPriority w:val="0"/>
    <w:rPr>
      <w:rFonts w:ascii="宋体" w:hAnsi="Times New Roman" w:eastAsia="宋体" w:cs="Times New Roman"/>
      <w:szCs w:val="20"/>
    </w:rPr>
  </w:style>
  <w:style w:type="character" w:customStyle="1" w:styleId="109">
    <w:name w:val="HTML Markup"/>
    <w:qFormat/>
    <w:uiPriority w:val="0"/>
    <w:rPr>
      <w:vanish/>
      <w:color w:val="FF0000"/>
    </w:rPr>
  </w:style>
  <w:style w:type="character" w:customStyle="1" w:styleId="110">
    <w:name w:val="页眉 Char1"/>
    <w:qFormat/>
    <w:uiPriority w:val="0"/>
    <w:rPr>
      <w:rFonts w:ascii="宋体" w:hAnsi="Times New Roman" w:eastAsia="宋体" w:cs="Times New Roman"/>
      <w:kern w:val="0"/>
      <w:sz w:val="18"/>
      <w:szCs w:val="18"/>
    </w:rPr>
  </w:style>
  <w:style w:type="character" w:customStyle="1" w:styleId="111">
    <w:name w:val="font11"/>
    <w:qFormat/>
    <w:uiPriority w:val="0"/>
    <w:rPr>
      <w:rFonts w:hint="eastAsia" w:ascii="宋体" w:hAnsi="宋体" w:eastAsia="宋体" w:cs="宋体"/>
      <w:color w:val="FF0000"/>
      <w:sz w:val="22"/>
      <w:szCs w:val="22"/>
      <w:u w:val="none"/>
    </w:rPr>
  </w:style>
  <w:style w:type="character" w:customStyle="1" w:styleId="112">
    <w:name w:val="style61"/>
    <w:qFormat/>
    <w:uiPriority w:val="0"/>
    <w:rPr>
      <w:b/>
      <w:bCs/>
    </w:rPr>
  </w:style>
  <w:style w:type="character" w:customStyle="1" w:styleId="113">
    <w:name w:val="表头文字 Char"/>
    <w:link w:val="114"/>
    <w:qFormat/>
    <w:uiPriority w:val="0"/>
    <w:rPr>
      <w:rFonts w:eastAsia="仿宋_GB2312"/>
      <w:b/>
      <w:sz w:val="28"/>
      <w:szCs w:val="21"/>
    </w:rPr>
  </w:style>
  <w:style w:type="paragraph" w:customStyle="1" w:styleId="114">
    <w:name w:val="表头文字"/>
    <w:basedOn w:val="1"/>
    <w:link w:val="113"/>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5">
    <w:name w:val="日期 Char1"/>
    <w:link w:val="27"/>
    <w:qFormat/>
    <w:uiPriority w:val="99"/>
    <w:rPr>
      <w:rFonts w:ascii="宋体" w:hAnsi="Times New Roman" w:eastAsia="宋体" w:cs="Times New Roman"/>
      <w:b/>
      <w:bCs/>
      <w:szCs w:val="21"/>
      <w:lang w:val="zh-CN"/>
    </w:rPr>
  </w:style>
  <w:style w:type="character" w:customStyle="1" w:styleId="116">
    <w:name w:val="纯文本 Char1"/>
    <w:qFormat/>
    <w:uiPriority w:val="0"/>
    <w:rPr>
      <w:rFonts w:ascii="宋体" w:hAnsi="Courier New" w:eastAsia="宋体" w:cs="Courier New"/>
      <w:kern w:val="0"/>
      <w:szCs w:val="21"/>
    </w:rPr>
  </w:style>
  <w:style w:type="character" w:customStyle="1" w:styleId="117">
    <w:name w:val="批注主题 Char1"/>
    <w:link w:val="43"/>
    <w:qFormat/>
    <w:uiPriority w:val="99"/>
    <w:rPr>
      <w:rFonts w:ascii="宋体" w:hAnsi="Times New Roman" w:eastAsia="宋体" w:cs="Times New Roman"/>
      <w:b/>
      <w:bCs/>
      <w:kern w:val="0"/>
      <w:sz w:val="24"/>
      <w:szCs w:val="24"/>
    </w:rPr>
  </w:style>
  <w:style w:type="character" w:customStyle="1" w:styleId="118">
    <w:name w:val="纯文本 字符"/>
    <w:qFormat/>
    <w:uiPriority w:val="99"/>
    <w:rPr>
      <w:rFonts w:ascii="宋体" w:hAnsi="Courier New" w:eastAsia="宋体" w:cs="Times New Roman"/>
      <w:szCs w:val="20"/>
      <w:lang w:val="en-US" w:eastAsia="zh-CN"/>
    </w:rPr>
  </w:style>
  <w:style w:type="character" w:customStyle="1" w:styleId="119">
    <w:name w:val="font71"/>
    <w:qFormat/>
    <w:uiPriority w:val="0"/>
    <w:rPr>
      <w:rFonts w:hint="eastAsia" w:ascii="宋体" w:hAnsi="宋体" w:eastAsia="宋体" w:cs="宋体"/>
      <w:color w:val="FF0000"/>
      <w:sz w:val="18"/>
      <w:szCs w:val="18"/>
      <w:u w:val="none"/>
    </w:rPr>
  </w:style>
  <w:style w:type="character" w:customStyle="1" w:styleId="120">
    <w:name w:val="font21"/>
    <w:basedOn w:val="47"/>
    <w:qFormat/>
    <w:uiPriority w:val="0"/>
    <w:rPr>
      <w:rFonts w:hint="eastAsia" w:ascii="宋体" w:hAnsi="宋体" w:eastAsia="宋体" w:cs="宋体"/>
      <w:b/>
      <w:color w:val="000000"/>
      <w:sz w:val="21"/>
      <w:szCs w:val="21"/>
      <w:u w:val="none"/>
    </w:rPr>
  </w:style>
  <w:style w:type="character" w:customStyle="1" w:styleId="121">
    <w:name w:val="纯文本 字符3"/>
    <w:semiHidden/>
    <w:qFormat/>
    <w:uiPriority w:val="99"/>
    <w:rPr>
      <w:rFonts w:ascii="等线" w:hAnsi="Courier New" w:cs="Courier New"/>
      <w:kern w:val="0"/>
      <w:sz w:val="24"/>
      <w:szCs w:val="24"/>
    </w:rPr>
  </w:style>
  <w:style w:type="character" w:customStyle="1" w:styleId="122">
    <w:name w:val="font31"/>
    <w:basedOn w:val="47"/>
    <w:qFormat/>
    <w:uiPriority w:val="0"/>
    <w:rPr>
      <w:rFonts w:hint="eastAsia" w:ascii="宋体" w:hAnsi="宋体" w:eastAsia="宋体" w:cs="宋体"/>
      <w:color w:val="000000"/>
      <w:sz w:val="18"/>
      <w:szCs w:val="18"/>
      <w:u w:val="none"/>
    </w:rPr>
  </w:style>
  <w:style w:type="character" w:customStyle="1" w:styleId="123">
    <w:name w:val="文档结构图 Char"/>
    <w:link w:val="17"/>
    <w:semiHidden/>
    <w:qFormat/>
    <w:uiPriority w:val="99"/>
    <w:rPr>
      <w:rFonts w:ascii="宋体" w:hAnsi="Times New Roman" w:eastAsia="宋体" w:cs="Times New Roman"/>
      <w:kern w:val="0"/>
      <w:sz w:val="24"/>
      <w:szCs w:val="24"/>
      <w:shd w:val="clear" w:color="auto" w:fill="000080"/>
    </w:rPr>
  </w:style>
  <w:style w:type="character" w:customStyle="1" w:styleId="124">
    <w:name w:val="普通(网站) 字符1"/>
    <w:qFormat/>
    <w:locked/>
    <w:uiPriority w:val="0"/>
    <w:rPr>
      <w:rFonts w:ascii="宋体" w:hAnsi="宋体"/>
      <w:sz w:val="15"/>
      <w:szCs w:val="15"/>
    </w:rPr>
  </w:style>
  <w:style w:type="character" w:customStyle="1" w:styleId="125">
    <w:name w:val="正文文本 Char3"/>
    <w:link w:val="2"/>
    <w:qFormat/>
    <w:uiPriority w:val="99"/>
    <w:rPr>
      <w:rFonts w:ascii="宋体" w:eastAsia="宋体"/>
      <w:b/>
      <w:bCs/>
      <w:sz w:val="84"/>
      <w:szCs w:val="84"/>
      <w:lang w:val="zh-CN"/>
    </w:rPr>
  </w:style>
  <w:style w:type="character" w:customStyle="1" w:styleId="126">
    <w:name w:val="标题 5 Char"/>
    <w:semiHidden/>
    <w:qFormat/>
    <w:uiPriority w:val="9"/>
    <w:rPr>
      <w:b/>
      <w:bCs/>
      <w:kern w:val="2"/>
      <w:sz w:val="28"/>
      <w:szCs w:val="28"/>
    </w:rPr>
  </w:style>
  <w:style w:type="character" w:customStyle="1" w:styleId="127">
    <w:name w:val="页眉 Char2"/>
    <w:link w:val="31"/>
    <w:qFormat/>
    <w:uiPriority w:val="99"/>
    <w:rPr>
      <w:rFonts w:ascii="宋体" w:eastAsia="宋体"/>
      <w:sz w:val="18"/>
      <w:szCs w:val="18"/>
    </w:rPr>
  </w:style>
  <w:style w:type="character" w:customStyle="1" w:styleId="128">
    <w:name w:val="表格文字 Char"/>
    <w:link w:val="129"/>
    <w:qFormat/>
    <w:uiPriority w:val="0"/>
    <w:rPr>
      <w:rFonts w:eastAsia="仿宋_GB2312"/>
      <w:sz w:val="28"/>
      <w:szCs w:val="24"/>
    </w:rPr>
  </w:style>
  <w:style w:type="paragraph" w:customStyle="1" w:styleId="129">
    <w:name w:val="表格文字"/>
    <w:basedOn w:val="1"/>
    <w:link w:val="128"/>
    <w:qFormat/>
    <w:uiPriority w:val="0"/>
    <w:rPr>
      <w:rFonts w:eastAsia="仿宋_GB2312"/>
      <w:sz w:val="28"/>
      <w:szCs w:val="24"/>
    </w:rPr>
  </w:style>
  <w:style w:type="character" w:customStyle="1" w:styleId="130">
    <w:name w:val="标题 字符2"/>
    <w:qFormat/>
    <w:uiPriority w:val="10"/>
    <w:rPr>
      <w:rFonts w:ascii="等线 Light" w:hAnsi="等线 Light" w:eastAsia="等线 Light" w:cs="Times New Roman"/>
      <w:b/>
      <w:bCs/>
      <w:kern w:val="0"/>
      <w:sz w:val="32"/>
      <w:szCs w:val="32"/>
    </w:rPr>
  </w:style>
  <w:style w:type="character" w:customStyle="1" w:styleId="131">
    <w:name w:val="正文缩进2格 Char Char"/>
    <w:qFormat/>
    <w:uiPriority w:val="0"/>
    <w:rPr>
      <w:rFonts w:ascii="仿宋_GB2312" w:hAnsi="宋体" w:eastAsia="仿宋_GB2312"/>
      <w:kern w:val="2"/>
      <w:sz w:val="31"/>
      <w:szCs w:val="28"/>
      <w:lang w:val="en-US" w:eastAsia="zh-CN" w:bidi="ar-SA"/>
    </w:rPr>
  </w:style>
  <w:style w:type="character" w:customStyle="1" w:styleId="132">
    <w:name w:val="小 Char"/>
    <w:qFormat/>
    <w:uiPriority w:val="0"/>
    <w:rPr>
      <w:rFonts w:ascii="宋体" w:hAnsi="Courier New" w:eastAsia="宋体"/>
      <w:kern w:val="2"/>
      <w:sz w:val="21"/>
      <w:lang w:val="en-US" w:eastAsia="zh-CN" w:bidi="ar-SA"/>
    </w:rPr>
  </w:style>
  <w:style w:type="character" w:customStyle="1" w:styleId="133">
    <w:name w:val="themebody1"/>
    <w:qFormat/>
    <w:uiPriority w:val="0"/>
    <w:rPr>
      <w:color w:val="FFFFFF"/>
    </w:rPr>
  </w:style>
  <w:style w:type="character" w:customStyle="1" w:styleId="134">
    <w:name w:val="页脚 字符1"/>
    <w:semiHidden/>
    <w:qFormat/>
    <w:uiPriority w:val="99"/>
    <w:rPr>
      <w:rFonts w:ascii="宋体" w:hAnsi="Calibri" w:eastAsia="宋体" w:cs="Times New Roman"/>
      <w:kern w:val="0"/>
      <w:sz w:val="18"/>
      <w:szCs w:val="18"/>
    </w:rPr>
  </w:style>
  <w:style w:type="character" w:customStyle="1" w:styleId="135">
    <w:name w:val="列出段落 Char"/>
    <w:link w:val="136"/>
    <w:qFormat/>
    <w:uiPriority w:val="34"/>
    <w:rPr>
      <w:kern w:val="2"/>
      <w:sz w:val="21"/>
      <w:szCs w:val="22"/>
    </w:rPr>
  </w:style>
  <w:style w:type="paragraph" w:styleId="136">
    <w:name w:val="List Paragraph"/>
    <w:basedOn w:val="1"/>
    <w:link w:val="135"/>
    <w:qFormat/>
    <w:uiPriority w:val="99"/>
    <w:pPr>
      <w:ind w:firstLine="420" w:firstLineChars="200"/>
    </w:pPr>
  </w:style>
  <w:style w:type="character" w:customStyle="1" w:styleId="137">
    <w:name w:val="正文文本 Char"/>
    <w:qFormat/>
    <w:uiPriority w:val="99"/>
    <w:rPr>
      <w:rFonts w:ascii="宋体" w:eastAsia="宋体"/>
      <w:b/>
      <w:bCs/>
      <w:sz w:val="84"/>
      <w:szCs w:val="84"/>
      <w:lang w:val="zh-CN"/>
    </w:rPr>
  </w:style>
  <w:style w:type="character" w:customStyle="1" w:styleId="138">
    <w:name w:val="页眉 字符1"/>
    <w:semiHidden/>
    <w:qFormat/>
    <w:uiPriority w:val="99"/>
    <w:rPr>
      <w:rFonts w:ascii="宋体" w:hAnsi="Calibri" w:eastAsia="宋体" w:cs="Times New Roman"/>
      <w:kern w:val="0"/>
      <w:sz w:val="18"/>
      <w:szCs w:val="18"/>
    </w:rPr>
  </w:style>
  <w:style w:type="character" w:customStyle="1" w:styleId="139">
    <w:name w:val="标题 5 Char1"/>
    <w:link w:val="8"/>
    <w:qFormat/>
    <w:uiPriority w:val="9"/>
    <w:rPr>
      <w:rFonts w:ascii="宋体" w:hAnsi="Calibri" w:eastAsia="宋体" w:cs="Times New Roman"/>
      <w:b/>
      <w:bCs/>
      <w:kern w:val="0"/>
      <w:sz w:val="28"/>
      <w:szCs w:val="28"/>
    </w:rPr>
  </w:style>
  <w:style w:type="character" w:customStyle="1" w:styleId="140">
    <w:name w:val="keyfeatures1"/>
    <w:qFormat/>
    <w:uiPriority w:val="0"/>
    <w:rPr>
      <w:rFonts w:hint="default" w:ascii="Arial" w:hAnsi="Arial" w:cs="Arial"/>
      <w:color w:val="003366"/>
      <w:sz w:val="17"/>
      <w:szCs w:val="17"/>
      <w:u w:val="none"/>
    </w:rPr>
  </w:style>
  <w:style w:type="character" w:customStyle="1" w:styleId="141">
    <w:name w:val="题注 字符"/>
    <w:qFormat/>
    <w:uiPriority w:val="0"/>
    <w:rPr>
      <w:rFonts w:ascii="宋体" w:hAnsi="宋体" w:eastAsia="黑体" w:cs="Times New Roman"/>
      <w:b/>
      <w:szCs w:val="21"/>
    </w:rPr>
  </w:style>
  <w:style w:type="character" w:customStyle="1" w:styleId="142">
    <w:name w:val="标题 4 Char"/>
    <w:qFormat/>
    <w:uiPriority w:val="0"/>
    <w:rPr>
      <w:rFonts w:ascii="宋体" w:hAnsi="宋体" w:eastAsia="宋体"/>
      <w:b/>
      <w:kern w:val="2"/>
      <w:sz w:val="21"/>
      <w:szCs w:val="24"/>
      <w:lang w:val="en-US" w:eastAsia="zh-CN" w:bidi="ar-SA"/>
    </w:rPr>
  </w:style>
  <w:style w:type="character" w:customStyle="1" w:styleId="143">
    <w:name w:val="批注文字 字符3"/>
    <w:semiHidden/>
    <w:qFormat/>
    <w:uiPriority w:val="99"/>
    <w:rPr>
      <w:rFonts w:ascii="宋体" w:hAnsi="Calibri" w:eastAsia="宋体" w:cs="Times New Roman"/>
      <w:kern w:val="0"/>
      <w:sz w:val="24"/>
      <w:szCs w:val="24"/>
    </w:rPr>
  </w:style>
  <w:style w:type="character" w:customStyle="1" w:styleId="144">
    <w:name w:val="纯文本 字符1"/>
    <w:qFormat/>
    <w:uiPriority w:val="0"/>
    <w:rPr>
      <w:rFonts w:ascii="宋体" w:hAnsi="Courier New" w:eastAsia="宋体"/>
      <w:kern w:val="2"/>
      <w:sz w:val="21"/>
      <w:szCs w:val="24"/>
      <w:lang w:val="en-US" w:eastAsia="zh-CN" w:bidi="ar-SA"/>
    </w:rPr>
  </w:style>
  <w:style w:type="character" w:customStyle="1" w:styleId="145">
    <w:name w:val="列出段落 Char1"/>
    <w:qFormat/>
    <w:uiPriority w:val="34"/>
    <w:rPr>
      <w:rFonts w:ascii="宋体"/>
      <w:sz w:val="24"/>
      <w:szCs w:val="24"/>
    </w:rPr>
  </w:style>
  <w:style w:type="character" w:customStyle="1" w:styleId="146">
    <w:name w:val="彩色列表 - 着色 1 字符"/>
    <w:link w:val="147"/>
    <w:qFormat/>
    <w:uiPriority w:val="0"/>
    <w:rPr>
      <w:rFonts w:ascii="Calibri" w:hAnsi="Calibri"/>
    </w:rPr>
  </w:style>
  <w:style w:type="paragraph" w:customStyle="1" w:styleId="147">
    <w:name w:val="彩色列表 - 着色 11"/>
    <w:basedOn w:val="1"/>
    <w:link w:val="146"/>
    <w:qFormat/>
    <w:uiPriority w:val="0"/>
    <w:pPr>
      <w:ind w:firstLine="420" w:firstLineChars="200"/>
    </w:pPr>
    <w:rPr>
      <w:rFonts w:ascii="Calibri" w:hAnsi="Calibri"/>
    </w:rPr>
  </w:style>
  <w:style w:type="character" w:customStyle="1" w:styleId="148">
    <w:name w:val="纯文本 Char"/>
    <w:qFormat/>
    <w:uiPriority w:val="0"/>
    <w:rPr>
      <w:rFonts w:ascii="宋体" w:hAnsi="Courier New" w:eastAsia="宋体" w:cs="Times New Roman"/>
      <w:szCs w:val="20"/>
    </w:rPr>
  </w:style>
  <w:style w:type="character" w:customStyle="1" w:styleId="149">
    <w:name w:val="标题 6 Char"/>
    <w:link w:val="9"/>
    <w:qFormat/>
    <w:uiPriority w:val="9"/>
    <w:rPr>
      <w:rFonts w:ascii="Times New Roman" w:hAnsi="Calibri" w:eastAsia="黑体" w:cs="Times New Roman"/>
      <w:b/>
      <w:bCs/>
      <w:kern w:val="0"/>
      <w:sz w:val="28"/>
      <w:szCs w:val="24"/>
    </w:rPr>
  </w:style>
  <w:style w:type="character" w:customStyle="1" w:styleId="150">
    <w:name w:val="正文文本 2 Char"/>
    <w:link w:val="39"/>
    <w:qFormat/>
    <w:uiPriority w:val="0"/>
    <w:rPr>
      <w:rFonts w:ascii="Arial" w:hAnsi="Arial" w:eastAsia="宋体" w:cs="Times New Roman"/>
      <w:color w:val="000000"/>
      <w:szCs w:val="24"/>
    </w:rPr>
  </w:style>
  <w:style w:type="character" w:customStyle="1" w:styleId="151">
    <w:name w:val="标题 3 Char"/>
    <w:link w:val="6"/>
    <w:qFormat/>
    <w:uiPriority w:val="0"/>
    <w:rPr>
      <w:rFonts w:ascii="宋体" w:hAnsi="Calibri" w:eastAsia="宋体" w:cs="Times New Roman"/>
      <w:kern w:val="0"/>
      <w:sz w:val="24"/>
      <w:szCs w:val="24"/>
    </w:rPr>
  </w:style>
  <w:style w:type="character" w:customStyle="1" w:styleId="152">
    <w:name w:val="正文文本缩进 2 字符1"/>
    <w:semiHidden/>
    <w:qFormat/>
    <w:uiPriority w:val="99"/>
    <w:rPr>
      <w:rFonts w:ascii="宋体" w:hAnsi="Calibri" w:eastAsia="宋体" w:cs="Times New Roman"/>
      <w:kern w:val="0"/>
      <w:sz w:val="24"/>
      <w:szCs w:val="24"/>
    </w:rPr>
  </w:style>
  <w:style w:type="character" w:customStyle="1" w:styleId="153">
    <w:name w:val="正文文本缩进 3 字符1"/>
    <w:semiHidden/>
    <w:qFormat/>
    <w:uiPriority w:val="99"/>
    <w:rPr>
      <w:rFonts w:ascii="宋体" w:hAnsi="Calibri" w:eastAsia="宋体" w:cs="Times New Roman"/>
      <w:kern w:val="0"/>
      <w:sz w:val="16"/>
      <w:szCs w:val="16"/>
    </w:rPr>
  </w:style>
  <w:style w:type="character" w:customStyle="1" w:styleId="154">
    <w:name w:val="正文文本 2 字符1"/>
    <w:semiHidden/>
    <w:qFormat/>
    <w:uiPriority w:val="99"/>
    <w:rPr>
      <w:rFonts w:ascii="宋体" w:hAnsi="Calibri" w:eastAsia="宋体" w:cs="Times New Roman"/>
      <w:kern w:val="0"/>
      <w:sz w:val="24"/>
      <w:szCs w:val="24"/>
    </w:rPr>
  </w:style>
  <w:style w:type="character" w:customStyle="1" w:styleId="155">
    <w:name w:val="eschoolnr"/>
    <w:qFormat/>
    <w:uiPriority w:val="0"/>
    <w:rPr>
      <w:sz w:val="23"/>
      <w:szCs w:val="23"/>
    </w:rPr>
  </w:style>
  <w:style w:type="character" w:customStyle="1" w:styleId="156">
    <w:name w:val="访问过的超链接1"/>
    <w:qFormat/>
    <w:uiPriority w:val="0"/>
    <w:rPr>
      <w:rFonts w:ascii="Arial" w:hAnsi="Arial" w:cs="Arial"/>
      <w:color w:val="000000"/>
      <w:sz w:val="20"/>
      <w:szCs w:val="20"/>
      <w:u w:val="none"/>
    </w:rPr>
  </w:style>
  <w:style w:type="character" w:customStyle="1" w:styleId="157">
    <w:name w:val="标题 1 Char1"/>
    <w:link w:val="4"/>
    <w:qFormat/>
    <w:uiPriority w:val="0"/>
    <w:rPr>
      <w:rFonts w:ascii="宋体" w:hAnsi="Calibri" w:eastAsia="宋体" w:cs="Times New Roman"/>
      <w:kern w:val="0"/>
      <w:sz w:val="24"/>
      <w:szCs w:val="24"/>
    </w:rPr>
  </w:style>
  <w:style w:type="character" w:customStyle="1" w:styleId="158">
    <w:name w:val="批注文字 Char1"/>
    <w:qFormat/>
    <w:uiPriority w:val="0"/>
    <w:rPr>
      <w:kern w:val="2"/>
      <w:sz w:val="21"/>
      <w:szCs w:val="24"/>
    </w:rPr>
  </w:style>
  <w:style w:type="character" w:customStyle="1" w:styleId="159">
    <w:name w:val="批注框文本 Char"/>
    <w:semiHidden/>
    <w:qFormat/>
    <w:uiPriority w:val="99"/>
    <w:rPr>
      <w:kern w:val="2"/>
      <w:sz w:val="18"/>
      <w:szCs w:val="18"/>
    </w:rPr>
  </w:style>
  <w:style w:type="character" w:customStyle="1" w:styleId="160">
    <w:name w:val="DAS正文 Char"/>
    <w:qFormat/>
    <w:uiPriority w:val="0"/>
    <w:rPr>
      <w:rFonts w:ascii="Verdana" w:hAnsi="Verdana" w:eastAsia="宋体"/>
      <w:kern w:val="2"/>
      <w:sz w:val="21"/>
      <w:szCs w:val="21"/>
      <w:lang w:val="en-US" w:eastAsia="zh-CN" w:bidi="ar-SA"/>
    </w:rPr>
  </w:style>
  <w:style w:type="character" w:customStyle="1" w:styleId="161">
    <w:name w:val="正文文本缩进 3 Char"/>
    <w:link w:val="36"/>
    <w:qFormat/>
    <w:uiPriority w:val="0"/>
    <w:rPr>
      <w:rFonts w:ascii="宋体" w:hAnsi="Times New Roman" w:eastAsia="宋体" w:cs="Times New Roman"/>
      <w:kern w:val="0"/>
      <w:sz w:val="24"/>
      <w:szCs w:val="24"/>
    </w:rPr>
  </w:style>
  <w:style w:type="character" w:customStyle="1" w:styleId="162">
    <w:name w:val="页眉 Char"/>
    <w:qFormat/>
    <w:uiPriority w:val="99"/>
    <w:rPr>
      <w:kern w:val="2"/>
      <w:sz w:val="18"/>
      <w:szCs w:val="18"/>
    </w:rPr>
  </w:style>
  <w:style w:type="character" w:customStyle="1" w:styleId="163">
    <w:name w:val="正文文本 3 Char"/>
    <w:link w:val="20"/>
    <w:qFormat/>
    <w:uiPriority w:val="0"/>
    <w:rPr>
      <w:rFonts w:ascii="宋体" w:hAnsi="Times New Roman" w:eastAsia="宋体" w:cs="Times New Roman"/>
      <w:b/>
      <w:bCs/>
      <w:color w:val="3366FF"/>
      <w:sz w:val="52"/>
      <w:szCs w:val="52"/>
      <w:lang w:val="zh-CN"/>
    </w:rPr>
  </w:style>
  <w:style w:type="character" w:customStyle="1" w:styleId="164">
    <w:name w:val="HTML 预设格式 字符1"/>
    <w:semiHidden/>
    <w:qFormat/>
    <w:uiPriority w:val="99"/>
    <w:rPr>
      <w:rFonts w:ascii="Courier New" w:hAnsi="Courier New" w:eastAsia="宋体" w:cs="Courier New"/>
      <w:kern w:val="0"/>
      <w:sz w:val="20"/>
      <w:szCs w:val="20"/>
    </w:rPr>
  </w:style>
  <w:style w:type="character" w:customStyle="1" w:styleId="165">
    <w:name w:val="彩色列表 - 强调文字颜色 1 Char"/>
    <w:link w:val="166"/>
    <w:qFormat/>
    <w:uiPriority w:val="0"/>
    <w:rPr>
      <w:rFonts w:ascii="宋体"/>
      <w:sz w:val="24"/>
      <w:szCs w:val="24"/>
    </w:rPr>
  </w:style>
  <w:style w:type="paragraph" w:customStyle="1" w:styleId="166">
    <w:name w:val="彩色列表 - 强调文字颜色 11"/>
    <w:basedOn w:val="1"/>
    <w:link w:val="165"/>
    <w:qFormat/>
    <w:uiPriority w:val="34"/>
    <w:pPr>
      <w:autoSpaceDE w:val="0"/>
      <w:autoSpaceDN w:val="0"/>
      <w:adjustRightInd w:val="0"/>
      <w:ind w:firstLine="420" w:firstLineChars="200"/>
      <w:jc w:val="left"/>
    </w:pPr>
    <w:rPr>
      <w:rFonts w:ascii="宋体"/>
      <w:sz w:val="24"/>
      <w:szCs w:val="24"/>
    </w:rPr>
  </w:style>
  <w:style w:type="character" w:customStyle="1" w:styleId="167">
    <w:name w:val="普通(网站) 字符"/>
    <w:qFormat/>
    <w:locked/>
    <w:uiPriority w:val="99"/>
    <w:rPr>
      <w:rFonts w:ascii="宋体" w:hAnsi="宋体" w:eastAsia="宋体" w:cs="Times New Roman"/>
      <w:kern w:val="0"/>
      <w:sz w:val="15"/>
      <w:szCs w:val="15"/>
      <w:lang w:val="en-US" w:eastAsia="zh-CN"/>
    </w:rPr>
  </w:style>
  <w:style w:type="paragraph" w:customStyle="1" w:styleId="168">
    <w:name w:val="_Style 123"/>
    <w:basedOn w:val="1"/>
    <w:next w:val="136"/>
    <w:qFormat/>
    <w:uiPriority w:val="34"/>
    <w:pPr>
      <w:spacing w:line="360" w:lineRule="auto"/>
      <w:ind w:firstLine="420" w:firstLineChars="200"/>
    </w:pPr>
    <w:rPr>
      <w:rFonts w:ascii="Calibri" w:hAnsi="Calibri" w:eastAsia="宋体" w:cs="Times New Roman"/>
    </w:rPr>
  </w:style>
  <w:style w:type="character" w:customStyle="1" w:styleId="169">
    <w:name w:val="纯文本 字符4"/>
    <w:basedOn w:val="47"/>
    <w:semiHidden/>
    <w:qFormat/>
    <w:uiPriority w:val="99"/>
    <w:rPr>
      <w:rFonts w:hAnsi="Courier New" w:cs="Courier New" w:asciiTheme="minorEastAsia"/>
    </w:rPr>
  </w:style>
  <w:style w:type="character" w:customStyle="1" w:styleId="170">
    <w:name w:val="批注文字 Char2"/>
    <w:basedOn w:val="47"/>
    <w:link w:val="19"/>
    <w:semiHidden/>
    <w:qFormat/>
    <w:uiPriority w:val="99"/>
  </w:style>
  <w:style w:type="character" w:customStyle="1" w:styleId="171">
    <w:name w:val="批注主题 字符2"/>
    <w:basedOn w:val="170"/>
    <w:semiHidden/>
    <w:qFormat/>
    <w:uiPriority w:val="99"/>
    <w:rPr>
      <w:b/>
      <w:bCs/>
    </w:rPr>
  </w:style>
  <w:style w:type="character" w:customStyle="1" w:styleId="172">
    <w:name w:val="标题 字符3"/>
    <w:basedOn w:val="47"/>
    <w:qFormat/>
    <w:uiPriority w:val="10"/>
    <w:rPr>
      <w:rFonts w:asciiTheme="majorHAnsi" w:hAnsiTheme="majorHAnsi" w:eastAsiaTheme="majorEastAsia" w:cstheme="majorBidi"/>
      <w:b/>
      <w:bCs/>
      <w:sz w:val="32"/>
      <w:szCs w:val="32"/>
    </w:rPr>
  </w:style>
  <w:style w:type="character" w:customStyle="1" w:styleId="173">
    <w:name w:val="正文文本缩进 字符3"/>
    <w:basedOn w:val="47"/>
    <w:semiHidden/>
    <w:qFormat/>
    <w:uiPriority w:val="99"/>
  </w:style>
  <w:style w:type="character" w:customStyle="1" w:styleId="174">
    <w:name w:val="正文文本 字符4"/>
    <w:basedOn w:val="47"/>
    <w:semiHidden/>
    <w:qFormat/>
    <w:uiPriority w:val="99"/>
  </w:style>
  <w:style w:type="character" w:customStyle="1" w:styleId="175">
    <w:name w:val="正文文本缩进 3 字符2"/>
    <w:basedOn w:val="47"/>
    <w:semiHidden/>
    <w:qFormat/>
    <w:uiPriority w:val="99"/>
    <w:rPr>
      <w:sz w:val="16"/>
      <w:szCs w:val="16"/>
    </w:rPr>
  </w:style>
  <w:style w:type="character" w:customStyle="1" w:styleId="176">
    <w:name w:val="页眉 字符2"/>
    <w:basedOn w:val="47"/>
    <w:semiHidden/>
    <w:qFormat/>
    <w:uiPriority w:val="99"/>
    <w:rPr>
      <w:sz w:val="18"/>
      <w:szCs w:val="18"/>
    </w:rPr>
  </w:style>
  <w:style w:type="character" w:customStyle="1" w:styleId="177">
    <w:name w:val="批注框文本 字符2"/>
    <w:basedOn w:val="47"/>
    <w:semiHidden/>
    <w:qFormat/>
    <w:uiPriority w:val="99"/>
    <w:rPr>
      <w:sz w:val="18"/>
      <w:szCs w:val="18"/>
    </w:rPr>
  </w:style>
  <w:style w:type="character" w:customStyle="1" w:styleId="178">
    <w:name w:val="HTML 预设格式 字符2"/>
    <w:basedOn w:val="47"/>
    <w:semiHidden/>
    <w:qFormat/>
    <w:uiPriority w:val="99"/>
    <w:rPr>
      <w:rFonts w:ascii="Courier New" w:hAnsi="Courier New" w:cs="Courier New"/>
      <w:sz w:val="20"/>
      <w:szCs w:val="20"/>
    </w:rPr>
  </w:style>
  <w:style w:type="character" w:customStyle="1" w:styleId="179">
    <w:name w:val="页脚 字符2"/>
    <w:basedOn w:val="47"/>
    <w:semiHidden/>
    <w:qFormat/>
    <w:uiPriority w:val="99"/>
    <w:rPr>
      <w:sz w:val="18"/>
      <w:szCs w:val="18"/>
    </w:rPr>
  </w:style>
  <w:style w:type="character" w:customStyle="1" w:styleId="180">
    <w:name w:val="正文文本缩进 2 字符2"/>
    <w:basedOn w:val="47"/>
    <w:semiHidden/>
    <w:qFormat/>
    <w:uiPriority w:val="99"/>
  </w:style>
  <w:style w:type="character" w:customStyle="1" w:styleId="181">
    <w:name w:val="正文文本 3 字符2"/>
    <w:basedOn w:val="47"/>
    <w:semiHidden/>
    <w:qFormat/>
    <w:uiPriority w:val="99"/>
    <w:rPr>
      <w:sz w:val="16"/>
      <w:szCs w:val="16"/>
    </w:rPr>
  </w:style>
  <w:style w:type="character" w:customStyle="1" w:styleId="182">
    <w:name w:val="正文文本 2 字符2"/>
    <w:basedOn w:val="47"/>
    <w:semiHidden/>
    <w:qFormat/>
    <w:uiPriority w:val="99"/>
  </w:style>
  <w:style w:type="paragraph" w:customStyle="1" w:styleId="183">
    <w:name w:val="WPSOffice手动目录 3"/>
    <w:qFormat/>
    <w:uiPriority w:val="0"/>
    <w:pPr>
      <w:ind w:left="400" w:leftChars="400"/>
    </w:pPr>
    <w:rPr>
      <w:rFonts w:ascii="Calibri" w:hAnsi="Calibri" w:eastAsia="宋体" w:cs="Times New Roman"/>
      <w:lang w:val="en-US" w:eastAsia="zh-CN" w:bidi="ar-SA"/>
    </w:rPr>
  </w:style>
  <w:style w:type="paragraph" w:customStyle="1" w:styleId="184">
    <w:name w:val="列表段落1"/>
    <w:basedOn w:val="1"/>
    <w:qFormat/>
    <w:uiPriority w:val="0"/>
    <w:pPr>
      <w:ind w:firstLine="420" w:firstLineChars="200"/>
    </w:pPr>
    <w:rPr>
      <w:rFonts w:ascii="Times New Roman" w:hAnsi="Times New Roman" w:eastAsia="宋体" w:cs="Times New Roman"/>
      <w:szCs w:val="20"/>
    </w:rPr>
  </w:style>
  <w:style w:type="character" w:customStyle="1" w:styleId="185">
    <w:name w:val="文档结构图 字符2"/>
    <w:basedOn w:val="47"/>
    <w:semiHidden/>
    <w:qFormat/>
    <w:uiPriority w:val="99"/>
    <w:rPr>
      <w:rFonts w:ascii="Microsoft YaHei UI" w:eastAsia="Microsoft YaHei UI"/>
      <w:sz w:val="18"/>
      <w:szCs w:val="18"/>
    </w:rPr>
  </w:style>
  <w:style w:type="character" w:customStyle="1" w:styleId="186">
    <w:name w:val="日期 字符2"/>
    <w:basedOn w:val="47"/>
    <w:semiHidden/>
    <w:qFormat/>
    <w:uiPriority w:val="99"/>
  </w:style>
  <w:style w:type="paragraph" w:customStyle="1" w:styleId="187">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8">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9">
    <w:name w:val="修订1"/>
    <w:semiHidden/>
    <w:qFormat/>
    <w:uiPriority w:val="99"/>
    <w:rPr>
      <w:rFonts w:ascii="宋体" w:hAnsi="Calibri" w:eastAsia="宋体" w:cs="Times New Roman"/>
      <w:sz w:val="24"/>
      <w:szCs w:val="24"/>
      <w:lang w:val="en-US" w:eastAsia="zh-CN" w:bidi="ar-SA"/>
    </w:rPr>
  </w:style>
  <w:style w:type="paragraph" w:customStyle="1" w:styleId="190">
    <w:name w:val="图/图注"/>
    <w:basedOn w:val="10"/>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2">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3">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4">
    <w:name w:val="p0"/>
    <w:basedOn w:val="1"/>
    <w:qFormat/>
    <w:uiPriority w:val="0"/>
    <w:pPr>
      <w:widowControl/>
    </w:pPr>
    <w:rPr>
      <w:rFonts w:ascii="Times New Roman" w:hAnsi="Calibri" w:eastAsia="宋体" w:cs="Times New Roman"/>
      <w:kern w:val="0"/>
      <w:szCs w:val="20"/>
    </w:rPr>
  </w:style>
  <w:style w:type="paragraph" w:customStyle="1" w:styleId="195">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6">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7">
    <w:name w:val="网格表 32"/>
    <w:basedOn w:val="4"/>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WPSOffice手动目录 1"/>
    <w:qFormat/>
    <w:uiPriority w:val="0"/>
    <w:rPr>
      <w:rFonts w:ascii="Calibri" w:hAnsi="Calibri" w:eastAsia="宋体" w:cs="Times New Roman"/>
      <w:lang w:val="en-US" w:eastAsia="zh-CN" w:bidi="ar-SA"/>
    </w:rPr>
  </w:style>
  <w:style w:type="paragraph" w:customStyle="1" w:styleId="199">
    <w:name w:val="_Style 69"/>
    <w:basedOn w:val="1"/>
    <w:next w:val="136"/>
    <w:qFormat/>
    <w:uiPriority w:val="34"/>
    <w:pPr>
      <w:spacing w:line="360" w:lineRule="auto"/>
      <w:ind w:firstLine="420" w:firstLineChars="200"/>
    </w:pPr>
    <w:rPr>
      <w:rFonts w:ascii="Calibri" w:hAnsi="Calibri" w:eastAsia="宋体" w:cs="Times New Roman"/>
    </w:rPr>
  </w:style>
  <w:style w:type="paragraph" w:customStyle="1" w:styleId="200">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1">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2">
    <w:name w:val="彩色底纹 - 着色 11"/>
    <w:semiHidden/>
    <w:qFormat/>
    <w:uiPriority w:val="99"/>
    <w:rPr>
      <w:rFonts w:ascii="宋体" w:hAnsi="Calibri" w:eastAsia="宋体" w:cs="Times New Roman"/>
      <w:sz w:val="24"/>
      <w:szCs w:val="24"/>
      <w:lang w:val="en-US" w:eastAsia="zh-CN" w:bidi="ar-SA"/>
    </w:rPr>
  </w:style>
  <w:style w:type="paragraph" w:customStyle="1" w:styleId="203">
    <w:name w:val="WPSOffice手动目录 2"/>
    <w:qFormat/>
    <w:uiPriority w:val="0"/>
    <w:pPr>
      <w:ind w:left="200" w:leftChars="200"/>
    </w:pPr>
    <w:rPr>
      <w:rFonts w:ascii="Calibri" w:hAnsi="Calibri" w:eastAsia="宋体" w:cs="Times New Roman"/>
      <w:lang w:val="en-US" w:eastAsia="zh-CN" w:bidi="ar-SA"/>
    </w:rPr>
  </w:style>
  <w:style w:type="paragraph" w:customStyle="1" w:styleId="204">
    <w:name w:val="网格表 31"/>
    <w:basedOn w:val="4"/>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5">
    <w:name w:val="表格文字居中"/>
    <w:basedOn w:val="129"/>
    <w:qFormat/>
    <w:uiPriority w:val="0"/>
    <w:pPr>
      <w:jc w:val="center"/>
    </w:pPr>
    <w:rPr>
      <w:rFonts w:cs="宋体"/>
      <w:szCs w:val="20"/>
    </w:rPr>
  </w:style>
  <w:style w:type="paragraph" w:customStyle="1" w:styleId="206">
    <w:name w:val="正文缩进4格"/>
    <w:basedOn w:val="70"/>
    <w:qFormat/>
    <w:uiPriority w:val="0"/>
    <w:pPr>
      <w:spacing w:line="360" w:lineRule="auto"/>
      <w:ind w:left="964" w:leftChars="314" w:hanging="210" w:hangingChars="100"/>
    </w:pPr>
    <w:rPr>
      <w:rFonts w:ascii="宋体" w:eastAsia="宋体"/>
      <w:sz w:val="21"/>
      <w:szCs w:val="21"/>
      <w:lang w:val="zh-CN"/>
    </w:rPr>
  </w:style>
  <w:style w:type="paragraph" w:customStyle="1" w:styleId="207">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8">
    <w:name w:val="正文首行缩进 Char"/>
    <w:basedOn w:val="125"/>
    <w:link w:val="3"/>
    <w:semiHidden/>
    <w:qFormat/>
    <w:uiPriority w:val="99"/>
    <w:rPr>
      <w:rFonts w:ascii="宋体" w:eastAsia="宋体"/>
      <w:b w:val="0"/>
      <w:bCs w:val="0"/>
      <w:sz w:val="84"/>
      <w:szCs w:val="84"/>
      <w:lang w:val="zh-CN"/>
    </w:rPr>
  </w:style>
  <w:style w:type="paragraph" w:customStyle="1" w:styleId="20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0">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1">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2">
    <w:name w:val="修订5"/>
    <w:hidden/>
    <w:semi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3">
    <w:name w:val="正文文本缩进 21"/>
    <w:basedOn w:val="1"/>
    <w:qFormat/>
    <w:uiPriority w:val="0"/>
    <w:pPr>
      <w:autoSpaceDE w:val="0"/>
      <w:autoSpaceDN w:val="0"/>
      <w:adjustRightInd w:val="0"/>
      <w:spacing w:line="480" w:lineRule="auto"/>
      <w:ind w:firstLine="540"/>
      <w:jc w:val="left"/>
      <w:textAlignment w:val="baseline"/>
    </w:pPr>
    <w:rPr>
      <w:rFonts w:ascii="Calibri" w:hAnsi="Calibri" w:eastAsia="宋体" w:cs="Times New Roman"/>
      <w:kern w:val="0"/>
      <w:szCs w:val="21"/>
    </w:rPr>
  </w:style>
  <w:style w:type="character" w:customStyle="1" w:styleId="214">
    <w:name w:val="font51"/>
    <w:qFormat/>
    <w:uiPriority w:val="0"/>
    <w:rPr>
      <w:rFonts w:hint="default" w:ascii="Times New Roman" w:hAnsi="Times New Roman" w:cs="Times New Roman"/>
      <w:color w:val="000000"/>
      <w:sz w:val="21"/>
      <w:szCs w:val="21"/>
      <w:u w:val="none"/>
      <w:lang w:val="en-US" w:eastAsia="zh-CN" w:bidi="ar-SA"/>
    </w:rPr>
  </w:style>
  <w:style w:type="paragraph" w:customStyle="1" w:styleId="215">
    <w:name w:val="+正文"/>
    <w:basedOn w:val="1"/>
    <w:qFormat/>
    <w:uiPriority w:val="0"/>
    <w:pPr>
      <w:spacing w:line="360" w:lineRule="auto"/>
      <w:ind w:firstLine="200" w:firstLineChars="200"/>
    </w:pPr>
    <w:rPr>
      <w:sz w:val="24"/>
      <w:szCs w:val="28"/>
    </w:rPr>
  </w:style>
  <w:style w:type="character" w:customStyle="1" w:styleId="216">
    <w:name w:val="font131"/>
    <w:basedOn w:val="47"/>
    <w:qFormat/>
    <w:uiPriority w:val="0"/>
    <w:rPr>
      <w:rFonts w:hint="eastAsia" w:ascii="仿宋_GB2312" w:eastAsia="仿宋_GB2312" w:cs="仿宋_GB2312"/>
      <w:color w:val="000000"/>
      <w:sz w:val="20"/>
      <w:szCs w:val="20"/>
      <w:u w:val="none"/>
    </w:rPr>
  </w:style>
  <w:style w:type="character" w:customStyle="1" w:styleId="217">
    <w:name w:val="font121"/>
    <w:basedOn w:val="47"/>
    <w:qFormat/>
    <w:uiPriority w:val="0"/>
    <w:rPr>
      <w:rFonts w:hint="eastAsia" w:ascii="宋体" w:hAnsi="宋体" w:eastAsia="宋体" w:cs="宋体"/>
      <w:color w:val="000000"/>
      <w:sz w:val="20"/>
      <w:szCs w:val="20"/>
      <w:u w:val="none"/>
    </w:rPr>
  </w:style>
  <w:style w:type="character" w:customStyle="1" w:styleId="218">
    <w:name w:val="font112"/>
    <w:basedOn w:val="47"/>
    <w:qFormat/>
    <w:uiPriority w:val="0"/>
    <w:rPr>
      <w:rFonts w:hint="eastAsia" w:ascii="宋体" w:hAnsi="宋体" w:eastAsia="宋体" w:cs="宋体"/>
      <w:b/>
      <w:bCs/>
      <w:color w:val="000000"/>
      <w:sz w:val="20"/>
      <w:szCs w:val="20"/>
      <w:u w:val="none"/>
    </w:rPr>
  </w:style>
  <w:style w:type="character" w:customStyle="1" w:styleId="219">
    <w:name w:val="font61"/>
    <w:basedOn w:val="47"/>
    <w:qFormat/>
    <w:uiPriority w:val="0"/>
    <w:rPr>
      <w:rFonts w:hint="default" w:ascii="Times New Roman" w:hAnsi="Times New Roman" w:cs="Times New Roman"/>
      <w:color w:val="000000"/>
      <w:sz w:val="20"/>
      <w:szCs w:val="20"/>
      <w:u w:val="none"/>
    </w:rPr>
  </w:style>
  <w:style w:type="character" w:customStyle="1" w:styleId="220">
    <w:name w:val="font91"/>
    <w:basedOn w:val="4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FEEA5-1452-4002-8741-1810567A57E2}">
  <ds:schemaRefs/>
</ds:datastoreItem>
</file>

<file path=docProps/app.xml><?xml version="1.0" encoding="utf-8"?>
<Properties xmlns="http://schemas.openxmlformats.org/officeDocument/2006/extended-properties" xmlns:vt="http://schemas.openxmlformats.org/officeDocument/2006/docPropsVTypes">
  <Pages>82</Pages>
  <Words>41707</Words>
  <Characters>44864</Characters>
  <Lines>1</Lines>
  <Paragraphs>1</Paragraphs>
  <TotalTime>55</TotalTime>
  <ScaleCrop>false</ScaleCrop>
  <LinksUpToDate>false</LinksUpToDate>
  <CharactersWithSpaces>47984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2023-07-21T18:55:00Z</dcterms:created>
  <dc:creator>HS</dc:creator>
  <cp:lastModifiedBy>王工</cp:lastModifiedBy>
  <cp:lastPrinted>2024-09-09T16:43:00Z</cp:lastPrinted>
  <dcterms:modified xsi:type="dcterms:W3CDTF">2025-08-27T03:23:54Z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5825BF7CD6BD40C5890BA6EE49A98518_13</vt:lpwstr>
  </property>
  <property fmtid="{D5CDD505-2E9C-101B-9397-08002B2CF9AE}" pid="4" name="KSOTemplateDocerSaveRecord">
    <vt:lpwstr>eyJoZGlkIjoiNjBkZGMxMDkyNjQ5NTkzOTgyYjBmMjI5NGM0NGU3ZjciLCJ1c2VySWQiOiIzMjkxMDE4MjgifQ==</vt:lpwstr>
  </property>
</Properties>
</file>