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东莞市水务集团供水有限公司抢修器采购项目</w:t>
      </w: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pPr>
        <w:autoSpaceDE w:val="0"/>
        <w:autoSpaceDN w:val="0"/>
        <w:adjustRightInd w:val="0"/>
        <w:ind w:right="-23" w:rightChars="-11"/>
        <w:jc w:val="left"/>
        <w:rPr>
          <w:rFonts w:ascii="宋体" w:hAnsi="宋体" w:eastAsia="宋体" w:cs="宋体"/>
          <w:b/>
          <w:bCs/>
          <w:color w:val="auto"/>
          <w:sz w:val="44"/>
          <w:szCs w:val="44"/>
          <w:highlight w:val="none"/>
          <w:lang w:val="zh-CN"/>
        </w:rPr>
      </w:pPr>
    </w:p>
    <w:p>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pPr>
        <w:autoSpaceDE w:val="0"/>
        <w:autoSpaceDN w:val="0"/>
        <w:adjustRightInd w:val="0"/>
        <w:ind w:right="-23" w:rightChars="-11"/>
        <w:jc w:val="center"/>
        <w:rPr>
          <w:rFonts w:ascii="宋体" w:hAnsi="宋体" w:eastAsia="宋体" w:cs="宋体"/>
          <w:b/>
          <w:bCs/>
          <w:color w:val="auto"/>
          <w:sz w:val="32"/>
          <w:szCs w:val="32"/>
          <w:highlight w:val="none"/>
          <w:lang w:val="zh-CN"/>
        </w:rPr>
      </w:pPr>
    </w:p>
    <w:p>
      <w:pPr>
        <w:autoSpaceDE w:val="0"/>
        <w:autoSpaceDN w:val="0"/>
        <w:adjustRightInd w:val="0"/>
        <w:ind w:right="-23" w:rightChars="-11"/>
        <w:jc w:val="center"/>
        <w:rPr>
          <w:rFonts w:ascii="宋体" w:hAnsi="宋体" w:eastAsia="宋体" w:cs="宋体"/>
          <w:b/>
          <w:bCs/>
          <w:color w:val="auto"/>
          <w:sz w:val="44"/>
          <w:szCs w:val="44"/>
          <w:highlight w:val="none"/>
          <w:lang w:val="zh-CN"/>
        </w:rPr>
      </w:pPr>
    </w:p>
    <w:p>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号：0832-SFCX25DG010A</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人：东莞市水务集团供水有限公司</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招标代理机构：三方诚信招标有限公司</w:t>
      </w:r>
    </w:p>
    <w:p>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 xml:space="preserve">2025 </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 xml:space="preserve"> 9 </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 xml:space="preserve"> 1 </w:t>
      </w:r>
      <w:r>
        <w:rPr>
          <w:rFonts w:hint="eastAsia" w:ascii="宋体" w:hAnsi="宋体" w:eastAsia="宋体" w:cs="宋体"/>
          <w:b/>
          <w:bCs/>
          <w:color w:val="auto"/>
          <w:sz w:val="32"/>
          <w:szCs w:val="32"/>
          <w:highlight w:val="none"/>
          <w:lang w:val="zh-CN"/>
        </w:rPr>
        <w:t>日</w:t>
      </w:r>
    </w:p>
    <w:p>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pPr>
        <w:outlineLvl w:val="9"/>
        <w:rPr>
          <w:color w:val="auto"/>
          <w:highlight w:val="none"/>
        </w:rPr>
      </w:pPr>
    </w:p>
    <w:sdt>
      <w:sdtPr>
        <w:rPr>
          <w:rFonts w:ascii="宋体" w:hAnsi="宋体" w:eastAsia="宋体" w:cstheme="minorBidi"/>
          <w:color w:val="auto"/>
          <w:kern w:val="2"/>
          <w:sz w:val="21"/>
          <w:szCs w:val="22"/>
          <w:highlight w:val="none"/>
          <w:lang w:val="en-US" w:eastAsia="zh-CN" w:bidi="ar-SA"/>
        </w:rPr>
        <w:id w:val="147471449"/>
        <w15:color w:val="DBDBDB"/>
        <w:docPartObj>
          <w:docPartGallery w:val="Table of Contents"/>
          <w:docPartUnique/>
        </w:docPartObj>
      </w:sdtPr>
      <w:sdtEndPr>
        <w:rPr>
          <w:rFonts w:ascii="宋体" w:hAnsi="宋体" w:eastAsia="宋体" w:cstheme="minorBidi"/>
          <w:color w:val="auto"/>
          <w:kern w:val="2"/>
          <w:sz w:val="21"/>
          <w:szCs w:val="22"/>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8"/>
              <w:szCs w:val="28"/>
              <w:highlight w:val="none"/>
            </w:rPr>
          </w:pPr>
          <w:r>
            <w:rPr>
              <w:rFonts w:ascii="宋体" w:hAnsi="宋体" w:eastAsia="宋体"/>
              <w:b/>
              <w:bCs/>
              <w:color w:val="auto"/>
              <w:sz w:val="28"/>
              <w:szCs w:val="28"/>
              <w:highlight w:val="none"/>
            </w:rPr>
            <w:t>目</w:t>
          </w:r>
          <w:r>
            <w:rPr>
              <w:rFonts w:hint="eastAsia" w:ascii="宋体" w:hAnsi="宋体" w:eastAsia="宋体"/>
              <w:b/>
              <w:bCs/>
              <w:color w:val="auto"/>
              <w:sz w:val="28"/>
              <w:szCs w:val="28"/>
              <w:highlight w:val="none"/>
              <w:lang w:val="en-US" w:eastAsia="zh-CN"/>
            </w:rPr>
            <w:t xml:space="preserve">    </w:t>
          </w:r>
          <w:r>
            <w:rPr>
              <w:rFonts w:ascii="宋体" w:hAnsi="宋体" w:eastAsia="宋体"/>
              <w:b/>
              <w:bCs/>
              <w:color w:val="auto"/>
              <w:sz w:val="28"/>
              <w:szCs w:val="28"/>
              <w:highlight w:val="none"/>
            </w:rPr>
            <w:t>录</w:t>
          </w:r>
        </w:p>
        <w:p>
          <w:pPr>
            <w:pStyle w:val="29"/>
            <w:tabs>
              <w:tab w:val="right" w:leader="dot" w:pos="9820"/>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_Toc27733 </w:instrText>
          </w:r>
          <w:r>
            <w:rPr>
              <w:color w:val="auto"/>
              <w:highlight w:val="none"/>
            </w:rPr>
            <w:fldChar w:fldCharType="separate"/>
          </w:r>
          <w:r>
            <w:rPr>
              <w:rFonts w:hint="eastAsia" w:ascii="宋体" w:hAnsi="宋体" w:eastAsia="宋体" w:cs="宋体"/>
              <w:b/>
              <w:bCs w:val="0"/>
              <w:color w:val="auto"/>
              <w:kern w:val="44"/>
              <w:szCs w:val="32"/>
              <w:highlight w:val="none"/>
              <w:lang w:val="en-US" w:eastAsia="zh-CN"/>
            </w:rPr>
            <w:t>第一篇 招标公告</w:t>
          </w:r>
          <w:r>
            <w:rPr>
              <w:color w:val="auto"/>
              <w:highlight w:val="none"/>
            </w:rPr>
            <w:tab/>
          </w:r>
          <w:r>
            <w:rPr>
              <w:color w:val="auto"/>
              <w:highlight w:val="none"/>
            </w:rPr>
            <w:fldChar w:fldCharType="begin"/>
          </w:r>
          <w:r>
            <w:rPr>
              <w:color w:val="auto"/>
              <w:highlight w:val="none"/>
            </w:rPr>
            <w:instrText xml:space="preserve"> PAGEREF _Toc27733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9"/>
            <w:tabs>
              <w:tab w:val="right" w:leader="dot" w:pos="9820"/>
            </w:tabs>
            <w:rPr>
              <w:color w:val="auto"/>
              <w:highlight w:val="none"/>
            </w:rPr>
          </w:pPr>
          <w:r>
            <w:rPr>
              <w:color w:val="auto"/>
              <w:highlight w:val="none"/>
            </w:rPr>
            <w:fldChar w:fldCharType="begin"/>
          </w:r>
          <w:r>
            <w:rPr>
              <w:color w:val="auto"/>
              <w:highlight w:val="none"/>
            </w:rPr>
            <w:instrText xml:space="preserve"> HYPERLINK \l _Toc2245 </w:instrText>
          </w:r>
          <w:r>
            <w:rPr>
              <w:color w:val="auto"/>
              <w:highlight w:val="none"/>
            </w:rPr>
            <w:fldChar w:fldCharType="separate"/>
          </w:r>
          <w:r>
            <w:rPr>
              <w:rFonts w:hint="eastAsia" w:ascii="宋体" w:hAnsi="宋体" w:eastAsia="宋体" w:cs="宋体"/>
              <w:b/>
              <w:bCs w:val="0"/>
              <w:color w:val="auto"/>
              <w:kern w:val="44"/>
              <w:szCs w:val="32"/>
              <w:highlight w:val="none"/>
              <w:lang w:val="zh-CN"/>
            </w:rPr>
            <w:t>第二篇</w:t>
          </w:r>
          <w:r>
            <w:rPr>
              <w:rFonts w:ascii="宋体" w:hAnsi="宋体" w:eastAsia="宋体" w:cs="宋体"/>
              <w:b/>
              <w:bCs w:val="0"/>
              <w:color w:val="auto"/>
              <w:kern w:val="44"/>
              <w:szCs w:val="32"/>
              <w:highlight w:val="none"/>
            </w:rPr>
            <w:t xml:space="preserve"> </w:t>
          </w:r>
          <w:r>
            <w:rPr>
              <w:rFonts w:hint="eastAsia" w:ascii="宋体" w:hAnsi="宋体" w:eastAsia="宋体" w:cs="宋体"/>
              <w:b/>
              <w:bCs w:val="0"/>
              <w:color w:val="auto"/>
              <w:kern w:val="44"/>
              <w:szCs w:val="32"/>
              <w:highlight w:val="none"/>
              <w:lang w:val="zh-CN"/>
            </w:rPr>
            <w:t>投标人须知</w:t>
          </w:r>
          <w:r>
            <w:rPr>
              <w:color w:val="auto"/>
              <w:highlight w:val="none"/>
            </w:rPr>
            <w:tab/>
          </w:r>
          <w:r>
            <w:rPr>
              <w:color w:val="auto"/>
              <w:highlight w:val="none"/>
            </w:rPr>
            <w:fldChar w:fldCharType="begin"/>
          </w:r>
          <w:r>
            <w:rPr>
              <w:color w:val="auto"/>
              <w:highlight w:val="none"/>
            </w:rPr>
            <w:instrText xml:space="preserve"> PAGEREF _Toc2245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9"/>
            <w:tabs>
              <w:tab w:val="right" w:leader="dot" w:pos="9820"/>
            </w:tabs>
            <w:ind w:firstLine="840" w:firstLineChars="400"/>
            <w:rPr>
              <w:color w:val="auto"/>
              <w:highlight w:val="none"/>
            </w:rPr>
          </w:pPr>
          <w:r>
            <w:rPr>
              <w:color w:val="auto"/>
              <w:highlight w:val="none"/>
            </w:rPr>
            <w:fldChar w:fldCharType="begin"/>
          </w:r>
          <w:r>
            <w:rPr>
              <w:color w:val="auto"/>
              <w:highlight w:val="none"/>
            </w:rPr>
            <w:instrText xml:space="preserve"> HYPERLINK \l _Toc28385 </w:instrText>
          </w:r>
          <w:r>
            <w:rPr>
              <w:color w:val="auto"/>
              <w:highlight w:val="none"/>
            </w:rPr>
            <w:fldChar w:fldCharType="separate"/>
          </w:r>
          <w:r>
            <w:rPr>
              <w:rFonts w:hint="eastAsia" w:ascii="宋体" w:hAnsi="宋体" w:eastAsia="宋体" w:cs="宋体"/>
              <w:b/>
              <w:bCs w:val="0"/>
              <w:color w:val="auto"/>
              <w:kern w:val="44"/>
              <w:szCs w:val="21"/>
              <w:highlight w:val="none"/>
              <w:lang w:val="zh-CN"/>
            </w:rPr>
            <w:t>一、总则</w:t>
          </w:r>
          <w:r>
            <w:rPr>
              <w:color w:val="auto"/>
              <w:highlight w:val="none"/>
            </w:rPr>
            <w:tab/>
          </w:r>
          <w:r>
            <w:rPr>
              <w:color w:val="auto"/>
              <w:highlight w:val="none"/>
            </w:rPr>
            <w:fldChar w:fldCharType="begin"/>
          </w:r>
          <w:r>
            <w:rPr>
              <w:color w:val="auto"/>
              <w:highlight w:val="none"/>
            </w:rPr>
            <w:instrText xml:space="preserve"> PAGEREF _Toc28385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_Toc26294 </w:instrText>
          </w:r>
          <w:r>
            <w:rPr>
              <w:color w:val="auto"/>
              <w:highlight w:val="none"/>
            </w:rPr>
            <w:fldChar w:fldCharType="separate"/>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r>
            <w:rPr>
              <w:color w:val="auto"/>
              <w:highlight w:val="none"/>
            </w:rPr>
            <w:tab/>
          </w:r>
          <w:r>
            <w:rPr>
              <w:color w:val="auto"/>
              <w:highlight w:val="none"/>
            </w:rPr>
            <w:fldChar w:fldCharType="begin"/>
          </w:r>
          <w:r>
            <w:rPr>
              <w:color w:val="auto"/>
              <w:highlight w:val="none"/>
            </w:rPr>
            <w:instrText xml:space="preserve"> PAGEREF _Toc26294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_Toc11112 </w:instrText>
          </w:r>
          <w:r>
            <w:rPr>
              <w:color w:val="auto"/>
              <w:highlight w:val="none"/>
            </w:rPr>
            <w:fldChar w:fldCharType="separate"/>
          </w:r>
          <w:r>
            <w:rPr>
              <w:rFonts w:hint="eastAsia" w:ascii="宋体" w:hAnsi="宋体" w:eastAsia="宋体" w:cs="宋体"/>
              <w:color w:val="auto"/>
              <w:szCs w:val="21"/>
              <w:highlight w:val="none"/>
              <w:lang w:val="zh-CN"/>
            </w:rPr>
            <w:t>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合格的投标人</w:t>
          </w:r>
          <w:r>
            <w:rPr>
              <w:color w:val="auto"/>
              <w:highlight w:val="none"/>
            </w:rPr>
            <w:tab/>
          </w:r>
          <w:r>
            <w:rPr>
              <w:color w:val="auto"/>
              <w:highlight w:val="none"/>
            </w:rPr>
            <w:fldChar w:fldCharType="begin"/>
          </w:r>
          <w:r>
            <w:rPr>
              <w:color w:val="auto"/>
              <w:highlight w:val="none"/>
            </w:rPr>
            <w:instrText xml:space="preserve"> PAGEREF _Toc11112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_Toc6324 </w:instrText>
          </w:r>
          <w:r>
            <w:rPr>
              <w:color w:val="auto"/>
              <w:highlight w:val="none"/>
            </w:rPr>
            <w:fldChar w:fldCharType="separate"/>
          </w:r>
          <w:r>
            <w:rPr>
              <w:rFonts w:hint="eastAsia" w:ascii="宋体" w:hAnsi="宋体" w:eastAsia="宋体" w:cs="宋体"/>
              <w:color w:val="auto"/>
              <w:szCs w:val="21"/>
              <w:highlight w:val="none"/>
              <w:lang w:val="zh-CN"/>
            </w:rPr>
            <w:t>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合格的货物</w:t>
          </w:r>
          <w:r>
            <w:rPr>
              <w:color w:val="auto"/>
              <w:highlight w:val="none"/>
            </w:rPr>
            <w:tab/>
          </w:r>
          <w:r>
            <w:rPr>
              <w:color w:val="auto"/>
              <w:highlight w:val="none"/>
            </w:rPr>
            <w:fldChar w:fldCharType="begin"/>
          </w:r>
          <w:r>
            <w:rPr>
              <w:color w:val="auto"/>
              <w:highlight w:val="none"/>
            </w:rPr>
            <w:instrText xml:space="preserve"> PAGEREF _Toc6324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_Toc7896 </w:instrText>
          </w:r>
          <w:r>
            <w:rPr>
              <w:color w:val="auto"/>
              <w:highlight w:val="none"/>
            </w:rPr>
            <w:fldChar w:fldCharType="separate"/>
          </w:r>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r>
            <w:rPr>
              <w:color w:val="auto"/>
              <w:highlight w:val="none"/>
            </w:rPr>
            <w:tab/>
          </w:r>
          <w:r>
            <w:rPr>
              <w:color w:val="auto"/>
              <w:highlight w:val="none"/>
            </w:rPr>
            <w:fldChar w:fldCharType="begin"/>
          </w:r>
          <w:r>
            <w:rPr>
              <w:color w:val="auto"/>
              <w:highlight w:val="none"/>
            </w:rPr>
            <w:instrText xml:space="preserve"> PAGEREF _Toc7896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9"/>
            <w:tabs>
              <w:tab w:val="right" w:leader="dot" w:pos="9820"/>
            </w:tabs>
            <w:ind w:firstLine="840" w:firstLineChars="400"/>
            <w:rPr>
              <w:color w:val="auto"/>
              <w:highlight w:val="none"/>
            </w:rPr>
          </w:pPr>
          <w:r>
            <w:rPr>
              <w:color w:val="auto"/>
              <w:highlight w:val="none"/>
            </w:rPr>
            <w:fldChar w:fldCharType="begin"/>
          </w:r>
          <w:r>
            <w:rPr>
              <w:color w:val="auto"/>
              <w:highlight w:val="none"/>
            </w:rPr>
            <w:instrText xml:space="preserve"> HYPERLINK \l _Toc25025 </w:instrText>
          </w:r>
          <w:r>
            <w:rPr>
              <w:color w:val="auto"/>
              <w:highlight w:val="none"/>
            </w:rPr>
            <w:fldChar w:fldCharType="separate"/>
          </w:r>
          <w:r>
            <w:rPr>
              <w:rFonts w:hint="eastAsia" w:ascii="宋体" w:hAnsi="宋体" w:eastAsia="宋体" w:cs="宋体"/>
              <w:b/>
              <w:bCs w:val="0"/>
              <w:color w:val="auto"/>
              <w:kern w:val="44"/>
              <w:szCs w:val="21"/>
              <w:highlight w:val="none"/>
              <w:lang w:val="zh-CN"/>
            </w:rPr>
            <w:t>二、招标文件</w:t>
          </w:r>
          <w:r>
            <w:rPr>
              <w:color w:val="auto"/>
              <w:highlight w:val="none"/>
            </w:rPr>
            <w:tab/>
          </w:r>
          <w:r>
            <w:rPr>
              <w:color w:val="auto"/>
              <w:highlight w:val="none"/>
            </w:rPr>
            <w:fldChar w:fldCharType="begin"/>
          </w:r>
          <w:r>
            <w:rPr>
              <w:color w:val="auto"/>
              <w:highlight w:val="none"/>
            </w:rPr>
            <w:instrText xml:space="preserve"> PAGEREF _Toc25025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_Toc6841 </w:instrText>
          </w:r>
          <w:r>
            <w:rPr>
              <w:color w:val="auto"/>
              <w:highlight w:val="none"/>
            </w:rPr>
            <w:fldChar w:fldCharType="separate"/>
          </w:r>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r>
            <w:rPr>
              <w:color w:val="auto"/>
              <w:highlight w:val="none"/>
            </w:rPr>
            <w:tab/>
          </w:r>
          <w:r>
            <w:rPr>
              <w:color w:val="auto"/>
              <w:highlight w:val="none"/>
            </w:rPr>
            <w:fldChar w:fldCharType="begin"/>
          </w:r>
          <w:r>
            <w:rPr>
              <w:color w:val="auto"/>
              <w:highlight w:val="none"/>
            </w:rPr>
            <w:instrText xml:space="preserve"> PAGEREF _Toc6841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_Toc9641 </w:instrText>
          </w:r>
          <w:r>
            <w:rPr>
              <w:color w:val="auto"/>
              <w:highlight w:val="none"/>
            </w:rPr>
            <w:fldChar w:fldCharType="separate"/>
          </w:r>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r>
            <w:rPr>
              <w:color w:val="auto"/>
              <w:highlight w:val="none"/>
            </w:rPr>
            <w:tab/>
          </w:r>
          <w:r>
            <w:rPr>
              <w:color w:val="auto"/>
              <w:highlight w:val="none"/>
            </w:rPr>
            <w:fldChar w:fldCharType="begin"/>
          </w:r>
          <w:r>
            <w:rPr>
              <w:color w:val="auto"/>
              <w:highlight w:val="none"/>
            </w:rPr>
            <w:instrText xml:space="preserve"> PAGEREF _Toc9641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_Toc29307 </w:instrText>
          </w:r>
          <w:r>
            <w:rPr>
              <w:color w:val="auto"/>
              <w:highlight w:val="none"/>
            </w:rPr>
            <w:fldChar w:fldCharType="separate"/>
          </w:r>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r>
            <w:rPr>
              <w:color w:val="auto"/>
              <w:highlight w:val="none"/>
            </w:rPr>
            <w:tab/>
          </w:r>
          <w:r>
            <w:rPr>
              <w:color w:val="auto"/>
              <w:highlight w:val="none"/>
            </w:rPr>
            <w:fldChar w:fldCharType="begin"/>
          </w:r>
          <w:r>
            <w:rPr>
              <w:color w:val="auto"/>
              <w:highlight w:val="none"/>
            </w:rPr>
            <w:instrText xml:space="preserve"> PAGEREF _Toc29307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9"/>
            <w:tabs>
              <w:tab w:val="right" w:leader="dot" w:pos="9820"/>
            </w:tabs>
            <w:ind w:firstLine="840" w:firstLineChars="400"/>
            <w:rPr>
              <w:color w:val="auto"/>
              <w:highlight w:val="none"/>
            </w:rPr>
          </w:pPr>
          <w:r>
            <w:rPr>
              <w:color w:val="auto"/>
              <w:highlight w:val="none"/>
            </w:rPr>
            <w:fldChar w:fldCharType="begin"/>
          </w:r>
          <w:r>
            <w:rPr>
              <w:color w:val="auto"/>
              <w:highlight w:val="none"/>
            </w:rPr>
            <w:instrText xml:space="preserve"> HYPERLINK \l _Toc21903 </w:instrText>
          </w:r>
          <w:r>
            <w:rPr>
              <w:color w:val="auto"/>
              <w:highlight w:val="none"/>
            </w:rPr>
            <w:fldChar w:fldCharType="separate"/>
          </w:r>
          <w:r>
            <w:rPr>
              <w:rFonts w:hint="eastAsia" w:ascii="宋体" w:hAnsi="宋体" w:eastAsia="宋体" w:cs="宋体"/>
              <w:b/>
              <w:bCs w:val="0"/>
              <w:color w:val="auto"/>
              <w:kern w:val="44"/>
              <w:szCs w:val="21"/>
              <w:highlight w:val="none"/>
              <w:lang w:val="zh-CN"/>
            </w:rPr>
            <w:t>三、投标文件的编制</w:t>
          </w:r>
          <w:r>
            <w:rPr>
              <w:color w:val="auto"/>
              <w:highlight w:val="none"/>
            </w:rPr>
            <w:tab/>
          </w:r>
          <w:r>
            <w:rPr>
              <w:color w:val="auto"/>
              <w:highlight w:val="none"/>
            </w:rPr>
            <w:fldChar w:fldCharType="begin"/>
          </w:r>
          <w:r>
            <w:rPr>
              <w:color w:val="auto"/>
              <w:highlight w:val="none"/>
            </w:rPr>
            <w:instrText xml:space="preserve"> PAGEREF _Toc21903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_Toc22628 </w:instrText>
          </w:r>
          <w:r>
            <w:rPr>
              <w:color w:val="auto"/>
              <w:highlight w:val="none"/>
            </w:rPr>
            <w:fldChar w:fldCharType="separate"/>
          </w:r>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r>
            <w:rPr>
              <w:color w:val="auto"/>
              <w:highlight w:val="none"/>
            </w:rPr>
            <w:tab/>
          </w:r>
          <w:r>
            <w:rPr>
              <w:color w:val="auto"/>
              <w:highlight w:val="none"/>
            </w:rPr>
            <w:fldChar w:fldCharType="begin"/>
          </w:r>
          <w:r>
            <w:rPr>
              <w:color w:val="auto"/>
              <w:highlight w:val="none"/>
            </w:rPr>
            <w:instrText xml:space="preserve"> PAGEREF _Toc22628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_Toc29091 </w:instrText>
          </w:r>
          <w:r>
            <w:rPr>
              <w:color w:val="auto"/>
              <w:highlight w:val="none"/>
            </w:rPr>
            <w:fldChar w:fldCharType="separate"/>
          </w:r>
          <w:r>
            <w:rPr>
              <w:rFonts w:hint="eastAsia" w:ascii="宋体" w:hAnsi="宋体" w:eastAsia="宋体" w:cs="宋体"/>
              <w:color w:val="auto"/>
              <w:szCs w:val="21"/>
              <w:highlight w:val="none"/>
              <w:lang w:val="zh-CN"/>
            </w:rPr>
            <w:t>9</w:t>
          </w:r>
          <w:r>
            <w:rPr>
              <w:rFonts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color w:val="auto"/>
              <w:highlight w:val="none"/>
            </w:rPr>
            <w:tab/>
          </w:r>
          <w:r>
            <w:rPr>
              <w:color w:val="auto"/>
              <w:highlight w:val="none"/>
            </w:rPr>
            <w:fldChar w:fldCharType="begin"/>
          </w:r>
          <w:r>
            <w:rPr>
              <w:color w:val="auto"/>
              <w:highlight w:val="none"/>
            </w:rPr>
            <w:instrText xml:space="preserve"> PAGEREF _Toc29091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_Toc3804 </w:instrText>
          </w:r>
          <w:r>
            <w:rPr>
              <w:color w:val="auto"/>
              <w:highlight w:val="none"/>
            </w:rPr>
            <w:fldChar w:fldCharType="separate"/>
          </w:r>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r>
            <w:rPr>
              <w:color w:val="auto"/>
              <w:highlight w:val="none"/>
            </w:rPr>
            <w:tab/>
          </w:r>
          <w:r>
            <w:rPr>
              <w:color w:val="auto"/>
              <w:highlight w:val="none"/>
            </w:rPr>
            <w:fldChar w:fldCharType="begin"/>
          </w:r>
          <w:r>
            <w:rPr>
              <w:color w:val="auto"/>
              <w:highlight w:val="none"/>
            </w:rPr>
            <w:instrText xml:space="preserve"> PAGEREF _Toc3804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_Toc20926 </w:instrText>
          </w:r>
          <w:r>
            <w:rPr>
              <w:color w:val="auto"/>
              <w:highlight w:val="none"/>
            </w:rPr>
            <w:fldChar w:fldCharType="separate"/>
          </w:r>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r>
            <w:rPr>
              <w:color w:val="auto"/>
              <w:highlight w:val="none"/>
            </w:rPr>
            <w:tab/>
          </w:r>
          <w:r>
            <w:rPr>
              <w:color w:val="auto"/>
              <w:highlight w:val="none"/>
            </w:rPr>
            <w:fldChar w:fldCharType="begin"/>
          </w:r>
          <w:r>
            <w:rPr>
              <w:color w:val="auto"/>
              <w:highlight w:val="none"/>
            </w:rPr>
            <w:instrText xml:space="preserve"> PAGEREF _Toc20926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_Toc31014 </w:instrText>
          </w:r>
          <w:r>
            <w:rPr>
              <w:color w:val="auto"/>
              <w:highlight w:val="none"/>
            </w:rPr>
            <w:fldChar w:fldCharType="separate"/>
          </w:r>
          <w:r>
            <w:rPr>
              <w:rFonts w:hint="eastAsia" w:ascii="宋体" w:hAnsi="宋体" w:eastAsia="宋体" w:cs="宋体"/>
              <w:color w:val="auto"/>
              <w:szCs w:val="21"/>
              <w:highlight w:val="none"/>
              <w:lang w:val="zh-CN"/>
            </w:rPr>
            <w:t>12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投标报价货币</w:t>
          </w:r>
          <w:r>
            <w:rPr>
              <w:color w:val="auto"/>
              <w:highlight w:val="none"/>
            </w:rPr>
            <w:tab/>
          </w:r>
          <w:r>
            <w:rPr>
              <w:color w:val="auto"/>
              <w:highlight w:val="none"/>
            </w:rPr>
            <w:fldChar w:fldCharType="begin"/>
          </w:r>
          <w:r>
            <w:rPr>
              <w:color w:val="auto"/>
              <w:highlight w:val="none"/>
            </w:rPr>
            <w:instrText xml:space="preserve"> PAGEREF _Toc31014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_Toc13243 </w:instrText>
          </w:r>
          <w:r>
            <w:rPr>
              <w:color w:val="auto"/>
              <w:highlight w:val="none"/>
            </w:rPr>
            <w:fldChar w:fldCharType="separate"/>
          </w:r>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r>
            <w:rPr>
              <w:color w:val="auto"/>
              <w:highlight w:val="none"/>
            </w:rPr>
            <w:tab/>
          </w:r>
          <w:r>
            <w:rPr>
              <w:color w:val="auto"/>
              <w:highlight w:val="none"/>
            </w:rPr>
            <w:fldChar w:fldCharType="begin"/>
          </w:r>
          <w:r>
            <w:rPr>
              <w:color w:val="auto"/>
              <w:highlight w:val="none"/>
            </w:rPr>
            <w:instrText xml:space="preserve"> PAGEREF _Toc13243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_Toc11969 </w:instrText>
          </w:r>
          <w:r>
            <w:rPr>
              <w:color w:val="auto"/>
              <w:highlight w:val="none"/>
            </w:rPr>
            <w:fldChar w:fldCharType="separate"/>
          </w:r>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r>
            <w:rPr>
              <w:color w:val="auto"/>
              <w:highlight w:val="none"/>
            </w:rPr>
            <w:tab/>
          </w:r>
          <w:r>
            <w:rPr>
              <w:color w:val="auto"/>
              <w:highlight w:val="none"/>
            </w:rPr>
            <w:fldChar w:fldCharType="begin"/>
          </w:r>
          <w:r>
            <w:rPr>
              <w:color w:val="auto"/>
              <w:highlight w:val="none"/>
            </w:rPr>
            <w:instrText xml:space="preserve"> PAGEREF _Toc11969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_Toc17866 </w:instrText>
          </w:r>
          <w:r>
            <w:rPr>
              <w:color w:val="auto"/>
              <w:highlight w:val="none"/>
            </w:rPr>
            <w:fldChar w:fldCharType="separate"/>
          </w:r>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r>
            <w:rPr>
              <w:color w:val="auto"/>
              <w:highlight w:val="none"/>
            </w:rPr>
            <w:tab/>
          </w:r>
          <w:r>
            <w:rPr>
              <w:color w:val="auto"/>
              <w:highlight w:val="none"/>
            </w:rPr>
            <w:fldChar w:fldCharType="begin"/>
          </w:r>
          <w:r>
            <w:rPr>
              <w:color w:val="auto"/>
              <w:highlight w:val="none"/>
            </w:rPr>
            <w:instrText xml:space="preserve"> PAGEREF _Toc17866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_Toc3856 </w:instrText>
          </w:r>
          <w:r>
            <w:rPr>
              <w:color w:val="auto"/>
              <w:highlight w:val="none"/>
            </w:rPr>
            <w:fldChar w:fldCharType="separate"/>
          </w:r>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r>
            <w:rPr>
              <w:color w:val="auto"/>
              <w:highlight w:val="none"/>
            </w:rPr>
            <w:tab/>
          </w:r>
          <w:r>
            <w:rPr>
              <w:color w:val="auto"/>
              <w:highlight w:val="none"/>
            </w:rPr>
            <w:fldChar w:fldCharType="begin"/>
          </w:r>
          <w:r>
            <w:rPr>
              <w:color w:val="auto"/>
              <w:highlight w:val="none"/>
            </w:rPr>
            <w:instrText xml:space="preserve"> PAGEREF _Toc3856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_Toc21511 </w:instrText>
          </w:r>
          <w:r>
            <w:rPr>
              <w:color w:val="auto"/>
              <w:highlight w:val="none"/>
            </w:rPr>
            <w:fldChar w:fldCharType="separate"/>
          </w: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r>
            <w:rPr>
              <w:color w:val="auto"/>
              <w:highlight w:val="none"/>
            </w:rPr>
            <w:tab/>
          </w:r>
          <w:r>
            <w:rPr>
              <w:color w:val="auto"/>
              <w:highlight w:val="none"/>
            </w:rPr>
            <w:fldChar w:fldCharType="begin"/>
          </w:r>
          <w:r>
            <w:rPr>
              <w:color w:val="auto"/>
              <w:highlight w:val="none"/>
            </w:rPr>
            <w:instrText xml:space="preserve"> PAGEREF _Toc21511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9"/>
            <w:tabs>
              <w:tab w:val="right" w:leader="dot" w:pos="9820"/>
            </w:tabs>
            <w:ind w:firstLine="840" w:firstLineChars="400"/>
            <w:rPr>
              <w:color w:val="auto"/>
              <w:highlight w:val="none"/>
            </w:rPr>
          </w:pPr>
          <w:r>
            <w:rPr>
              <w:color w:val="auto"/>
              <w:highlight w:val="none"/>
            </w:rPr>
            <w:fldChar w:fldCharType="begin"/>
          </w:r>
          <w:r>
            <w:rPr>
              <w:color w:val="auto"/>
              <w:highlight w:val="none"/>
            </w:rPr>
            <w:instrText xml:space="preserve"> HYPERLINK \l _Toc32503 </w:instrText>
          </w:r>
          <w:r>
            <w:rPr>
              <w:color w:val="auto"/>
              <w:highlight w:val="none"/>
            </w:rPr>
            <w:fldChar w:fldCharType="separate"/>
          </w:r>
          <w:r>
            <w:rPr>
              <w:rFonts w:hint="eastAsia" w:ascii="宋体" w:hAnsi="宋体" w:eastAsia="宋体" w:cs="宋体"/>
              <w:b/>
              <w:bCs w:val="0"/>
              <w:color w:val="auto"/>
              <w:kern w:val="44"/>
              <w:szCs w:val="21"/>
              <w:highlight w:val="none"/>
              <w:lang w:val="zh-CN"/>
            </w:rPr>
            <w:t>四、投标文件的递交</w:t>
          </w:r>
          <w:r>
            <w:rPr>
              <w:color w:val="auto"/>
              <w:highlight w:val="none"/>
            </w:rPr>
            <w:tab/>
          </w:r>
          <w:r>
            <w:rPr>
              <w:color w:val="auto"/>
              <w:highlight w:val="none"/>
            </w:rPr>
            <w:fldChar w:fldCharType="begin"/>
          </w:r>
          <w:r>
            <w:rPr>
              <w:color w:val="auto"/>
              <w:highlight w:val="none"/>
            </w:rPr>
            <w:instrText xml:space="preserve"> PAGEREF _Toc32503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_Toc15388 </w:instrText>
          </w:r>
          <w:r>
            <w:rPr>
              <w:color w:val="auto"/>
              <w:highlight w:val="none"/>
            </w:rPr>
            <w:fldChar w:fldCharType="separate"/>
          </w:r>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r>
            <w:rPr>
              <w:color w:val="auto"/>
              <w:highlight w:val="none"/>
            </w:rPr>
            <w:tab/>
          </w:r>
          <w:r>
            <w:rPr>
              <w:color w:val="auto"/>
              <w:highlight w:val="none"/>
            </w:rPr>
            <w:fldChar w:fldCharType="begin"/>
          </w:r>
          <w:r>
            <w:rPr>
              <w:color w:val="auto"/>
              <w:highlight w:val="none"/>
            </w:rPr>
            <w:instrText xml:space="preserve"> PAGEREF _Toc15388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_Toc2179 </w:instrText>
          </w:r>
          <w:r>
            <w:rPr>
              <w:color w:val="auto"/>
              <w:highlight w:val="none"/>
            </w:rPr>
            <w:fldChar w:fldCharType="separate"/>
          </w:r>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r>
            <w:rPr>
              <w:color w:val="auto"/>
              <w:highlight w:val="none"/>
            </w:rPr>
            <w:tab/>
          </w:r>
          <w:r>
            <w:rPr>
              <w:color w:val="auto"/>
              <w:highlight w:val="none"/>
            </w:rPr>
            <w:fldChar w:fldCharType="begin"/>
          </w:r>
          <w:r>
            <w:rPr>
              <w:color w:val="auto"/>
              <w:highlight w:val="none"/>
            </w:rPr>
            <w:instrText xml:space="preserve"> PAGEREF _Toc2179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_Toc7870 </w:instrText>
          </w:r>
          <w:r>
            <w:rPr>
              <w:color w:val="auto"/>
              <w:highlight w:val="none"/>
            </w:rPr>
            <w:fldChar w:fldCharType="separate"/>
          </w:r>
          <w:r>
            <w:rPr>
              <w:rFonts w:hint="eastAsia" w:ascii="宋体" w:hAnsi="宋体" w:eastAsia="宋体" w:cs="宋体"/>
              <w:color w:val="auto"/>
              <w:szCs w:val="21"/>
              <w:highlight w:val="none"/>
              <w:lang w:val="zh-CN"/>
            </w:rPr>
            <w:t>20 迟交的投标文件</w:t>
          </w:r>
          <w:r>
            <w:rPr>
              <w:color w:val="auto"/>
              <w:highlight w:val="none"/>
            </w:rPr>
            <w:tab/>
          </w:r>
          <w:r>
            <w:rPr>
              <w:color w:val="auto"/>
              <w:highlight w:val="none"/>
            </w:rPr>
            <w:fldChar w:fldCharType="begin"/>
          </w:r>
          <w:r>
            <w:rPr>
              <w:color w:val="auto"/>
              <w:highlight w:val="none"/>
            </w:rPr>
            <w:instrText xml:space="preserve"> PAGEREF _Toc7870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_Toc5353 </w:instrText>
          </w:r>
          <w:r>
            <w:rPr>
              <w:color w:val="auto"/>
              <w:highlight w:val="none"/>
            </w:rPr>
            <w:fldChar w:fldCharType="separate"/>
          </w:r>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r>
            <w:rPr>
              <w:color w:val="auto"/>
              <w:highlight w:val="none"/>
            </w:rPr>
            <w:tab/>
          </w:r>
          <w:r>
            <w:rPr>
              <w:color w:val="auto"/>
              <w:highlight w:val="none"/>
            </w:rPr>
            <w:fldChar w:fldCharType="begin"/>
          </w:r>
          <w:r>
            <w:rPr>
              <w:color w:val="auto"/>
              <w:highlight w:val="none"/>
            </w:rPr>
            <w:instrText xml:space="preserve"> PAGEREF _Toc5353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9"/>
            <w:tabs>
              <w:tab w:val="right" w:leader="dot" w:pos="9820"/>
            </w:tabs>
            <w:ind w:firstLine="840" w:firstLineChars="400"/>
            <w:rPr>
              <w:color w:val="auto"/>
              <w:highlight w:val="none"/>
            </w:rPr>
          </w:pPr>
          <w:r>
            <w:rPr>
              <w:color w:val="auto"/>
              <w:highlight w:val="none"/>
            </w:rPr>
            <w:fldChar w:fldCharType="begin"/>
          </w:r>
          <w:r>
            <w:rPr>
              <w:color w:val="auto"/>
              <w:highlight w:val="none"/>
            </w:rPr>
            <w:instrText xml:space="preserve"> HYPERLINK \l _Toc17987 </w:instrText>
          </w:r>
          <w:r>
            <w:rPr>
              <w:color w:val="auto"/>
              <w:highlight w:val="none"/>
            </w:rPr>
            <w:fldChar w:fldCharType="separate"/>
          </w:r>
          <w:r>
            <w:rPr>
              <w:rFonts w:hint="eastAsia" w:ascii="宋体" w:hAnsi="宋体" w:eastAsia="宋体" w:cs="宋体"/>
              <w:b/>
              <w:bCs w:val="0"/>
              <w:color w:val="auto"/>
              <w:kern w:val="44"/>
              <w:szCs w:val="21"/>
              <w:highlight w:val="none"/>
              <w:lang w:val="zh-CN"/>
            </w:rPr>
            <w:t>五、开标与评标</w:t>
          </w:r>
          <w:r>
            <w:rPr>
              <w:color w:val="auto"/>
              <w:highlight w:val="none"/>
            </w:rPr>
            <w:tab/>
          </w:r>
          <w:r>
            <w:rPr>
              <w:color w:val="auto"/>
              <w:highlight w:val="none"/>
            </w:rPr>
            <w:fldChar w:fldCharType="begin"/>
          </w:r>
          <w:r>
            <w:rPr>
              <w:color w:val="auto"/>
              <w:highlight w:val="none"/>
            </w:rPr>
            <w:instrText xml:space="preserve"> PAGEREF _Toc17987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_Toc31576 </w:instrText>
          </w:r>
          <w:r>
            <w:rPr>
              <w:color w:val="auto"/>
              <w:highlight w:val="none"/>
            </w:rPr>
            <w:fldChar w:fldCharType="separate"/>
          </w:r>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r>
            <w:rPr>
              <w:color w:val="auto"/>
              <w:highlight w:val="none"/>
            </w:rPr>
            <w:tab/>
          </w:r>
          <w:r>
            <w:rPr>
              <w:color w:val="auto"/>
              <w:highlight w:val="none"/>
            </w:rPr>
            <w:fldChar w:fldCharType="begin"/>
          </w:r>
          <w:r>
            <w:rPr>
              <w:color w:val="auto"/>
              <w:highlight w:val="none"/>
            </w:rPr>
            <w:instrText xml:space="preserve"> PAGEREF _Toc31576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_Toc12957 </w:instrText>
          </w:r>
          <w:r>
            <w:rPr>
              <w:color w:val="auto"/>
              <w:highlight w:val="none"/>
            </w:rPr>
            <w:fldChar w:fldCharType="separate"/>
          </w:r>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r>
            <w:rPr>
              <w:color w:val="auto"/>
              <w:highlight w:val="none"/>
            </w:rPr>
            <w:tab/>
          </w:r>
          <w:r>
            <w:rPr>
              <w:color w:val="auto"/>
              <w:highlight w:val="none"/>
            </w:rPr>
            <w:fldChar w:fldCharType="begin"/>
          </w:r>
          <w:r>
            <w:rPr>
              <w:color w:val="auto"/>
              <w:highlight w:val="none"/>
            </w:rPr>
            <w:instrText xml:space="preserve"> PAGEREF _Toc12957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_Toc13169 </w:instrText>
          </w:r>
          <w:r>
            <w:rPr>
              <w:color w:val="auto"/>
              <w:highlight w:val="none"/>
            </w:rPr>
            <w:fldChar w:fldCharType="separate"/>
          </w:r>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r>
            <w:rPr>
              <w:color w:val="auto"/>
              <w:highlight w:val="none"/>
            </w:rPr>
            <w:tab/>
          </w:r>
          <w:r>
            <w:rPr>
              <w:color w:val="auto"/>
              <w:highlight w:val="none"/>
            </w:rPr>
            <w:fldChar w:fldCharType="begin"/>
          </w:r>
          <w:r>
            <w:rPr>
              <w:color w:val="auto"/>
              <w:highlight w:val="none"/>
            </w:rPr>
            <w:instrText xml:space="preserve"> PAGEREF _Toc13169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_Toc32385 </w:instrText>
          </w:r>
          <w:r>
            <w:rPr>
              <w:color w:val="auto"/>
              <w:highlight w:val="none"/>
            </w:rPr>
            <w:fldChar w:fldCharType="separate"/>
          </w:r>
          <w:r>
            <w:rPr>
              <w:rFonts w:hint="eastAsia" w:ascii="宋体" w:hAnsi="宋体" w:eastAsia="宋体" w:cs="宋体"/>
              <w:color w:val="auto"/>
              <w:szCs w:val="21"/>
              <w:highlight w:val="none"/>
              <w:lang w:val="zh-CN"/>
            </w:rPr>
            <w:t>25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投标文件的初审</w:t>
          </w:r>
          <w:r>
            <w:rPr>
              <w:color w:val="auto"/>
              <w:highlight w:val="none"/>
            </w:rPr>
            <w:tab/>
          </w:r>
          <w:r>
            <w:rPr>
              <w:color w:val="auto"/>
              <w:highlight w:val="none"/>
            </w:rPr>
            <w:fldChar w:fldCharType="begin"/>
          </w:r>
          <w:r>
            <w:rPr>
              <w:color w:val="auto"/>
              <w:highlight w:val="none"/>
            </w:rPr>
            <w:instrText xml:space="preserve"> PAGEREF _Toc32385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_Toc12383 </w:instrText>
          </w:r>
          <w:r>
            <w:rPr>
              <w:color w:val="auto"/>
              <w:highlight w:val="none"/>
            </w:rPr>
            <w:fldChar w:fldCharType="separate"/>
          </w:r>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r>
            <w:rPr>
              <w:color w:val="auto"/>
              <w:highlight w:val="none"/>
            </w:rPr>
            <w:tab/>
          </w:r>
          <w:r>
            <w:rPr>
              <w:color w:val="auto"/>
              <w:highlight w:val="none"/>
            </w:rPr>
            <w:fldChar w:fldCharType="begin"/>
          </w:r>
          <w:r>
            <w:rPr>
              <w:color w:val="auto"/>
              <w:highlight w:val="none"/>
            </w:rPr>
            <w:instrText xml:space="preserve"> PAGEREF _Toc12383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_Toc11913 </w:instrText>
          </w:r>
          <w:r>
            <w:rPr>
              <w:color w:val="auto"/>
              <w:highlight w:val="none"/>
            </w:rPr>
            <w:fldChar w:fldCharType="separate"/>
          </w:r>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r>
            <w:rPr>
              <w:color w:val="auto"/>
              <w:highlight w:val="none"/>
            </w:rPr>
            <w:tab/>
          </w:r>
          <w:r>
            <w:rPr>
              <w:color w:val="auto"/>
              <w:highlight w:val="none"/>
            </w:rPr>
            <w:fldChar w:fldCharType="begin"/>
          </w:r>
          <w:r>
            <w:rPr>
              <w:color w:val="auto"/>
              <w:highlight w:val="none"/>
            </w:rPr>
            <w:instrText xml:space="preserve"> PAGEREF _Toc11913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_Toc17033 </w:instrText>
          </w:r>
          <w:r>
            <w:rPr>
              <w:color w:val="auto"/>
              <w:highlight w:val="none"/>
            </w:rPr>
            <w:fldChar w:fldCharType="separate"/>
          </w:r>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r>
            <w:rPr>
              <w:color w:val="auto"/>
              <w:highlight w:val="none"/>
            </w:rPr>
            <w:tab/>
          </w:r>
          <w:r>
            <w:rPr>
              <w:color w:val="auto"/>
              <w:highlight w:val="none"/>
            </w:rPr>
            <w:fldChar w:fldCharType="begin"/>
          </w:r>
          <w:r>
            <w:rPr>
              <w:color w:val="auto"/>
              <w:highlight w:val="none"/>
            </w:rPr>
            <w:instrText xml:space="preserve"> PAGEREF _Toc17033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_Toc779 </w:instrText>
          </w:r>
          <w:r>
            <w:rPr>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r>
            <w:rPr>
              <w:color w:val="auto"/>
              <w:highlight w:val="none"/>
            </w:rPr>
            <w:tab/>
          </w:r>
          <w:r>
            <w:rPr>
              <w:color w:val="auto"/>
              <w:highlight w:val="none"/>
            </w:rPr>
            <w:fldChar w:fldCharType="begin"/>
          </w:r>
          <w:r>
            <w:rPr>
              <w:color w:val="auto"/>
              <w:highlight w:val="none"/>
            </w:rPr>
            <w:instrText xml:space="preserve"> PAGEREF _Toc779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_Toc25205 </w:instrText>
          </w:r>
          <w:r>
            <w:rPr>
              <w:color w:val="auto"/>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color w:val="auto"/>
              <w:highlight w:val="none"/>
            </w:rPr>
            <w:tab/>
          </w:r>
          <w:r>
            <w:rPr>
              <w:color w:val="auto"/>
              <w:highlight w:val="none"/>
            </w:rPr>
            <w:fldChar w:fldCharType="begin"/>
          </w:r>
          <w:r>
            <w:rPr>
              <w:color w:val="auto"/>
              <w:highlight w:val="none"/>
            </w:rPr>
            <w:instrText xml:space="preserve"> PAGEREF _Toc25205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_Toc6550 </w:instrText>
          </w:r>
          <w:r>
            <w:rPr>
              <w:color w:val="auto"/>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color w:val="auto"/>
              <w:highlight w:val="none"/>
            </w:rPr>
            <w:tab/>
          </w:r>
          <w:r>
            <w:rPr>
              <w:color w:val="auto"/>
              <w:highlight w:val="none"/>
            </w:rPr>
            <w:fldChar w:fldCharType="begin"/>
          </w:r>
          <w:r>
            <w:rPr>
              <w:color w:val="auto"/>
              <w:highlight w:val="none"/>
            </w:rPr>
            <w:instrText xml:space="preserve"> PAGEREF _Toc6550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9"/>
            <w:tabs>
              <w:tab w:val="right" w:leader="dot" w:pos="9820"/>
            </w:tabs>
            <w:ind w:firstLine="840" w:firstLineChars="400"/>
            <w:rPr>
              <w:color w:val="auto"/>
              <w:highlight w:val="none"/>
            </w:rPr>
          </w:pPr>
          <w:r>
            <w:rPr>
              <w:color w:val="auto"/>
              <w:highlight w:val="none"/>
            </w:rPr>
            <w:fldChar w:fldCharType="begin"/>
          </w:r>
          <w:r>
            <w:rPr>
              <w:color w:val="auto"/>
              <w:highlight w:val="none"/>
            </w:rPr>
            <w:instrText xml:space="preserve"> HYPERLINK \l _Toc2951 </w:instrText>
          </w:r>
          <w:r>
            <w:rPr>
              <w:color w:val="auto"/>
              <w:highlight w:val="none"/>
            </w:rPr>
            <w:fldChar w:fldCharType="separate"/>
          </w:r>
          <w:r>
            <w:rPr>
              <w:rFonts w:hint="eastAsia" w:ascii="宋体" w:hAnsi="宋体" w:eastAsia="宋体" w:cs="宋体"/>
              <w:b/>
              <w:bCs w:val="0"/>
              <w:color w:val="auto"/>
              <w:kern w:val="44"/>
              <w:szCs w:val="21"/>
              <w:highlight w:val="none"/>
              <w:lang w:val="zh-CN"/>
            </w:rPr>
            <w:t>六、授予合同</w:t>
          </w:r>
          <w:r>
            <w:rPr>
              <w:color w:val="auto"/>
              <w:highlight w:val="none"/>
            </w:rPr>
            <w:tab/>
          </w:r>
          <w:r>
            <w:rPr>
              <w:color w:val="auto"/>
              <w:highlight w:val="none"/>
            </w:rPr>
            <w:fldChar w:fldCharType="begin"/>
          </w:r>
          <w:r>
            <w:rPr>
              <w:color w:val="auto"/>
              <w:highlight w:val="none"/>
            </w:rPr>
            <w:instrText xml:space="preserve"> PAGEREF _Toc2951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_Toc26987 </w:instrText>
          </w:r>
          <w:r>
            <w:rPr>
              <w:color w:val="auto"/>
              <w:highlight w:val="none"/>
            </w:rPr>
            <w:fldChar w:fldCharType="separate"/>
          </w:r>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r>
            <w:rPr>
              <w:color w:val="auto"/>
              <w:highlight w:val="none"/>
            </w:rPr>
            <w:tab/>
          </w:r>
          <w:r>
            <w:rPr>
              <w:color w:val="auto"/>
              <w:highlight w:val="none"/>
            </w:rPr>
            <w:fldChar w:fldCharType="begin"/>
          </w:r>
          <w:r>
            <w:rPr>
              <w:color w:val="auto"/>
              <w:highlight w:val="none"/>
            </w:rPr>
            <w:instrText xml:space="preserve"> PAGEREF _Toc26987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_Toc1926 </w:instrText>
          </w:r>
          <w:r>
            <w:rPr>
              <w:color w:val="auto"/>
              <w:highlight w:val="none"/>
            </w:rPr>
            <w:fldChar w:fldCharType="separate"/>
          </w:r>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r>
            <w:rPr>
              <w:color w:val="auto"/>
              <w:highlight w:val="none"/>
            </w:rPr>
            <w:tab/>
          </w:r>
          <w:r>
            <w:rPr>
              <w:color w:val="auto"/>
              <w:highlight w:val="none"/>
            </w:rPr>
            <w:fldChar w:fldCharType="begin"/>
          </w:r>
          <w:r>
            <w:rPr>
              <w:color w:val="auto"/>
              <w:highlight w:val="none"/>
            </w:rPr>
            <w:instrText xml:space="preserve"> PAGEREF _Toc1926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_Toc19725 </w:instrText>
          </w:r>
          <w:r>
            <w:rPr>
              <w:color w:val="auto"/>
              <w:highlight w:val="none"/>
            </w:rPr>
            <w:fldChar w:fldCharType="separate"/>
          </w:r>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r>
            <w:rPr>
              <w:color w:val="auto"/>
              <w:highlight w:val="none"/>
            </w:rPr>
            <w:tab/>
          </w:r>
          <w:r>
            <w:rPr>
              <w:color w:val="auto"/>
              <w:highlight w:val="none"/>
            </w:rPr>
            <w:fldChar w:fldCharType="begin"/>
          </w:r>
          <w:r>
            <w:rPr>
              <w:color w:val="auto"/>
              <w:highlight w:val="none"/>
            </w:rPr>
            <w:instrText xml:space="preserve"> PAGEREF _Toc19725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_Toc1889 </w:instrText>
          </w:r>
          <w:r>
            <w:rPr>
              <w:color w:val="auto"/>
              <w:highlight w:val="none"/>
            </w:rPr>
            <w:fldChar w:fldCharType="separate"/>
          </w:r>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r>
            <w:rPr>
              <w:color w:val="auto"/>
              <w:highlight w:val="none"/>
            </w:rPr>
            <w:tab/>
          </w:r>
          <w:r>
            <w:rPr>
              <w:color w:val="auto"/>
              <w:highlight w:val="none"/>
            </w:rPr>
            <w:fldChar w:fldCharType="begin"/>
          </w:r>
          <w:r>
            <w:rPr>
              <w:color w:val="auto"/>
              <w:highlight w:val="none"/>
            </w:rPr>
            <w:instrText xml:space="preserve"> PAGEREF _Toc1889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_Toc14428 </w:instrText>
          </w:r>
          <w:r>
            <w:rPr>
              <w:color w:val="auto"/>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color w:val="auto"/>
              <w:highlight w:val="none"/>
            </w:rPr>
            <w:tab/>
          </w:r>
          <w:r>
            <w:rPr>
              <w:color w:val="auto"/>
              <w:highlight w:val="none"/>
            </w:rPr>
            <w:fldChar w:fldCharType="begin"/>
          </w:r>
          <w:r>
            <w:rPr>
              <w:color w:val="auto"/>
              <w:highlight w:val="none"/>
            </w:rPr>
            <w:instrText xml:space="preserve"> PAGEREF _Toc14428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_Toc17269 </w:instrText>
          </w:r>
          <w:r>
            <w:rPr>
              <w:color w:val="auto"/>
              <w:highlight w:val="none"/>
            </w:rPr>
            <w:fldChar w:fldCharType="separate"/>
          </w:r>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r>
            <w:rPr>
              <w:color w:val="auto"/>
              <w:highlight w:val="none"/>
            </w:rPr>
            <w:tab/>
          </w:r>
          <w:r>
            <w:rPr>
              <w:color w:val="auto"/>
              <w:highlight w:val="none"/>
            </w:rPr>
            <w:fldChar w:fldCharType="begin"/>
          </w:r>
          <w:r>
            <w:rPr>
              <w:color w:val="auto"/>
              <w:highlight w:val="none"/>
            </w:rPr>
            <w:instrText xml:space="preserve"> PAGEREF _Toc17269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_Toc20023 </w:instrText>
          </w:r>
          <w:r>
            <w:rPr>
              <w:color w:val="auto"/>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color w:val="auto"/>
              <w:highlight w:val="none"/>
            </w:rPr>
            <w:tab/>
          </w:r>
          <w:r>
            <w:rPr>
              <w:color w:val="auto"/>
              <w:highlight w:val="none"/>
            </w:rPr>
            <w:fldChar w:fldCharType="begin"/>
          </w:r>
          <w:r>
            <w:rPr>
              <w:color w:val="auto"/>
              <w:highlight w:val="none"/>
            </w:rPr>
            <w:instrText xml:space="preserve"> PAGEREF _Toc20023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_Toc22332 </w:instrText>
          </w:r>
          <w:r>
            <w:rPr>
              <w:color w:val="auto"/>
              <w:highlight w:val="none"/>
            </w:rPr>
            <w:fldChar w:fldCharType="separate"/>
          </w:r>
          <w:r>
            <w:rPr>
              <w:rFonts w:ascii="宋体" w:hAnsi="宋体" w:eastAsia="宋体" w:cs="宋体"/>
              <w:color w:val="auto"/>
              <w:szCs w:val="21"/>
              <w:highlight w:val="none"/>
            </w:rPr>
            <w:t>39 招标相关补充约定</w:t>
          </w:r>
          <w:r>
            <w:rPr>
              <w:color w:val="auto"/>
              <w:highlight w:val="none"/>
            </w:rPr>
            <w:tab/>
          </w:r>
          <w:r>
            <w:rPr>
              <w:color w:val="auto"/>
              <w:highlight w:val="none"/>
            </w:rPr>
            <w:fldChar w:fldCharType="begin"/>
          </w:r>
          <w:r>
            <w:rPr>
              <w:color w:val="auto"/>
              <w:highlight w:val="none"/>
            </w:rPr>
            <w:instrText xml:space="preserve"> PAGEREF _Toc22332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2"/>
            <w:tabs>
              <w:tab w:val="right" w:leader="dot" w:pos="9820"/>
              <w:tab w:val="clear" w:pos="10144"/>
            </w:tabs>
            <w:rPr>
              <w:color w:val="auto"/>
              <w:highlight w:val="none"/>
            </w:rPr>
          </w:pPr>
          <w:r>
            <w:rPr>
              <w:color w:val="auto"/>
              <w:highlight w:val="none"/>
            </w:rPr>
            <w:fldChar w:fldCharType="begin"/>
          </w:r>
          <w:r>
            <w:rPr>
              <w:color w:val="auto"/>
              <w:highlight w:val="none"/>
            </w:rPr>
            <w:instrText xml:space="preserve"> HYPERLINK \l _Toc30718 </w:instrText>
          </w:r>
          <w:r>
            <w:rPr>
              <w:color w:val="auto"/>
              <w:highlight w:val="none"/>
            </w:rPr>
            <w:fldChar w:fldCharType="separate"/>
          </w:r>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r>
            <w:rPr>
              <w:color w:val="auto"/>
              <w:highlight w:val="none"/>
            </w:rPr>
            <w:tab/>
          </w:r>
          <w:r>
            <w:rPr>
              <w:color w:val="auto"/>
              <w:highlight w:val="none"/>
            </w:rPr>
            <w:fldChar w:fldCharType="begin"/>
          </w:r>
          <w:r>
            <w:rPr>
              <w:color w:val="auto"/>
              <w:highlight w:val="none"/>
            </w:rPr>
            <w:instrText xml:space="preserve"> PAGEREF _Toc30718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9"/>
            <w:tabs>
              <w:tab w:val="right" w:leader="dot" w:pos="9820"/>
            </w:tabs>
            <w:rPr>
              <w:color w:val="auto"/>
              <w:highlight w:val="none"/>
            </w:rPr>
          </w:pPr>
          <w:r>
            <w:rPr>
              <w:color w:val="auto"/>
              <w:highlight w:val="none"/>
            </w:rPr>
            <w:fldChar w:fldCharType="begin"/>
          </w:r>
          <w:r>
            <w:rPr>
              <w:color w:val="auto"/>
              <w:highlight w:val="none"/>
            </w:rPr>
            <w:instrText xml:space="preserve"> HYPERLINK \l _Toc31542 </w:instrText>
          </w:r>
          <w:r>
            <w:rPr>
              <w:color w:val="auto"/>
              <w:highlight w:val="none"/>
            </w:rPr>
            <w:fldChar w:fldCharType="separate"/>
          </w:r>
          <w:r>
            <w:rPr>
              <w:rFonts w:hint="eastAsia" w:ascii="宋体" w:hAnsi="宋体" w:eastAsia="宋体" w:cs="宋体"/>
              <w:b/>
              <w:bCs w:val="0"/>
              <w:color w:val="auto"/>
              <w:kern w:val="44"/>
              <w:szCs w:val="32"/>
              <w:highlight w:val="none"/>
              <w:lang w:val="zh-CN"/>
            </w:rPr>
            <w:t>第三篇</w:t>
          </w:r>
          <w:r>
            <w:rPr>
              <w:rFonts w:ascii="宋体" w:hAnsi="宋体" w:eastAsia="宋体" w:cs="宋体"/>
              <w:b/>
              <w:bCs w:val="0"/>
              <w:color w:val="auto"/>
              <w:kern w:val="44"/>
              <w:szCs w:val="32"/>
              <w:highlight w:val="none"/>
              <w:lang w:val="zh-CN"/>
            </w:rPr>
            <w:t xml:space="preserve"> </w:t>
          </w:r>
          <w:r>
            <w:rPr>
              <w:rFonts w:hint="eastAsia" w:ascii="宋体" w:hAnsi="宋体" w:eastAsia="宋体" w:cs="宋体"/>
              <w:b/>
              <w:bCs w:val="0"/>
              <w:color w:val="auto"/>
              <w:kern w:val="44"/>
              <w:szCs w:val="32"/>
              <w:highlight w:val="none"/>
              <w:lang w:val="zh-CN"/>
            </w:rPr>
            <w:t>用户需求书</w:t>
          </w:r>
          <w:r>
            <w:rPr>
              <w:color w:val="auto"/>
              <w:highlight w:val="none"/>
            </w:rPr>
            <w:tab/>
          </w:r>
          <w:r>
            <w:rPr>
              <w:color w:val="auto"/>
              <w:highlight w:val="none"/>
            </w:rPr>
            <w:fldChar w:fldCharType="begin"/>
          </w:r>
          <w:r>
            <w:rPr>
              <w:color w:val="auto"/>
              <w:highlight w:val="none"/>
            </w:rPr>
            <w:instrText xml:space="preserve"> PAGEREF _Toc31542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9"/>
            <w:tabs>
              <w:tab w:val="right" w:leader="dot" w:pos="9820"/>
            </w:tabs>
            <w:rPr>
              <w:color w:val="auto"/>
              <w:highlight w:val="none"/>
            </w:rPr>
          </w:pPr>
          <w:r>
            <w:rPr>
              <w:color w:val="auto"/>
              <w:highlight w:val="none"/>
            </w:rPr>
            <w:fldChar w:fldCharType="begin"/>
          </w:r>
          <w:r>
            <w:rPr>
              <w:color w:val="auto"/>
              <w:highlight w:val="none"/>
            </w:rPr>
            <w:instrText xml:space="preserve"> HYPERLINK \l _Toc14551 </w:instrText>
          </w:r>
          <w:r>
            <w:rPr>
              <w:color w:val="auto"/>
              <w:highlight w:val="none"/>
            </w:rPr>
            <w:fldChar w:fldCharType="separate"/>
          </w:r>
          <w:r>
            <w:rPr>
              <w:rFonts w:hint="eastAsia" w:ascii="宋体" w:hAnsi="宋体" w:eastAsia="宋体" w:cs="宋体"/>
              <w:b/>
              <w:bCs w:val="0"/>
              <w:color w:val="auto"/>
              <w:kern w:val="44"/>
              <w:szCs w:val="32"/>
              <w:highlight w:val="none"/>
              <w:lang w:val="zh-CN"/>
            </w:rPr>
            <w:t>第四篇</w:t>
          </w:r>
          <w:r>
            <w:rPr>
              <w:rFonts w:ascii="宋体" w:hAnsi="宋体" w:eastAsia="宋体" w:cs="宋体"/>
              <w:b/>
              <w:bCs w:val="0"/>
              <w:color w:val="auto"/>
              <w:kern w:val="44"/>
              <w:szCs w:val="32"/>
              <w:highlight w:val="none"/>
              <w:lang w:val="zh-CN"/>
            </w:rPr>
            <w:t xml:space="preserve"> </w:t>
          </w:r>
          <w:r>
            <w:rPr>
              <w:rFonts w:hint="eastAsia" w:ascii="宋体" w:hAnsi="宋体" w:eastAsia="宋体" w:cs="宋体"/>
              <w:b/>
              <w:bCs w:val="0"/>
              <w:color w:val="auto"/>
              <w:kern w:val="44"/>
              <w:szCs w:val="32"/>
              <w:highlight w:val="none"/>
              <w:lang w:val="zh-CN"/>
            </w:rPr>
            <w:t>合同条款格式</w:t>
          </w:r>
          <w:r>
            <w:rPr>
              <w:color w:val="auto"/>
              <w:highlight w:val="none"/>
            </w:rPr>
            <w:tab/>
          </w:r>
          <w:r>
            <w:rPr>
              <w:color w:val="auto"/>
              <w:highlight w:val="none"/>
            </w:rPr>
            <w:fldChar w:fldCharType="begin"/>
          </w:r>
          <w:r>
            <w:rPr>
              <w:color w:val="auto"/>
              <w:highlight w:val="none"/>
            </w:rPr>
            <w:instrText xml:space="preserve"> PAGEREF _Toc14551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29"/>
            <w:tabs>
              <w:tab w:val="right" w:leader="dot" w:pos="9820"/>
            </w:tabs>
            <w:rPr>
              <w:color w:val="auto"/>
              <w:highlight w:val="none"/>
            </w:rPr>
          </w:pPr>
          <w:r>
            <w:rPr>
              <w:color w:val="auto"/>
              <w:highlight w:val="none"/>
            </w:rPr>
            <w:fldChar w:fldCharType="begin"/>
          </w:r>
          <w:r>
            <w:rPr>
              <w:color w:val="auto"/>
              <w:highlight w:val="none"/>
            </w:rPr>
            <w:instrText xml:space="preserve"> HYPERLINK \l _Toc22920 </w:instrText>
          </w:r>
          <w:r>
            <w:rPr>
              <w:color w:val="auto"/>
              <w:highlight w:val="none"/>
            </w:rPr>
            <w:fldChar w:fldCharType="separate"/>
          </w:r>
          <w:r>
            <w:rPr>
              <w:rFonts w:hint="eastAsia" w:ascii="宋体" w:hAnsi="宋体" w:eastAsia="宋体" w:cs="Times New Roman"/>
              <w:b/>
              <w:bCs w:val="0"/>
              <w:color w:val="auto"/>
              <w:szCs w:val="32"/>
              <w:highlight w:val="none"/>
              <w:lang w:val="zh-CN"/>
            </w:rPr>
            <w:t>第五篇</w:t>
          </w:r>
          <w:r>
            <w:rPr>
              <w:rFonts w:ascii="宋体" w:hAnsi="宋体" w:eastAsia="宋体" w:cs="Times New Roman"/>
              <w:b/>
              <w:bCs w:val="0"/>
              <w:color w:val="auto"/>
              <w:szCs w:val="32"/>
              <w:highlight w:val="none"/>
              <w:lang w:val="zh-CN"/>
            </w:rPr>
            <w:t xml:space="preserve"> </w:t>
          </w:r>
          <w:r>
            <w:rPr>
              <w:rFonts w:hint="eastAsia" w:ascii="宋体" w:hAnsi="宋体" w:eastAsia="宋体" w:cs="Times New Roman"/>
              <w:b/>
              <w:bCs w:val="0"/>
              <w:color w:val="auto"/>
              <w:szCs w:val="32"/>
              <w:highlight w:val="none"/>
              <w:lang w:val="zh-CN"/>
            </w:rPr>
            <w:t>相关保函格式</w:t>
          </w:r>
          <w:r>
            <w:rPr>
              <w:color w:val="auto"/>
              <w:highlight w:val="none"/>
            </w:rPr>
            <w:tab/>
          </w:r>
          <w:r>
            <w:rPr>
              <w:color w:val="auto"/>
              <w:highlight w:val="none"/>
            </w:rPr>
            <w:fldChar w:fldCharType="begin"/>
          </w:r>
          <w:r>
            <w:rPr>
              <w:color w:val="auto"/>
              <w:highlight w:val="none"/>
            </w:rPr>
            <w:instrText xml:space="preserve"> PAGEREF _Toc22920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29"/>
            <w:tabs>
              <w:tab w:val="right" w:leader="dot" w:pos="9820"/>
            </w:tabs>
            <w:rPr>
              <w:color w:val="auto"/>
              <w:highlight w:val="none"/>
            </w:rPr>
          </w:pPr>
          <w:r>
            <w:rPr>
              <w:color w:val="auto"/>
              <w:highlight w:val="none"/>
            </w:rPr>
            <w:fldChar w:fldCharType="begin"/>
          </w:r>
          <w:r>
            <w:rPr>
              <w:color w:val="auto"/>
              <w:highlight w:val="none"/>
            </w:rPr>
            <w:instrText xml:space="preserve"> HYPERLINK \l _Toc24169 </w:instrText>
          </w:r>
          <w:r>
            <w:rPr>
              <w:color w:val="auto"/>
              <w:highlight w:val="none"/>
            </w:rPr>
            <w:fldChar w:fldCharType="separate"/>
          </w:r>
          <w:r>
            <w:rPr>
              <w:rFonts w:hint="eastAsia" w:ascii="宋体" w:hAnsi="宋体" w:eastAsia="宋体" w:cs="宋体"/>
              <w:b/>
              <w:bCs w:val="0"/>
              <w:color w:val="auto"/>
              <w:kern w:val="44"/>
              <w:szCs w:val="32"/>
              <w:highlight w:val="none"/>
              <w:lang w:val="zh-CN"/>
            </w:rPr>
            <w:t>第六篇 投标文件格式</w:t>
          </w:r>
          <w:r>
            <w:rPr>
              <w:color w:val="auto"/>
              <w:highlight w:val="none"/>
            </w:rPr>
            <w:tab/>
          </w:r>
          <w:r>
            <w:rPr>
              <w:color w:val="auto"/>
              <w:highlight w:val="none"/>
            </w:rPr>
            <w:fldChar w:fldCharType="begin"/>
          </w:r>
          <w:r>
            <w:rPr>
              <w:color w:val="auto"/>
              <w:highlight w:val="none"/>
            </w:rPr>
            <w:instrText xml:space="preserve"> PAGEREF _Toc24169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29"/>
            <w:tabs>
              <w:tab w:val="right" w:leader="dot" w:pos="9820"/>
            </w:tabs>
            <w:rPr>
              <w:color w:val="auto"/>
              <w:highlight w:val="none"/>
            </w:rPr>
          </w:pPr>
          <w:r>
            <w:rPr>
              <w:color w:val="auto"/>
              <w:highlight w:val="none"/>
            </w:rPr>
            <w:fldChar w:fldCharType="begin"/>
          </w:r>
          <w:r>
            <w:rPr>
              <w:color w:val="auto"/>
              <w:highlight w:val="none"/>
            </w:rPr>
            <w:instrText xml:space="preserve"> HYPERLINK \l _Toc31468 </w:instrText>
          </w:r>
          <w:r>
            <w:rPr>
              <w:color w:val="auto"/>
              <w:highlight w:val="none"/>
            </w:rPr>
            <w:fldChar w:fldCharType="separate"/>
          </w:r>
          <w:r>
            <w:rPr>
              <w:rFonts w:hint="eastAsia" w:ascii="宋体" w:hAnsi="宋体" w:eastAsia="宋体" w:cs="宋体"/>
              <w:b/>
              <w:bCs w:val="0"/>
              <w:color w:val="auto"/>
              <w:kern w:val="44"/>
              <w:szCs w:val="32"/>
              <w:highlight w:val="none"/>
              <w:lang w:val="zh-CN"/>
            </w:rPr>
            <w:t>附件一：评标工作大纲</w:t>
          </w:r>
          <w:r>
            <w:rPr>
              <w:color w:val="auto"/>
              <w:highlight w:val="none"/>
            </w:rPr>
            <w:tab/>
          </w:r>
          <w:r>
            <w:rPr>
              <w:color w:val="auto"/>
              <w:highlight w:val="none"/>
            </w:rPr>
            <w:fldChar w:fldCharType="begin"/>
          </w:r>
          <w:r>
            <w:rPr>
              <w:color w:val="auto"/>
              <w:highlight w:val="none"/>
            </w:rPr>
            <w:instrText xml:space="preserve"> PAGEREF _Toc31468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p>
      </w:sdtContent>
    </w:sdt>
    <w:p>
      <w:pPr>
        <w:pageBreakBefore/>
        <w:tabs>
          <w:tab w:val="left" w:pos="1080"/>
        </w:tabs>
        <w:autoSpaceDE w:val="0"/>
        <w:autoSpaceDN w:val="0"/>
        <w:adjustRightInd w:val="0"/>
        <w:spacing w:line="360" w:lineRule="auto"/>
        <w:ind w:left="-167" w:leftChars="-100" w:hanging="43"/>
        <w:jc w:val="center"/>
        <w:outlineLvl w:val="0"/>
        <w:rPr>
          <w:rFonts w:hint="default" w:ascii="宋体" w:hAnsi="宋体" w:eastAsia="宋体" w:cs="宋体"/>
          <w:b/>
          <w:bCs/>
          <w:color w:val="auto"/>
          <w:kern w:val="44"/>
          <w:sz w:val="32"/>
          <w:szCs w:val="32"/>
          <w:highlight w:val="none"/>
          <w:lang w:val="en-US" w:eastAsia="zh-CN"/>
        </w:rPr>
      </w:pPr>
      <w:bookmarkStart w:id="0" w:name="_Toc14346"/>
      <w:bookmarkStart w:id="1" w:name="_Toc31395"/>
      <w:bookmarkStart w:id="2" w:name="_Toc27733"/>
      <w:bookmarkStart w:id="3" w:name="_Toc16250"/>
      <w:r>
        <w:rPr>
          <w:rFonts w:hint="eastAsia" w:ascii="宋体" w:hAnsi="宋体" w:eastAsia="宋体" w:cs="宋体"/>
          <w:b/>
          <w:bCs/>
          <w:color w:val="auto"/>
          <w:kern w:val="44"/>
          <w:sz w:val="32"/>
          <w:szCs w:val="32"/>
          <w:highlight w:val="none"/>
          <w:lang w:val="en-US" w:eastAsia="zh-CN"/>
        </w:rPr>
        <w:t>第一篇 招标公告</w:t>
      </w:r>
      <w:bookmarkEnd w:id="0"/>
      <w:bookmarkEnd w:id="1"/>
      <w:bookmarkEnd w:id="2"/>
      <w:bookmarkEnd w:id="3"/>
    </w:p>
    <w:p>
      <w:pPr>
        <w:autoSpaceDE w:val="0"/>
        <w:autoSpaceDN w:val="0"/>
        <w:adjustRightInd w:val="0"/>
        <w:snapToGrid w:val="0"/>
        <w:spacing w:line="360" w:lineRule="auto"/>
        <w:ind w:right="-34" w:firstLine="420" w:firstLineChars="200"/>
        <w:rPr>
          <w:rFonts w:hint="eastAsia" w:ascii="宋体" w:hAnsi="宋体" w:eastAsia="宋体" w:cs="Times New Roman"/>
          <w:color w:val="auto"/>
          <w:kern w:val="0"/>
          <w:szCs w:val="21"/>
          <w:highlight w:val="none"/>
        </w:rPr>
      </w:pPr>
    </w:p>
    <w:p>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szCs w:val="21"/>
          <w:highlight w:val="none"/>
          <w:lang w:val="zh-CN"/>
        </w:rPr>
        <w:t>（以下简称“招标人”）的委托，对</w:t>
      </w:r>
      <w:bookmarkStart w:id="4" w:name="_Hlk41903390"/>
      <w:r>
        <w:rPr>
          <w:rFonts w:hint="eastAsia" w:ascii="宋体" w:hAnsi="宋体" w:eastAsia="宋体" w:cs="Times New Roman"/>
          <w:color w:val="auto"/>
          <w:kern w:val="0"/>
          <w:szCs w:val="21"/>
          <w:highlight w:val="none"/>
          <w:lang w:eastAsia="zh-CN"/>
        </w:rPr>
        <w:t>东莞市水务集团供水有限公司抢修器采购项目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0832-SFCX25DG010A</w:t>
      </w:r>
      <w:r>
        <w:rPr>
          <w:rFonts w:ascii="宋体" w:hAnsi="宋体" w:eastAsia="宋体" w:cs="Times New Roman"/>
          <w:color w:val="auto"/>
          <w:szCs w:val="21"/>
          <w:highlight w:val="none"/>
          <w:lang w:val="zh-CN"/>
        </w:rPr>
        <w:t>)</w:t>
      </w:r>
      <w:bookmarkEnd w:id="4"/>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r>
        <w:rPr>
          <w:rFonts w:hint="eastAsia" w:ascii="宋体" w:hAnsi="宋体" w:eastAsia="宋体" w:cs="宋体"/>
          <w:color w:val="auto"/>
          <w:szCs w:val="21"/>
          <w:highlight w:val="none"/>
          <w:u w:val="single"/>
        </w:rPr>
        <w:t>服务期内，</w:t>
      </w:r>
      <w:r>
        <w:rPr>
          <w:rFonts w:hint="eastAsia" w:ascii="宋体" w:hAnsi="宋体" w:eastAsia="宋体" w:cs="Times New Roman"/>
          <w:color w:val="auto"/>
          <w:kern w:val="0"/>
          <w:szCs w:val="21"/>
          <w:highlight w:val="none"/>
        </w:rPr>
        <w:t>东莞市水务集团供水有限公司</w:t>
      </w:r>
      <w:r>
        <w:rPr>
          <w:rFonts w:hint="eastAsia" w:ascii="宋体" w:hAnsi="宋体" w:eastAsia="宋体" w:cs="Times New Roman"/>
          <w:color w:val="auto"/>
          <w:kern w:val="0"/>
          <w:szCs w:val="21"/>
          <w:highlight w:val="none"/>
          <w:lang w:val="en-US" w:eastAsia="zh-CN"/>
        </w:rPr>
        <w:t>抢修器</w:t>
      </w:r>
      <w:r>
        <w:rPr>
          <w:rFonts w:hint="eastAsia" w:ascii="宋体" w:hAnsi="宋体" w:eastAsia="宋体" w:cs="宋体"/>
          <w:color w:val="auto"/>
          <w:szCs w:val="21"/>
          <w:highlight w:val="none"/>
          <w:u w:val="single"/>
        </w:rPr>
        <w:t>的采购，包供货和运输</w:t>
      </w:r>
      <w:r>
        <w:rPr>
          <w:rFonts w:hint="eastAsia" w:ascii="宋体" w:hAnsi="宋体" w:eastAsia="宋体" w:cs="Times New Roman"/>
          <w:color w:val="auto"/>
          <w:szCs w:val="21"/>
          <w:highlight w:val="none"/>
          <w:lang w:val="zh-CN"/>
        </w:rPr>
        <w:t>。（具体内容详见：第三篇用户需求书）。</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pPr>
        <w:pStyle w:val="159"/>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pPr>
        <w:pStyle w:val="159"/>
        <w:spacing w:line="360" w:lineRule="auto"/>
        <w:ind w:left="422" w:leftChars="0" w:right="-29" w:rightChars="-14" w:hanging="422" w:hangingChars="200"/>
        <w:jc w:val="both"/>
        <w:rPr>
          <w:rFonts w:hint="default" w:hAnsi="宋体" w:eastAsia="宋体"/>
          <w:b/>
          <w:color w:val="auto"/>
          <w:sz w:val="21"/>
          <w:szCs w:val="21"/>
          <w:highlight w:val="none"/>
          <w:lang w:val="en-US" w:eastAsia="zh-CN"/>
        </w:rPr>
      </w:pPr>
      <w:bookmarkStart w:id="5" w:name="_Toc25819"/>
      <w:r>
        <w:rPr>
          <w:rFonts w:hint="eastAsia" w:hAnsi="宋体" w:eastAsia="宋体"/>
          <w:b/>
          <w:color w:val="auto"/>
          <w:sz w:val="21"/>
          <w:szCs w:val="21"/>
          <w:highlight w:val="none"/>
          <w:lang w:val="zh-CN"/>
        </w:rPr>
        <w:t>2.2 投标人</w:t>
      </w:r>
      <w:r>
        <w:rPr>
          <w:rFonts w:hint="eastAsia" w:hAnsi="宋体" w:eastAsia="宋体"/>
          <w:b/>
          <w:color w:val="auto"/>
          <w:sz w:val="21"/>
          <w:szCs w:val="21"/>
          <w:highlight w:val="none"/>
          <w:lang w:val="en-US" w:eastAsia="zh-CN"/>
        </w:rPr>
        <w:t>2022</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日以来具有一份</w:t>
      </w:r>
      <w:r>
        <w:rPr>
          <w:rFonts w:hint="eastAsia" w:hAnsi="宋体" w:eastAsia="宋体"/>
          <w:b/>
          <w:color w:val="auto"/>
          <w:sz w:val="21"/>
          <w:szCs w:val="21"/>
          <w:highlight w:val="none"/>
          <w:lang w:val="en-US" w:eastAsia="zh-CN"/>
        </w:rPr>
        <w:t>抢修器（别称：哈夫节）在国内的销售</w:t>
      </w:r>
      <w:r>
        <w:rPr>
          <w:rFonts w:hint="eastAsia" w:hAnsi="宋体" w:eastAsia="宋体"/>
          <w:b/>
          <w:color w:val="auto"/>
          <w:sz w:val="21"/>
          <w:szCs w:val="21"/>
          <w:highlight w:val="none"/>
          <w:lang w:val="zh-CN"/>
        </w:rPr>
        <w:t>业绩（合同签订日期为</w:t>
      </w:r>
      <w:r>
        <w:rPr>
          <w:rFonts w:hint="eastAsia" w:hAnsi="宋体" w:eastAsia="宋体"/>
          <w:b/>
          <w:color w:val="auto"/>
          <w:sz w:val="21"/>
          <w:szCs w:val="21"/>
          <w:highlight w:val="none"/>
          <w:lang w:val="en-US" w:eastAsia="zh-CN"/>
        </w:rPr>
        <w:t>2022</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日或以后）；</w:t>
      </w:r>
    </w:p>
    <w:p>
      <w:pPr>
        <w:pStyle w:val="159"/>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2.3 </w:t>
      </w:r>
      <w:r>
        <w:rPr>
          <w:rFonts w:hint="eastAsia" w:hAnsi="宋体" w:eastAsia="宋体"/>
          <w:b/>
          <w:color w:val="auto"/>
          <w:sz w:val="21"/>
          <w:szCs w:val="21"/>
          <w:highlight w:val="none"/>
          <w:lang w:val="zh-CN"/>
        </w:rPr>
        <w:t>本项目不接受联合体投标。</w:t>
      </w:r>
      <w:bookmarkEnd w:id="5"/>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9</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22</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bCs/>
          <w:color w:val="auto"/>
          <w:kern w:val="0"/>
          <w:szCs w:val="21"/>
          <w:highlight w:val="none"/>
          <w:u w:val="single"/>
          <w:lang w:val="en-US" w:eastAsia="zh-CN"/>
        </w:rPr>
        <w:t xml:space="preserve"> 13 </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bCs/>
          <w:color w:val="auto"/>
          <w:kern w:val="0"/>
          <w:szCs w:val="21"/>
          <w:highlight w:val="none"/>
          <w:u w:val="single"/>
          <w:lang w:val="en-US" w:eastAsia="zh-CN"/>
        </w:rPr>
        <w:t xml:space="preserve"> 30 </w:t>
      </w:r>
      <w:r>
        <w:rPr>
          <w:rFonts w:hint="eastAsia" w:ascii="宋体" w:hAnsi="宋体" w:eastAsia="宋体" w:cs="Times New Roman"/>
          <w:bCs/>
          <w:color w:val="auto"/>
          <w:kern w:val="0"/>
          <w:szCs w:val="21"/>
          <w:highlight w:val="none"/>
        </w:rPr>
        <w:t>～</w:t>
      </w:r>
      <w:r>
        <w:rPr>
          <w:rFonts w:hint="eastAsia" w:ascii="宋体" w:hAnsi="宋体" w:eastAsia="宋体" w:cs="Times New Roman"/>
          <w:bCs/>
          <w:color w:val="auto"/>
          <w:kern w:val="0"/>
          <w:szCs w:val="21"/>
          <w:highlight w:val="none"/>
          <w:u w:val="single"/>
          <w:lang w:val="en-US" w:eastAsia="zh-CN"/>
        </w:rPr>
        <w:t xml:space="preserve"> 14 </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bCs/>
          <w:color w:val="auto"/>
          <w:kern w:val="0"/>
          <w:szCs w:val="21"/>
          <w:highlight w:val="none"/>
          <w:u w:val="single"/>
          <w:lang w:val="en-US" w:eastAsia="zh-CN"/>
        </w:rPr>
        <w:t xml:space="preserve"> 00 </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9</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22</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bCs/>
          <w:color w:val="auto"/>
          <w:kern w:val="0"/>
          <w:szCs w:val="21"/>
          <w:highlight w:val="none"/>
          <w:u w:val="single"/>
          <w:lang w:val="en-US" w:eastAsia="zh-CN"/>
        </w:rPr>
        <w:t xml:space="preserve"> 14 </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bCs/>
          <w:color w:val="auto"/>
          <w:kern w:val="0"/>
          <w:szCs w:val="21"/>
          <w:highlight w:val="none"/>
          <w:u w:val="single"/>
          <w:lang w:val="en-US" w:eastAsia="zh-CN"/>
        </w:rPr>
        <w:t xml:space="preserve"> 00 </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lang w:val="en-US" w:eastAsia="zh-CN"/>
        </w:rPr>
        <w:t>广东省东莞市南城街道鸿福西路81号国际商会大厦</w:t>
      </w:r>
      <w:r>
        <w:rPr>
          <w:rFonts w:hint="eastAsia" w:ascii="宋体" w:hAnsi="宋体" w:eastAsia="宋体" w:cs="Times New Roman"/>
          <w:color w:val="auto"/>
          <w:szCs w:val="21"/>
          <w:highlight w:val="none"/>
          <w:u w:val="single"/>
          <w:lang w:val="en-US" w:eastAsia="zh-CN"/>
        </w:rPr>
        <w:t xml:space="preserve"> 601 </w:t>
      </w:r>
      <w:r>
        <w:rPr>
          <w:rFonts w:hint="eastAsia" w:ascii="宋体" w:hAnsi="宋体" w:eastAsia="宋体" w:cs="Times New Roman"/>
          <w:color w:val="auto"/>
          <w:szCs w:val="21"/>
          <w:highlight w:val="none"/>
          <w:lang w:val="en-US" w:eastAsia="zh-CN"/>
        </w:rPr>
        <w:t>室</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w:t>
      </w:r>
      <w:r>
        <w:rPr>
          <w:rFonts w:hint="eastAsia" w:ascii="宋体" w:hAnsi="宋体" w:eastAsia="宋体" w:cs="Times New Roman"/>
          <w:bCs/>
          <w:color w:val="auto"/>
          <w:szCs w:val="21"/>
          <w:highlight w:val="none"/>
          <w:lang w:eastAsia="zh-CN"/>
        </w:rPr>
        <w:t>东莞市水务环境投资控股集团有限公司</w:t>
      </w:r>
      <w:r>
        <w:rPr>
          <w:rFonts w:hint="eastAsia" w:ascii="宋体" w:hAnsi="宋体" w:eastAsia="宋体" w:cs="Times New Roman"/>
          <w:bCs/>
          <w:color w:val="auto"/>
          <w:szCs w:val="21"/>
          <w:highlight w:val="none"/>
        </w:rPr>
        <w:t>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网站（http://www.sfcx.cn/</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东莞市水务集团供水有限公司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东莞市莞城街道莞龙路141号</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陈晃华</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宋体"/>
          <w:color w:val="auto"/>
          <w:kern w:val="0"/>
          <w:szCs w:val="21"/>
          <w:highlight w:val="none"/>
          <w:lang w:val="en-US" w:eastAsia="zh-CN"/>
        </w:rPr>
      </w:pPr>
      <w:r>
        <w:rPr>
          <w:rFonts w:ascii="宋体" w:hAnsi="宋体" w:eastAsia="宋体" w:cs="Times New Roman"/>
          <w:color w:val="auto"/>
          <w:kern w:val="0"/>
          <w:szCs w:val="21"/>
          <w:highlight w:val="none"/>
        </w:rPr>
        <w:t>电  话：</w:t>
      </w:r>
      <w:r>
        <w:rPr>
          <w:rFonts w:hint="eastAsia" w:ascii="宋体" w:hAnsi="宋体" w:eastAsia="宋体" w:cs="宋体"/>
          <w:i w:val="0"/>
          <w:iCs w:val="0"/>
          <w:caps w:val="0"/>
          <w:color w:val="auto"/>
          <w:spacing w:val="0"/>
          <w:sz w:val="21"/>
          <w:szCs w:val="21"/>
          <w:highlight w:val="none"/>
          <w:shd w:val="clear" w:fill="FFFFFF"/>
        </w:rPr>
        <w:t>0769-22628713</w:t>
      </w:r>
    </w:p>
    <w:p>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6" w:name="_Toc486167661"/>
      <w:bookmarkStart w:id="7" w:name="_Toc450662847"/>
      <w:bookmarkStart w:id="8" w:name="_Toc31764_WPSOffice_Level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szCs w:val="21"/>
          <w:highlight w:val="none"/>
          <w:lang w:val="en-US" w:eastAsia="zh-CN"/>
        </w:rPr>
        <w:t>广东省东莞市南城街道鸿福西路81号国际商会大厦</w:t>
      </w:r>
      <w:r>
        <w:rPr>
          <w:rFonts w:hint="eastAsia" w:ascii="宋体" w:hAnsi="宋体" w:eastAsia="宋体" w:cs="Times New Roman"/>
          <w:color w:val="auto"/>
          <w:szCs w:val="21"/>
          <w:highlight w:val="none"/>
          <w:u w:val="none"/>
          <w:lang w:val="en-US" w:eastAsia="zh-CN"/>
        </w:rPr>
        <w:t>706</w:t>
      </w:r>
      <w:r>
        <w:rPr>
          <w:rFonts w:hint="eastAsia" w:ascii="宋体" w:hAnsi="宋体" w:eastAsia="宋体" w:cs="Times New Roman"/>
          <w:color w:val="auto"/>
          <w:szCs w:val="21"/>
          <w:highlight w:val="none"/>
          <w:lang w:val="en-US" w:eastAsia="zh-CN"/>
        </w:rPr>
        <w:t>室</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陈树辉</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0769-21682660</w:t>
      </w: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9" w:name="_Toc32430"/>
      <w:bookmarkStart w:id="10" w:name="_Toc1454"/>
      <w:bookmarkStart w:id="11" w:name="_Toc142508311"/>
      <w:bookmarkStart w:id="12" w:name="_Toc3743"/>
      <w:bookmarkStart w:id="13" w:name="_Toc24735"/>
      <w:bookmarkStart w:id="14" w:name="_Toc12475"/>
      <w:bookmarkStart w:id="15" w:name="_Toc2245"/>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6"/>
      <w:bookmarkEnd w:id="7"/>
      <w:bookmarkEnd w:id="8"/>
      <w:bookmarkEnd w:id="9"/>
      <w:bookmarkEnd w:id="10"/>
      <w:bookmarkEnd w:id="11"/>
      <w:bookmarkEnd w:id="12"/>
      <w:bookmarkEnd w:id="13"/>
      <w:bookmarkEnd w:id="14"/>
      <w:bookmarkEnd w:id="15"/>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6" w:name="_Toc28385"/>
      <w:bookmarkStart w:id="17" w:name="_Toc1357"/>
      <w:bookmarkStart w:id="18" w:name="_Toc22004"/>
      <w:bookmarkStart w:id="19" w:name="_Toc14038"/>
      <w:bookmarkStart w:id="20" w:name="_Toc142508312"/>
      <w:bookmarkStart w:id="21" w:name="_Toc16098"/>
      <w:bookmarkStart w:id="22" w:name="_Toc486167662"/>
      <w:bookmarkStart w:id="23" w:name="_Toc450662848"/>
      <w:bookmarkStart w:id="24" w:name="_Toc30360"/>
      <w:bookmarkStart w:id="25" w:name="_Toc15366_WPSOffice_Level2"/>
      <w:bookmarkStart w:id="26" w:name="_Toc140596871"/>
      <w:r>
        <w:rPr>
          <w:rFonts w:hint="eastAsia" w:ascii="宋体" w:hAnsi="宋体" w:eastAsia="宋体" w:cs="宋体"/>
          <w:b/>
          <w:bCs/>
          <w:color w:val="auto"/>
          <w:kern w:val="44"/>
          <w:szCs w:val="21"/>
          <w:highlight w:val="none"/>
          <w:lang w:val="zh-CN"/>
        </w:rPr>
        <w:t>一、总则</w:t>
      </w:r>
      <w:bookmarkEnd w:id="16"/>
      <w:bookmarkEnd w:id="17"/>
      <w:bookmarkEnd w:id="18"/>
      <w:bookmarkEnd w:id="19"/>
      <w:bookmarkEnd w:id="20"/>
      <w:bookmarkEnd w:id="21"/>
      <w:bookmarkEnd w:id="22"/>
      <w:bookmarkEnd w:id="23"/>
      <w:bookmarkEnd w:id="24"/>
      <w:bookmarkEnd w:id="25"/>
      <w:bookmarkEnd w:id="2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 w:name="_Toc17071"/>
      <w:bookmarkStart w:id="28" w:name="_Toc21710_WPSOffice_Level3"/>
      <w:bookmarkStart w:id="29" w:name="_Toc142508313"/>
      <w:bookmarkStart w:id="30" w:name="_Toc486167663"/>
      <w:bookmarkStart w:id="31" w:name="_Toc21871"/>
      <w:bookmarkStart w:id="32" w:name="_Toc26294"/>
      <w:bookmarkStart w:id="33" w:name="_Toc22130"/>
      <w:bookmarkStart w:id="34" w:name="_Toc16700"/>
      <w:bookmarkStart w:id="35" w:name="_Toc450662849"/>
      <w:bookmarkStart w:id="36" w:name="_Toc11575"/>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7"/>
      <w:bookmarkEnd w:id="28"/>
      <w:bookmarkEnd w:id="29"/>
      <w:bookmarkEnd w:id="30"/>
      <w:bookmarkEnd w:id="31"/>
      <w:bookmarkEnd w:id="32"/>
      <w:bookmarkEnd w:id="33"/>
      <w:bookmarkEnd w:id="34"/>
      <w:bookmarkEnd w:id="35"/>
      <w:bookmarkEnd w:id="36"/>
    </w:p>
    <w:p>
      <w:pPr>
        <w:autoSpaceDE w:val="0"/>
        <w:autoSpaceDN w:val="0"/>
        <w:adjustRightInd w:val="0"/>
        <w:jc w:val="left"/>
        <w:rPr>
          <w:rFonts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7" w:name="_Toc486167664"/>
      <w:bookmarkStart w:id="38" w:name="_Toc13368"/>
      <w:bookmarkStart w:id="39" w:name="_Toc80_WPSOffice_Level3"/>
      <w:bookmarkStart w:id="40" w:name="_Toc15180"/>
      <w:bookmarkStart w:id="41" w:name="_Toc5550"/>
      <w:bookmarkStart w:id="42" w:name="_Toc27254"/>
      <w:bookmarkStart w:id="43" w:name="_Toc142508314"/>
      <w:bookmarkStart w:id="44" w:name="_Toc11112"/>
      <w:bookmarkStart w:id="45" w:name="_Toc27011"/>
      <w:bookmarkStart w:id="46" w:name="_Toc450662850"/>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7"/>
      <w:bookmarkEnd w:id="38"/>
      <w:bookmarkEnd w:id="39"/>
      <w:bookmarkEnd w:id="40"/>
      <w:bookmarkEnd w:id="41"/>
      <w:bookmarkEnd w:id="42"/>
      <w:bookmarkEnd w:id="43"/>
      <w:bookmarkEnd w:id="44"/>
      <w:bookmarkEnd w:id="45"/>
      <w:bookmarkEnd w:id="46"/>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7" w:name="_Toc23847_WPSOffice_Level3"/>
      <w:bookmarkStart w:id="48" w:name="_Toc6324"/>
      <w:bookmarkStart w:id="49" w:name="_Toc32059"/>
      <w:bookmarkStart w:id="50" w:name="_Toc142508315"/>
      <w:bookmarkStart w:id="51" w:name="_Toc4257"/>
      <w:bookmarkStart w:id="52" w:name="_Toc30909"/>
      <w:bookmarkStart w:id="53" w:name="_Toc6856"/>
      <w:bookmarkStart w:id="54" w:name="_Toc8199"/>
      <w:bookmarkStart w:id="55" w:name="_Toc486167665"/>
      <w:bookmarkStart w:id="56"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47"/>
      <w:bookmarkEnd w:id="48"/>
      <w:bookmarkEnd w:id="49"/>
      <w:bookmarkEnd w:id="50"/>
      <w:bookmarkEnd w:id="51"/>
      <w:bookmarkEnd w:id="52"/>
      <w:bookmarkEnd w:id="53"/>
      <w:bookmarkEnd w:id="54"/>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7" w:name="_Toc1977663"/>
      <w:bookmarkStart w:id="58" w:name="_Toc5337080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57"/>
    <w:bookmarkEnd w:id="58"/>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9" w:name="_Toc533708064"/>
      <w:bookmarkStart w:id="60" w:name="_Toc1977664"/>
      <w:r>
        <w:rPr>
          <w:rFonts w:hint="eastAsia" w:ascii="宋体" w:hAnsi="宋体" w:eastAsia="宋体" w:cs="宋体"/>
          <w:color w:val="auto"/>
          <w:szCs w:val="21"/>
          <w:highlight w:val="none"/>
          <w:lang w:val="zh-CN"/>
        </w:rPr>
        <w:t xml:space="preserve">3.3  </w:t>
      </w:r>
      <w:bookmarkEnd w:id="59"/>
      <w:bookmarkEnd w:id="60"/>
      <w:bookmarkStart w:id="61" w:name="_Toc1977665"/>
      <w:bookmarkStart w:id="62"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61"/>
      <w:bookmarkEnd w:id="62"/>
    </w:p>
    <w:p>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63" w:name="_Toc1977666"/>
      <w:bookmarkStart w:id="64"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63"/>
    <w:bookmarkEnd w:id="64"/>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5" w:name="_Toc1977667"/>
      <w:bookmarkStart w:id="66" w:name="_Toc5337080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w:t>
      </w:r>
      <w:r>
        <w:rPr>
          <w:rFonts w:hint="default" w:ascii="宋体" w:hAnsi="宋体" w:eastAsia="宋体" w:cs="Times New Roman"/>
          <w:color w:val="auto"/>
          <w:kern w:val="0"/>
          <w:szCs w:val="21"/>
          <w:highlight w:val="none"/>
          <w:lang w:val="en-US"/>
        </w:rPr>
        <w:t>其它</w:t>
      </w:r>
      <w:r>
        <w:rPr>
          <w:rFonts w:hint="eastAsia" w:ascii="宋体" w:hAnsi="宋体" w:eastAsia="宋体" w:cs="Times New Roman"/>
          <w:color w:val="auto"/>
          <w:kern w:val="0"/>
          <w:szCs w:val="21"/>
          <w:highlight w:val="none"/>
        </w:rPr>
        <w:t>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65"/>
      <w:bookmarkEnd w:id="66"/>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7" w:name="_Toc533708068"/>
      <w:bookmarkStart w:id="68"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67"/>
      <w:bookmarkEnd w:id="68"/>
    </w:p>
    <w:p>
      <w:pPr>
        <w:autoSpaceDE w:val="0"/>
        <w:autoSpaceDN w:val="0"/>
        <w:adjustRightInd w:val="0"/>
        <w:spacing w:line="360" w:lineRule="auto"/>
        <w:jc w:val="left"/>
        <w:rPr>
          <w:rFonts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9" w:name="_Toc23869"/>
      <w:bookmarkStart w:id="70" w:name="_Toc142508316"/>
      <w:bookmarkStart w:id="71" w:name="_Toc20936"/>
      <w:bookmarkStart w:id="72" w:name="_Toc23394"/>
      <w:bookmarkStart w:id="73" w:name="_Toc9658_WPSOffice_Level3"/>
      <w:bookmarkStart w:id="74" w:name="_Toc13845"/>
      <w:bookmarkStart w:id="75" w:name="_Toc7896"/>
      <w:bookmarkStart w:id="76" w:name="_Toc15238"/>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default" w:ascii="宋体" w:hAnsi="宋体" w:eastAsia="宋体" w:cs="宋体"/>
          <w:color w:val="auto"/>
          <w:szCs w:val="21"/>
          <w:highlight w:val="none"/>
          <w:lang w:val="en-US"/>
        </w:rPr>
        <w:t>其它</w:t>
      </w:r>
      <w:r>
        <w:rPr>
          <w:rFonts w:hint="eastAsia" w:ascii="宋体" w:hAnsi="宋体" w:eastAsia="宋体" w:cs="宋体"/>
          <w:color w:val="auto"/>
          <w:szCs w:val="21"/>
          <w:highlight w:val="none"/>
          <w:lang w:val="zh-CN"/>
        </w:rPr>
        <w:t>说明</w:t>
      </w:r>
      <w:bookmarkEnd w:id="69"/>
      <w:bookmarkEnd w:id="70"/>
      <w:bookmarkEnd w:id="71"/>
      <w:bookmarkEnd w:id="72"/>
      <w:bookmarkEnd w:id="73"/>
      <w:bookmarkEnd w:id="74"/>
      <w:bookmarkEnd w:id="75"/>
      <w:bookmarkEnd w:id="76"/>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7" w:name="_Toc1977670"/>
      <w:bookmarkStart w:id="78" w:name="_Toc533708070"/>
      <w:r>
        <w:rPr>
          <w:rFonts w:hint="eastAsia" w:ascii="宋体" w:hAnsi="宋体" w:eastAsia="宋体" w:cs="宋体"/>
          <w:color w:val="auto"/>
          <w:szCs w:val="21"/>
          <w:highlight w:val="none"/>
          <w:lang w:val="zh-CN"/>
        </w:rPr>
        <w:t>4.1  投标费用</w:t>
      </w:r>
      <w:bookmarkEnd w:id="77"/>
      <w:bookmarkEnd w:id="78"/>
    </w:p>
    <w:p>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79" w:name="_Toc1977672"/>
      <w:bookmarkStart w:id="80"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79"/>
      <w:bookmarkEnd w:id="80"/>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1" w:name="_Toc1977673"/>
      <w:bookmarkStart w:id="82" w:name="_Toc533708073"/>
      <w:r>
        <w:rPr>
          <w:rFonts w:hint="eastAsia" w:ascii="宋体" w:hAnsi="宋体" w:eastAsia="宋体" w:cs="宋体"/>
          <w:color w:val="auto"/>
          <w:szCs w:val="21"/>
          <w:highlight w:val="none"/>
          <w:lang w:val="zh-CN"/>
        </w:rPr>
        <w:t>4.2  踏勘现场</w:t>
      </w:r>
      <w:bookmarkEnd w:id="81"/>
      <w:bookmarkEnd w:id="82"/>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83" w:name="_Toc1977676"/>
      <w:bookmarkStart w:id="84" w:name="_Toc533708076"/>
      <w:r>
        <w:rPr>
          <w:rFonts w:hint="eastAsia" w:ascii="宋体" w:hAnsi="宋体" w:eastAsia="宋体" w:cs="Times New Roman"/>
          <w:color w:val="auto"/>
          <w:kern w:val="0"/>
          <w:szCs w:val="21"/>
          <w:highlight w:val="none"/>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55"/>
      <w:bookmarkEnd w:id="56"/>
      <w:bookmarkEnd w:id="83"/>
      <w:bookmarkEnd w:id="84"/>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85" w:name="_Toc29199"/>
      <w:bookmarkStart w:id="86" w:name="_Toc486167667"/>
      <w:bookmarkStart w:id="87" w:name="_Toc24900"/>
      <w:bookmarkStart w:id="88" w:name="_Toc25025"/>
      <w:bookmarkStart w:id="89" w:name="_Toc6222"/>
      <w:bookmarkStart w:id="90" w:name="_Toc450662853"/>
      <w:bookmarkStart w:id="91" w:name="_Toc1482"/>
      <w:bookmarkStart w:id="92" w:name="_Toc140596876"/>
      <w:bookmarkStart w:id="93" w:name="_Toc142508317"/>
      <w:bookmarkStart w:id="94" w:name="_Toc9339"/>
      <w:bookmarkStart w:id="95" w:name="_Toc30507_WPSOffice_Level2"/>
      <w:r>
        <w:rPr>
          <w:rFonts w:hint="eastAsia" w:ascii="宋体" w:hAnsi="宋体" w:eastAsia="宋体" w:cs="宋体"/>
          <w:b/>
          <w:bCs/>
          <w:color w:val="auto"/>
          <w:kern w:val="44"/>
          <w:szCs w:val="21"/>
          <w:highlight w:val="none"/>
          <w:lang w:val="zh-CN"/>
        </w:rPr>
        <w:t>二、招标文件</w:t>
      </w:r>
      <w:bookmarkEnd w:id="85"/>
      <w:bookmarkEnd w:id="86"/>
      <w:bookmarkEnd w:id="87"/>
      <w:bookmarkEnd w:id="88"/>
      <w:bookmarkEnd w:id="89"/>
      <w:bookmarkEnd w:id="90"/>
      <w:bookmarkEnd w:id="91"/>
      <w:bookmarkEnd w:id="92"/>
      <w:bookmarkEnd w:id="93"/>
      <w:bookmarkEnd w:id="94"/>
      <w:bookmarkEnd w:id="95"/>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6" w:name="_Toc3887"/>
      <w:bookmarkStart w:id="97" w:name="_Toc450662854"/>
      <w:bookmarkStart w:id="98" w:name="_Toc28179"/>
      <w:bookmarkStart w:id="99" w:name="_Toc10637"/>
      <w:bookmarkStart w:id="100" w:name="_Toc26635_WPSOffice_Level3"/>
      <w:bookmarkStart w:id="101" w:name="_Toc7278"/>
      <w:bookmarkStart w:id="102" w:name="_Toc142508318"/>
      <w:bookmarkStart w:id="103" w:name="_Toc6841"/>
      <w:bookmarkStart w:id="104" w:name="_Toc486167668"/>
      <w:bookmarkStart w:id="105" w:name="_Toc31963"/>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96"/>
      <w:bookmarkEnd w:id="97"/>
      <w:bookmarkEnd w:id="98"/>
      <w:bookmarkEnd w:id="99"/>
      <w:bookmarkEnd w:id="100"/>
      <w:bookmarkEnd w:id="101"/>
      <w:bookmarkEnd w:id="102"/>
      <w:bookmarkEnd w:id="103"/>
      <w:bookmarkEnd w:id="104"/>
      <w:bookmarkEnd w:id="105"/>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东莞市水务集团供水有限公司抢修器采购项目</w:t>
      </w:r>
      <w:r>
        <w:rPr>
          <w:rFonts w:hint="eastAsia" w:ascii="宋体" w:hAnsi="宋体" w:eastAsia="宋体" w:cs="Times New Roman"/>
          <w:color w:val="auto"/>
          <w:kern w:val="0"/>
          <w:szCs w:val="21"/>
          <w:highlight w:val="none"/>
        </w:rPr>
        <w:t>所需的货物及有关服务的投标，并向招标代理机构提交投标文件的当事人；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）“招标文件”指包括招标公告和招标文件及其补充、变更和澄清等一系列文件；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6" w:name="_Toc22724"/>
      <w:bookmarkStart w:id="107" w:name="_Toc486167669"/>
      <w:bookmarkStart w:id="108" w:name="_Toc29125_WPSOffice_Level3"/>
      <w:bookmarkStart w:id="109" w:name="_Toc450662855"/>
      <w:bookmarkStart w:id="110" w:name="_Toc10908"/>
      <w:bookmarkStart w:id="111" w:name="_Toc2435"/>
      <w:bookmarkStart w:id="112" w:name="_Toc9641"/>
      <w:bookmarkStart w:id="113" w:name="_Toc17998"/>
      <w:bookmarkStart w:id="114" w:name="_Toc18407"/>
      <w:bookmarkStart w:id="115" w:name="_Toc14250831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06"/>
      <w:bookmarkEnd w:id="107"/>
      <w:bookmarkEnd w:id="108"/>
      <w:bookmarkEnd w:id="109"/>
      <w:bookmarkEnd w:id="110"/>
      <w:bookmarkEnd w:id="111"/>
      <w:bookmarkEnd w:id="112"/>
      <w:bookmarkEnd w:id="113"/>
      <w:bookmarkEnd w:id="114"/>
      <w:bookmarkEnd w:id="115"/>
    </w:p>
    <w:p>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6" w:name="_Toc23483_WPSOffice_Level3"/>
      <w:bookmarkStart w:id="117" w:name="_Toc17243"/>
      <w:bookmarkStart w:id="118" w:name="_Toc8098"/>
      <w:bookmarkStart w:id="119" w:name="_Toc26320"/>
      <w:bookmarkStart w:id="120" w:name="_Toc19618"/>
      <w:bookmarkStart w:id="121" w:name="_Toc486167670"/>
      <w:bookmarkStart w:id="122" w:name="_Toc142508320"/>
      <w:bookmarkStart w:id="123" w:name="_Toc25435"/>
      <w:bookmarkStart w:id="124" w:name="_Toc29307"/>
      <w:bookmarkStart w:id="125" w:name="_Toc450662856"/>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16"/>
      <w:bookmarkEnd w:id="117"/>
      <w:bookmarkEnd w:id="118"/>
      <w:bookmarkEnd w:id="119"/>
      <w:bookmarkEnd w:id="120"/>
      <w:bookmarkEnd w:id="121"/>
      <w:bookmarkEnd w:id="122"/>
      <w:bookmarkEnd w:id="123"/>
      <w:bookmarkEnd w:id="124"/>
      <w:bookmarkEnd w:id="125"/>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东莞市水务环境投资控股集团有限公司</w:t>
      </w:r>
      <w:r>
        <w:rPr>
          <w:rFonts w:ascii="宋体" w:hAnsi="宋体" w:eastAsia="宋体" w:cs="Times New Roman"/>
          <w:color w:val="auto"/>
          <w:szCs w:val="21"/>
          <w:highlight w:val="none"/>
          <w:lang w:val="zh-CN"/>
        </w:rPr>
        <w:t>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4"/>
          <w:rFonts w:ascii="宋体" w:hAnsi="宋体" w:eastAsia="宋体" w:cs="Times New Roman"/>
          <w:color w:val="auto"/>
          <w:sz w:val="21"/>
          <w:szCs w:val="21"/>
          <w:highlight w:val="none"/>
        </w:rPr>
        <w:t>www.dgswjt.cn）</w:t>
      </w:r>
      <w:r>
        <w:rPr>
          <w:rStyle w:val="44"/>
          <w:rFonts w:ascii="宋体" w:hAnsi="宋体" w:eastAsia="宋体" w:cs="Times New Roman"/>
          <w:color w:val="auto"/>
          <w:sz w:val="21"/>
          <w:szCs w:val="21"/>
          <w:highlight w:val="none"/>
          <w:lang w:val="zh-CN"/>
        </w:rPr>
        <w:t>、</w:t>
      </w:r>
      <w:r>
        <w:rPr>
          <w:rStyle w:val="44"/>
          <w:rFonts w:hint="eastAsia" w:ascii="宋体" w:hAnsi="宋体" w:eastAsia="宋体" w:cs="Times New Roman"/>
          <w:bCs/>
          <w:color w:val="auto"/>
          <w:kern w:val="0"/>
          <w:sz w:val="21"/>
          <w:szCs w:val="21"/>
          <w:highlight w:val="none"/>
        </w:rPr>
        <w:t>招标代理</w:t>
      </w:r>
      <w:r>
        <w:rPr>
          <w:rStyle w:val="44"/>
          <w:rFonts w:hint="eastAsia" w:ascii="宋体" w:hAnsi="宋体" w:eastAsia="宋体" w:cs="Times New Roman"/>
          <w:bCs/>
          <w:color w:val="auto"/>
          <w:kern w:val="0"/>
          <w:sz w:val="21"/>
          <w:szCs w:val="21"/>
          <w:highlight w:val="none"/>
          <w:lang w:val="en-US" w:eastAsia="zh-CN"/>
        </w:rPr>
        <w:t>机构</w:t>
      </w:r>
      <w:r>
        <w:rPr>
          <w:rStyle w:val="44"/>
          <w:rFonts w:hint="eastAsia" w:ascii="宋体" w:hAnsi="宋体" w:eastAsia="宋体" w:cs="Times New Roman"/>
          <w:bCs/>
          <w:color w:val="auto"/>
          <w:kern w:val="0"/>
          <w:sz w:val="21"/>
          <w:szCs w:val="21"/>
          <w:highlight w:val="none"/>
        </w:rPr>
        <w:t>网站（</w:t>
      </w:r>
      <w:r>
        <w:rPr>
          <w:rStyle w:val="44"/>
          <w:rFonts w:hint="eastAsia" w:ascii="宋体" w:hAnsi="宋体" w:eastAsia="宋体" w:cs="Times New Roman"/>
          <w:bCs/>
          <w:color w:val="auto"/>
          <w:kern w:val="0"/>
          <w:sz w:val="21"/>
          <w:szCs w:val="21"/>
          <w:highlight w:val="none"/>
          <w:lang w:eastAsia="zh-CN"/>
        </w:rPr>
        <w:t>http://www.sfcx.cn/</w:t>
      </w:r>
      <w:r>
        <w:rPr>
          <w:rStyle w:val="44"/>
          <w:rFonts w:ascii="宋体" w:hAnsi="宋体" w:eastAsia="宋体" w:cs="Times New Roman"/>
          <w:bCs/>
          <w:color w:val="auto"/>
          <w:kern w:val="0"/>
          <w:sz w:val="21"/>
          <w:szCs w:val="21"/>
          <w:highlight w:val="none"/>
        </w:rPr>
        <w:t>）</w:t>
      </w:r>
      <w:r>
        <w:rPr>
          <w:rStyle w:val="44"/>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pPr>
        <w:autoSpaceDE w:val="0"/>
        <w:autoSpaceDN w:val="0"/>
        <w:adjustRightInd w:val="0"/>
        <w:spacing w:line="360" w:lineRule="auto"/>
        <w:ind w:left="357" w:leftChars="-100" w:hanging="567"/>
        <w:rPr>
          <w:rFonts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26" w:name="_Toc10643"/>
      <w:bookmarkStart w:id="127" w:name="_Toc21903"/>
      <w:bookmarkStart w:id="128" w:name="_Toc2222"/>
      <w:bookmarkStart w:id="129" w:name="_Toc29659_WPSOffice_Level2"/>
      <w:bookmarkStart w:id="130" w:name="_Toc17379"/>
      <w:bookmarkStart w:id="131" w:name="_Toc486167671"/>
      <w:bookmarkStart w:id="132" w:name="_Toc140596880"/>
      <w:bookmarkStart w:id="133" w:name="_Toc6039"/>
      <w:bookmarkStart w:id="134" w:name="_Toc142508321"/>
      <w:bookmarkStart w:id="135" w:name="_Toc19346"/>
      <w:bookmarkStart w:id="136" w:name="_Toc450662857"/>
      <w:r>
        <w:rPr>
          <w:rFonts w:hint="eastAsia" w:ascii="宋体" w:hAnsi="宋体" w:eastAsia="宋体" w:cs="宋体"/>
          <w:b/>
          <w:bCs/>
          <w:color w:val="auto"/>
          <w:kern w:val="44"/>
          <w:szCs w:val="21"/>
          <w:highlight w:val="none"/>
          <w:lang w:val="zh-CN"/>
        </w:rPr>
        <w:t>三、投标文件的编制</w:t>
      </w:r>
      <w:bookmarkEnd w:id="126"/>
      <w:bookmarkEnd w:id="127"/>
      <w:bookmarkEnd w:id="128"/>
      <w:bookmarkEnd w:id="129"/>
      <w:bookmarkEnd w:id="130"/>
      <w:bookmarkEnd w:id="131"/>
      <w:bookmarkEnd w:id="132"/>
      <w:bookmarkEnd w:id="133"/>
      <w:bookmarkEnd w:id="134"/>
      <w:bookmarkEnd w:id="135"/>
      <w:bookmarkEnd w:id="136"/>
    </w:p>
    <w:p>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7" w:name="_Toc142508322"/>
      <w:bookmarkStart w:id="138" w:name="_Toc22628"/>
      <w:bookmarkStart w:id="139" w:name="_Toc22756"/>
      <w:bookmarkStart w:id="140" w:name="_Toc10662"/>
      <w:bookmarkStart w:id="141" w:name="_Toc10015_WPSOffice_Level3"/>
      <w:bookmarkStart w:id="142" w:name="_Toc16966"/>
      <w:bookmarkStart w:id="143" w:name="_Toc25773"/>
      <w:bookmarkStart w:id="144" w:name="_Toc450662858"/>
      <w:bookmarkStart w:id="145" w:name="_Toc486167672"/>
      <w:bookmarkStart w:id="146" w:name="_Toc32367"/>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37"/>
      <w:bookmarkEnd w:id="138"/>
      <w:bookmarkEnd w:id="139"/>
      <w:bookmarkEnd w:id="140"/>
      <w:bookmarkEnd w:id="141"/>
      <w:bookmarkEnd w:id="142"/>
      <w:bookmarkEnd w:id="143"/>
      <w:bookmarkEnd w:id="144"/>
      <w:bookmarkEnd w:id="145"/>
      <w:bookmarkEnd w:id="146"/>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47" w:name="_Toc486167673"/>
      <w:bookmarkStart w:id="148" w:name="_Toc29091"/>
      <w:bookmarkStart w:id="149" w:name="_Toc1879"/>
      <w:bookmarkStart w:id="150" w:name="_Toc24916_WPSOffice_Level3"/>
      <w:bookmarkStart w:id="151" w:name="_Toc142508323"/>
      <w:bookmarkStart w:id="152" w:name="_Toc450662859"/>
      <w:bookmarkStart w:id="153" w:name="_Toc28882"/>
      <w:bookmarkStart w:id="154" w:name="_Toc8431"/>
      <w:bookmarkStart w:id="155" w:name="_Toc26928"/>
      <w:bookmarkStart w:id="156" w:name="_Toc4729"/>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47"/>
      <w:bookmarkEnd w:id="148"/>
      <w:bookmarkEnd w:id="149"/>
      <w:bookmarkEnd w:id="150"/>
      <w:bookmarkEnd w:id="151"/>
      <w:bookmarkEnd w:id="152"/>
      <w:bookmarkEnd w:id="153"/>
      <w:bookmarkEnd w:id="154"/>
      <w:bookmarkEnd w:id="155"/>
      <w:bookmarkEnd w:id="156"/>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w:t>
      </w:r>
      <w:r>
        <w:rPr>
          <w:rFonts w:hint="eastAsia" w:ascii="宋体" w:hAnsi="宋体" w:eastAsia="宋体" w:cs="Times New Roman"/>
          <w:b/>
          <w:color w:val="auto"/>
          <w:kern w:val="0"/>
          <w:szCs w:val="21"/>
          <w:highlight w:val="none"/>
          <w:u w:val="single"/>
          <w:lang w:val="en-US" w:eastAsia="zh-CN"/>
        </w:rPr>
        <w:t>作</w:t>
      </w:r>
      <w:r>
        <w:rPr>
          <w:rFonts w:hint="eastAsia" w:ascii="宋体" w:hAnsi="宋体" w:eastAsia="宋体" w:cs="Times New Roman"/>
          <w:b/>
          <w:color w:val="auto"/>
          <w:kern w:val="0"/>
          <w:szCs w:val="21"/>
          <w:highlight w:val="none"/>
          <w:u w:val="single"/>
        </w:rPr>
        <w:t>限制</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zh-CN"/>
        </w:rPr>
        <w:t>4</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w:t>
      </w:r>
      <w:r>
        <w:rPr>
          <w:rFonts w:hint="eastAsia" w:ascii="宋体" w:hAnsi="宋体" w:eastAsia="宋体"/>
          <w:color w:val="auto"/>
          <w:szCs w:val="21"/>
          <w:highlight w:val="none"/>
          <w:lang w:val="en-US" w:eastAsia="zh-CN"/>
        </w:rPr>
        <w:t>至少</w:t>
      </w:r>
      <w:r>
        <w:rPr>
          <w:rFonts w:hint="eastAsia" w:ascii="宋体" w:hAnsi="宋体" w:eastAsia="宋体"/>
          <w:color w:val="auto"/>
          <w:szCs w:val="21"/>
          <w:highlight w:val="none"/>
        </w:rPr>
        <w:t>提供一份</w:t>
      </w:r>
      <w:r>
        <w:rPr>
          <w:rFonts w:hint="eastAsia" w:ascii="宋体" w:hAnsi="宋体" w:eastAsia="宋体"/>
          <w:color w:val="auto"/>
          <w:szCs w:val="21"/>
          <w:highlight w:val="none"/>
          <w:lang w:val="en-US" w:eastAsia="zh-CN"/>
        </w:rPr>
        <w:t>2022</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日以来</w:t>
      </w:r>
      <w:r>
        <w:rPr>
          <w:rFonts w:hint="eastAsia" w:hAnsi="宋体" w:eastAsia="宋体"/>
          <w:b/>
          <w:color w:val="auto"/>
          <w:sz w:val="21"/>
          <w:szCs w:val="21"/>
          <w:highlight w:val="none"/>
          <w:lang w:val="en-US" w:eastAsia="zh-CN"/>
        </w:rPr>
        <w:t>抢修器（别称：哈夫节）在国内的销售</w:t>
      </w:r>
      <w:r>
        <w:rPr>
          <w:rFonts w:hint="eastAsia" w:ascii="宋体" w:hAnsi="宋体" w:eastAsia="宋体" w:cs="宋体"/>
          <w:b/>
          <w:color w:val="auto"/>
          <w:szCs w:val="21"/>
          <w:highlight w:val="none"/>
        </w:rPr>
        <w:t>业绩</w:t>
      </w:r>
      <w:r>
        <w:rPr>
          <w:rFonts w:hint="eastAsia" w:ascii="宋体" w:hAnsi="宋体" w:eastAsia="宋体"/>
          <w:color w:val="auto"/>
          <w:szCs w:val="21"/>
          <w:highlight w:val="none"/>
        </w:rPr>
        <w:t>（合同签订日期为</w:t>
      </w:r>
      <w:r>
        <w:rPr>
          <w:rFonts w:hint="eastAsia" w:ascii="宋体" w:hAnsi="宋体" w:eastAsia="宋体"/>
          <w:color w:val="auto"/>
          <w:szCs w:val="21"/>
          <w:highlight w:val="none"/>
          <w:lang w:val="en-US" w:eastAsia="zh-CN"/>
        </w:rPr>
        <w:t>2022</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日或以后），资格业绩证明材料提交要求详见招标文件第六篇投标文件格式</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u w:val="single"/>
        </w:rPr>
        <w:t>.4</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default"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default"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default"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default"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default"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w:t>
      </w:r>
      <w:r>
        <w:rPr>
          <w:rFonts w:hint="eastAsia" w:ascii="宋体" w:hAnsi="宋体" w:eastAsia="宋体" w:cs="宋体"/>
          <w:color w:val="auto"/>
          <w:szCs w:val="21"/>
          <w:highlight w:val="none"/>
          <w:lang w:val="en-US" w:eastAsia="zh-CN"/>
        </w:rPr>
        <w:t>作</w:t>
      </w:r>
      <w:r>
        <w:rPr>
          <w:rFonts w:hint="eastAsia" w:ascii="宋体" w:hAnsi="宋体" w:eastAsia="宋体" w:cs="宋体"/>
          <w:color w:val="auto"/>
          <w:szCs w:val="21"/>
          <w:highlight w:val="none"/>
          <w:lang w:val="zh-CN"/>
        </w:rPr>
        <w:t>强制要求）。</w:t>
      </w:r>
    </w:p>
    <w:p>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pPr>
        <w:spacing w:line="360" w:lineRule="auto"/>
        <w:ind w:left="105" w:leftChars="-100" w:hanging="315" w:hangingChars="15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（2）</w:t>
      </w:r>
      <w:r>
        <w:rPr>
          <w:rFonts w:hint="eastAsia" w:ascii="宋体" w:hAnsi="宋体" w:eastAsia="宋体" w:cs="Times New Roman"/>
          <w:color w:val="auto"/>
          <w:kern w:val="0"/>
          <w:szCs w:val="21"/>
          <w:highlight w:val="none"/>
          <w:lang w:val="zh-CN"/>
        </w:rPr>
        <w:t>供货货物清单表</w:t>
      </w:r>
      <w:r>
        <w:rPr>
          <w:rFonts w:hint="eastAsia" w:ascii="宋体" w:hAnsi="宋体" w:eastAsia="宋体" w:cs="宋体"/>
          <w:color w:val="auto"/>
          <w:kern w:val="0"/>
          <w:szCs w:val="21"/>
          <w:highlight w:val="none"/>
          <w:lang w:val="zh-CN"/>
        </w:rPr>
        <w:t>；</w:t>
      </w:r>
    </w:p>
    <w:p>
      <w:pPr>
        <w:spacing w:line="360" w:lineRule="auto"/>
        <w:ind w:left="105" w:leftChars="-100" w:hanging="315" w:hangingChars="1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（3）所投货物性能质量</w:t>
      </w:r>
      <w:r>
        <w:rPr>
          <w:rFonts w:hint="eastAsia" w:ascii="宋体" w:hAnsi="宋体" w:eastAsia="宋体" w:cs="宋体"/>
          <w:color w:val="auto"/>
          <w:kern w:val="0"/>
          <w:szCs w:val="21"/>
          <w:highlight w:val="none"/>
          <w:lang w:eastAsia="zh-CN"/>
        </w:rPr>
        <w:t>；</w:t>
      </w:r>
    </w:p>
    <w:p>
      <w:pPr>
        <w:spacing w:line="360" w:lineRule="auto"/>
        <w:ind w:left="105" w:leftChars="-100" w:hanging="315" w:hangingChars="15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货物质量保障能力；</w:t>
      </w:r>
    </w:p>
    <w:p>
      <w:pPr>
        <w:spacing w:line="360" w:lineRule="auto"/>
        <w:ind w:left="105" w:leftChars="-100" w:hanging="315" w:hangingChars="150"/>
        <w:rPr>
          <w:rFonts w:hint="eastAsia" w:ascii="宋体" w:hAnsi="宋体" w:eastAsia="宋体" w:cs="Times New Roman"/>
          <w:color w:val="auto"/>
          <w:kern w:val="0"/>
          <w:szCs w:val="21"/>
          <w:highlight w:val="none"/>
          <w:lang w:val="zh-CN" w:eastAsia="zh-CN"/>
        </w:rPr>
      </w:pPr>
      <w:r>
        <w:rPr>
          <w:rFonts w:hint="default"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5</w:t>
      </w:r>
      <w:r>
        <w:rPr>
          <w:rFonts w:hint="default" w:ascii="宋体" w:hAnsi="宋体" w:eastAsia="宋体" w:cs="宋体"/>
          <w:color w:val="auto"/>
          <w:kern w:val="0"/>
          <w:szCs w:val="21"/>
          <w:highlight w:val="none"/>
          <w:lang w:val="en-US" w:eastAsia="zh-CN"/>
        </w:rPr>
        <w:t>）</w:t>
      </w:r>
      <w:r>
        <w:rPr>
          <w:rFonts w:hint="eastAsia" w:ascii="宋体" w:hAnsi="宋体" w:eastAsia="宋体" w:cs="Times New Roman"/>
          <w:color w:val="auto"/>
          <w:kern w:val="0"/>
          <w:szCs w:val="21"/>
          <w:highlight w:val="none"/>
          <w:lang w:val="zh-CN" w:eastAsia="zh-CN"/>
        </w:rPr>
        <w:t>售后服务响应、紧急供货时间承诺；</w:t>
      </w:r>
    </w:p>
    <w:p>
      <w:pPr>
        <w:spacing w:line="360" w:lineRule="auto"/>
        <w:ind w:left="105" w:leftChars="-100" w:hanging="315" w:hangingChars="150"/>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zh-CN" w:eastAsia="zh-CN"/>
        </w:rPr>
        <w:t>（</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lang w:val="zh-CN" w:eastAsia="zh-CN"/>
        </w:rPr>
        <w:t>）投标人所供抢修器(别称：哈夫节)具有有效的省级以上(含省级)卫生行政主管部门颁发的《涉及饮用水卫生安全产品卫生许可批件》复印件</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w:t>
      </w:r>
      <w:r>
        <w:rPr>
          <w:rFonts w:hint="eastAsia" w:ascii="宋体" w:hAnsi="宋体" w:eastAsia="宋体" w:cs="宋体"/>
          <w:color w:val="auto"/>
          <w:kern w:val="0"/>
          <w:szCs w:val="21"/>
          <w:highlight w:val="none"/>
          <w:lang w:val="en-US" w:eastAsia="zh-CN"/>
        </w:rPr>
        <w:t>其他</w:t>
      </w:r>
      <w:r>
        <w:rPr>
          <w:rFonts w:hint="eastAsia" w:ascii="宋体" w:hAnsi="宋体" w:eastAsia="宋体" w:cs="宋体"/>
          <w:color w:val="auto"/>
          <w:kern w:val="0"/>
          <w:szCs w:val="21"/>
          <w:highlight w:val="none"/>
        </w:rPr>
        <w:t>材料（不</w:t>
      </w:r>
      <w:r>
        <w:rPr>
          <w:rFonts w:hint="eastAsia" w:ascii="宋体" w:hAnsi="宋体" w:eastAsia="宋体" w:cs="宋体"/>
          <w:color w:val="auto"/>
          <w:kern w:val="0"/>
          <w:szCs w:val="21"/>
          <w:highlight w:val="none"/>
          <w:lang w:val="en-US" w:eastAsia="zh-CN"/>
        </w:rPr>
        <w:t>作</w:t>
      </w:r>
      <w:r>
        <w:rPr>
          <w:rFonts w:hint="eastAsia" w:ascii="宋体" w:hAnsi="宋体" w:eastAsia="宋体" w:cs="宋体"/>
          <w:color w:val="auto"/>
          <w:kern w:val="0"/>
          <w:szCs w:val="21"/>
          <w:highlight w:val="none"/>
        </w:rPr>
        <w:t>强制要求）。</w:t>
      </w:r>
    </w:p>
    <w:p>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7" w:name="_Toc486167674"/>
      <w:bookmarkStart w:id="158" w:name="_Toc18697"/>
      <w:bookmarkStart w:id="159" w:name="_Toc6234"/>
      <w:bookmarkStart w:id="160" w:name="_Toc28739"/>
      <w:bookmarkStart w:id="161" w:name="_Toc8675_WPSOffice_Level3"/>
      <w:bookmarkStart w:id="162" w:name="_Toc12547"/>
      <w:bookmarkStart w:id="163" w:name="_Toc450662860"/>
      <w:bookmarkStart w:id="164" w:name="_Toc3804"/>
      <w:bookmarkStart w:id="165" w:name="_Toc142508324"/>
      <w:bookmarkStart w:id="166" w:name="_Toc8439"/>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57"/>
      <w:bookmarkEnd w:id="158"/>
      <w:bookmarkEnd w:id="159"/>
      <w:bookmarkEnd w:id="160"/>
      <w:bookmarkEnd w:id="161"/>
      <w:bookmarkEnd w:id="162"/>
      <w:bookmarkEnd w:id="163"/>
      <w:bookmarkEnd w:id="164"/>
      <w:bookmarkEnd w:id="165"/>
      <w:bookmarkEnd w:id="166"/>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7" w:name="_Toc450662861"/>
      <w:bookmarkStart w:id="168" w:name="_Toc486167675"/>
      <w:bookmarkStart w:id="169" w:name="_Toc20926"/>
      <w:bookmarkStart w:id="170" w:name="_Toc28822"/>
      <w:bookmarkStart w:id="171" w:name="_Toc142508325"/>
      <w:bookmarkStart w:id="172" w:name="_Toc30740"/>
      <w:bookmarkStart w:id="173" w:name="_Toc4385_WPSOffice_Level3"/>
      <w:bookmarkStart w:id="174" w:name="_Toc13592"/>
      <w:bookmarkStart w:id="175" w:name="_Toc24546"/>
      <w:bookmarkStart w:id="176" w:name="_Toc6905"/>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67"/>
      <w:bookmarkEnd w:id="168"/>
      <w:bookmarkEnd w:id="169"/>
      <w:bookmarkEnd w:id="170"/>
      <w:bookmarkEnd w:id="171"/>
      <w:bookmarkEnd w:id="172"/>
      <w:bookmarkEnd w:id="173"/>
      <w:bookmarkEnd w:id="174"/>
      <w:bookmarkEnd w:id="175"/>
      <w:bookmarkEnd w:id="176"/>
    </w:p>
    <w:p>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本项目的投标报价采用统一折扣系数报价，合同履约过程中，采购清单中</w:t>
      </w:r>
      <w:r>
        <w:rPr>
          <w:rFonts w:hint="eastAsia" w:ascii="宋体" w:hAnsi="宋体" w:eastAsia="宋体" w:cs="宋体"/>
          <w:b/>
          <w:bCs/>
          <w:color w:val="auto"/>
          <w:szCs w:val="21"/>
          <w:highlight w:val="none"/>
          <w:lang w:val="en-US" w:eastAsia="zh-CN"/>
        </w:rPr>
        <w:t>抢修器</w:t>
      </w:r>
      <w:r>
        <w:rPr>
          <w:rFonts w:hint="eastAsia" w:ascii="宋体" w:hAnsi="宋体" w:eastAsia="宋体" w:cs="宋体"/>
          <w:b/>
          <w:bCs/>
          <w:color w:val="auto"/>
          <w:szCs w:val="21"/>
          <w:highlight w:val="none"/>
          <w:lang w:val="zh-CN"/>
        </w:rPr>
        <w:t>不含税中标综合单价按以下方式计算：不含税中标综合单价=不含税预算综合单价×中标折扣系数，以实际供货数量进行结算，不含税中标综合单价出现小数点，保留小数点后两位，从小数点后第3位四舍五入。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Times New Roman"/>
          <w:b/>
          <w:color w:val="auto"/>
          <w:szCs w:val="21"/>
          <w:highlight w:val="none"/>
          <w:u w:val="single"/>
          <w:lang w:val="zh-CN"/>
        </w:rPr>
        <w:t>本项目</w:t>
      </w:r>
      <w:r>
        <w:rPr>
          <w:rFonts w:hint="eastAsia" w:ascii="宋体" w:hAnsi="宋体" w:eastAsia="宋体" w:cs="Times New Roman"/>
          <w:b/>
          <w:color w:val="auto"/>
          <w:szCs w:val="21"/>
          <w:highlight w:val="none"/>
          <w:u w:val="single"/>
          <w:lang w:val="en-US" w:eastAsia="zh-CN"/>
        </w:rPr>
        <w:t>的价格</w:t>
      </w:r>
      <w:r>
        <w:rPr>
          <w:rFonts w:hint="eastAsia" w:ascii="宋体" w:hAnsi="宋体" w:eastAsia="宋体" w:cs="Times New Roman"/>
          <w:b/>
          <w:color w:val="auto"/>
          <w:szCs w:val="21"/>
          <w:highlight w:val="none"/>
          <w:u w:val="single"/>
          <w:lang w:val="zh-CN"/>
        </w:rPr>
        <w:t>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w:t>
      </w:r>
      <w:r>
        <w:rPr>
          <w:rFonts w:hint="eastAsia" w:ascii="宋体" w:hAnsi="宋体" w:eastAsia="宋体" w:cs="Times New Roman"/>
          <w:color w:val="auto"/>
          <w:szCs w:val="21"/>
          <w:highlight w:val="none"/>
          <w:lang w:val="en-US" w:eastAsia="zh-CN"/>
        </w:rPr>
        <w:t>不含税暂定</w:t>
      </w:r>
      <w:r>
        <w:rPr>
          <w:rFonts w:hint="eastAsia" w:ascii="宋体" w:hAnsi="宋体" w:eastAsia="宋体" w:cs="Times New Roman"/>
          <w:color w:val="auto"/>
          <w:szCs w:val="21"/>
          <w:highlight w:val="none"/>
          <w:lang w:val="zh-CN"/>
        </w:rPr>
        <w:t>合同价是指不含本采购项目投标人的销项税额，包含了投标人完成合同义务（含投标人代缴代扣、分包及委外服务、采购货物等所产生的价税）的其他全部费用。本采购项目的销项税额由招标人承担，不计入</w:t>
      </w:r>
      <w:r>
        <w:rPr>
          <w:rFonts w:hint="eastAsia" w:ascii="宋体" w:hAnsi="宋体" w:eastAsia="宋体" w:cs="Times New Roman"/>
          <w:color w:val="auto"/>
          <w:szCs w:val="21"/>
          <w:highlight w:val="none"/>
          <w:lang w:val="en-US" w:eastAsia="zh-CN"/>
        </w:rPr>
        <w:t>价格</w:t>
      </w:r>
      <w:r>
        <w:rPr>
          <w:rFonts w:hint="eastAsia" w:ascii="宋体" w:hAnsi="宋体" w:eastAsia="宋体" w:cs="Times New Roman"/>
          <w:color w:val="auto"/>
          <w:szCs w:val="21"/>
          <w:highlight w:val="none"/>
          <w:lang w:val="zh-CN"/>
        </w:rPr>
        <w:t>。</w:t>
      </w:r>
      <w:r>
        <w:rPr>
          <w:rFonts w:hint="eastAsia" w:ascii="宋体" w:hAnsi="宋体" w:eastAsia="宋体" w:cs="宋体"/>
          <w:b w:val="0"/>
          <w:bCs w:val="0"/>
          <w:color w:val="auto"/>
          <w:szCs w:val="21"/>
          <w:highlight w:val="none"/>
          <w:lang w:val="zh-CN"/>
        </w:rPr>
        <w:t>供货价格均包括但不限于以下内容涉及的费用：</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（1）货物及用户需求书采购清单中要求每项货物配备的附件、备品备件的采购、制造、检测、试验、送货、搬运（含二次搬运至招标人指定仓储地点）、包装费、运费、保险、现场仓储等相关服务的全部费用；</w:t>
      </w:r>
    </w:p>
    <w:p>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w:t>
      </w:r>
      <w:r>
        <w:rPr>
          <w:rFonts w:hint="eastAsia" w:ascii="宋体" w:hAnsi="宋体" w:eastAsia="宋体" w:cs="宋体"/>
          <w:b w:val="0"/>
          <w:bCs w:val="0"/>
          <w:color w:val="auto"/>
          <w:szCs w:val="21"/>
          <w:highlight w:val="none"/>
          <w:lang w:val="zh-CN"/>
        </w:rPr>
        <w:t>货物及其工艺所有制造方、使用方应支付的对专有技术、商标权、专利权和版权、设计或其他知识产权而需要向其他方支付的版税；</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）免费的质保服务，包括但不限于免费质量问题处理或更换失效产品；</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）合理利润、</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lang w:val="zh-CN"/>
        </w:rPr>
        <w:t>销项税额以外的税费等；</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）法律法规、商业公认、招标文件规定由投标人承担的其他直接及间接费用。</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投标人的折扣系数报价不得超过1</w:t>
      </w:r>
      <w:r>
        <w:rPr>
          <w:rFonts w:hint="eastAsia" w:ascii="宋体" w:hAnsi="宋体" w:eastAsia="宋体" w:cs="Times New Roman"/>
          <w:b/>
          <w:bCs/>
          <w:color w:val="auto"/>
          <w:szCs w:val="21"/>
          <w:highlight w:val="none"/>
          <w:u w:val="single"/>
          <w:lang w:val="en-US" w:eastAsia="zh-CN"/>
        </w:rPr>
        <w:t>.00</w:t>
      </w:r>
      <w:r>
        <w:rPr>
          <w:rFonts w:hint="eastAsia" w:ascii="宋体" w:hAnsi="宋体" w:eastAsia="宋体" w:cs="Times New Roman"/>
          <w:b/>
          <w:bCs/>
          <w:color w:val="auto"/>
          <w:szCs w:val="21"/>
          <w:highlight w:val="none"/>
          <w:u w:val="single"/>
        </w:rPr>
        <w:t>，且不能为0</w:t>
      </w:r>
      <w:r>
        <w:rPr>
          <w:rFonts w:hint="eastAsia" w:ascii="宋体" w:hAnsi="宋体" w:eastAsia="宋体" w:cs="Times New Roman"/>
          <w:b/>
          <w:bCs/>
          <w:color w:val="auto"/>
          <w:szCs w:val="21"/>
          <w:highlight w:val="none"/>
          <w:u w:val="single"/>
          <w:lang w:val="en-US" w:eastAsia="zh-CN"/>
        </w:rPr>
        <w:t>.00</w:t>
      </w:r>
      <w:r>
        <w:rPr>
          <w:rFonts w:hint="eastAsia" w:ascii="宋体" w:hAnsi="宋体" w:eastAsia="宋体" w:cs="Times New Roman"/>
          <w:b/>
          <w:bCs/>
          <w:color w:val="auto"/>
          <w:szCs w:val="21"/>
          <w:highlight w:val="none"/>
          <w:u w:val="single"/>
        </w:rPr>
        <w:t>或负数，折扣系数报价最多保留小数点后两位。投标人未按招标文件要求进行折扣系数报价的，该投标人的投标文件将被视为无效投标。</w:t>
      </w:r>
      <w:r>
        <w:rPr>
          <w:rFonts w:hint="eastAsia" w:ascii="宋体" w:hAnsi="宋体" w:eastAsia="宋体" w:cs="宋体"/>
          <w:b/>
          <w:color w:val="auto"/>
          <w:szCs w:val="21"/>
          <w:highlight w:val="none"/>
          <w:u w:val="single"/>
          <w:lang w:val="zh-CN"/>
        </w:rPr>
        <w:t>本项目的不含税</w:t>
      </w:r>
      <w:r>
        <w:rPr>
          <w:rFonts w:hint="eastAsia" w:ascii="宋体" w:hAnsi="宋体" w:eastAsia="宋体" w:cs="宋体"/>
          <w:b/>
          <w:color w:val="auto"/>
          <w:szCs w:val="21"/>
          <w:highlight w:val="none"/>
          <w:u w:val="single"/>
          <w:lang w:val="en-US" w:eastAsia="zh-CN"/>
        </w:rPr>
        <w:t>暂定采购金额</w:t>
      </w:r>
      <w:r>
        <w:rPr>
          <w:rFonts w:hint="eastAsia" w:ascii="宋体" w:hAnsi="宋体" w:eastAsia="宋体" w:cs="Times New Roman"/>
          <w:b/>
          <w:bCs/>
          <w:color w:val="auto"/>
          <w:szCs w:val="21"/>
          <w:highlight w:val="none"/>
          <w:u w:val="single"/>
          <w:lang w:val="zh-CN"/>
        </w:rPr>
        <w:t>为1</w:t>
      </w:r>
      <w:r>
        <w:rPr>
          <w:rFonts w:hint="eastAsia" w:ascii="宋体" w:hAnsi="宋体" w:eastAsia="宋体" w:cs="Times New Roman"/>
          <w:b/>
          <w:bCs/>
          <w:color w:val="auto"/>
          <w:szCs w:val="21"/>
          <w:highlight w:val="none"/>
          <w:u w:val="single"/>
          <w:lang w:val="en-US" w:eastAsia="zh-CN"/>
        </w:rPr>
        <w:t>,</w:t>
      </w:r>
      <w:r>
        <w:rPr>
          <w:rFonts w:hint="eastAsia" w:ascii="宋体" w:hAnsi="宋体" w:eastAsia="宋体" w:cs="Times New Roman"/>
          <w:b/>
          <w:bCs/>
          <w:color w:val="auto"/>
          <w:szCs w:val="21"/>
          <w:highlight w:val="none"/>
          <w:u w:val="single"/>
          <w:lang w:val="zh-CN"/>
        </w:rPr>
        <w:t>442</w:t>
      </w:r>
      <w:r>
        <w:rPr>
          <w:rFonts w:hint="eastAsia" w:ascii="宋体" w:hAnsi="宋体" w:eastAsia="宋体" w:cs="Times New Roman"/>
          <w:b/>
          <w:bCs/>
          <w:color w:val="auto"/>
          <w:szCs w:val="21"/>
          <w:highlight w:val="none"/>
          <w:u w:val="single"/>
          <w:lang w:val="en-US" w:eastAsia="zh-CN"/>
        </w:rPr>
        <w:t>,</w:t>
      </w:r>
      <w:r>
        <w:rPr>
          <w:rFonts w:hint="eastAsia" w:ascii="宋体" w:hAnsi="宋体" w:eastAsia="宋体" w:cs="Times New Roman"/>
          <w:b/>
          <w:bCs/>
          <w:color w:val="auto"/>
          <w:szCs w:val="21"/>
          <w:highlight w:val="none"/>
          <w:u w:val="single"/>
          <w:lang w:val="zh-CN"/>
        </w:rPr>
        <w:t>450.78元（大写</w:t>
      </w:r>
      <w:r>
        <w:rPr>
          <w:rFonts w:hint="eastAsia" w:ascii="宋体" w:hAnsi="宋体" w:eastAsia="宋体" w:cs="宋体"/>
          <w:b/>
          <w:color w:val="auto"/>
          <w:szCs w:val="21"/>
          <w:highlight w:val="none"/>
          <w:u w:val="single"/>
          <w:lang w:val="zh-CN"/>
        </w:rPr>
        <w:t>：人民币</w:t>
      </w:r>
      <w:r>
        <w:rPr>
          <w:rFonts w:hint="eastAsia" w:ascii="宋体" w:hAnsi="宋体" w:eastAsia="宋体" w:cs="宋体"/>
          <w:b/>
          <w:color w:val="auto"/>
          <w:szCs w:val="21"/>
          <w:highlight w:val="none"/>
          <w:u w:val="single"/>
          <w:lang w:val="en-US" w:eastAsia="zh-CN"/>
        </w:rPr>
        <w:t>壹佰肆拾肆万贰仟肆佰伍拾元柒角捌分</w:t>
      </w:r>
      <w:r>
        <w:rPr>
          <w:rFonts w:hint="eastAsia" w:ascii="宋体" w:hAnsi="宋体" w:eastAsia="宋体" w:cs="宋体"/>
          <w:b/>
          <w:color w:val="auto"/>
          <w:szCs w:val="21"/>
          <w:highlight w:val="none"/>
          <w:u w:val="singl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77" w:name="_Toc21514"/>
      <w:bookmarkStart w:id="178" w:name="_Toc142508326"/>
      <w:bookmarkStart w:id="179" w:name="_Toc14068"/>
      <w:bookmarkStart w:id="180" w:name="_Toc450662862"/>
      <w:bookmarkStart w:id="181" w:name="_Toc28777"/>
      <w:bookmarkStart w:id="182" w:name="_Toc31014"/>
      <w:bookmarkStart w:id="183" w:name="_Toc1308"/>
      <w:bookmarkStart w:id="184" w:name="_Toc486167676"/>
      <w:bookmarkStart w:id="185" w:name="_Toc12103"/>
      <w:bookmarkStart w:id="186" w:name="_Toc30042_WPSOffice_Level3"/>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77"/>
      <w:bookmarkEnd w:id="178"/>
      <w:bookmarkEnd w:id="179"/>
      <w:bookmarkEnd w:id="180"/>
      <w:bookmarkEnd w:id="181"/>
      <w:bookmarkEnd w:id="182"/>
      <w:bookmarkEnd w:id="183"/>
      <w:bookmarkEnd w:id="184"/>
      <w:bookmarkEnd w:id="185"/>
      <w:bookmarkEnd w:id="186"/>
    </w:p>
    <w:p>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265" w:leftChars="119" w:hanging="15"/>
        <w:rPr>
          <w:rFonts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87" w:name="_Toc9411_WPSOffice_Level3"/>
      <w:bookmarkStart w:id="188" w:name="_Toc21258"/>
      <w:bookmarkStart w:id="189" w:name="_Toc450662863"/>
      <w:bookmarkStart w:id="190" w:name="_Toc12674"/>
      <w:bookmarkStart w:id="191" w:name="_Toc23307"/>
      <w:bookmarkStart w:id="192" w:name="_Toc25596"/>
      <w:bookmarkStart w:id="193" w:name="_Toc29560"/>
      <w:bookmarkStart w:id="194" w:name="_Toc142508327"/>
      <w:bookmarkStart w:id="195" w:name="_Toc486167677"/>
      <w:bookmarkStart w:id="196" w:name="_Toc13243"/>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26" w:name="_GoBack"/>
      <w:bookmarkEnd w:id="1026"/>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87"/>
      <w:bookmarkEnd w:id="188"/>
      <w:bookmarkEnd w:id="189"/>
      <w:bookmarkEnd w:id="190"/>
      <w:bookmarkEnd w:id="191"/>
      <w:bookmarkEnd w:id="192"/>
      <w:bookmarkEnd w:id="193"/>
      <w:bookmarkEnd w:id="194"/>
      <w:bookmarkEnd w:id="195"/>
      <w:bookmarkEnd w:id="196"/>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w:t>
      </w:r>
      <w:r>
        <w:rPr>
          <w:rFonts w:hint="eastAsia" w:ascii="宋体" w:hAnsi="宋体" w:eastAsia="宋体" w:cs="宋体"/>
          <w:color w:val="auto"/>
          <w:szCs w:val="21"/>
          <w:highlight w:val="none"/>
          <w:lang w:val="en-US" w:eastAsia="zh-CN"/>
        </w:rPr>
        <w:t>其他</w:t>
      </w:r>
      <w:r>
        <w:rPr>
          <w:rFonts w:hint="eastAsia" w:ascii="宋体" w:hAnsi="宋体" w:eastAsia="宋体" w:cs="宋体"/>
          <w:color w:val="auto"/>
          <w:szCs w:val="21"/>
          <w:highlight w:val="none"/>
          <w:lang w:val="zh-CN"/>
        </w:rPr>
        <w:t>文件。</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7" w:name="_Toc11969"/>
      <w:bookmarkStart w:id="198" w:name="_Toc30990"/>
      <w:bookmarkStart w:id="199" w:name="_Toc9116"/>
      <w:bookmarkStart w:id="200" w:name="_Toc29597"/>
      <w:bookmarkStart w:id="201" w:name="_Toc27771_WPSOffice_Level3"/>
      <w:bookmarkStart w:id="202" w:name="_Toc450662864"/>
      <w:bookmarkStart w:id="203" w:name="_Toc142508328"/>
      <w:bookmarkStart w:id="204" w:name="_Toc26154"/>
      <w:bookmarkStart w:id="205" w:name="_Toc30441"/>
      <w:bookmarkStart w:id="206" w:name="_Toc486167678"/>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97"/>
      <w:bookmarkEnd w:id="198"/>
      <w:bookmarkEnd w:id="199"/>
      <w:bookmarkEnd w:id="200"/>
      <w:bookmarkEnd w:id="201"/>
      <w:bookmarkEnd w:id="202"/>
      <w:bookmarkEnd w:id="203"/>
      <w:bookmarkEnd w:id="204"/>
      <w:bookmarkEnd w:id="205"/>
      <w:bookmarkEnd w:id="206"/>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19" w:leftChars="-100" w:hanging="529" w:hangingChars="251"/>
        <w:rPr>
          <w:rFonts w:ascii="宋体" w:hAnsi="宋体" w:eastAsia="宋体" w:cs="宋体"/>
          <w:b/>
          <w:color w:val="auto"/>
          <w:szCs w:val="21"/>
          <w:highlight w:val="none"/>
          <w:lang w:val="zh-CN"/>
        </w:rPr>
      </w:pPr>
    </w:p>
    <w:p>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7" w:name="_Toc21008"/>
      <w:bookmarkStart w:id="208" w:name="_Toc4163"/>
      <w:bookmarkStart w:id="209" w:name="_Toc7725"/>
      <w:bookmarkStart w:id="210" w:name="_Toc486167679"/>
      <w:bookmarkStart w:id="211" w:name="_Toc11681"/>
      <w:bookmarkStart w:id="212" w:name="_Toc142508329"/>
      <w:bookmarkStart w:id="213" w:name="_Toc17866"/>
      <w:bookmarkStart w:id="214" w:name="_Toc24774"/>
      <w:bookmarkStart w:id="215" w:name="_Toc5356_WPSOffice_Level3"/>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207"/>
      <w:bookmarkEnd w:id="208"/>
      <w:bookmarkEnd w:id="209"/>
      <w:bookmarkEnd w:id="210"/>
      <w:bookmarkEnd w:id="211"/>
      <w:bookmarkEnd w:id="212"/>
      <w:bookmarkEnd w:id="213"/>
      <w:bookmarkEnd w:id="214"/>
      <w:bookmarkEnd w:id="215"/>
    </w:p>
    <w:p>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28,000.00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贰万捌仟元整</w:t>
      </w:r>
      <w:r>
        <w:rPr>
          <w:rFonts w:hint="default" w:ascii="宋体" w:hAnsi="宋体" w:eastAsia="宋体" w:cs="宋体"/>
          <w:b/>
          <w:color w:val="auto"/>
          <w:kern w:val="0"/>
          <w:szCs w:val="21"/>
          <w:highlight w:val="none"/>
          <w:u w:val="single"/>
          <w:lang w:val="en-US"/>
        </w:rPr>
        <w:t xml:space="preserve"> </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rPr>
        <w:t>开户名称：东莞市水务集团供水有限公司</w:t>
      </w:r>
    </w:p>
    <w:p>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lang w:val="zh-CN"/>
        </w:rPr>
        <w:t>开户银行：工商银行东莞城区支行</w:t>
      </w:r>
    </w:p>
    <w:p>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u w:val="single"/>
        </w:rPr>
      </w:pPr>
      <w:r>
        <w:rPr>
          <w:rFonts w:hint="eastAsia" w:ascii="宋体" w:hAnsi="宋体" w:eastAsia="宋体" w:cs="Times New Roman"/>
          <w:color w:val="auto"/>
          <w:kern w:val="0"/>
          <w:szCs w:val="21"/>
          <w:highlight w:val="none"/>
          <w:lang w:val="zh-CN"/>
        </w:rPr>
        <w:t>银行账号：2010020119000060928</w:t>
      </w:r>
    </w:p>
    <w:p>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w:t>
      </w:r>
      <w:r>
        <w:rPr>
          <w:rFonts w:hint="eastAsia" w:ascii="宋体" w:hAnsi="宋体" w:eastAsia="宋体" w:cs="宋体"/>
          <w:color w:val="auto"/>
          <w:kern w:val="0"/>
          <w:szCs w:val="21"/>
          <w:highlight w:val="none"/>
          <w:lang w:eastAsia="zh-CN"/>
        </w:rPr>
        <w:t>本项目的书面</w:t>
      </w:r>
      <w:r>
        <w:rPr>
          <w:rFonts w:hint="eastAsia" w:ascii="宋体" w:hAnsi="宋体" w:eastAsia="宋体" w:cs="宋体"/>
          <w:color w:val="auto"/>
          <w:kern w:val="0"/>
          <w:szCs w:val="21"/>
          <w:highlight w:val="none"/>
        </w:rPr>
        <w:t>合同签订后5日内退还。</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6" w:name="_Toc450662865"/>
      <w:bookmarkStart w:id="217" w:name="_Toc2461"/>
      <w:bookmarkStart w:id="218" w:name="_Toc2942"/>
      <w:bookmarkStart w:id="219" w:name="_Toc486167680"/>
      <w:bookmarkStart w:id="220" w:name="_Toc3856"/>
      <w:bookmarkStart w:id="221" w:name="_Toc142508330"/>
      <w:bookmarkStart w:id="222" w:name="_Toc22649_WPSOffice_Level3"/>
      <w:bookmarkStart w:id="223" w:name="_Toc14197"/>
      <w:bookmarkStart w:id="224" w:name="_Toc10550"/>
      <w:bookmarkStart w:id="225" w:name="_Toc11521"/>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216"/>
      <w:bookmarkEnd w:id="217"/>
      <w:bookmarkEnd w:id="218"/>
      <w:bookmarkEnd w:id="219"/>
      <w:bookmarkEnd w:id="220"/>
      <w:bookmarkEnd w:id="221"/>
      <w:bookmarkEnd w:id="222"/>
      <w:bookmarkEnd w:id="223"/>
      <w:bookmarkEnd w:id="224"/>
      <w:bookmarkEnd w:id="225"/>
    </w:p>
    <w:p>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6" w:name="_Toc142508331"/>
      <w:bookmarkStart w:id="227" w:name="_Toc358"/>
      <w:bookmarkStart w:id="228" w:name="_Toc25637_WPSOffice_Level3"/>
      <w:bookmarkStart w:id="229" w:name="_Toc4839"/>
      <w:bookmarkStart w:id="230" w:name="_Toc26283"/>
      <w:bookmarkStart w:id="231" w:name="_Toc21511"/>
      <w:bookmarkStart w:id="232" w:name="_Toc450662866"/>
      <w:bookmarkStart w:id="233" w:name="_Toc13311"/>
      <w:bookmarkStart w:id="234" w:name="_Toc15562"/>
      <w:bookmarkStart w:id="235" w:name="_Toc48616768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226"/>
      <w:bookmarkEnd w:id="227"/>
      <w:bookmarkEnd w:id="228"/>
      <w:bookmarkEnd w:id="229"/>
      <w:bookmarkEnd w:id="230"/>
      <w:bookmarkEnd w:id="231"/>
      <w:bookmarkEnd w:id="232"/>
      <w:bookmarkEnd w:id="233"/>
      <w:bookmarkEnd w:id="234"/>
      <w:bookmarkEnd w:id="235"/>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en-US" w:eastAsia="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ascii="宋体" w:hAnsi="宋体" w:eastAsia="宋体" w:cs="宋体"/>
          <w:color w:val="auto"/>
          <w:kern w:val="0"/>
          <w:sz w:val="24"/>
          <w:szCs w:val="24"/>
          <w:highlight w:val="none"/>
        </w:rPr>
      </w:pPr>
      <w:bookmarkStart w:id="236" w:name="_Toc450662867"/>
    </w:p>
    <w:p>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37" w:name="_Toc486167682"/>
      <w:bookmarkStart w:id="238" w:name="_Toc29732"/>
      <w:bookmarkStart w:id="239" w:name="_Toc142508332"/>
      <w:bookmarkStart w:id="240" w:name="_Toc17608"/>
      <w:bookmarkStart w:id="241" w:name="_Toc22356_WPSOffice_Level2"/>
      <w:bookmarkStart w:id="242" w:name="_Toc32503"/>
      <w:bookmarkStart w:id="243" w:name="_Toc140596891"/>
      <w:bookmarkStart w:id="244" w:name="_Toc7949"/>
      <w:bookmarkStart w:id="245" w:name="_Toc11345"/>
      <w:bookmarkStart w:id="246" w:name="_Toc29728"/>
      <w:r>
        <w:rPr>
          <w:rFonts w:hint="eastAsia" w:ascii="宋体" w:hAnsi="宋体" w:eastAsia="宋体" w:cs="宋体"/>
          <w:b/>
          <w:bCs/>
          <w:color w:val="auto"/>
          <w:kern w:val="44"/>
          <w:szCs w:val="21"/>
          <w:highlight w:val="none"/>
          <w:lang w:val="zh-CN"/>
        </w:rPr>
        <w:t>四、投标文件的递交</w:t>
      </w:r>
      <w:bookmarkEnd w:id="236"/>
      <w:bookmarkEnd w:id="237"/>
      <w:bookmarkEnd w:id="238"/>
      <w:bookmarkEnd w:id="239"/>
      <w:bookmarkEnd w:id="240"/>
      <w:bookmarkEnd w:id="241"/>
      <w:bookmarkEnd w:id="242"/>
      <w:bookmarkEnd w:id="243"/>
      <w:bookmarkEnd w:id="244"/>
      <w:bookmarkEnd w:id="245"/>
      <w:bookmarkEnd w:id="24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7" w:name="_Toc9021"/>
      <w:bookmarkStart w:id="248" w:name="_Toc450662868"/>
      <w:bookmarkStart w:id="249" w:name="_Toc9900"/>
      <w:bookmarkStart w:id="250" w:name="_Toc486167683"/>
      <w:bookmarkStart w:id="251" w:name="_Toc12192_WPSOffice_Level3"/>
      <w:bookmarkStart w:id="252" w:name="_Toc31579"/>
      <w:bookmarkStart w:id="253" w:name="_Toc14132"/>
      <w:bookmarkStart w:id="254" w:name="_Toc15388"/>
      <w:bookmarkStart w:id="255" w:name="_Toc10408"/>
      <w:bookmarkStart w:id="256" w:name="_Toc14250833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47"/>
      <w:bookmarkEnd w:id="248"/>
      <w:bookmarkEnd w:id="249"/>
      <w:bookmarkEnd w:id="250"/>
      <w:bookmarkEnd w:id="251"/>
      <w:bookmarkEnd w:id="252"/>
      <w:bookmarkEnd w:id="253"/>
      <w:bookmarkEnd w:id="254"/>
      <w:bookmarkEnd w:id="255"/>
      <w:bookmarkEnd w:id="256"/>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7" w:name="_Toc450662869"/>
      <w:bookmarkStart w:id="258" w:name="_Toc3920"/>
      <w:bookmarkStart w:id="259" w:name="_Toc2179"/>
      <w:bookmarkStart w:id="260" w:name="_Toc32205"/>
      <w:bookmarkStart w:id="261" w:name="_Toc29665_WPSOffice_Level3"/>
      <w:bookmarkStart w:id="262" w:name="_Toc142508334"/>
      <w:bookmarkStart w:id="263" w:name="_Toc6567"/>
      <w:bookmarkStart w:id="264" w:name="_Toc23301"/>
      <w:bookmarkStart w:id="265" w:name="_Toc486167684"/>
      <w:bookmarkStart w:id="266" w:name="_Toc338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57"/>
      <w:bookmarkEnd w:id="258"/>
      <w:bookmarkEnd w:id="259"/>
      <w:bookmarkEnd w:id="260"/>
      <w:bookmarkEnd w:id="261"/>
      <w:bookmarkEnd w:id="262"/>
      <w:bookmarkEnd w:id="263"/>
      <w:bookmarkEnd w:id="264"/>
      <w:bookmarkEnd w:id="265"/>
      <w:bookmarkEnd w:id="266"/>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67" w:name="_Toc486167685"/>
      <w:bookmarkStart w:id="268" w:name="_Toc142508335"/>
      <w:bookmarkStart w:id="269" w:name="_Toc7870"/>
      <w:bookmarkStart w:id="270" w:name="_Toc450662870"/>
      <w:bookmarkStart w:id="271" w:name="_Toc23091"/>
      <w:bookmarkStart w:id="272" w:name="_Toc21232"/>
      <w:bookmarkStart w:id="273" w:name="_Toc14293"/>
      <w:bookmarkStart w:id="274" w:name="_Toc6684"/>
      <w:bookmarkStart w:id="275" w:name="_Toc22431_WPSOffice_Level3"/>
      <w:bookmarkStart w:id="276" w:name="_Toc19193"/>
      <w:r>
        <w:rPr>
          <w:rFonts w:hint="eastAsia" w:ascii="宋体" w:hAnsi="宋体" w:eastAsia="宋体" w:cs="宋体"/>
          <w:color w:val="auto"/>
          <w:szCs w:val="21"/>
          <w:highlight w:val="none"/>
          <w:lang w:val="zh-CN"/>
        </w:rPr>
        <w:t>20 迟交的投标文件</w:t>
      </w:r>
      <w:bookmarkEnd w:id="267"/>
      <w:bookmarkEnd w:id="268"/>
      <w:bookmarkEnd w:id="269"/>
      <w:bookmarkEnd w:id="270"/>
      <w:bookmarkEnd w:id="271"/>
      <w:bookmarkEnd w:id="272"/>
      <w:bookmarkEnd w:id="273"/>
      <w:bookmarkEnd w:id="274"/>
      <w:bookmarkEnd w:id="275"/>
      <w:bookmarkEnd w:id="276"/>
    </w:p>
    <w:p>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7" w:name="_Toc5353"/>
      <w:bookmarkStart w:id="278" w:name="_Toc20088"/>
      <w:bookmarkStart w:id="279" w:name="_Toc4883_WPSOffice_Level3"/>
      <w:bookmarkStart w:id="280" w:name="_Toc450662871"/>
      <w:bookmarkStart w:id="281" w:name="_Toc142508336"/>
      <w:bookmarkStart w:id="282" w:name="_Toc954"/>
      <w:bookmarkStart w:id="283" w:name="_Toc15452"/>
      <w:bookmarkStart w:id="284" w:name="_Toc486167686"/>
      <w:bookmarkStart w:id="285" w:name="_Toc21693"/>
      <w:bookmarkStart w:id="286" w:name="_Toc16964"/>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77"/>
      <w:bookmarkEnd w:id="278"/>
      <w:bookmarkEnd w:id="279"/>
      <w:bookmarkEnd w:id="280"/>
      <w:bookmarkEnd w:id="281"/>
      <w:bookmarkEnd w:id="282"/>
      <w:bookmarkEnd w:id="283"/>
      <w:bookmarkEnd w:id="284"/>
      <w:bookmarkEnd w:id="285"/>
      <w:bookmarkEnd w:id="286"/>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87" w:name="_Toc450662872"/>
      <w:bookmarkStart w:id="288" w:name="_Toc18224"/>
      <w:bookmarkStart w:id="289" w:name="_Toc142508337"/>
      <w:bookmarkStart w:id="290" w:name="_Toc140596896"/>
      <w:bookmarkStart w:id="291" w:name="_Toc27648"/>
      <w:bookmarkStart w:id="292" w:name="_Toc1049_WPSOffice_Level2"/>
      <w:bookmarkStart w:id="293" w:name="_Toc6702"/>
      <w:bookmarkStart w:id="294" w:name="_Toc486167687"/>
      <w:bookmarkStart w:id="295" w:name="_Toc27821"/>
      <w:bookmarkStart w:id="296" w:name="_Toc17987"/>
      <w:bookmarkStart w:id="297" w:name="_Toc3836"/>
      <w:r>
        <w:rPr>
          <w:rFonts w:hint="eastAsia" w:ascii="宋体" w:hAnsi="宋体" w:eastAsia="宋体" w:cs="宋体"/>
          <w:b/>
          <w:bCs/>
          <w:color w:val="auto"/>
          <w:kern w:val="44"/>
          <w:szCs w:val="21"/>
          <w:highlight w:val="none"/>
          <w:lang w:val="zh-CN"/>
        </w:rPr>
        <w:t>五、开标与评标</w:t>
      </w:r>
      <w:bookmarkEnd w:id="287"/>
      <w:bookmarkEnd w:id="288"/>
      <w:bookmarkEnd w:id="289"/>
      <w:bookmarkEnd w:id="290"/>
      <w:bookmarkEnd w:id="291"/>
      <w:bookmarkEnd w:id="292"/>
      <w:bookmarkEnd w:id="293"/>
      <w:bookmarkEnd w:id="294"/>
      <w:bookmarkEnd w:id="295"/>
      <w:bookmarkEnd w:id="296"/>
      <w:bookmarkEnd w:id="297"/>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8" w:name="_Toc28731"/>
      <w:bookmarkStart w:id="299" w:name="_Toc7078"/>
      <w:bookmarkStart w:id="300" w:name="_Toc31576"/>
      <w:bookmarkStart w:id="301" w:name="_Toc7200"/>
      <w:bookmarkStart w:id="302" w:name="_Toc486167688"/>
      <w:bookmarkStart w:id="303" w:name="_Toc144_WPSOffice_Level3"/>
      <w:bookmarkStart w:id="304" w:name="_Toc142508338"/>
      <w:bookmarkStart w:id="305" w:name="_Toc450662873"/>
      <w:bookmarkStart w:id="306" w:name="_Toc19487"/>
      <w:bookmarkStart w:id="307" w:name="_Toc29881"/>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98"/>
      <w:bookmarkEnd w:id="299"/>
      <w:bookmarkEnd w:id="300"/>
      <w:bookmarkEnd w:id="301"/>
      <w:bookmarkEnd w:id="302"/>
      <w:bookmarkEnd w:id="303"/>
      <w:bookmarkEnd w:id="304"/>
      <w:bookmarkEnd w:id="305"/>
      <w:bookmarkEnd w:id="306"/>
      <w:bookmarkEnd w:id="307"/>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投标报价表内当以数字表示的报价系数与以文字表示的报价系数不一致时，以文字表示的报价系数为准。投标报价表内折扣系数报价</w:t>
      </w:r>
      <w:r>
        <w:rPr>
          <w:rFonts w:hint="eastAsia" w:ascii="宋体" w:hAnsi="宋体" w:eastAsia="宋体" w:cs="宋体"/>
          <w:color w:val="auto"/>
          <w:szCs w:val="21"/>
          <w:highlight w:val="none"/>
          <w:lang w:val="en-US" w:eastAsia="zh-CN"/>
        </w:rPr>
        <w:t>最多</w:t>
      </w:r>
      <w:r>
        <w:rPr>
          <w:rFonts w:hint="eastAsia" w:ascii="宋体" w:hAnsi="宋体" w:eastAsia="宋体" w:cs="宋体"/>
          <w:color w:val="auto"/>
          <w:szCs w:val="21"/>
          <w:highlight w:val="none"/>
          <w:lang w:val="zh-CN"/>
        </w:rPr>
        <w:t>保留小数点后两位。对不同文字文本投标文件的解释发生异议的，以中文文本为准。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8" w:name="_Toc2038"/>
      <w:bookmarkStart w:id="309" w:name="_Toc486167689"/>
      <w:bookmarkStart w:id="310" w:name="_Toc11072"/>
      <w:bookmarkStart w:id="311" w:name="_Toc28605"/>
      <w:bookmarkStart w:id="312" w:name="_Toc12165_WPSOffice_Level3"/>
      <w:bookmarkStart w:id="313" w:name="_Toc450662874"/>
      <w:bookmarkStart w:id="314" w:name="_Toc25818"/>
      <w:bookmarkStart w:id="315" w:name="_Toc12957"/>
      <w:bookmarkStart w:id="316" w:name="_Toc142508339"/>
      <w:bookmarkStart w:id="317" w:name="_Toc7774"/>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308"/>
      <w:bookmarkEnd w:id="309"/>
      <w:bookmarkEnd w:id="310"/>
      <w:bookmarkEnd w:id="311"/>
      <w:bookmarkEnd w:id="312"/>
      <w:bookmarkEnd w:id="313"/>
      <w:bookmarkEnd w:id="314"/>
      <w:bookmarkEnd w:id="315"/>
      <w:bookmarkEnd w:id="316"/>
      <w:bookmarkEnd w:id="317"/>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8" w:name="_Toc22419"/>
      <w:bookmarkStart w:id="319" w:name="_Toc450662875"/>
      <w:bookmarkStart w:id="320" w:name="_Toc142508340"/>
      <w:bookmarkStart w:id="321" w:name="_Toc13169"/>
      <w:bookmarkStart w:id="322" w:name="_Toc28201"/>
      <w:bookmarkStart w:id="323" w:name="_Toc833"/>
      <w:bookmarkStart w:id="324" w:name="_Toc19944"/>
      <w:bookmarkStart w:id="325" w:name="_Toc486167690"/>
      <w:bookmarkStart w:id="326" w:name="_Toc3748"/>
      <w:bookmarkStart w:id="327" w:name="_Toc15565_WPSOffice_Level3"/>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318"/>
      <w:bookmarkEnd w:id="319"/>
      <w:bookmarkEnd w:id="320"/>
      <w:bookmarkEnd w:id="321"/>
      <w:bookmarkEnd w:id="322"/>
      <w:bookmarkEnd w:id="323"/>
      <w:bookmarkEnd w:id="324"/>
      <w:bookmarkEnd w:id="325"/>
      <w:bookmarkEnd w:id="326"/>
      <w:bookmarkEnd w:id="327"/>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28" w:name="_Toc830"/>
      <w:bookmarkStart w:id="329" w:name="_Toc28910_WPSOffice_Level3"/>
      <w:bookmarkStart w:id="330" w:name="_Toc31399"/>
      <w:bookmarkStart w:id="331" w:name="_Toc14693"/>
      <w:bookmarkStart w:id="332" w:name="_Toc486167691"/>
      <w:bookmarkStart w:id="333" w:name="_Toc32385"/>
      <w:bookmarkStart w:id="334" w:name="_Toc2557"/>
      <w:bookmarkStart w:id="335" w:name="_Toc22286"/>
      <w:bookmarkStart w:id="336" w:name="_Toc450662876"/>
      <w:bookmarkStart w:id="337" w:name="_Toc142508341"/>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328"/>
      <w:bookmarkEnd w:id="329"/>
      <w:bookmarkEnd w:id="330"/>
      <w:bookmarkEnd w:id="331"/>
      <w:bookmarkEnd w:id="332"/>
      <w:bookmarkEnd w:id="333"/>
      <w:bookmarkEnd w:id="334"/>
      <w:bookmarkEnd w:id="335"/>
      <w:bookmarkEnd w:id="336"/>
      <w:bookmarkEnd w:id="337"/>
    </w:p>
    <w:p>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8" w:name="_Toc338_WPSOffice_Level3"/>
      <w:bookmarkStart w:id="339" w:name="_Toc19436"/>
      <w:bookmarkStart w:id="340" w:name="_Toc142508342"/>
      <w:bookmarkStart w:id="341" w:name="_Toc9436"/>
      <w:bookmarkStart w:id="342" w:name="_Toc26239"/>
      <w:bookmarkStart w:id="343" w:name="_Toc12383"/>
      <w:bookmarkStart w:id="344" w:name="_Toc486167692"/>
      <w:bookmarkStart w:id="345" w:name="_Toc10130"/>
      <w:bookmarkStart w:id="346" w:name="_Toc450662877"/>
      <w:bookmarkStart w:id="347" w:name="_Toc8292"/>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338"/>
      <w:bookmarkEnd w:id="339"/>
      <w:bookmarkEnd w:id="340"/>
      <w:bookmarkEnd w:id="341"/>
      <w:bookmarkEnd w:id="342"/>
      <w:bookmarkEnd w:id="343"/>
      <w:bookmarkEnd w:id="344"/>
      <w:bookmarkEnd w:id="345"/>
      <w:bookmarkEnd w:id="346"/>
      <w:bookmarkEnd w:id="347"/>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348"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348"/>
    <w:p>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349" w:name="_Toc18368_WPSOffice_Level3"/>
      <w:bookmarkStart w:id="350" w:name="_Toc522047355"/>
      <w:bookmarkStart w:id="351" w:name="_Toc521918096"/>
      <w:bookmarkStart w:id="352" w:name="_Toc142508343"/>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3" w:name="_Toc30147"/>
      <w:bookmarkStart w:id="354" w:name="_Toc22208"/>
      <w:bookmarkStart w:id="355" w:name="_Toc8438"/>
      <w:bookmarkStart w:id="356" w:name="_Toc11913"/>
      <w:bookmarkStart w:id="357" w:name="_Toc26392"/>
      <w:bookmarkStart w:id="358" w:name="_Toc1502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349"/>
      <w:bookmarkEnd w:id="350"/>
      <w:bookmarkEnd w:id="351"/>
      <w:bookmarkEnd w:id="352"/>
      <w:bookmarkEnd w:id="353"/>
      <w:bookmarkEnd w:id="354"/>
      <w:bookmarkEnd w:id="355"/>
      <w:bookmarkEnd w:id="356"/>
      <w:bookmarkEnd w:id="357"/>
      <w:bookmarkEnd w:id="358"/>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359" w:name="_Toc522047356"/>
      <w:bookmarkStart w:id="360" w:name="_Toc521918097"/>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61" w:name="_Toc24916"/>
      <w:bookmarkStart w:id="362" w:name="_Toc18255"/>
      <w:bookmarkStart w:id="363" w:name="_Toc31279"/>
      <w:bookmarkStart w:id="364" w:name="_Toc17033"/>
      <w:bookmarkStart w:id="365" w:name="_Toc16352"/>
      <w:bookmarkStart w:id="366" w:name="_Toc29380"/>
      <w:bookmarkStart w:id="367" w:name="_Toc21460_WPSOffice_Level3"/>
      <w:bookmarkStart w:id="368" w:name="_Toc142508344"/>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359"/>
      <w:bookmarkEnd w:id="360"/>
      <w:bookmarkEnd w:id="361"/>
      <w:bookmarkEnd w:id="362"/>
      <w:bookmarkEnd w:id="363"/>
      <w:bookmarkEnd w:id="364"/>
      <w:bookmarkEnd w:id="365"/>
      <w:bookmarkEnd w:id="366"/>
      <w:bookmarkEnd w:id="367"/>
      <w:bookmarkEnd w:id="368"/>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pPr>
        <w:tabs>
          <w:tab w:val="left" w:pos="360"/>
        </w:tabs>
        <w:autoSpaceDE w:val="0"/>
        <w:autoSpaceDN w:val="0"/>
        <w:adjustRightInd w:val="0"/>
        <w:spacing w:line="360" w:lineRule="auto"/>
        <w:ind w:left="330" w:leftChars="-100" w:right="44" w:rightChars="21" w:hanging="54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若本次招标过程中有效投标人不足三个时，公开招标失败。</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69" w:name="_Toc486167694"/>
      <w:bookmarkStart w:id="370" w:name="_Toc465358969"/>
      <w:bookmarkStart w:id="371" w:name="_Toc10642"/>
      <w:bookmarkStart w:id="372" w:name="_Toc15841"/>
      <w:bookmarkStart w:id="373" w:name="_Toc32498_WPSOffice_Level3"/>
      <w:bookmarkStart w:id="374" w:name="_Toc7711"/>
      <w:bookmarkStart w:id="375" w:name="_Toc779"/>
      <w:bookmarkStart w:id="376" w:name="_Toc28641"/>
      <w:bookmarkStart w:id="377" w:name="_Toc466882017"/>
      <w:bookmarkStart w:id="378" w:name="_Toc25047"/>
      <w:bookmarkStart w:id="379" w:name="_Toc14250834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69"/>
      <w:bookmarkEnd w:id="370"/>
      <w:bookmarkEnd w:id="371"/>
      <w:bookmarkEnd w:id="372"/>
      <w:bookmarkEnd w:id="373"/>
      <w:bookmarkEnd w:id="374"/>
      <w:bookmarkEnd w:id="375"/>
      <w:bookmarkEnd w:id="376"/>
      <w:bookmarkEnd w:id="377"/>
      <w:bookmarkEnd w:id="378"/>
      <w:bookmarkEnd w:id="379"/>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w:t>
      </w:r>
      <w:r>
        <w:rPr>
          <w:rFonts w:hint="eastAsia" w:ascii="宋体" w:hAnsi="宋体" w:eastAsia="宋体" w:cs="Times New Roman"/>
          <w:b/>
          <w:color w:val="auto"/>
          <w:szCs w:val="21"/>
          <w:highlight w:val="none"/>
          <w:lang w:val="en-US" w:eastAsia="zh-CN"/>
        </w:rPr>
        <w:t>内</w:t>
      </w:r>
      <w:r>
        <w:rPr>
          <w:rFonts w:hint="eastAsia" w:ascii="宋体" w:hAnsi="宋体" w:eastAsia="宋体" w:cs="Times New Roman"/>
          <w:b/>
          <w:color w:val="auto"/>
          <w:szCs w:val="21"/>
          <w:highlight w:val="none"/>
          <w:lang w:val="zh-CN"/>
        </w:rPr>
        <w:t>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监督部门：东莞市水务环境投资控股集团有限公司，联系人：莫先生，联系电话：0769-28823251。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80" w:name="_Toc466882018"/>
      <w:bookmarkStart w:id="381" w:name="_Toc4325"/>
      <w:bookmarkStart w:id="382" w:name="_Toc1562"/>
      <w:bookmarkStart w:id="383" w:name="_Toc142508346"/>
      <w:bookmarkStart w:id="384" w:name="_Toc12569"/>
      <w:bookmarkStart w:id="385" w:name="_Toc8344"/>
      <w:bookmarkStart w:id="386" w:name="_Toc465358970"/>
      <w:bookmarkStart w:id="387" w:name="_Toc486167695"/>
      <w:bookmarkStart w:id="388" w:name="_Toc26138"/>
      <w:bookmarkStart w:id="389" w:name="_Toc1848_WPSOffice_Level3"/>
      <w:bookmarkStart w:id="390" w:name="_Toc25205"/>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80"/>
      <w:bookmarkEnd w:id="381"/>
      <w:bookmarkEnd w:id="382"/>
      <w:bookmarkEnd w:id="383"/>
      <w:bookmarkEnd w:id="384"/>
      <w:bookmarkEnd w:id="385"/>
      <w:bookmarkEnd w:id="386"/>
      <w:bookmarkEnd w:id="387"/>
      <w:bookmarkEnd w:id="388"/>
      <w:bookmarkEnd w:id="389"/>
      <w:bookmarkEnd w:id="390"/>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w:t>
      </w:r>
      <w:r>
        <w:rPr>
          <w:rFonts w:hint="eastAsia" w:ascii="宋体" w:hAnsi="宋体" w:eastAsia="宋体" w:cs="宋体"/>
          <w:b/>
          <w:color w:val="auto"/>
          <w:szCs w:val="21"/>
          <w:highlight w:val="none"/>
          <w:lang w:eastAsia="zh-CN"/>
        </w:rPr>
        <w:t>东莞市水务环境投资控股集团有限公司</w:t>
      </w:r>
      <w:r>
        <w:rPr>
          <w:rFonts w:hint="eastAsia" w:ascii="宋体" w:hAnsi="宋体" w:eastAsia="宋体" w:cs="宋体"/>
          <w:b/>
          <w:color w:val="auto"/>
          <w:szCs w:val="21"/>
          <w:highlight w:val="none"/>
        </w:rPr>
        <w:t>相关招标采购等活动的，由投标人自行承担全部后果。</w:t>
      </w:r>
    </w:p>
    <w:p>
      <w:pPr>
        <w:autoSpaceDE w:val="0"/>
        <w:autoSpaceDN w:val="0"/>
        <w:adjustRightInd w:val="0"/>
        <w:snapToGrid w:val="0"/>
        <w:spacing w:line="360" w:lineRule="auto"/>
        <w:jc w:val="left"/>
        <w:rPr>
          <w:rFonts w:ascii="宋体" w:hAnsi="宋体" w:eastAsia="宋体" w:cs="宋体"/>
          <w:color w:val="auto"/>
          <w:szCs w:val="21"/>
          <w:highlight w:val="none"/>
        </w:rPr>
      </w:pPr>
      <w:bookmarkStart w:id="391" w:name="_Toc465358971"/>
      <w:bookmarkStart w:id="392" w:name="_Toc466882019"/>
    </w:p>
    <w:p>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93" w:name="_Toc17654"/>
      <w:bookmarkStart w:id="394" w:name="_Toc486167696"/>
      <w:bookmarkStart w:id="395" w:name="_Toc18728"/>
      <w:bookmarkStart w:id="396" w:name="_Toc6550"/>
      <w:bookmarkStart w:id="397" w:name="_Toc142508347"/>
      <w:bookmarkStart w:id="398" w:name="_Toc10867_WPSOffice_Level3"/>
      <w:bookmarkStart w:id="399" w:name="_Toc26035"/>
      <w:bookmarkStart w:id="400" w:name="_Toc5882"/>
      <w:bookmarkStart w:id="401" w:name="_Toc14140"/>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91"/>
      <w:bookmarkEnd w:id="392"/>
      <w:bookmarkEnd w:id="393"/>
      <w:bookmarkEnd w:id="394"/>
      <w:bookmarkEnd w:id="395"/>
      <w:bookmarkEnd w:id="396"/>
      <w:bookmarkEnd w:id="397"/>
      <w:bookmarkEnd w:id="398"/>
      <w:bookmarkEnd w:id="399"/>
      <w:bookmarkEnd w:id="400"/>
      <w:bookmarkEnd w:id="401"/>
    </w:p>
    <w:p>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402" w:name="_Toc450662880"/>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403" w:name="_Toc486167697"/>
      <w:bookmarkStart w:id="404" w:name="_Toc142508348"/>
      <w:bookmarkStart w:id="405" w:name="_Toc19646"/>
      <w:bookmarkStart w:id="406" w:name="_Toc23395"/>
      <w:bookmarkStart w:id="407" w:name="_Toc16195"/>
      <w:bookmarkStart w:id="408" w:name="_Toc16848_WPSOffice_Level2"/>
      <w:bookmarkStart w:id="409" w:name="_Toc140596907"/>
      <w:bookmarkStart w:id="410" w:name="_Toc31264"/>
      <w:bookmarkStart w:id="411" w:name="_Toc18316"/>
      <w:bookmarkStart w:id="412" w:name="_Toc2951"/>
      <w:r>
        <w:rPr>
          <w:rFonts w:hint="eastAsia" w:ascii="宋体" w:hAnsi="宋体" w:eastAsia="宋体" w:cs="宋体"/>
          <w:b/>
          <w:bCs/>
          <w:color w:val="auto"/>
          <w:kern w:val="44"/>
          <w:szCs w:val="21"/>
          <w:highlight w:val="none"/>
          <w:lang w:val="zh-CN"/>
        </w:rPr>
        <w:t>六、授予合同</w:t>
      </w:r>
      <w:bookmarkEnd w:id="402"/>
      <w:bookmarkEnd w:id="403"/>
      <w:bookmarkEnd w:id="404"/>
      <w:bookmarkEnd w:id="405"/>
      <w:bookmarkEnd w:id="406"/>
      <w:bookmarkEnd w:id="407"/>
      <w:bookmarkEnd w:id="408"/>
      <w:bookmarkEnd w:id="409"/>
      <w:bookmarkEnd w:id="410"/>
      <w:bookmarkEnd w:id="411"/>
      <w:bookmarkEnd w:id="412"/>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13" w:name="_Toc486167698"/>
      <w:bookmarkStart w:id="414" w:name="_Toc14689"/>
      <w:bookmarkStart w:id="415" w:name="_Toc142508349"/>
      <w:bookmarkStart w:id="416" w:name="_Toc26987"/>
      <w:bookmarkStart w:id="417" w:name="_Toc21588"/>
      <w:bookmarkStart w:id="418" w:name="_Toc25540"/>
      <w:bookmarkStart w:id="419" w:name="_Toc32443"/>
      <w:bookmarkStart w:id="420" w:name="_Toc450662881"/>
      <w:bookmarkStart w:id="421" w:name="_Toc6401_WPSOffice_Level3"/>
      <w:bookmarkStart w:id="422" w:name="_Toc6064"/>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413"/>
      <w:bookmarkEnd w:id="414"/>
      <w:bookmarkEnd w:id="415"/>
      <w:bookmarkEnd w:id="416"/>
      <w:bookmarkEnd w:id="417"/>
      <w:bookmarkEnd w:id="418"/>
      <w:bookmarkEnd w:id="419"/>
      <w:bookmarkEnd w:id="420"/>
      <w:bookmarkEnd w:id="421"/>
      <w:bookmarkEnd w:id="422"/>
    </w:p>
    <w:p>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23" w:name="_Toc450662885"/>
    </w:p>
    <w:p>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24" w:name="_Toc16874"/>
      <w:bookmarkStart w:id="425" w:name="_Toc486167699"/>
      <w:bookmarkStart w:id="426" w:name="_Toc6726_WPSOffice_Level3"/>
      <w:bookmarkStart w:id="427" w:name="_Toc1926"/>
      <w:bookmarkStart w:id="428" w:name="_Toc9202"/>
      <w:bookmarkStart w:id="429" w:name="_Toc142508350"/>
      <w:bookmarkStart w:id="430" w:name="_Toc12258"/>
      <w:bookmarkStart w:id="431" w:name="_Toc30848"/>
      <w:bookmarkStart w:id="432" w:name="_Toc24266"/>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423"/>
      <w:bookmarkEnd w:id="424"/>
      <w:bookmarkEnd w:id="425"/>
      <w:bookmarkEnd w:id="426"/>
      <w:bookmarkEnd w:id="427"/>
      <w:bookmarkEnd w:id="428"/>
      <w:bookmarkEnd w:id="429"/>
      <w:bookmarkEnd w:id="430"/>
      <w:bookmarkEnd w:id="431"/>
      <w:bookmarkEnd w:id="432"/>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33"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34" w:name="_Toc24946"/>
      <w:bookmarkStart w:id="435" w:name="_Toc9129"/>
      <w:bookmarkStart w:id="436" w:name="_Toc15739"/>
      <w:bookmarkStart w:id="437" w:name="_Toc9694_WPSOffice_Level3"/>
      <w:bookmarkStart w:id="438" w:name="_Toc32732"/>
      <w:bookmarkStart w:id="439" w:name="_Toc142508351"/>
      <w:bookmarkStart w:id="440" w:name="_Toc19725"/>
      <w:bookmarkStart w:id="441" w:name="_Toc32258"/>
      <w:bookmarkStart w:id="442" w:name="_Toc486167700"/>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433"/>
      <w:bookmarkEnd w:id="434"/>
      <w:bookmarkEnd w:id="435"/>
      <w:bookmarkEnd w:id="436"/>
      <w:bookmarkEnd w:id="437"/>
      <w:bookmarkEnd w:id="438"/>
      <w:bookmarkEnd w:id="439"/>
      <w:bookmarkEnd w:id="440"/>
      <w:bookmarkEnd w:id="441"/>
      <w:bookmarkEnd w:id="442"/>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pPr>
        <w:autoSpaceDE/>
        <w:autoSpaceDN/>
        <w:adjustRightInd w:val="0"/>
        <w:snapToGrid w:val="0"/>
        <w:spacing w:line="360" w:lineRule="auto"/>
        <w:ind w:left="411" w:leftChars="170" w:hanging="54" w:hangingChars="26"/>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）当以数字表示的报价系数与以文字表示的报价系数不一致时，以文字表示的报价系数为准。</w:t>
      </w:r>
    </w:p>
    <w:p>
      <w:pPr>
        <w:autoSpaceDE/>
        <w:autoSpaceDN/>
        <w:adjustRightInd w:val="0"/>
        <w:snapToGrid w:val="0"/>
        <w:spacing w:line="360" w:lineRule="auto"/>
        <w:ind w:left="411" w:leftChars="170" w:hanging="54" w:hangingChars="26"/>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val="zh-CN"/>
        </w:rPr>
        <w:t>）按前述修正原则排序依次进行修正至唯一值后的报价表经双方确认后，作为合同文件的组成部分。</w:t>
      </w:r>
    </w:p>
    <w:p>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bookmarkStart w:id="443" w:name="_Toc10513_WPSOffice_Level3"/>
      <w:bookmarkStart w:id="444" w:name="_Toc486167701"/>
      <w:bookmarkStart w:id="445" w:name="_Toc450662887"/>
      <w:bookmarkStart w:id="446" w:name="_Toc142508352"/>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47" w:name="_Toc24297"/>
      <w:bookmarkStart w:id="448" w:name="_Toc32038"/>
      <w:bookmarkStart w:id="449" w:name="_Toc8873"/>
      <w:bookmarkStart w:id="450" w:name="_Toc7726"/>
      <w:bookmarkStart w:id="451" w:name="_Toc1889"/>
      <w:bookmarkStart w:id="452" w:name="_Toc18874"/>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443"/>
      <w:bookmarkEnd w:id="444"/>
      <w:bookmarkEnd w:id="445"/>
      <w:bookmarkEnd w:id="446"/>
      <w:bookmarkEnd w:id="447"/>
      <w:bookmarkEnd w:id="448"/>
      <w:bookmarkEnd w:id="449"/>
      <w:bookmarkEnd w:id="450"/>
      <w:bookmarkEnd w:id="451"/>
      <w:bookmarkEnd w:id="452"/>
    </w:p>
    <w:p>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453" w:name="_Toc465358977"/>
      <w:bookmarkStart w:id="454"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其中，采用履约保证金（银行转账形式）的金额为暂定总合同价的5%，采用不可撤销银行履约保函形式的金额为暂定总合同价的8%，采用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形式的金额为暂定总合同价的8%，采用担保公司履约担保书形式的金额为暂定总合同价的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2</w:t>
      </w:r>
      <w:r>
        <w:rPr>
          <w:rFonts w:ascii="宋体" w:hAnsi="宋体" w:eastAsia="宋体" w:cs="Times New Roman"/>
          <w:color w:val="auto"/>
          <w:kern w:val="0"/>
          <w:szCs w:val="21"/>
          <w:highlight w:val="none"/>
        </w:rPr>
        <w:t>）在合同履行期间，因中标人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ascii="宋体" w:hAnsi="宋体" w:eastAsia="宋体" w:cs="Times New Roman"/>
          <w:color w:val="auto"/>
          <w:kern w:val="0"/>
          <w:szCs w:val="21"/>
          <w:highlight w:val="none"/>
        </w:rPr>
        <w:t>）在合同履行期间，中标人违约产生的违约金、赔偿、罚款或其他应付费用等款项，招标人有权直接从未付款项中直接扣除或启用履约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4</w:t>
      </w:r>
      <w:r>
        <w:rPr>
          <w:rFonts w:ascii="宋体" w:hAnsi="宋体" w:eastAsia="宋体" w:cs="Times New Roman"/>
          <w:color w:val="auto"/>
          <w:kern w:val="0"/>
          <w:szCs w:val="21"/>
          <w:highlight w:val="none"/>
        </w:rPr>
        <w:t>）合同期内，中标人不能及时完成合同某项义务的，招标人有权提取履约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5</w:t>
      </w:r>
      <w:r>
        <w:rPr>
          <w:rFonts w:ascii="宋体" w:hAnsi="宋体" w:eastAsia="宋体" w:cs="Times New Roman"/>
          <w:color w:val="auto"/>
          <w:kern w:val="0"/>
          <w:szCs w:val="21"/>
          <w:highlight w:val="none"/>
        </w:rPr>
        <w:t>）其他根据本合同约定或法律规定，招标人可启用履约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可撤销银行履约保函（或履约保证保险或担保公司履约担保书）应从合同签订之日起至合同期限届满并全部供货</w:t>
      </w:r>
      <w:r>
        <w:rPr>
          <w:rFonts w:hint="eastAsia" w:ascii="宋体" w:hAnsi="宋体" w:eastAsia="宋体" w:cs="Times New Roman"/>
          <w:color w:val="auto"/>
          <w:kern w:val="0"/>
          <w:szCs w:val="21"/>
          <w:highlight w:val="none"/>
          <w:lang w:val="en-US" w:eastAsia="zh-CN"/>
        </w:rPr>
        <w:t>经</w:t>
      </w:r>
      <w:r>
        <w:rPr>
          <w:rFonts w:hint="eastAsia" w:ascii="宋体" w:hAnsi="宋体" w:eastAsia="宋体" w:cs="Times New Roman"/>
          <w:color w:val="auto"/>
          <w:kern w:val="0"/>
          <w:szCs w:val="21"/>
          <w:highlight w:val="none"/>
        </w:rPr>
        <w:t>最终验收合格及履行完毕相关服务义务且结算完毕之后二十八（28）日内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w:t>
      </w:r>
      <w:r>
        <w:rPr>
          <w:rFonts w:hint="default" w:ascii="宋体" w:hAnsi="宋体" w:eastAsia="宋体" w:cs="Times New Roman"/>
          <w:color w:val="auto"/>
          <w:kern w:val="0"/>
          <w:szCs w:val="21"/>
          <w:highlight w:val="none"/>
          <w:lang w:val="en-US"/>
        </w:rPr>
        <w:t>其它</w:t>
      </w:r>
      <w:r>
        <w:rPr>
          <w:rFonts w:ascii="宋体" w:hAnsi="宋体" w:eastAsia="宋体" w:cs="Times New Roman"/>
          <w:color w:val="auto"/>
          <w:kern w:val="0"/>
          <w:szCs w:val="21"/>
          <w:highlight w:val="none"/>
        </w:rPr>
        <w:t>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东莞市水务集团供水有限公司</w:t>
      </w:r>
    </w:p>
    <w:p>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开户名称：东莞市水务集团供水有限公司</w:t>
      </w:r>
    </w:p>
    <w:p>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银行账号：4400 1778 8080 5999 9998</w:t>
      </w:r>
    </w:p>
    <w:p>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开户银行：建行东莞分行营业部</w:t>
      </w:r>
    </w:p>
    <w:p>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在合同期限届满并全部供货</w:t>
      </w:r>
      <w:r>
        <w:rPr>
          <w:rFonts w:hint="eastAsia" w:ascii="宋体" w:hAnsi="宋体" w:eastAsia="宋体" w:cs="宋体"/>
          <w:color w:val="auto"/>
          <w:kern w:val="0"/>
          <w:szCs w:val="21"/>
          <w:highlight w:val="none"/>
          <w:lang w:val="en-US" w:eastAsia="zh-CN"/>
        </w:rPr>
        <w:t>经</w:t>
      </w:r>
      <w:r>
        <w:rPr>
          <w:rFonts w:hint="eastAsia" w:ascii="宋体" w:hAnsi="宋体" w:eastAsia="宋体" w:cs="宋体"/>
          <w:color w:val="auto"/>
          <w:kern w:val="0"/>
          <w:szCs w:val="21"/>
          <w:highlight w:val="none"/>
        </w:rPr>
        <w:t>最终验收合格及履行完毕相关服务义务且结算完毕之后二十八（28）日</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w:t>
      </w:r>
      <w:r>
        <w:rPr>
          <w:rFonts w:hint="eastAsia" w:ascii="宋体" w:hAnsi="宋体" w:eastAsia="宋体" w:cs="宋体"/>
          <w:color w:val="auto"/>
          <w:kern w:val="0"/>
          <w:szCs w:val="21"/>
          <w:highlight w:val="none"/>
        </w:rPr>
        <w:t>户。</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55" w:name="_Toc7962"/>
      <w:bookmarkStart w:id="456" w:name="_Toc486167702"/>
      <w:bookmarkStart w:id="457" w:name="_Toc14428"/>
      <w:bookmarkStart w:id="458" w:name="_Toc21389"/>
      <w:bookmarkStart w:id="459" w:name="_Toc142508353"/>
      <w:bookmarkStart w:id="460" w:name="_Toc13033"/>
      <w:bookmarkStart w:id="461" w:name="_Toc32690"/>
      <w:bookmarkStart w:id="462" w:name="_Toc1298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453"/>
      <w:bookmarkEnd w:id="454"/>
      <w:bookmarkEnd w:id="455"/>
      <w:bookmarkEnd w:id="456"/>
      <w:bookmarkEnd w:id="457"/>
      <w:bookmarkEnd w:id="458"/>
      <w:bookmarkEnd w:id="459"/>
      <w:bookmarkEnd w:id="460"/>
      <w:bookmarkEnd w:id="461"/>
      <w:bookmarkEnd w:id="462"/>
    </w:p>
    <w:p>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63" w:name="_Toc450662888"/>
    </w:p>
    <w:p>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4" w:name="_Toc10264"/>
      <w:bookmarkStart w:id="465" w:name="_Toc14372"/>
      <w:bookmarkStart w:id="466" w:name="_Toc12280"/>
      <w:bookmarkStart w:id="467" w:name="_Toc3026"/>
      <w:bookmarkStart w:id="468" w:name="_Toc28921_WPSOffice_Level3"/>
      <w:bookmarkStart w:id="469" w:name="_Toc11444"/>
      <w:bookmarkStart w:id="470" w:name="_Toc486167703"/>
      <w:bookmarkStart w:id="471" w:name="_Toc17269"/>
      <w:bookmarkStart w:id="472" w:name="_Toc142508354"/>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463"/>
      <w:bookmarkEnd w:id="464"/>
      <w:bookmarkEnd w:id="465"/>
      <w:bookmarkEnd w:id="466"/>
      <w:bookmarkEnd w:id="467"/>
      <w:bookmarkEnd w:id="468"/>
      <w:bookmarkEnd w:id="469"/>
      <w:bookmarkEnd w:id="470"/>
      <w:bookmarkEnd w:id="471"/>
      <w:bookmarkEnd w:id="472"/>
    </w:p>
    <w:p>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73" w:name="_Toc450662889"/>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74" w:name="_Toc16761"/>
      <w:bookmarkStart w:id="475" w:name="_Toc20023"/>
      <w:bookmarkStart w:id="476" w:name="_Toc4065"/>
      <w:bookmarkStart w:id="477" w:name="_Toc6764_WPSOffice_Level3"/>
      <w:bookmarkStart w:id="478" w:name="_Toc11664"/>
      <w:bookmarkStart w:id="479" w:name="_Toc26292"/>
      <w:bookmarkStart w:id="480" w:name="_Toc12584"/>
      <w:bookmarkStart w:id="481" w:name="_Toc142508355"/>
      <w:bookmarkStart w:id="482" w:name="_Toc486167704"/>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473"/>
      <w:bookmarkEnd w:id="474"/>
      <w:bookmarkEnd w:id="475"/>
      <w:bookmarkEnd w:id="476"/>
      <w:bookmarkEnd w:id="477"/>
      <w:bookmarkEnd w:id="478"/>
      <w:bookmarkEnd w:id="479"/>
      <w:bookmarkEnd w:id="480"/>
      <w:bookmarkEnd w:id="481"/>
      <w:bookmarkEnd w:id="482"/>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该项目获得中标的中标人在执行合同过程中，向招标人出具的发票必须是由中标人开具，不得以其他单位或个人名义出具，本项目中标人向招标人出具的发票类型为增值税普通发票。</w:t>
      </w:r>
      <w:bookmarkStart w:id="483" w:name="_Toc31106_WPSOffice_Level3"/>
      <w:bookmarkStart w:id="484" w:name="_Toc486167705"/>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485" w:name="_Toc4202"/>
      <w:bookmarkStart w:id="486" w:name="_Toc4658"/>
      <w:bookmarkStart w:id="487" w:name="_Toc16304"/>
      <w:bookmarkStart w:id="488" w:name="_Toc17751"/>
      <w:bookmarkStart w:id="489" w:name="_Toc142508356"/>
      <w:bookmarkStart w:id="490" w:name="_Toc22332"/>
      <w:bookmarkStart w:id="491" w:name="_Toc6159"/>
      <w:r>
        <w:rPr>
          <w:rFonts w:ascii="宋体" w:hAnsi="宋体" w:eastAsia="宋体" w:cs="宋体"/>
          <w:b/>
          <w:color w:val="auto"/>
          <w:szCs w:val="21"/>
          <w:highlight w:val="none"/>
        </w:rPr>
        <w:t>39 招标相关补充约定</w:t>
      </w:r>
      <w:bookmarkEnd w:id="485"/>
      <w:bookmarkEnd w:id="486"/>
      <w:bookmarkEnd w:id="487"/>
      <w:bookmarkEnd w:id="488"/>
      <w:bookmarkEnd w:id="489"/>
      <w:bookmarkEnd w:id="490"/>
      <w:bookmarkEnd w:id="491"/>
    </w:p>
    <w:p>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492" w:name="_Toc25568"/>
      <w:bookmarkStart w:id="493" w:name="_Toc25610"/>
      <w:bookmarkStart w:id="494" w:name="_Toc10481"/>
      <w:bookmarkStart w:id="495" w:name="_Toc142508357"/>
      <w:bookmarkStart w:id="496" w:name="_Toc5815"/>
      <w:bookmarkStart w:id="497" w:name="_Toc26725"/>
      <w:bookmarkStart w:id="498" w:name="_Toc30718"/>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483"/>
      <w:bookmarkEnd w:id="484"/>
      <w:bookmarkEnd w:id="492"/>
      <w:bookmarkEnd w:id="493"/>
      <w:bookmarkEnd w:id="494"/>
      <w:bookmarkEnd w:id="495"/>
      <w:bookmarkEnd w:id="496"/>
      <w:bookmarkEnd w:id="497"/>
      <w:bookmarkEnd w:id="498"/>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99" w:name="_Toc450662891"/>
      <w:bookmarkStart w:id="500" w:name="_Toc27939_WPSOffice_Level1"/>
      <w:bookmarkStart w:id="501" w:name="_Toc22400"/>
      <w:bookmarkStart w:id="502" w:name="_Toc31542"/>
      <w:bookmarkStart w:id="503" w:name="_Toc10551"/>
      <w:bookmarkStart w:id="504" w:name="_Toc486167706"/>
      <w:bookmarkStart w:id="505" w:name="_Toc4217"/>
      <w:bookmarkStart w:id="506" w:name="_Toc29188"/>
      <w:bookmarkStart w:id="507" w:name="_Toc142508358"/>
      <w:bookmarkStart w:id="508" w:name="_Toc28218"/>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499"/>
      <w:bookmarkEnd w:id="500"/>
      <w:bookmarkEnd w:id="501"/>
      <w:bookmarkEnd w:id="502"/>
      <w:bookmarkEnd w:id="503"/>
      <w:bookmarkEnd w:id="504"/>
      <w:bookmarkEnd w:id="505"/>
      <w:bookmarkEnd w:id="506"/>
      <w:bookmarkEnd w:id="507"/>
      <w:bookmarkEnd w:id="508"/>
    </w:p>
    <w:p>
      <w:pPr>
        <w:spacing w:line="360" w:lineRule="auto"/>
        <w:rPr>
          <w:rFonts w:ascii="宋体" w:hAnsi="宋体" w:eastAsia="宋体" w:cs="Times New Roman"/>
          <w:color w:val="auto"/>
          <w:szCs w:val="21"/>
          <w:highlight w:val="none"/>
        </w:rPr>
      </w:pPr>
    </w:p>
    <w:p>
      <w:pPr>
        <w:numPr>
          <w:ilvl w:val="0"/>
          <w:numId w:val="2"/>
        </w:numPr>
        <w:spacing w:line="360" w:lineRule="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项目信息</w:t>
      </w:r>
    </w:p>
    <w:p>
      <w:pPr>
        <w:pStyle w:val="18"/>
        <w:spacing w:line="360" w:lineRule="auto"/>
        <w:ind w:right="0" w:firstLine="420" w:firstLineChars="200"/>
        <w:jc w:val="left"/>
        <w:rPr>
          <w:rFonts w:hint="eastAsia" w:hAnsi="宋体" w:cs="Times New Roman"/>
          <w:b w:val="0"/>
          <w:bCs/>
          <w:color w:val="auto"/>
          <w:sz w:val="21"/>
          <w:szCs w:val="21"/>
          <w:highlight w:val="none"/>
          <w:lang w:val="en-US"/>
        </w:rPr>
      </w:pPr>
      <w:r>
        <w:rPr>
          <w:rFonts w:hint="eastAsia" w:hAnsi="宋体" w:cs="Times New Roman"/>
          <w:b w:val="0"/>
          <w:bCs/>
          <w:color w:val="auto"/>
          <w:sz w:val="21"/>
          <w:szCs w:val="21"/>
          <w:highlight w:val="none"/>
          <w:lang w:val="en-US"/>
        </w:rPr>
        <w:t xml:space="preserve">招标人：东莞市水务集团供水有限公司 </w:t>
      </w:r>
    </w:p>
    <w:p>
      <w:pPr>
        <w:pStyle w:val="18"/>
        <w:spacing w:line="360" w:lineRule="auto"/>
        <w:ind w:right="0" w:firstLine="420" w:firstLineChars="200"/>
        <w:jc w:val="left"/>
        <w:rPr>
          <w:rFonts w:hint="eastAsia" w:hAnsi="宋体" w:cs="Times New Roman"/>
          <w:b w:val="0"/>
          <w:bCs/>
          <w:color w:val="auto"/>
          <w:sz w:val="21"/>
          <w:szCs w:val="21"/>
          <w:highlight w:val="none"/>
          <w:lang w:val="en-US"/>
        </w:rPr>
      </w:pPr>
      <w:r>
        <w:rPr>
          <w:rFonts w:hint="eastAsia" w:hAnsi="宋体" w:cs="Times New Roman"/>
          <w:b w:val="0"/>
          <w:bCs/>
          <w:color w:val="auto"/>
          <w:sz w:val="21"/>
          <w:szCs w:val="21"/>
          <w:highlight w:val="none"/>
          <w:lang w:val="en-US"/>
        </w:rPr>
        <w:t>采购内容：2025年至2026年东莞市水务集团供水有限公司</w:t>
      </w:r>
      <w:r>
        <w:rPr>
          <w:rFonts w:hint="eastAsia" w:hAnsi="宋体" w:cs="Times New Roman"/>
          <w:b w:val="0"/>
          <w:bCs/>
          <w:color w:val="auto"/>
          <w:sz w:val="21"/>
          <w:szCs w:val="21"/>
          <w:highlight w:val="none"/>
          <w:lang w:val="en-US" w:eastAsia="zh-CN"/>
        </w:rPr>
        <w:t>抢修器（别称：哈夫节）</w:t>
      </w:r>
      <w:r>
        <w:rPr>
          <w:rFonts w:hint="eastAsia" w:hAnsi="宋体" w:cs="Times New Roman"/>
          <w:b w:val="0"/>
          <w:bCs/>
          <w:color w:val="auto"/>
          <w:sz w:val="21"/>
          <w:szCs w:val="21"/>
          <w:highlight w:val="none"/>
          <w:lang w:val="en-US"/>
        </w:rPr>
        <w:t>采购。</w:t>
      </w:r>
    </w:p>
    <w:p>
      <w:pPr>
        <w:numPr>
          <w:ilvl w:val="0"/>
          <w:numId w:val="2"/>
        </w:num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zh-CN" w:eastAsia="zh-CN"/>
        </w:rPr>
        <w:t>采购服务的范围</w:t>
      </w:r>
    </w:p>
    <w:p>
      <w:pPr>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（一）服务内容</w:t>
      </w:r>
    </w:p>
    <w:p>
      <w:pPr>
        <w:spacing w:line="360" w:lineRule="auto"/>
        <w:ind w:firstLine="420" w:firstLineChars="200"/>
        <w:rPr>
          <w:rFonts w:hint="eastAsia" w:ascii="宋体" w:hAnsi="宋体" w:eastAsia="宋体" w:cs="Times New Roman"/>
          <w:b/>
          <w:color w:val="auto"/>
          <w:szCs w:val="21"/>
          <w:highlight w:val="none"/>
          <w:lang w:val="zh-CN" w:eastAsia="zh-CN"/>
        </w:rPr>
      </w:pPr>
      <w:r>
        <w:rPr>
          <w:rFonts w:hint="eastAsia" w:ascii="宋体" w:hAnsi="宋体" w:eastAsia="宋体" w:cs="宋体"/>
          <w:b w:val="0"/>
          <w:bCs w:val="0"/>
          <w:i w:val="0"/>
          <w:iCs w:val="0"/>
          <w:snapToGrid w:val="0"/>
          <w:color w:val="auto"/>
          <w:kern w:val="0"/>
          <w:sz w:val="21"/>
          <w:szCs w:val="21"/>
          <w:highlight w:val="none"/>
          <w:u w:val="none"/>
          <w:lang w:val="en-US" w:eastAsia="zh-CN" w:bidi="ar"/>
        </w:rPr>
        <w:t>中标人负责按招标人要求，按时按质提供合格且符合要求的供水管网维护维修材料</w:t>
      </w:r>
      <w:r>
        <w:rPr>
          <w:rFonts w:hint="eastAsia"/>
          <w:color w:val="auto"/>
          <w:highlight w:val="none"/>
          <w:lang w:eastAsia="zh-CN"/>
        </w:rPr>
        <w:t>，</w:t>
      </w:r>
      <w:r>
        <w:rPr>
          <w:rFonts w:hint="eastAsia" w:ascii="宋体" w:hAnsi="宋体" w:eastAsia="宋体" w:cs="宋体"/>
          <w:b w:val="0"/>
          <w:bCs w:val="0"/>
          <w:i w:val="0"/>
          <w:iCs w:val="0"/>
          <w:snapToGrid w:val="0"/>
          <w:color w:val="auto"/>
          <w:kern w:val="0"/>
          <w:sz w:val="21"/>
          <w:szCs w:val="21"/>
          <w:highlight w:val="none"/>
          <w:u w:val="none"/>
          <w:lang w:val="en-US" w:eastAsia="zh-CN" w:bidi="ar"/>
        </w:rPr>
        <w:t>以及负责因材料质量问题导致的损失。</w:t>
      </w:r>
    </w:p>
    <w:p>
      <w:pPr>
        <w:spacing w:line="360" w:lineRule="auto"/>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lang w:eastAsia="zh-CN"/>
        </w:rPr>
        <w:t>（</w:t>
      </w:r>
      <w:r>
        <w:rPr>
          <w:rFonts w:hint="eastAsia" w:ascii="宋体" w:hAnsi="宋体" w:eastAsia="宋体" w:cs="宋体"/>
          <w:color w:val="auto"/>
          <w:spacing w:val="-4"/>
          <w:szCs w:val="21"/>
          <w:highlight w:val="none"/>
          <w:lang w:val="en-US" w:eastAsia="zh-CN"/>
        </w:rPr>
        <w:t>二</w:t>
      </w:r>
      <w:r>
        <w:rPr>
          <w:rFonts w:hint="eastAsia" w:ascii="宋体" w:hAnsi="宋体" w:eastAsia="宋体" w:cs="宋体"/>
          <w:color w:val="auto"/>
          <w:spacing w:val="-4"/>
          <w:szCs w:val="21"/>
          <w:highlight w:val="none"/>
          <w:lang w:eastAsia="zh-CN"/>
        </w:rPr>
        <w:t>）</w:t>
      </w:r>
      <w:r>
        <w:rPr>
          <w:rFonts w:hint="eastAsia" w:ascii="宋体" w:hAnsi="宋体" w:eastAsia="宋体" w:cs="宋体"/>
          <w:color w:val="auto"/>
          <w:spacing w:val="-4"/>
          <w:szCs w:val="21"/>
          <w:highlight w:val="none"/>
        </w:rPr>
        <w:t>服务期：自合同签订生效之日起一年。</w:t>
      </w:r>
    </w:p>
    <w:p>
      <w:pPr>
        <w:spacing w:line="360" w:lineRule="auto"/>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lang w:val="en-US" w:eastAsia="zh-CN"/>
        </w:rPr>
        <w:t>（三）供货类型及数量</w:t>
      </w:r>
    </w:p>
    <w:p>
      <w:pPr>
        <w:spacing w:line="360" w:lineRule="auto"/>
        <w:ind w:firstLine="404" w:firstLineChars="200"/>
        <w:rPr>
          <w:rFonts w:hint="eastAsia" w:ascii="宋体" w:hAnsi="宋体" w:eastAsia="宋体" w:cs="Times New Roman"/>
          <w:b/>
          <w:color w:val="auto"/>
          <w:szCs w:val="21"/>
          <w:highlight w:val="none"/>
          <w:lang w:val="zh-CN"/>
        </w:rPr>
      </w:pPr>
      <w:r>
        <w:rPr>
          <w:rFonts w:hint="eastAsia" w:ascii="宋体" w:hAnsi="宋体" w:eastAsia="宋体" w:cs="宋体"/>
          <w:color w:val="auto"/>
          <w:spacing w:val="-4"/>
          <w:szCs w:val="21"/>
          <w:highlight w:val="none"/>
          <w:lang w:val="en-US" w:eastAsia="zh-CN"/>
        </w:rPr>
        <w:t>1.</w:t>
      </w:r>
      <w:r>
        <w:rPr>
          <w:rFonts w:hint="eastAsia" w:ascii="宋体" w:hAnsi="宋体" w:eastAsia="宋体" w:cs="宋体"/>
          <w:color w:val="auto"/>
          <w:spacing w:val="-4"/>
          <w:szCs w:val="21"/>
          <w:highlight w:val="none"/>
        </w:rPr>
        <w:t>暂定采购</w:t>
      </w:r>
      <w:r>
        <w:rPr>
          <w:rFonts w:hint="eastAsia" w:ascii="宋体" w:hAnsi="宋体" w:eastAsia="宋体" w:cs="宋体"/>
          <w:color w:val="auto"/>
          <w:spacing w:val="-4"/>
          <w:szCs w:val="21"/>
          <w:highlight w:val="none"/>
          <w:lang w:val="en-US" w:eastAsia="zh-CN"/>
        </w:rPr>
        <w:t>数量</w:t>
      </w:r>
      <w:r>
        <w:rPr>
          <w:rFonts w:hint="eastAsia" w:ascii="宋体" w:hAnsi="宋体" w:eastAsia="宋体" w:cs="宋体"/>
          <w:color w:val="auto"/>
          <w:spacing w:val="-4"/>
          <w:szCs w:val="21"/>
          <w:highlight w:val="none"/>
        </w:rPr>
        <w:t>：供水管道维护维修抢修器以及相应必须的辅材配件材料用量约</w:t>
      </w:r>
      <w:r>
        <w:rPr>
          <w:rFonts w:hint="eastAsia" w:ascii="宋体" w:hAnsi="宋体" w:eastAsia="宋体" w:cs="宋体"/>
          <w:color w:val="auto"/>
          <w:spacing w:val="-4"/>
          <w:szCs w:val="21"/>
          <w:highlight w:val="none"/>
          <w:lang w:val="en-US" w:eastAsia="zh-CN"/>
        </w:rPr>
        <w:t xml:space="preserve"> 9912件</w:t>
      </w:r>
      <w:r>
        <w:rPr>
          <w:rFonts w:hint="eastAsia" w:ascii="宋体" w:hAnsi="宋体" w:eastAsia="宋体" w:cs="宋体"/>
          <w:color w:val="auto"/>
          <w:spacing w:val="-4"/>
          <w:szCs w:val="21"/>
          <w:highlight w:val="none"/>
        </w:rPr>
        <w:t>（共239类）</w:t>
      </w:r>
      <w:r>
        <w:rPr>
          <w:rFonts w:hint="eastAsia" w:ascii="宋体" w:hAnsi="宋体" w:eastAsia="宋体" w:cs="宋体"/>
          <w:color w:val="auto"/>
          <w:spacing w:val="-4"/>
          <w:szCs w:val="21"/>
          <w:highlight w:val="none"/>
          <w:lang w:eastAsia="zh-CN"/>
        </w:rPr>
        <w:t>。</w:t>
      </w:r>
    </w:p>
    <w:p>
      <w:pPr>
        <w:spacing w:line="360" w:lineRule="auto"/>
        <w:ind w:firstLine="420" w:firstLineChars="200"/>
        <w:rPr>
          <w:rFonts w:hint="eastAsia" w:ascii="宋体" w:hAnsi="宋体" w:eastAsia="宋体" w:cs="Times New Roman"/>
          <w:bCs w:val="0"/>
          <w:color w:val="auto"/>
          <w:sz w:val="21"/>
          <w:szCs w:val="21"/>
          <w:highlight w:val="none"/>
          <w:lang w:val="en-US"/>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本次采购数量为暂定数量，仅为便于计算暂定合同价使用，不作为招标人最终采购数量的保证。实际需求数量以招标人具体供货通知为准，按实结算。综合单价不随数量的变化而增减。</w:t>
      </w: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auto"/>
          <w:szCs w:val="21"/>
          <w:highlight w:val="none"/>
        </w:rPr>
        <w:t>不得因招标人实际采购数量的减少或增加而要求提供任何形式的补偿或赔偿，或者要求招标人按暂定数量采购相应货物。合同履约过程中，如招标人</w:t>
      </w:r>
      <w:r>
        <w:rPr>
          <w:rFonts w:hint="eastAsia" w:ascii="宋体" w:hAnsi="宋体" w:eastAsia="宋体" w:cs="Times New Roman"/>
          <w:color w:val="auto"/>
          <w:szCs w:val="21"/>
          <w:highlight w:val="none"/>
          <w:lang w:val="en-US" w:eastAsia="zh-CN"/>
        </w:rPr>
        <w:t>在</w:t>
      </w:r>
      <w:r>
        <w:rPr>
          <w:rFonts w:hint="eastAsia" w:ascii="宋体" w:hAnsi="宋体" w:eastAsia="宋体" w:cs="Times New Roman"/>
          <w:color w:val="auto"/>
          <w:szCs w:val="21"/>
          <w:highlight w:val="none"/>
        </w:rPr>
        <w:t>本项目货物清单</w:t>
      </w:r>
      <w:r>
        <w:rPr>
          <w:rFonts w:hint="eastAsia" w:ascii="宋体" w:hAnsi="宋体" w:eastAsia="宋体" w:cs="Times New Roman"/>
          <w:color w:val="auto"/>
          <w:szCs w:val="21"/>
          <w:highlight w:val="none"/>
          <w:lang w:val="en-US" w:eastAsia="zh-CN"/>
        </w:rPr>
        <w:t>范围内</w:t>
      </w:r>
      <w:r>
        <w:rPr>
          <w:rFonts w:hint="eastAsia" w:ascii="宋体" w:hAnsi="宋体" w:eastAsia="宋体" w:cs="Times New Roman"/>
          <w:color w:val="auto"/>
          <w:szCs w:val="21"/>
          <w:highlight w:val="none"/>
        </w:rPr>
        <w:t>有新增需要供货的，按不含税中标综合单价按实结算。</w:t>
      </w:r>
    </w:p>
    <w:p>
      <w:pPr>
        <w:pStyle w:val="3"/>
        <w:numPr>
          <w:ilvl w:val="-1"/>
          <w:numId w:val="0"/>
        </w:numPr>
        <w:tabs>
          <w:tab w:val="left" w:pos="542"/>
        </w:tabs>
        <w:spacing w:line="360" w:lineRule="auto"/>
        <w:rPr>
          <w:rFonts w:hint="eastAsia" w:hAnsi="宋体" w:cs="宋体"/>
          <w:b/>
          <w:bCs/>
          <w:color w:val="auto"/>
          <w:sz w:val="21"/>
          <w:szCs w:val="21"/>
          <w:highlight w:val="none"/>
        </w:rPr>
      </w:pPr>
      <w:bookmarkStart w:id="509" w:name="_Toc13899"/>
      <w:bookmarkStart w:id="510" w:name="_Toc17324"/>
      <w:bookmarkStart w:id="511" w:name="_Toc190272595"/>
      <w:bookmarkStart w:id="512" w:name="_Toc7368"/>
      <w:r>
        <w:rPr>
          <w:rFonts w:hint="eastAsia" w:hAnsi="宋体" w:cs="宋体"/>
          <w:b/>
          <w:bCs/>
          <w:color w:val="auto"/>
          <w:sz w:val="21"/>
          <w:szCs w:val="21"/>
          <w:highlight w:val="none"/>
          <w:lang w:val="en-US" w:eastAsia="zh-CN"/>
        </w:rPr>
        <w:t>三、</w:t>
      </w:r>
      <w:r>
        <w:rPr>
          <w:rFonts w:hint="eastAsia" w:hAnsi="宋体" w:cs="宋体"/>
          <w:b/>
          <w:bCs/>
          <w:color w:val="auto"/>
          <w:sz w:val="21"/>
          <w:szCs w:val="21"/>
          <w:highlight w:val="none"/>
        </w:rPr>
        <w:t>货物技术要求</w:t>
      </w:r>
      <w:bookmarkEnd w:id="509"/>
      <w:bookmarkEnd w:id="510"/>
      <w:bookmarkEnd w:id="511"/>
      <w:bookmarkEnd w:id="512"/>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auto"/>
          <w:szCs w:val="21"/>
          <w:highlight w:val="none"/>
        </w:rPr>
        <w:t>提供的抢修器以及相应必须的辅材配件等产品，应满足或高于以下技术要求规</w:t>
      </w:r>
      <w:r>
        <w:rPr>
          <w:rFonts w:hint="eastAsia" w:ascii="宋体" w:hAnsi="宋体" w:eastAsia="宋体" w:cs="Times New Roman"/>
          <w:color w:val="auto"/>
          <w:szCs w:val="21"/>
          <w:highlight w:val="none"/>
          <w:lang w:val="en-US" w:eastAsia="zh-CN"/>
        </w:rPr>
        <w:t>定</w:t>
      </w:r>
      <w:r>
        <w:rPr>
          <w:rFonts w:hint="eastAsia" w:ascii="宋体" w:hAnsi="宋体" w:eastAsia="宋体" w:cs="Times New Roman"/>
          <w:color w:val="auto"/>
          <w:szCs w:val="21"/>
          <w:highlight w:val="none"/>
        </w:rPr>
        <w:t>。</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pacing w:val="0"/>
          <w:position w:val="0"/>
          <w:sz w:val="21"/>
          <w:szCs w:val="21"/>
          <w:highlight w:val="none"/>
          <w:lang w:val="en-US" w:eastAsia="zh-CN"/>
        </w:rPr>
        <w:t>★1.</w:t>
      </w:r>
      <w:r>
        <w:rPr>
          <w:rFonts w:hint="eastAsia" w:ascii="宋体" w:hAnsi="宋体" w:eastAsia="宋体" w:cs="宋体"/>
          <w:color w:val="auto"/>
          <w:sz w:val="21"/>
          <w:szCs w:val="21"/>
          <w:highlight w:val="none"/>
        </w:rPr>
        <w:t>投标人所供抢修器（</w:t>
      </w:r>
      <w:r>
        <w:rPr>
          <w:rFonts w:hint="eastAsia" w:ascii="宋体" w:hAnsi="宋体" w:eastAsia="宋体" w:cs="宋体"/>
          <w:color w:val="auto"/>
          <w:sz w:val="21"/>
          <w:szCs w:val="21"/>
          <w:highlight w:val="none"/>
          <w:lang w:val="en-US" w:eastAsia="zh-CN"/>
        </w:rPr>
        <w:t>别称：</w:t>
      </w:r>
      <w:r>
        <w:rPr>
          <w:rFonts w:hint="eastAsia" w:ascii="宋体" w:hAnsi="宋体" w:eastAsia="宋体" w:cs="宋体"/>
          <w:color w:val="auto"/>
          <w:sz w:val="21"/>
          <w:szCs w:val="21"/>
          <w:highlight w:val="none"/>
        </w:rPr>
        <w:t>哈夫节）具有有效的</w:t>
      </w:r>
      <w:r>
        <w:rPr>
          <w:rFonts w:hint="eastAsia" w:ascii="宋体" w:hAnsi="宋体" w:eastAsia="宋体" w:cs="宋体"/>
          <w:color w:val="auto"/>
          <w:sz w:val="21"/>
          <w:szCs w:val="21"/>
          <w:highlight w:val="none"/>
          <w:lang w:val="en-US" w:eastAsia="zh-CN"/>
        </w:rPr>
        <w:t>省</w:t>
      </w:r>
      <w:r>
        <w:rPr>
          <w:rFonts w:hint="eastAsia" w:ascii="宋体" w:hAnsi="宋体" w:eastAsia="宋体" w:cs="宋体"/>
          <w:color w:val="auto"/>
          <w:sz w:val="21"/>
          <w:szCs w:val="21"/>
          <w:highlight w:val="none"/>
        </w:rPr>
        <w:t>级以上(含</w:t>
      </w:r>
      <w:r>
        <w:rPr>
          <w:rFonts w:hint="eastAsia" w:ascii="宋体" w:hAnsi="宋体" w:eastAsia="宋体" w:cs="宋体"/>
          <w:color w:val="auto"/>
          <w:sz w:val="21"/>
          <w:szCs w:val="21"/>
          <w:highlight w:val="none"/>
          <w:lang w:val="en-US" w:eastAsia="zh-CN"/>
        </w:rPr>
        <w:t>省</w:t>
      </w:r>
      <w:r>
        <w:rPr>
          <w:rFonts w:hint="eastAsia" w:ascii="宋体" w:hAnsi="宋体" w:eastAsia="宋体" w:cs="宋体"/>
          <w:color w:val="auto"/>
          <w:sz w:val="21"/>
          <w:szCs w:val="21"/>
          <w:highlight w:val="none"/>
        </w:rPr>
        <w:t>级)卫生行政主管部门颁发的《涉及饮用水卫生安全产品卫生许可批件》</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default" w:ascii="宋体" w:hAnsi="宋体" w:eastAsia="宋体" w:cs="Times New Roman"/>
          <w:color w:val="auto"/>
          <w:position w:val="0"/>
          <w:sz w:val="21"/>
          <w:szCs w:val="21"/>
          <w:highlight w:val="none"/>
          <w:lang w:val="en-US" w:eastAsia="zh-CN"/>
        </w:rPr>
      </w:pPr>
      <w:r>
        <w:rPr>
          <w:rFonts w:hint="eastAsia" w:ascii="宋体" w:hAnsi="宋体" w:eastAsia="宋体" w:cs="Times New Roman"/>
          <w:color w:val="auto"/>
          <w:position w:val="0"/>
          <w:sz w:val="21"/>
          <w:szCs w:val="21"/>
          <w:highlight w:val="none"/>
          <w:lang w:val="en-US" w:eastAsia="zh-CN"/>
        </w:rPr>
        <w:t>2.执行标准</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position w:val="0"/>
          <w:sz w:val="21"/>
          <w:szCs w:val="21"/>
          <w:highlight w:val="none"/>
          <w:lang w:val="en-US" w:eastAsia="zh-CN"/>
        </w:rPr>
        <w:t>（1）</w:t>
      </w:r>
      <w:r>
        <w:rPr>
          <w:rFonts w:hint="eastAsia" w:ascii="宋体" w:hAnsi="宋体" w:eastAsia="宋体" w:cs="Times New Roman"/>
          <w:color w:val="auto"/>
          <w:position w:val="0"/>
          <w:sz w:val="21"/>
          <w:szCs w:val="21"/>
          <w:highlight w:val="none"/>
        </w:rPr>
        <w:t>YB</w:t>
      </w:r>
      <w:r>
        <w:rPr>
          <w:rFonts w:hint="eastAsia" w:ascii="宋体" w:hAnsi="宋体" w:eastAsia="宋体" w:cs="Times New Roman"/>
          <w:color w:val="auto"/>
          <w:spacing w:val="0"/>
          <w:position w:val="0"/>
          <w:sz w:val="21"/>
          <w:szCs w:val="21"/>
          <w:highlight w:val="none"/>
        </w:rPr>
        <w:t>∕T 4652 管道用球墨铸铁修补器</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GB</w:t>
      </w:r>
      <w:r>
        <w:rPr>
          <w:rFonts w:hint="eastAsia" w:ascii="宋体" w:hAnsi="宋体" w:eastAsia="宋体" w:cs="Times New Roman"/>
          <w:color w:val="auto"/>
          <w:spacing w:val="0"/>
          <w:sz w:val="21"/>
          <w:szCs w:val="21"/>
          <w:highlight w:val="none"/>
        </w:rPr>
        <w:t>/T 1348 球墨铸铁件</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position w:val="0"/>
          <w:sz w:val="21"/>
          <w:szCs w:val="21"/>
          <w:highlight w:val="none"/>
        </w:rPr>
        <w:t>GB</w:t>
      </w:r>
      <w:r>
        <w:rPr>
          <w:rFonts w:hint="eastAsia" w:ascii="宋体" w:hAnsi="宋体" w:eastAsia="宋体" w:cs="Times New Roman"/>
          <w:color w:val="auto"/>
          <w:spacing w:val="0"/>
          <w:position w:val="0"/>
          <w:sz w:val="21"/>
          <w:szCs w:val="21"/>
          <w:highlight w:val="none"/>
        </w:rPr>
        <w:t>/T 3098.1 紧固件机械性能 螺栓、螺钉和螺柱</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GB</w:t>
      </w:r>
      <w:r>
        <w:rPr>
          <w:rFonts w:hint="eastAsia" w:ascii="宋体" w:hAnsi="宋体" w:eastAsia="宋体" w:cs="Times New Roman"/>
          <w:color w:val="auto"/>
          <w:spacing w:val="0"/>
          <w:sz w:val="21"/>
          <w:szCs w:val="21"/>
          <w:highlight w:val="none"/>
        </w:rPr>
        <w:t>/T 3098.2 紧固件机械性能 螺母</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position w:val="0"/>
          <w:sz w:val="21"/>
          <w:szCs w:val="21"/>
          <w:highlight w:val="none"/>
        </w:rPr>
        <w:t>GB</w:t>
      </w:r>
      <w:r>
        <w:rPr>
          <w:rFonts w:hint="eastAsia" w:ascii="宋体" w:hAnsi="宋体" w:eastAsia="宋体" w:cs="Times New Roman"/>
          <w:color w:val="auto"/>
          <w:spacing w:val="0"/>
          <w:position w:val="0"/>
          <w:sz w:val="21"/>
          <w:szCs w:val="21"/>
          <w:highlight w:val="none"/>
        </w:rPr>
        <w:t>/T 6414 铸件尺寸公差与机械加工余量</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GB</w:t>
      </w:r>
      <w:r>
        <w:rPr>
          <w:rFonts w:hint="eastAsia" w:ascii="宋体" w:hAnsi="宋体" w:eastAsia="宋体" w:cs="Times New Roman"/>
          <w:color w:val="auto"/>
          <w:spacing w:val="0"/>
          <w:sz w:val="21"/>
          <w:szCs w:val="21"/>
          <w:highlight w:val="none"/>
        </w:rPr>
        <w:t>/T 9941 球墨铸铁金相检验</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GB</w:t>
      </w:r>
      <w:r>
        <w:rPr>
          <w:rFonts w:hint="eastAsia" w:ascii="宋体" w:hAnsi="宋体" w:eastAsia="宋体" w:cs="Times New Roman"/>
          <w:color w:val="auto"/>
          <w:spacing w:val="0"/>
          <w:sz w:val="21"/>
          <w:szCs w:val="21"/>
          <w:highlight w:val="none"/>
        </w:rPr>
        <w:t>/T 16938 紧固件螺栓、螺钉、螺柱和螺母 通用技术条件</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GB</w:t>
      </w:r>
      <w:r>
        <w:rPr>
          <w:rFonts w:hint="eastAsia" w:ascii="宋体" w:hAnsi="宋体" w:eastAsia="宋体" w:cs="Times New Roman"/>
          <w:color w:val="auto"/>
          <w:spacing w:val="0"/>
          <w:sz w:val="21"/>
          <w:szCs w:val="21"/>
          <w:highlight w:val="none"/>
        </w:rPr>
        <w:t>/T 17219 生活饮用水输配水设备及防护材料的安全性评价标准</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GB</w:t>
      </w:r>
      <w:r>
        <w:rPr>
          <w:rFonts w:hint="eastAsia" w:ascii="宋体" w:hAnsi="宋体" w:eastAsia="宋体" w:cs="Times New Roman"/>
          <w:color w:val="auto"/>
          <w:spacing w:val="0"/>
          <w:sz w:val="21"/>
          <w:szCs w:val="21"/>
          <w:highlight w:val="none"/>
        </w:rPr>
        <w:t>/T 21873 橡胶密封件给、排水管及污水管道用接口封圈材料规范</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pacing w:val="0"/>
          <w:sz w:val="21"/>
          <w:szCs w:val="21"/>
          <w:highlight w:val="none"/>
          <w:lang w:val="en-US" w:eastAsia="zh-CN"/>
        </w:rPr>
        <w:t>3</w:t>
      </w:r>
      <w:r>
        <w:rPr>
          <w:rFonts w:hint="eastAsia" w:ascii="宋体" w:hAnsi="宋体" w:eastAsia="宋体" w:cs="Times New Roman"/>
          <w:color w:val="auto"/>
          <w:spacing w:val="0"/>
          <w:sz w:val="21"/>
          <w:szCs w:val="21"/>
          <w:highlight w:val="none"/>
        </w:rPr>
        <w:t>.材质及技术性能要求</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pacing w:val="0"/>
          <w:sz w:val="21"/>
          <w:szCs w:val="21"/>
          <w:highlight w:val="none"/>
          <w:lang w:val="en-US" w:eastAsia="zh-CN"/>
        </w:rPr>
        <w:t>3</w:t>
      </w:r>
      <w:r>
        <w:rPr>
          <w:rFonts w:hint="eastAsia" w:ascii="宋体" w:hAnsi="宋体" w:eastAsia="宋体" w:cs="Times New Roman"/>
          <w:color w:val="auto"/>
          <w:spacing w:val="0"/>
          <w:sz w:val="21"/>
          <w:szCs w:val="21"/>
          <w:highlight w:val="none"/>
        </w:rPr>
        <w:t>.1 工作介质、温度、公称压力及安装要求</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pacing w:val="0"/>
          <w:sz w:val="21"/>
          <w:szCs w:val="21"/>
          <w:highlight w:val="none"/>
        </w:rPr>
        <w:t>本次采购要求的管件用于温度 0℃~60℃的自来水</w:t>
      </w:r>
      <w:r>
        <w:rPr>
          <w:rFonts w:hint="eastAsia" w:ascii="宋体" w:hAnsi="宋体" w:eastAsia="宋体" w:cs="Times New Roman"/>
          <w:color w:val="auto"/>
          <w:spacing w:val="0"/>
          <w:sz w:val="21"/>
          <w:szCs w:val="21"/>
          <w:highlight w:val="none"/>
          <w:lang w:eastAsia="zh-CN"/>
        </w:rPr>
        <w:t>，</w:t>
      </w:r>
      <w:r>
        <w:rPr>
          <w:rFonts w:hint="eastAsia" w:ascii="宋体" w:hAnsi="宋体" w:eastAsia="宋体" w:cs="Times New Roman"/>
          <w:color w:val="auto"/>
          <w:spacing w:val="0"/>
          <w:sz w:val="21"/>
          <w:szCs w:val="21"/>
          <w:highlight w:val="none"/>
        </w:rPr>
        <w:t>要求公称压力 1.6</w:t>
      </w:r>
      <w:r>
        <w:rPr>
          <w:rFonts w:hint="eastAsia" w:ascii="宋体" w:hAnsi="宋体" w:eastAsia="宋体" w:cs="Times New Roman"/>
          <w:color w:val="auto"/>
          <w:sz w:val="21"/>
          <w:szCs w:val="21"/>
          <w:highlight w:val="none"/>
        </w:rPr>
        <w:t>MPa</w:t>
      </w:r>
      <w:r>
        <w:rPr>
          <w:rFonts w:hint="eastAsia" w:ascii="宋体" w:hAnsi="宋体" w:eastAsia="宋体" w:cs="Times New Roman"/>
          <w:color w:val="auto"/>
          <w:spacing w:val="0"/>
          <w:sz w:val="21"/>
          <w:szCs w:val="21"/>
          <w:highlight w:val="none"/>
          <w:lang w:eastAsia="zh-CN"/>
        </w:rPr>
        <w:t>，</w:t>
      </w:r>
      <w:r>
        <w:rPr>
          <w:rFonts w:hint="eastAsia" w:ascii="宋体" w:hAnsi="宋体" w:eastAsia="宋体" w:cs="Times New Roman"/>
          <w:color w:val="auto"/>
          <w:spacing w:val="0"/>
          <w:sz w:val="21"/>
          <w:szCs w:val="21"/>
          <w:highlight w:val="none"/>
        </w:rPr>
        <w:t>螺栓紧固连接。为易于安装，抢修</w:t>
      </w:r>
      <w:r>
        <w:rPr>
          <w:rFonts w:hint="eastAsia" w:ascii="宋体" w:hAnsi="宋体" w:eastAsia="宋体" w:cs="Times New Roman"/>
          <w:color w:val="auto"/>
          <w:spacing w:val="0"/>
          <w:sz w:val="21"/>
          <w:szCs w:val="21"/>
          <w:highlight w:val="none"/>
          <w:lang w:val="en-US" w:eastAsia="zh-CN"/>
        </w:rPr>
        <w:t>器</w:t>
      </w:r>
      <w:r>
        <w:rPr>
          <w:rFonts w:hint="eastAsia" w:ascii="宋体" w:hAnsi="宋体" w:eastAsia="宋体" w:cs="Times New Roman"/>
          <w:color w:val="auto"/>
          <w:spacing w:val="0"/>
          <w:sz w:val="21"/>
          <w:szCs w:val="21"/>
          <w:highlight w:val="none"/>
        </w:rPr>
        <w:t>应存在较长紧固件。橡胶密封件和壳体之间的连接方式采用无粘胶技术。</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pacing w:val="0"/>
          <w:position w:val="0"/>
          <w:sz w:val="21"/>
          <w:szCs w:val="21"/>
          <w:highlight w:val="none"/>
          <w:lang w:val="en-US" w:eastAsia="zh-CN"/>
        </w:rPr>
        <w:t>3</w:t>
      </w:r>
      <w:r>
        <w:rPr>
          <w:rFonts w:hint="eastAsia" w:ascii="宋体" w:hAnsi="宋体" w:eastAsia="宋体" w:cs="Times New Roman"/>
          <w:color w:val="auto"/>
          <w:spacing w:val="0"/>
          <w:position w:val="0"/>
          <w:sz w:val="21"/>
          <w:szCs w:val="21"/>
          <w:highlight w:val="none"/>
        </w:rPr>
        <w:t>.2 各部件要求</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pacing w:val="0"/>
          <w:sz w:val="21"/>
          <w:szCs w:val="21"/>
          <w:highlight w:val="none"/>
        </w:rPr>
        <w:t>（1）壳体</w:t>
      </w:r>
    </w:p>
    <w:p>
      <w:pPr>
        <w:spacing w:line="360" w:lineRule="auto"/>
        <w:ind w:firstLine="420" w:firstLineChars="200"/>
        <w:rPr>
          <w:rFonts w:hint="eastAsia" w:ascii="宋体" w:hAnsi="宋体" w:eastAsia="宋体" w:cs="Times New Roman"/>
          <w:color w:val="auto"/>
          <w:spacing w:val="0"/>
          <w:position w:val="0"/>
          <w:sz w:val="21"/>
          <w:szCs w:val="21"/>
          <w:highlight w:val="none"/>
        </w:rPr>
      </w:pPr>
      <w:r>
        <w:rPr>
          <w:rFonts w:hint="eastAsia" w:ascii="宋体" w:hAnsi="宋体" w:eastAsia="宋体" w:cs="Times New Roman"/>
          <w:color w:val="auto"/>
          <w:spacing w:val="0"/>
          <w:position w:val="0"/>
          <w:sz w:val="21"/>
          <w:szCs w:val="21"/>
          <w:highlight w:val="none"/>
        </w:rPr>
        <w:t>壳体材料为球墨铸铁</w:t>
      </w:r>
      <w:r>
        <w:rPr>
          <w:rFonts w:hint="eastAsia" w:ascii="宋体" w:hAnsi="宋体" w:eastAsia="宋体" w:cs="Times New Roman"/>
          <w:color w:val="auto"/>
          <w:position w:val="0"/>
          <w:sz w:val="21"/>
          <w:szCs w:val="21"/>
          <w:highlight w:val="none"/>
        </w:rPr>
        <w:t>QT</w:t>
      </w:r>
      <w:r>
        <w:rPr>
          <w:rFonts w:hint="eastAsia" w:ascii="宋体" w:hAnsi="宋体" w:eastAsia="宋体" w:cs="Times New Roman"/>
          <w:color w:val="auto"/>
          <w:spacing w:val="0"/>
          <w:position w:val="0"/>
          <w:sz w:val="21"/>
          <w:szCs w:val="21"/>
          <w:highlight w:val="none"/>
        </w:rPr>
        <w:t>450-10或以上等级，性能应符合或不低于表1的规定。</w:t>
      </w:r>
    </w:p>
    <w:p>
      <w:pPr>
        <w:spacing w:line="360" w:lineRule="auto"/>
        <w:ind w:firstLine="420" w:firstLineChars="200"/>
        <w:rPr>
          <w:rFonts w:hint="eastAsia" w:ascii="宋体" w:hAnsi="宋体" w:eastAsia="宋体" w:cs="Times New Roman"/>
          <w:color w:val="auto"/>
          <w:spacing w:val="0"/>
          <w:sz w:val="21"/>
          <w:szCs w:val="21"/>
          <w:highlight w:val="none"/>
        </w:rPr>
      </w:pPr>
      <w:r>
        <w:rPr>
          <w:rFonts w:hint="eastAsia" w:ascii="宋体" w:hAnsi="宋体" w:eastAsia="宋体" w:cs="Times New Roman"/>
          <w:color w:val="auto"/>
          <w:spacing w:val="0"/>
          <w:position w:val="0"/>
          <w:sz w:val="21"/>
          <w:szCs w:val="21"/>
          <w:highlight w:val="none"/>
        </w:rPr>
        <w:t>表1壳体</w:t>
      </w:r>
      <w:r>
        <w:rPr>
          <w:rFonts w:hint="eastAsia" w:ascii="宋体" w:hAnsi="宋体" w:eastAsia="宋体" w:cs="Times New Roman"/>
          <w:color w:val="auto"/>
          <w:spacing w:val="0"/>
          <w:sz w:val="21"/>
          <w:szCs w:val="21"/>
          <w:highlight w:val="none"/>
        </w:rPr>
        <w:t>材料性能要求</w:t>
      </w:r>
    </w:p>
    <w:tbl>
      <w:tblPr>
        <w:tblStyle w:val="207"/>
        <w:tblW w:w="79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
        <w:gridCol w:w="3639"/>
        <w:gridCol w:w="33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935"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序号</w:t>
            </w:r>
          </w:p>
        </w:tc>
        <w:tc>
          <w:tcPr>
            <w:tcW w:w="3639"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项   目</w:t>
            </w:r>
          </w:p>
        </w:tc>
        <w:tc>
          <w:tcPr>
            <w:tcW w:w="3397"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935" w:type="dxa"/>
            <w:vAlign w:val="top"/>
          </w:tcPr>
          <w:p>
            <w:pPr>
              <w:spacing w:line="360" w:lineRule="auto"/>
              <w:ind w:firstLine="420" w:firstLineChars="20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3639"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抗拉强度（Rm/ MPa)</w:t>
            </w:r>
          </w:p>
        </w:tc>
        <w:tc>
          <w:tcPr>
            <w:tcW w:w="3397"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935" w:type="dxa"/>
            <w:vAlign w:val="top"/>
          </w:tcPr>
          <w:p>
            <w:pPr>
              <w:spacing w:line="360" w:lineRule="auto"/>
              <w:ind w:firstLine="420" w:firstLineChars="20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3639"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断后伸长率</w:t>
            </w:r>
            <w:r>
              <w:rPr>
                <w:rFonts w:hint="eastAsia" w:ascii="宋体" w:hAnsi="宋体" w:eastAsia="宋体" w:cs="Times New Roman"/>
                <w:color w:val="auto"/>
                <w:spacing w:val="0"/>
                <w:w w:val="100"/>
                <w:szCs w:val="21"/>
                <w:highlight w:val="none"/>
              </w:rPr>
              <w:t xml:space="preserve"> </w:t>
            </w:r>
            <w:r>
              <w:rPr>
                <w:rFonts w:hint="eastAsia" w:ascii="宋体" w:hAnsi="宋体" w:eastAsia="宋体" w:cs="Times New Roman"/>
                <w:color w:val="auto"/>
                <w:spacing w:val="0"/>
                <w:szCs w:val="21"/>
                <w:highlight w:val="none"/>
              </w:rPr>
              <w:t>(A/%)</w:t>
            </w:r>
          </w:p>
        </w:tc>
        <w:tc>
          <w:tcPr>
            <w:tcW w:w="3397"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935" w:type="dxa"/>
            <w:vAlign w:val="top"/>
          </w:tcPr>
          <w:p>
            <w:pPr>
              <w:spacing w:line="360" w:lineRule="auto"/>
              <w:ind w:firstLine="420" w:firstLineChars="20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3639"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硬度（HBW）</w:t>
            </w:r>
          </w:p>
        </w:tc>
        <w:tc>
          <w:tcPr>
            <w:tcW w:w="3397" w:type="dxa"/>
            <w:vAlign w:val="top"/>
          </w:tcPr>
          <w:p>
            <w:pPr>
              <w:spacing w:line="360" w:lineRule="auto"/>
              <w:ind w:firstLine="420" w:firstLineChars="200"/>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pacing w:val="0"/>
                <w:szCs w:val="21"/>
                <w:highlight w:val="none"/>
              </w:rPr>
              <w:t>160</w:t>
            </w:r>
            <w:r>
              <w:rPr>
                <w:rFonts w:hint="eastAsia" w:ascii="宋体" w:hAnsi="宋体" w:eastAsia="宋体" w:cs="Times New Roman"/>
                <w:color w:val="auto"/>
                <w:spacing w:val="0"/>
                <w:szCs w:val="21"/>
                <w:highlight w:val="none"/>
                <w:lang w:val="en-US" w:eastAsia="zh-CN"/>
              </w:rPr>
              <w:t>～</w:t>
            </w:r>
            <w:r>
              <w:rPr>
                <w:rFonts w:hint="eastAsia" w:ascii="宋体" w:hAnsi="宋体" w:eastAsia="宋体" w:cs="Times New Roman"/>
                <w:color w:val="auto"/>
                <w:spacing w:val="0"/>
                <w:szCs w:val="21"/>
                <w:highlight w:val="none"/>
              </w:rPr>
              <w:t>210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935" w:type="dxa"/>
            <w:vAlign w:val="top"/>
          </w:tcPr>
          <w:p>
            <w:pPr>
              <w:spacing w:line="360" w:lineRule="auto"/>
              <w:ind w:firstLine="420" w:firstLineChars="20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3639"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金相（球化等级）</w:t>
            </w:r>
          </w:p>
        </w:tc>
        <w:tc>
          <w:tcPr>
            <w:tcW w:w="3397"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3级及以上</w:t>
            </w:r>
          </w:p>
        </w:tc>
      </w:tr>
    </w:tbl>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pacing w:val="0"/>
          <w:position w:val="0"/>
          <w:sz w:val="21"/>
          <w:szCs w:val="21"/>
          <w:highlight w:val="none"/>
        </w:rPr>
        <w:t>壳体长度及壁厚应满足《</w:t>
      </w:r>
      <w:r>
        <w:rPr>
          <w:rFonts w:hint="eastAsia" w:ascii="宋体" w:hAnsi="宋体" w:eastAsia="宋体" w:cs="Times New Roman"/>
          <w:color w:val="auto"/>
          <w:position w:val="0"/>
          <w:sz w:val="21"/>
          <w:szCs w:val="21"/>
          <w:highlight w:val="none"/>
        </w:rPr>
        <w:t>YB</w:t>
      </w:r>
      <w:r>
        <w:rPr>
          <w:rFonts w:hint="eastAsia" w:ascii="宋体" w:hAnsi="宋体" w:eastAsia="宋体" w:cs="Times New Roman"/>
          <w:color w:val="auto"/>
          <w:spacing w:val="0"/>
          <w:position w:val="0"/>
          <w:sz w:val="21"/>
          <w:szCs w:val="21"/>
          <w:highlight w:val="none"/>
        </w:rPr>
        <w:t>∕T 4652 管道用球墨铸铁修补器》中附录A的要求，长度</w:t>
      </w:r>
      <w:r>
        <w:rPr>
          <w:rFonts w:hint="eastAsia" w:ascii="宋体" w:hAnsi="宋体" w:eastAsia="宋体" w:cs="Times New Roman"/>
          <w:color w:val="auto"/>
          <w:spacing w:val="0"/>
          <w:sz w:val="21"/>
          <w:szCs w:val="21"/>
          <w:highlight w:val="none"/>
        </w:rPr>
        <w:t>公差应符合</w:t>
      </w:r>
      <w:r>
        <w:rPr>
          <w:rFonts w:hint="eastAsia" w:ascii="宋体" w:hAnsi="宋体" w:eastAsia="宋体" w:cs="Times New Roman"/>
          <w:color w:val="auto"/>
          <w:sz w:val="21"/>
          <w:szCs w:val="21"/>
          <w:highlight w:val="none"/>
        </w:rPr>
        <w:t>GB</w:t>
      </w:r>
      <w:r>
        <w:rPr>
          <w:rFonts w:hint="eastAsia" w:ascii="宋体" w:hAnsi="宋体" w:eastAsia="宋体" w:cs="Times New Roman"/>
          <w:color w:val="auto"/>
          <w:spacing w:val="0"/>
          <w:sz w:val="21"/>
          <w:szCs w:val="21"/>
          <w:highlight w:val="none"/>
        </w:rPr>
        <w:t>/T 6414-1999中公差等级</w:t>
      </w:r>
      <w:r>
        <w:rPr>
          <w:rFonts w:hint="eastAsia" w:ascii="宋体" w:hAnsi="宋体" w:eastAsia="宋体" w:cs="Times New Roman"/>
          <w:color w:val="auto"/>
          <w:sz w:val="21"/>
          <w:szCs w:val="21"/>
          <w:highlight w:val="none"/>
        </w:rPr>
        <w:t>CT</w:t>
      </w:r>
      <w:r>
        <w:rPr>
          <w:rFonts w:hint="eastAsia" w:ascii="宋体" w:hAnsi="宋体" w:eastAsia="宋体" w:cs="Times New Roman"/>
          <w:color w:val="auto"/>
          <w:spacing w:val="0"/>
          <w:sz w:val="21"/>
          <w:szCs w:val="21"/>
          <w:highlight w:val="none"/>
        </w:rPr>
        <w:t>11的要求。</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pacing w:val="0"/>
          <w:position w:val="0"/>
          <w:sz w:val="21"/>
          <w:szCs w:val="21"/>
          <w:highlight w:val="none"/>
        </w:rPr>
        <w:t>泄压孔螺纹应符合</w:t>
      </w:r>
      <w:r>
        <w:rPr>
          <w:rFonts w:hint="eastAsia" w:ascii="宋体" w:hAnsi="宋体" w:eastAsia="宋体" w:cs="Times New Roman"/>
          <w:color w:val="auto"/>
          <w:position w:val="0"/>
          <w:sz w:val="21"/>
          <w:szCs w:val="21"/>
          <w:highlight w:val="none"/>
        </w:rPr>
        <w:t>GB</w:t>
      </w:r>
      <w:r>
        <w:rPr>
          <w:rFonts w:hint="eastAsia" w:ascii="宋体" w:hAnsi="宋体" w:eastAsia="宋体" w:cs="Times New Roman"/>
          <w:color w:val="auto"/>
          <w:spacing w:val="0"/>
          <w:position w:val="0"/>
          <w:sz w:val="21"/>
          <w:szCs w:val="21"/>
          <w:highlight w:val="none"/>
        </w:rPr>
        <w:t>/T 7306.1中圆柱内螺纹的要求，尺寸代号应符合《</w:t>
      </w:r>
      <w:r>
        <w:rPr>
          <w:rFonts w:hint="eastAsia" w:ascii="宋体" w:hAnsi="宋体" w:eastAsia="宋体" w:cs="Times New Roman"/>
          <w:color w:val="auto"/>
          <w:position w:val="0"/>
          <w:sz w:val="21"/>
          <w:szCs w:val="21"/>
          <w:highlight w:val="none"/>
        </w:rPr>
        <w:t>YB</w:t>
      </w:r>
      <w:r>
        <w:rPr>
          <w:rFonts w:hint="eastAsia" w:ascii="宋体" w:hAnsi="宋体" w:eastAsia="宋体" w:cs="Times New Roman"/>
          <w:color w:val="auto"/>
          <w:spacing w:val="0"/>
          <w:position w:val="0"/>
          <w:sz w:val="21"/>
          <w:szCs w:val="21"/>
          <w:highlight w:val="none"/>
        </w:rPr>
        <w:t>∕T</w:t>
      </w:r>
      <w:r>
        <w:rPr>
          <w:rFonts w:hint="eastAsia" w:ascii="宋体" w:hAnsi="宋体" w:eastAsia="宋体" w:cs="Times New Roman"/>
          <w:color w:val="auto"/>
          <w:spacing w:val="0"/>
          <w:sz w:val="21"/>
          <w:szCs w:val="21"/>
          <w:highlight w:val="none"/>
        </w:rPr>
        <w:t>4652-2018 管道用球墨铸铁修补器》中附录A的要求。</w:t>
      </w:r>
    </w:p>
    <w:p>
      <w:pPr>
        <w:numPr>
          <w:ilvl w:val="-1"/>
          <w:numId w:val="0"/>
        </w:numPr>
        <w:spacing w:line="360" w:lineRule="auto"/>
        <w:ind w:firstLine="420" w:firstLineChars="200"/>
        <w:rPr>
          <w:rFonts w:hint="eastAsia" w:ascii="宋体" w:hAnsi="宋体" w:eastAsia="宋体" w:cs="Times New Roman"/>
          <w:color w:val="auto"/>
          <w:spacing w:val="0"/>
          <w:sz w:val="21"/>
          <w:szCs w:val="21"/>
          <w:highlight w:val="none"/>
        </w:rPr>
      </w:pPr>
      <w:r>
        <w:rPr>
          <w:rFonts w:hint="eastAsia" w:ascii="宋体" w:hAnsi="宋体" w:eastAsia="宋体" w:cs="Times New Roman"/>
          <w:color w:val="auto"/>
          <w:spacing w:val="0"/>
          <w:sz w:val="21"/>
          <w:szCs w:val="21"/>
          <w:highlight w:val="none"/>
          <w:lang w:eastAsia="zh-CN"/>
        </w:rPr>
        <w:t>（</w:t>
      </w:r>
      <w:r>
        <w:rPr>
          <w:rFonts w:hint="eastAsia" w:ascii="宋体" w:hAnsi="宋体" w:eastAsia="宋体" w:cs="Times New Roman"/>
          <w:color w:val="auto"/>
          <w:spacing w:val="0"/>
          <w:sz w:val="21"/>
          <w:szCs w:val="21"/>
          <w:highlight w:val="none"/>
          <w:lang w:val="en-US" w:eastAsia="zh-CN"/>
        </w:rPr>
        <w:t>2</w:t>
      </w:r>
      <w:r>
        <w:rPr>
          <w:rFonts w:hint="eastAsia" w:ascii="宋体" w:hAnsi="宋体" w:eastAsia="宋体" w:cs="Times New Roman"/>
          <w:color w:val="auto"/>
          <w:spacing w:val="0"/>
          <w:sz w:val="21"/>
          <w:szCs w:val="21"/>
          <w:highlight w:val="none"/>
          <w:lang w:eastAsia="zh-CN"/>
        </w:rPr>
        <w:t>）</w:t>
      </w:r>
      <w:r>
        <w:rPr>
          <w:rFonts w:hint="eastAsia" w:ascii="宋体" w:hAnsi="宋体" w:eastAsia="宋体" w:cs="Times New Roman"/>
          <w:color w:val="auto"/>
          <w:spacing w:val="0"/>
          <w:sz w:val="21"/>
          <w:szCs w:val="21"/>
          <w:highlight w:val="none"/>
        </w:rPr>
        <w:t>橡胶垫圈：采用三元乙丙橡胶或硅橡胶或以上等级材料，性能应符合表2的规定。</w:t>
      </w:r>
    </w:p>
    <w:p>
      <w:pPr>
        <w:numPr>
          <w:ilvl w:val="-1"/>
          <w:numId w:val="0"/>
        </w:numPr>
        <w:spacing w:line="360" w:lineRule="auto"/>
        <w:ind w:firstLine="420" w:firstLineChars="200"/>
        <w:rPr>
          <w:rFonts w:hint="default" w:ascii="宋体" w:hAnsi="宋体" w:eastAsia="宋体" w:cs="Times New Roman"/>
          <w:color w:val="auto"/>
          <w:spacing w:val="0"/>
          <w:sz w:val="21"/>
          <w:szCs w:val="21"/>
          <w:highlight w:val="none"/>
          <w:lang w:val="en-US" w:eastAsia="zh-CN"/>
        </w:rPr>
      </w:pPr>
      <w:r>
        <w:rPr>
          <w:rFonts w:hint="eastAsia" w:ascii="宋体" w:hAnsi="宋体" w:eastAsia="宋体" w:cs="Times New Roman"/>
          <w:color w:val="auto"/>
          <w:spacing w:val="0"/>
          <w:sz w:val="21"/>
          <w:szCs w:val="21"/>
          <w:highlight w:val="none"/>
          <w:lang w:val="en-US" w:eastAsia="zh-CN"/>
        </w:rPr>
        <w:t>表2</w:t>
      </w:r>
    </w:p>
    <w:tbl>
      <w:tblPr>
        <w:tblStyle w:val="207"/>
        <w:tblW w:w="83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2"/>
        <w:gridCol w:w="2550"/>
        <w:gridCol w:w="2540"/>
        <w:gridCol w:w="19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272"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序号</w:t>
            </w:r>
          </w:p>
        </w:tc>
        <w:tc>
          <w:tcPr>
            <w:tcW w:w="5090" w:type="dxa"/>
            <w:gridSpan w:val="2"/>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项   目</w:t>
            </w:r>
          </w:p>
        </w:tc>
        <w:tc>
          <w:tcPr>
            <w:tcW w:w="199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1272"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5090" w:type="dxa"/>
            <w:gridSpan w:val="2"/>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硬度( IRHD)</w:t>
            </w:r>
          </w:p>
        </w:tc>
        <w:tc>
          <w:tcPr>
            <w:tcW w:w="199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50</w:t>
            </w:r>
            <w:r>
              <w:rPr>
                <w:rFonts w:hint="eastAsia" w:ascii="宋体" w:hAnsi="宋体" w:eastAsia="宋体" w:cs="Times New Roman"/>
                <w:color w:val="auto"/>
                <w:spacing w:val="0"/>
                <w:szCs w:val="21"/>
                <w:highlight w:val="none"/>
                <w:lang w:val="en-US" w:eastAsia="zh-CN"/>
              </w:rPr>
              <w:t>～</w:t>
            </w:r>
            <w:r>
              <w:rPr>
                <w:rFonts w:hint="eastAsia" w:ascii="宋体" w:hAnsi="宋体" w:eastAsia="宋体" w:cs="Times New Roman"/>
                <w:color w:val="auto"/>
                <w:spacing w:val="0"/>
                <w:szCs w:val="21"/>
                <w:highlight w:val="none"/>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1272"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5090" w:type="dxa"/>
            <w:gridSpan w:val="2"/>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扯断强度/MPa</w:t>
            </w:r>
          </w:p>
        </w:tc>
        <w:tc>
          <w:tcPr>
            <w:tcW w:w="199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272"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5090" w:type="dxa"/>
            <w:gridSpan w:val="2"/>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扯断伸长率</w:t>
            </w:r>
          </w:p>
        </w:tc>
        <w:tc>
          <w:tcPr>
            <w:tcW w:w="199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1272"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5090" w:type="dxa"/>
            <w:gridSpan w:val="2"/>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压缩永久变形 (23 °C，72 h)</w:t>
            </w:r>
          </w:p>
        </w:tc>
        <w:tc>
          <w:tcPr>
            <w:tcW w:w="199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1272"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w:t>
            </w:r>
          </w:p>
        </w:tc>
        <w:tc>
          <w:tcPr>
            <w:tcW w:w="2550" w:type="dxa"/>
            <w:vMerge w:val="restart"/>
            <w:tcBorders>
              <w:bottom w:val="nil"/>
            </w:tcBorders>
            <w:vAlign w:val="top"/>
          </w:tcPr>
          <w:p>
            <w:pPr>
              <w:spacing w:line="360" w:lineRule="auto"/>
              <w:ind w:firstLine="0" w:firstLineChars="0"/>
              <w:rPr>
                <w:rFonts w:hint="eastAsia" w:ascii="宋体" w:hAnsi="宋体" w:eastAsia="宋体" w:cs="Times New Roman"/>
                <w:color w:val="auto"/>
                <w:sz w:val="21"/>
                <w:szCs w:val="21"/>
                <w:highlight w:val="none"/>
              </w:rPr>
            </w:pP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position w:val="0"/>
                <w:szCs w:val="21"/>
                <w:highlight w:val="none"/>
              </w:rPr>
              <w:t>耐老化性能</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(70°C</w:t>
            </w:r>
            <w:r>
              <w:rPr>
                <w:rFonts w:hint="eastAsia" w:ascii="宋体" w:hAnsi="宋体" w:eastAsia="宋体" w:cs="Times New Roman"/>
                <w:color w:val="auto"/>
                <w:spacing w:val="0"/>
                <w:szCs w:val="21"/>
                <w:highlight w:val="none"/>
                <w:lang w:eastAsia="zh-CN"/>
              </w:rPr>
              <w:t>，</w:t>
            </w:r>
            <w:r>
              <w:rPr>
                <w:rFonts w:hint="eastAsia" w:ascii="宋体" w:hAnsi="宋体" w:eastAsia="宋体" w:cs="Times New Roman"/>
                <w:color w:val="auto"/>
                <w:spacing w:val="0"/>
                <w:szCs w:val="21"/>
                <w:highlight w:val="none"/>
              </w:rPr>
              <w:t>7d)</w:t>
            </w:r>
          </w:p>
        </w:tc>
        <w:tc>
          <w:tcPr>
            <w:tcW w:w="2540"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压缩永久变形</w:t>
            </w:r>
          </w:p>
        </w:tc>
        <w:tc>
          <w:tcPr>
            <w:tcW w:w="199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272"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w:t>
            </w:r>
          </w:p>
        </w:tc>
        <w:tc>
          <w:tcPr>
            <w:tcW w:w="2550" w:type="dxa"/>
            <w:vMerge w:val="continue"/>
            <w:tcBorders>
              <w:top w:val="nil"/>
              <w:bottom w:val="nil"/>
            </w:tcBorders>
            <w:vAlign w:val="top"/>
          </w:tcPr>
          <w:p>
            <w:pPr>
              <w:spacing w:line="360" w:lineRule="auto"/>
              <w:ind w:firstLine="420" w:firstLineChars="200"/>
              <w:rPr>
                <w:rFonts w:hint="eastAsia" w:ascii="宋体" w:hAnsi="宋体" w:eastAsia="宋体" w:cs="Times New Roman"/>
                <w:color w:val="auto"/>
                <w:sz w:val="21"/>
                <w:szCs w:val="21"/>
                <w:highlight w:val="none"/>
              </w:rPr>
            </w:pPr>
          </w:p>
        </w:tc>
        <w:tc>
          <w:tcPr>
            <w:tcW w:w="2540"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扯断强度下降</w:t>
            </w:r>
          </w:p>
        </w:tc>
        <w:tc>
          <w:tcPr>
            <w:tcW w:w="199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1272"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w:t>
            </w:r>
          </w:p>
        </w:tc>
        <w:tc>
          <w:tcPr>
            <w:tcW w:w="2550" w:type="dxa"/>
            <w:vMerge w:val="continue"/>
            <w:tcBorders>
              <w:top w:val="nil"/>
              <w:bottom w:val="nil"/>
            </w:tcBorders>
            <w:vAlign w:val="top"/>
          </w:tcPr>
          <w:p>
            <w:pPr>
              <w:spacing w:line="360" w:lineRule="auto"/>
              <w:ind w:firstLine="420" w:firstLineChars="200"/>
              <w:rPr>
                <w:rFonts w:hint="eastAsia" w:ascii="宋体" w:hAnsi="宋体" w:eastAsia="宋体" w:cs="Times New Roman"/>
                <w:color w:val="auto"/>
                <w:sz w:val="21"/>
                <w:szCs w:val="21"/>
                <w:highlight w:val="none"/>
              </w:rPr>
            </w:pPr>
          </w:p>
        </w:tc>
        <w:tc>
          <w:tcPr>
            <w:tcW w:w="2540"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扯断伸长率下降</w:t>
            </w:r>
          </w:p>
        </w:tc>
        <w:tc>
          <w:tcPr>
            <w:tcW w:w="199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1272"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w:t>
            </w:r>
          </w:p>
        </w:tc>
        <w:tc>
          <w:tcPr>
            <w:tcW w:w="2550" w:type="dxa"/>
            <w:vMerge w:val="continue"/>
            <w:tcBorders>
              <w:top w:val="nil"/>
            </w:tcBorders>
            <w:vAlign w:val="top"/>
          </w:tcPr>
          <w:p>
            <w:pPr>
              <w:spacing w:line="360" w:lineRule="auto"/>
              <w:ind w:firstLine="420" w:firstLineChars="200"/>
              <w:rPr>
                <w:rFonts w:hint="eastAsia" w:ascii="宋体" w:hAnsi="宋体" w:eastAsia="宋体" w:cs="Times New Roman"/>
                <w:color w:val="auto"/>
                <w:sz w:val="21"/>
                <w:szCs w:val="21"/>
                <w:highlight w:val="none"/>
              </w:rPr>
            </w:pPr>
          </w:p>
        </w:tc>
        <w:tc>
          <w:tcPr>
            <w:tcW w:w="2540"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硬度变化(IRHD)</w:t>
            </w:r>
          </w:p>
        </w:tc>
        <w:tc>
          <w:tcPr>
            <w:tcW w:w="199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- 5</w:t>
            </w:r>
            <w:r>
              <w:rPr>
                <w:rFonts w:hint="eastAsia" w:ascii="宋体" w:hAnsi="宋体" w:eastAsia="宋体" w:cs="Times New Roman"/>
                <w:color w:val="auto"/>
                <w:spacing w:val="0"/>
                <w:szCs w:val="21"/>
                <w:highlight w:val="none"/>
                <w:lang w:val="en-US" w:eastAsia="zh-CN"/>
              </w:rPr>
              <w:t>～</w:t>
            </w:r>
            <w:r>
              <w:rPr>
                <w:rFonts w:hint="eastAsia" w:ascii="宋体" w:hAnsi="宋体" w:eastAsia="宋体" w:cs="Times New Roman"/>
                <w:color w:val="auto"/>
                <w:spacing w:val="0"/>
                <w:szCs w:val="21"/>
                <w:highlight w:val="none"/>
              </w:rPr>
              <w:t>+8</w:t>
            </w:r>
          </w:p>
        </w:tc>
      </w:tr>
    </w:tbl>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pacing w:val="0"/>
          <w:sz w:val="21"/>
          <w:szCs w:val="21"/>
          <w:highlight w:val="none"/>
        </w:rPr>
        <w:t>（3）连接螺栓：8.8级碳钢螺栓或不锈钢螺栓。碳钢螺母性能等级应达到</w:t>
      </w:r>
      <w:r>
        <w:rPr>
          <w:rFonts w:hint="eastAsia" w:ascii="宋体" w:hAnsi="宋体" w:eastAsia="宋体" w:cs="Times New Roman"/>
          <w:color w:val="auto"/>
          <w:sz w:val="21"/>
          <w:szCs w:val="21"/>
          <w:highlight w:val="none"/>
        </w:rPr>
        <w:t>GB</w:t>
      </w:r>
      <w:r>
        <w:rPr>
          <w:rFonts w:hint="eastAsia" w:ascii="宋体" w:hAnsi="宋体" w:eastAsia="宋体" w:cs="Times New Roman"/>
          <w:color w:val="auto"/>
          <w:spacing w:val="0"/>
          <w:sz w:val="21"/>
          <w:szCs w:val="21"/>
          <w:highlight w:val="none"/>
        </w:rPr>
        <w:t>/T</w:t>
      </w:r>
      <w:r>
        <w:rPr>
          <w:rFonts w:hint="eastAsia" w:ascii="宋体" w:hAnsi="宋体" w:eastAsia="宋体" w:cs="Times New Roman"/>
          <w:color w:val="auto"/>
          <w:spacing w:val="0"/>
          <w:position w:val="0"/>
          <w:sz w:val="21"/>
          <w:szCs w:val="21"/>
          <w:highlight w:val="none"/>
        </w:rPr>
        <w:t>3098.2-2015中规定的8及以上，奥氏体不锈钢螺栓性能等级应达到</w:t>
      </w:r>
      <w:r>
        <w:rPr>
          <w:rFonts w:hint="eastAsia" w:ascii="宋体" w:hAnsi="宋体" w:eastAsia="宋体" w:cs="Times New Roman"/>
          <w:color w:val="auto"/>
          <w:position w:val="0"/>
          <w:sz w:val="21"/>
          <w:szCs w:val="21"/>
          <w:highlight w:val="none"/>
        </w:rPr>
        <w:t>GB</w:t>
      </w:r>
      <w:r>
        <w:rPr>
          <w:rFonts w:hint="eastAsia" w:ascii="宋体" w:hAnsi="宋体" w:eastAsia="宋体" w:cs="Times New Roman"/>
          <w:color w:val="auto"/>
          <w:spacing w:val="0"/>
          <w:position w:val="0"/>
          <w:sz w:val="21"/>
          <w:szCs w:val="21"/>
          <w:highlight w:val="none"/>
        </w:rPr>
        <w:t>/T 3098.6中规定的70</w:t>
      </w:r>
      <w:r>
        <w:rPr>
          <w:rFonts w:hint="eastAsia" w:ascii="宋体" w:hAnsi="宋体" w:eastAsia="宋体" w:cs="Times New Roman"/>
          <w:color w:val="auto"/>
          <w:spacing w:val="0"/>
          <w:sz w:val="21"/>
          <w:szCs w:val="21"/>
          <w:highlight w:val="none"/>
        </w:rPr>
        <w:t>及以上，奥氏体不锈钢螺母性能等级应达到</w:t>
      </w:r>
      <w:r>
        <w:rPr>
          <w:rFonts w:hint="eastAsia" w:ascii="宋体" w:hAnsi="宋体" w:eastAsia="宋体" w:cs="Times New Roman"/>
          <w:color w:val="auto"/>
          <w:sz w:val="21"/>
          <w:szCs w:val="21"/>
          <w:highlight w:val="none"/>
        </w:rPr>
        <w:t>GB</w:t>
      </w:r>
      <w:r>
        <w:rPr>
          <w:rFonts w:hint="eastAsia" w:ascii="宋体" w:hAnsi="宋体" w:eastAsia="宋体" w:cs="Times New Roman"/>
          <w:color w:val="auto"/>
          <w:spacing w:val="0"/>
          <w:sz w:val="21"/>
          <w:szCs w:val="21"/>
          <w:highlight w:val="none"/>
        </w:rPr>
        <w:t>/T 3098.15中规定的70及以上。</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pacing w:val="0"/>
          <w:sz w:val="21"/>
          <w:szCs w:val="21"/>
          <w:highlight w:val="none"/>
          <w:lang w:val="en-US" w:eastAsia="zh-CN"/>
        </w:rPr>
        <w:t>4.</w:t>
      </w:r>
      <w:r>
        <w:rPr>
          <w:rFonts w:hint="eastAsia" w:ascii="宋体" w:hAnsi="宋体" w:eastAsia="宋体" w:cs="Times New Roman"/>
          <w:color w:val="auto"/>
          <w:spacing w:val="0"/>
          <w:sz w:val="21"/>
          <w:szCs w:val="21"/>
          <w:highlight w:val="none"/>
        </w:rPr>
        <w:t>涂层</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pacing w:val="0"/>
          <w:sz w:val="21"/>
          <w:szCs w:val="21"/>
          <w:highlight w:val="none"/>
        </w:rPr>
        <w:t>抢修</w:t>
      </w:r>
      <w:r>
        <w:rPr>
          <w:rFonts w:hint="eastAsia" w:ascii="宋体" w:hAnsi="宋体" w:eastAsia="宋体" w:cs="Times New Roman"/>
          <w:color w:val="auto"/>
          <w:spacing w:val="0"/>
          <w:sz w:val="21"/>
          <w:szCs w:val="21"/>
          <w:highlight w:val="none"/>
          <w:lang w:val="en-US" w:eastAsia="zh-CN"/>
        </w:rPr>
        <w:t>器</w:t>
      </w:r>
      <w:r>
        <w:rPr>
          <w:rFonts w:hint="eastAsia" w:ascii="宋体" w:hAnsi="宋体" w:eastAsia="宋体" w:cs="Times New Roman"/>
          <w:color w:val="auto"/>
          <w:spacing w:val="0"/>
          <w:sz w:val="21"/>
          <w:szCs w:val="21"/>
          <w:highlight w:val="none"/>
        </w:rPr>
        <w:t>本体为铸铁时，表面应使用涂层。产品内外涂覆采用环氧树脂粉末静电喷涂，涂层厚度分布应均匀（包括内层和外层），低于 150 微米的数值为不合格（边缘除外）。附着力应良好，且用附着力拉开法试验时（</w:t>
      </w:r>
      <w:r>
        <w:rPr>
          <w:rFonts w:hint="eastAsia" w:ascii="宋体" w:hAnsi="宋体" w:eastAsia="宋体" w:cs="Times New Roman"/>
          <w:color w:val="auto"/>
          <w:sz w:val="21"/>
          <w:szCs w:val="21"/>
          <w:highlight w:val="none"/>
        </w:rPr>
        <w:t>ISO</w:t>
      </w:r>
      <w:r>
        <w:rPr>
          <w:rFonts w:hint="eastAsia" w:ascii="宋体" w:hAnsi="宋体" w:eastAsia="宋体" w:cs="Times New Roman"/>
          <w:color w:val="auto"/>
          <w:spacing w:val="0"/>
          <w:sz w:val="21"/>
          <w:szCs w:val="21"/>
          <w:highlight w:val="none"/>
        </w:rPr>
        <w:t xml:space="preserve"> 16276-1:2007），测量值应高于 8 </w:t>
      </w:r>
      <w:r>
        <w:rPr>
          <w:rFonts w:hint="eastAsia" w:ascii="宋体" w:hAnsi="宋体" w:eastAsia="宋体" w:cs="Times New Roman"/>
          <w:color w:val="auto"/>
          <w:sz w:val="21"/>
          <w:szCs w:val="21"/>
          <w:highlight w:val="none"/>
        </w:rPr>
        <w:t>MPa</w:t>
      </w:r>
      <w:r>
        <w:rPr>
          <w:rFonts w:hint="eastAsia" w:ascii="宋体" w:hAnsi="宋体" w:eastAsia="宋体" w:cs="Times New Roman"/>
          <w:color w:val="auto"/>
          <w:spacing w:val="0"/>
          <w:sz w:val="21"/>
          <w:szCs w:val="21"/>
          <w:highlight w:val="none"/>
        </w:rPr>
        <w:t>。在用针孔电火花检测仪检验（检测电压 1.2</w:t>
      </w:r>
      <w:r>
        <w:rPr>
          <w:rFonts w:hint="eastAsia" w:ascii="宋体" w:hAnsi="宋体" w:eastAsia="宋体" w:cs="Times New Roman"/>
          <w:color w:val="auto"/>
          <w:sz w:val="21"/>
          <w:szCs w:val="21"/>
          <w:highlight w:val="none"/>
        </w:rPr>
        <w:t>kV</w:t>
      </w:r>
      <w:r>
        <w:rPr>
          <w:rFonts w:hint="eastAsia" w:ascii="宋体" w:hAnsi="宋体" w:eastAsia="宋体" w:cs="Times New Roman"/>
          <w:color w:val="auto"/>
          <w:spacing w:val="0"/>
          <w:sz w:val="21"/>
          <w:szCs w:val="21"/>
          <w:highlight w:val="none"/>
        </w:rPr>
        <w:t>）时，不能有任何空隙或小孔。</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pacing w:val="0"/>
          <w:sz w:val="21"/>
          <w:szCs w:val="21"/>
          <w:highlight w:val="none"/>
          <w:lang w:val="en-US" w:eastAsia="zh-CN"/>
        </w:rPr>
        <w:t>5</w:t>
      </w:r>
      <w:r>
        <w:rPr>
          <w:rFonts w:hint="eastAsia" w:ascii="宋体" w:hAnsi="宋体" w:eastAsia="宋体" w:cs="Times New Roman"/>
          <w:color w:val="auto"/>
          <w:spacing w:val="0"/>
          <w:sz w:val="21"/>
          <w:szCs w:val="21"/>
          <w:highlight w:val="none"/>
        </w:rPr>
        <w:t>.标志</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pacing w:val="0"/>
          <w:sz w:val="21"/>
          <w:szCs w:val="21"/>
          <w:highlight w:val="none"/>
        </w:rPr>
        <w:t>每套抢修器必须具有清晰永久性标志：制造厂名或商标、公称尺寸、原材料名称。</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pacing w:val="0"/>
          <w:sz w:val="21"/>
          <w:szCs w:val="21"/>
          <w:highlight w:val="none"/>
          <w:lang w:val="en-US" w:eastAsia="zh-CN"/>
        </w:rPr>
        <w:t>6</w:t>
      </w:r>
      <w:r>
        <w:rPr>
          <w:rFonts w:hint="eastAsia" w:ascii="宋体" w:hAnsi="宋体" w:eastAsia="宋体" w:cs="Times New Roman"/>
          <w:color w:val="auto"/>
          <w:spacing w:val="0"/>
          <w:sz w:val="21"/>
          <w:szCs w:val="21"/>
          <w:highlight w:val="none"/>
        </w:rPr>
        <w:t>.外观要求</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pacing w:val="0"/>
          <w:sz w:val="21"/>
          <w:szCs w:val="21"/>
          <w:highlight w:val="none"/>
        </w:rPr>
        <w:t>（1）抢修器出炉后要求退火消除应力，外表面应光洁，花纹、标记及字标清晰无缺损，</w:t>
      </w:r>
      <w:r>
        <w:rPr>
          <w:rFonts w:hint="eastAsia" w:ascii="宋体" w:hAnsi="宋体" w:eastAsia="宋体" w:cs="Times New Roman"/>
          <w:color w:val="auto"/>
          <w:sz w:val="21"/>
          <w:szCs w:val="21"/>
          <w:highlight w:val="none"/>
        </w:rPr>
        <w:t xml:space="preserve"> </w:t>
      </w:r>
      <w:r>
        <w:rPr>
          <w:rFonts w:hint="eastAsia" w:ascii="宋体" w:hAnsi="宋体" w:eastAsia="宋体" w:cs="Times New Roman"/>
          <w:color w:val="auto"/>
          <w:spacing w:val="0"/>
          <w:sz w:val="21"/>
          <w:szCs w:val="21"/>
          <w:highlight w:val="none"/>
        </w:rPr>
        <w:t>无多余部分、无毛刺、无锋利边缘、无曲翘变形、无缩瘪、无龟裂，不得有裂纹或影响产品性能的冷隔、鼓包、砂眼等缺陷，不得补焊。</w:t>
      </w:r>
    </w:p>
    <w:p>
      <w:pPr>
        <w:spacing w:line="360" w:lineRule="auto"/>
        <w:ind w:firstLine="420" w:firstLineChars="200"/>
        <w:rPr>
          <w:rFonts w:hint="eastAsia" w:ascii="宋体" w:hAnsi="宋体" w:eastAsia="宋体" w:cs="Times New Roman"/>
          <w:color w:val="auto"/>
          <w:spacing w:val="0"/>
          <w:position w:val="0"/>
          <w:sz w:val="21"/>
          <w:szCs w:val="21"/>
          <w:highlight w:val="none"/>
        </w:rPr>
      </w:pPr>
      <w:r>
        <w:rPr>
          <w:rFonts w:hint="eastAsia" w:ascii="宋体" w:hAnsi="宋体" w:eastAsia="宋体" w:cs="Times New Roman"/>
          <w:color w:val="auto"/>
          <w:spacing w:val="0"/>
          <w:position w:val="0"/>
          <w:sz w:val="21"/>
          <w:szCs w:val="21"/>
          <w:highlight w:val="none"/>
        </w:rPr>
        <w:t>（2）外表面必须经过喷涂防锈环氧树脂防锈处理。内表面必须喷涂无毒性环氧树脂。</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pacing w:val="0"/>
          <w:sz w:val="21"/>
          <w:szCs w:val="21"/>
          <w:highlight w:val="none"/>
        </w:rPr>
        <w:t>6.参考样式</w:t>
      </w:r>
    </w:p>
    <w:p>
      <w:pPr>
        <w:pStyle w:val="18"/>
        <w:snapToGrid w:val="0"/>
        <w:spacing w:before="0" w:line="240" w:lineRule="auto"/>
        <w:ind w:left="0" w:right="0" w:firstLine="0" w:firstLineChars="0"/>
        <w:jc w:val="both"/>
        <w:rPr>
          <w:color w:val="auto"/>
          <w:spacing w:val="7"/>
          <w:sz w:val="20"/>
          <w:szCs w:val="20"/>
          <w:highlight w:val="none"/>
        </w:rPr>
      </w:pPr>
      <w:r>
        <w:rPr>
          <w:color w:val="auto"/>
          <w:position w:val="-57"/>
          <w:highlight w:val="none"/>
        </w:rPr>
        <w:drawing>
          <wp:anchor distT="0" distB="0" distL="0" distR="0" simplePos="0" relativeHeight="251666432" behindDoc="0" locked="0" layoutInCell="1" allowOverlap="1">
            <wp:simplePos x="0" y="0"/>
            <wp:positionH relativeFrom="column">
              <wp:posOffset>3414395</wp:posOffset>
            </wp:positionH>
            <wp:positionV relativeFrom="paragraph">
              <wp:posOffset>546735</wp:posOffset>
            </wp:positionV>
            <wp:extent cx="2564765" cy="1822450"/>
            <wp:effectExtent l="0" t="0" r="6985" b="6350"/>
            <wp:wrapTopAndBottom/>
            <wp:docPr id="10" name="IM 4"/>
            <wp:cNvGraphicFramePr/>
            <a:graphic xmlns:a="http://schemas.openxmlformats.org/drawingml/2006/main">
              <a:graphicData uri="http://schemas.openxmlformats.org/drawingml/2006/picture">
                <pic:pic xmlns:pic="http://schemas.openxmlformats.org/drawingml/2006/picture">
                  <pic:nvPicPr>
                    <pic:cNvPr id="10" name="IM 4"/>
                    <pic:cNvPicPr/>
                  </pic:nvPicPr>
                  <pic:blipFill>
                    <a:blip r:embed="rId9"/>
                    <a:stretch>
                      <a:fillRect/>
                    </a:stretch>
                  </pic:blipFill>
                  <pic:spPr>
                    <a:xfrm>
                      <a:off x="0" y="0"/>
                      <a:ext cx="2564765" cy="1822450"/>
                    </a:xfrm>
                    <a:prstGeom prst="rect">
                      <a:avLst/>
                    </a:prstGeom>
                  </pic:spPr>
                </pic:pic>
              </a:graphicData>
            </a:graphic>
          </wp:anchor>
        </w:drawing>
      </w:r>
      <w:r>
        <w:rPr>
          <w:rFonts w:hint="eastAsia"/>
          <w:color w:val="auto"/>
          <w:highlight w:val="none"/>
          <w:lang w:val="en-US" w:eastAsia="zh-CN"/>
        </w:rPr>
        <w:t xml:space="preserve">   </w:t>
      </w:r>
    </w:p>
    <w:p>
      <w:pPr>
        <w:pStyle w:val="18"/>
        <w:numPr>
          <w:ilvl w:val="0"/>
          <w:numId w:val="0"/>
        </w:numPr>
        <w:spacing w:before="32" w:line="228" w:lineRule="auto"/>
        <w:ind w:left="0" w:firstLine="0" w:firstLineChars="0"/>
        <w:jc w:val="both"/>
        <w:rPr>
          <w:color w:val="auto"/>
          <w:spacing w:val="6"/>
          <w:sz w:val="20"/>
          <w:szCs w:val="20"/>
          <w:highlight w:val="none"/>
        </w:rPr>
      </w:pPr>
      <w:r>
        <w:rPr>
          <w:color w:val="auto"/>
          <w:highlight w:val="none"/>
        </w:rPr>
        <w:drawing>
          <wp:anchor distT="0" distB="0" distL="0" distR="0" simplePos="0" relativeHeight="251667456" behindDoc="0" locked="0" layoutInCell="1" allowOverlap="1">
            <wp:simplePos x="0" y="0"/>
            <wp:positionH relativeFrom="column">
              <wp:posOffset>359410</wp:posOffset>
            </wp:positionH>
            <wp:positionV relativeFrom="paragraph">
              <wp:posOffset>94615</wp:posOffset>
            </wp:positionV>
            <wp:extent cx="2160905" cy="1862455"/>
            <wp:effectExtent l="0" t="0" r="10795" b="4445"/>
            <wp:wrapTopAndBottom/>
            <wp:docPr id="9" name="IM 2"/>
            <wp:cNvGraphicFramePr/>
            <a:graphic xmlns:a="http://schemas.openxmlformats.org/drawingml/2006/main">
              <a:graphicData uri="http://schemas.openxmlformats.org/drawingml/2006/picture">
                <pic:pic xmlns:pic="http://schemas.openxmlformats.org/drawingml/2006/picture">
                  <pic:nvPicPr>
                    <pic:cNvPr id="9" name="IM 2"/>
                    <pic:cNvPicPr/>
                  </pic:nvPicPr>
                  <pic:blipFill>
                    <a:blip r:embed="rId10"/>
                    <a:stretch>
                      <a:fillRect/>
                    </a:stretch>
                  </pic:blipFill>
                  <pic:spPr>
                    <a:xfrm>
                      <a:off x="0" y="0"/>
                      <a:ext cx="2160905" cy="1862455"/>
                    </a:xfrm>
                    <a:prstGeom prst="rect">
                      <a:avLst/>
                    </a:prstGeom>
                  </pic:spPr>
                </pic:pic>
              </a:graphicData>
            </a:graphic>
          </wp:anchor>
        </w:drawing>
      </w:r>
      <w:r>
        <w:rPr>
          <w:rFonts w:ascii="宋体" w:eastAsia="宋体" w:hAnsiTheme="minorHAnsi" w:cstheme="minorBidi"/>
          <w:b/>
          <w:bCs/>
          <w:color w:val="auto"/>
          <w:spacing w:val="6"/>
          <w:kern w:val="2"/>
          <w:sz w:val="20"/>
          <w:szCs w:val="20"/>
          <w:highlight w:val="none"/>
          <w:lang w:val="zh-CN" w:eastAsia="zh-CN" w:bidi="ar-SA"/>
        </w:rPr>
        <w:t>（1）</w:t>
      </w:r>
      <w:r>
        <w:rPr>
          <w:color w:val="auto"/>
          <w:spacing w:val="7"/>
          <w:sz w:val="20"/>
          <w:szCs w:val="20"/>
          <w:highlight w:val="none"/>
        </w:rPr>
        <w:t>承插(大头)修补器</w:t>
      </w:r>
      <w:r>
        <w:rPr>
          <w:rFonts w:hint="eastAsia"/>
          <w:color w:val="auto"/>
          <w:spacing w:val="7"/>
          <w:sz w:val="20"/>
          <w:szCs w:val="20"/>
          <w:highlight w:val="none"/>
          <w:lang w:val="en-US" w:eastAsia="zh-CN"/>
        </w:rPr>
        <w:t>（</w:t>
      </w:r>
      <w:r>
        <w:rPr>
          <w:color w:val="auto"/>
          <w:spacing w:val="7"/>
          <w:sz w:val="20"/>
          <w:szCs w:val="20"/>
          <w:highlight w:val="none"/>
        </w:rPr>
        <w:t>承插(大头)</w:t>
      </w:r>
      <w:r>
        <w:rPr>
          <w:rFonts w:hint="eastAsia"/>
          <w:color w:val="auto"/>
          <w:spacing w:val="7"/>
          <w:sz w:val="20"/>
          <w:szCs w:val="20"/>
          <w:highlight w:val="none"/>
          <w:lang w:val="en-US" w:eastAsia="zh-CN"/>
        </w:rPr>
        <w:t>抢修</w:t>
      </w:r>
      <w:r>
        <w:rPr>
          <w:color w:val="auto"/>
          <w:spacing w:val="7"/>
          <w:sz w:val="20"/>
          <w:szCs w:val="20"/>
          <w:highlight w:val="none"/>
        </w:rPr>
        <w:t>器</w:t>
      </w:r>
      <w:r>
        <w:rPr>
          <w:rFonts w:hint="eastAsia"/>
          <w:color w:val="auto"/>
          <w:spacing w:val="6"/>
          <w:sz w:val="20"/>
          <w:szCs w:val="20"/>
          <w:highlight w:val="none"/>
          <w:lang w:val="en-US" w:eastAsia="zh-CN"/>
        </w:rPr>
        <w:t>）</w:t>
      </w:r>
      <w:r>
        <w:rPr>
          <w:color w:val="auto"/>
          <w:spacing w:val="6"/>
          <w:sz w:val="20"/>
          <w:szCs w:val="20"/>
          <w:highlight w:val="none"/>
        </w:rPr>
        <w:t xml:space="preserve">  </w:t>
      </w:r>
      <w:r>
        <w:rPr>
          <w:rFonts w:hint="eastAsia"/>
          <w:color w:val="auto"/>
          <w:spacing w:val="6"/>
          <w:sz w:val="20"/>
          <w:szCs w:val="20"/>
          <w:highlight w:val="none"/>
          <w:lang w:val="en-US" w:eastAsia="zh-CN"/>
        </w:rPr>
        <w:t xml:space="preserve">    </w:t>
      </w:r>
      <w:r>
        <w:rPr>
          <w:color w:val="auto"/>
          <w:spacing w:val="6"/>
          <w:sz w:val="20"/>
          <w:szCs w:val="20"/>
          <w:highlight w:val="none"/>
        </w:rPr>
        <w:t xml:space="preserve"> （2）直管(直身)修补器</w:t>
      </w:r>
      <w:r>
        <w:rPr>
          <w:rFonts w:hint="eastAsia"/>
          <w:color w:val="auto"/>
          <w:spacing w:val="7"/>
          <w:sz w:val="20"/>
          <w:szCs w:val="20"/>
          <w:highlight w:val="none"/>
          <w:lang w:val="en-US" w:eastAsia="zh-CN"/>
        </w:rPr>
        <w:t>（</w:t>
      </w:r>
      <w:r>
        <w:rPr>
          <w:color w:val="auto"/>
          <w:spacing w:val="6"/>
          <w:sz w:val="20"/>
          <w:szCs w:val="20"/>
          <w:highlight w:val="none"/>
        </w:rPr>
        <w:t>直管(直身)</w:t>
      </w:r>
      <w:r>
        <w:rPr>
          <w:rFonts w:hint="eastAsia"/>
          <w:color w:val="auto"/>
          <w:spacing w:val="7"/>
          <w:sz w:val="20"/>
          <w:szCs w:val="20"/>
          <w:highlight w:val="none"/>
          <w:lang w:val="en-US" w:eastAsia="zh-CN"/>
        </w:rPr>
        <w:t>抢修</w:t>
      </w:r>
      <w:r>
        <w:rPr>
          <w:color w:val="auto"/>
          <w:spacing w:val="7"/>
          <w:sz w:val="20"/>
          <w:szCs w:val="20"/>
          <w:highlight w:val="none"/>
        </w:rPr>
        <w:t>器</w:t>
      </w:r>
      <w:r>
        <w:rPr>
          <w:rFonts w:hint="eastAsia"/>
          <w:color w:val="auto"/>
          <w:spacing w:val="6"/>
          <w:sz w:val="20"/>
          <w:szCs w:val="20"/>
          <w:highlight w:val="none"/>
          <w:lang w:val="en-US" w:eastAsia="zh-CN"/>
        </w:rPr>
        <w:t>）</w:t>
      </w:r>
    </w:p>
    <w:p>
      <w:pPr>
        <w:pStyle w:val="18"/>
        <w:spacing w:before="32" w:line="228" w:lineRule="auto"/>
        <w:ind w:left="0" w:firstLine="0" w:firstLineChars="0"/>
        <w:jc w:val="both"/>
        <w:rPr>
          <w:color w:val="auto"/>
          <w:spacing w:val="7"/>
          <w:sz w:val="20"/>
          <w:szCs w:val="20"/>
          <w:highlight w:val="none"/>
        </w:rPr>
      </w:pPr>
    </w:p>
    <w:p>
      <w:pPr>
        <w:pStyle w:val="18"/>
        <w:numPr>
          <w:ilvl w:val="0"/>
          <w:numId w:val="0"/>
        </w:numPr>
        <w:spacing w:before="32" w:line="228" w:lineRule="auto"/>
        <w:ind w:left="0" w:firstLine="213" w:firstLineChars="100"/>
        <w:jc w:val="both"/>
        <w:rPr>
          <w:rFonts w:ascii="宋体" w:eastAsia="宋体" w:hAnsiTheme="minorHAnsi" w:cstheme="minorBidi"/>
          <w:b/>
          <w:bCs/>
          <w:color w:val="auto"/>
          <w:spacing w:val="6"/>
          <w:kern w:val="2"/>
          <w:sz w:val="20"/>
          <w:szCs w:val="20"/>
          <w:highlight w:val="none"/>
          <w:lang w:val="zh-CN" w:eastAsia="zh-CN" w:bidi="ar-SA"/>
        </w:rPr>
      </w:pPr>
    </w:p>
    <w:p>
      <w:pPr>
        <w:pStyle w:val="18"/>
        <w:numPr>
          <w:ilvl w:val="0"/>
          <w:numId w:val="0"/>
        </w:numPr>
        <w:spacing w:before="32" w:line="228" w:lineRule="auto"/>
        <w:ind w:left="0" w:firstLine="213" w:firstLineChars="100"/>
        <w:jc w:val="both"/>
        <w:rPr>
          <w:rFonts w:ascii="宋体" w:eastAsia="宋体" w:hAnsiTheme="minorHAnsi" w:cstheme="minorBidi"/>
          <w:b/>
          <w:bCs/>
          <w:color w:val="auto"/>
          <w:spacing w:val="6"/>
          <w:kern w:val="2"/>
          <w:sz w:val="20"/>
          <w:szCs w:val="20"/>
          <w:highlight w:val="none"/>
          <w:lang w:val="zh-CN" w:eastAsia="zh-CN" w:bidi="ar-SA"/>
        </w:rPr>
      </w:pPr>
    </w:p>
    <w:p>
      <w:pPr>
        <w:pStyle w:val="18"/>
        <w:numPr>
          <w:ilvl w:val="0"/>
          <w:numId w:val="0"/>
        </w:numPr>
        <w:snapToGrid w:val="0"/>
        <w:spacing w:before="0" w:line="240" w:lineRule="auto"/>
        <w:ind w:left="0" w:right="0" w:firstLine="0" w:firstLineChars="0"/>
        <w:jc w:val="both"/>
        <w:rPr>
          <w:rFonts w:hint="default" w:ascii="宋体" w:eastAsia="宋体" w:hAnsiTheme="minorHAnsi" w:cstheme="minorBidi"/>
          <w:b/>
          <w:bCs/>
          <w:color w:val="auto"/>
          <w:spacing w:val="6"/>
          <w:kern w:val="2"/>
          <w:sz w:val="20"/>
          <w:szCs w:val="20"/>
          <w:highlight w:val="none"/>
          <w:lang w:val="en-US" w:eastAsia="zh-CN" w:bidi="ar-SA"/>
        </w:rPr>
      </w:pPr>
      <w:r>
        <w:rPr>
          <w:color w:val="auto"/>
          <w:position w:val="-63"/>
          <w:highlight w:val="none"/>
        </w:rPr>
        <w:drawing>
          <wp:anchor distT="0" distB="0" distL="0" distR="0" simplePos="0" relativeHeight="251668480" behindDoc="0" locked="0" layoutInCell="1" allowOverlap="1">
            <wp:simplePos x="0" y="0"/>
            <wp:positionH relativeFrom="column">
              <wp:posOffset>263525</wp:posOffset>
            </wp:positionH>
            <wp:positionV relativeFrom="paragraph">
              <wp:posOffset>149860</wp:posOffset>
            </wp:positionV>
            <wp:extent cx="2202180" cy="1530350"/>
            <wp:effectExtent l="0" t="0" r="7620" b="12700"/>
            <wp:wrapTopAndBottom/>
            <wp:docPr id="11" name="IM 8"/>
            <wp:cNvGraphicFramePr/>
            <a:graphic xmlns:a="http://schemas.openxmlformats.org/drawingml/2006/main">
              <a:graphicData uri="http://schemas.openxmlformats.org/drawingml/2006/picture">
                <pic:pic xmlns:pic="http://schemas.openxmlformats.org/drawingml/2006/picture">
                  <pic:nvPicPr>
                    <pic:cNvPr id="11" name="IM 8"/>
                    <pic:cNvPicPr/>
                  </pic:nvPicPr>
                  <pic:blipFill>
                    <a:blip r:embed="rId11"/>
                    <a:stretch>
                      <a:fillRect/>
                    </a:stretch>
                  </pic:blipFill>
                  <pic:spPr>
                    <a:xfrm>
                      <a:off x="0" y="0"/>
                      <a:ext cx="2202180" cy="1530350"/>
                    </a:xfrm>
                    <a:prstGeom prst="rect">
                      <a:avLst/>
                    </a:prstGeom>
                  </pic:spPr>
                </pic:pic>
              </a:graphicData>
            </a:graphic>
          </wp:anchor>
        </w:drawing>
      </w:r>
      <w:r>
        <w:rPr>
          <w:color w:val="auto"/>
          <w:highlight w:val="none"/>
        </w:rPr>
        <w:drawing>
          <wp:anchor distT="0" distB="0" distL="0" distR="0" simplePos="0" relativeHeight="251669504" behindDoc="0" locked="0" layoutInCell="1" allowOverlap="1">
            <wp:simplePos x="0" y="0"/>
            <wp:positionH relativeFrom="column">
              <wp:posOffset>3806190</wp:posOffset>
            </wp:positionH>
            <wp:positionV relativeFrom="paragraph">
              <wp:posOffset>17780</wp:posOffset>
            </wp:positionV>
            <wp:extent cx="1671955" cy="1785620"/>
            <wp:effectExtent l="0" t="0" r="4445" b="5080"/>
            <wp:wrapTopAndBottom/>
            <wp:docPr id="13" name="IM 6"/>
            <wp:cNvGraphicFramePr/>
            <a:graphic xmlns:a="http://schemas.openxmlformats.org/drawingml/2006/main">
              <a:graphicData uri="http://schemas.openxmlformats.org/drawingml/2006/picture">
                <pic:pic xmlns:pic="http://schemas.openxmlformats.org/drawingml/2006/picture">
                  <pic:nvPicPr>
                    <pic:cNvPr id="13" name="IM 6"/>
                    <pic:cNvPicPr/>
                  </pic:nvPicPr>
                  <pic:blipFill>
                    <a:blip r:embed="rId12"/>
                    <a:stretch>
                      <a:fillRect/>
                    </a:stretch>
                  </pic:blipFill>
                  <pic:spPr>
                    <a:xfrm>
                      <a:off x="0" y="0"/>
                      <a:ext cx="1671955" cy="1785620"/>
                    </a:xfrm>
                    <a:prstGeom prst="rect">
                      <a:avLst/>
                    </a:prstGeom>
                  </pic:spPr>
                </pic:pic>
              </a:graphicData>
            </a:graphic>
          </wp:anchor>
        </w:drawing>
      </w:r>
      <w:r>
        <w:rPr>
          <w:rFonts w:hint="eastAsia"/>
          <w:color w:val="auto"/>
          <w:position w:val="-63"/>
          <w:highlight w:val="none"/>
          <w:lang w:val="en-US" w:eastAsia="zh-CN"/>
        </w:rPr>
        <w:t xml:space="preserve">   </w:t>
      </w:r>
    </w:p>
    <w:p>
      <w:pPr>
        <w:pStyle w:val="18"/>
        <w:spacing w:before="305" w:line="228" w:lineRule="auto"/>
        <w:ind w:left="0" w:firstLine="213" w:firstLineChars="100"/>
        <w:jc w:val="both"/>
        <w:rPr>
          <w:color w:val="auto"/>
          <w:spacing w:val="6"/>
          <w:sz w:val="20"/>
          <w:szCs w:val="20"/>
          <w:highlight w:val="none"/>
        </w:rPr>
      </w:pPr>
    </w:p>
    <w:p>
      <w:pPr>
        <w:pStyle w:val="18"/>
        <w:spacing w:before="305" w:line="228" w:lineRule="auto"/>
        <w:ind w:left="0" w:firstLine="638" w:firstLineChars="300"/>
        <w:jc w:val="both"/>
        <w:rPr>
          <w:color w:val="auto"/>
          <w:sz w:val="20"/>
          <w:szCs w:val="20"/>
          <w:highlight w:val="none"/>
        </w:rPr>
      </w:pPr>
      <w:r>
        <w:rPr>
          <w:color w:val="auto"/>
          <w:spacing w:val="6"/>
          <w:sz w:val="20"/>
          <w:szCs w:val="20"/>
          <w:highlight w:val="none"/>
        </w:rPr>
        <w:t>（3）三通修补器</w:t>
      </w:r>
      <w:r>
        <w:rPr>
          <w:rFonts w:hint="eastAsia"/>
          <w:color w:val="auto"/>
          <w:spacing w:val="6"/>
          <w:sz w:val="20"/>
          <w:szCs w:val="20"/>
          <w:highlight w:val="none"/>
          <w:lang w:eastAsia="zh-CN"/>
        </w:rPr>
        <w:t>（</w:t>
      </w:r>
      <w:r>
        <w:rPr>
          <w:color w:val="auto"/>
          <w:spacing w:val="6"/>
          <w:sz w:val="20"/>
          <w:szCs w:val="20"/>
          <w:highlight w:val="none"/>
        </w:rPr>
        <w:t>三通</w:t>
      </w:r>
      <w:r>
        <w:rPr>
          <w:rFonts w:hint="eastAsia"/>
          <w:color w:val="auto"/>
          <w:spacing w:val="6"/>
          <w:sz w:val="20"/>
          <w:szCs w:val="20"/>
          <w:highlight w:val="none"/>
          <w:lang w:val="en-US" w:eastAsia="zh-CN"/>
        </w:rPr>
        <w:t>抢修器</w:t>
      </w:r>
      <w:r>
        <w:rPr>
          <w:rFonts w:hint="eastAsia"/>
          <w:color w:val="auto"/>
          <w:spacing w:val="6"/>
          <w:sz w:val="20"/>
          <w:szCs w:val="20"/>
          <w:highlight w:val="none"/>
          <w:lang w:eastAsia="zh-CN"/>
        </w:rPr>
        <w:t>）</w:t>
      </w:r>
      <w:r>
        <w:rPr>
          <w:color w:val="auto"/>
          <w:spacing w:val="6"/>
          <w:sz w:val="20"/>
          <w:szCs w:val="20"/>
          <w:highlight w:val="none"/>
        </w:rPr>
        <w:t xml:space="preserve">            </w:t>
      </w:r>
      <w:r>
        <w:rPr>
          <w:rFonts w:hint="eastAsia"/>
          <w:color w:val="auto"/>
          <w:spacing w:val="6"/>
          <w:sz w:val="20"/>
          <w:szCs w:val="20"/>
          <w:highlight w:val="none"/>
          <w:lang w:val="en-US" w:eastAsia="zh-CN"/>
        </w:rPr>
        <w:t xml:space="preserve">      </w:t>
      </w:r>
      <w:r>
        <w:rPr>
          <w:color w:val="auto"/>
          <w:spacing w:val="6"/>
          <w:sz w:val="20"/>
          <w:szCs w:val="20"/>
          <w:highlight w:val="none"/>
        </w:rPr>
        <w:t>（4）弯头修补器</w:t>
      </w:r>
      <w:r>
        <w:rPr>
          <w:rFonts w:hint="eastAsia"/>
          <w:color w:val="auto"/>
          <w:spacing w:val="6"/>
          <w:sz w:val="20"/>
          <w:szCs w:val="20"/>
          <w:highlight w:val="none"/>
          <w:lang w:eastAsia="zh-CN"/>
        </w:rPr>
        <w:t>（</w:t>
      </w:r>
      <w:r>
        <w:rPr>
          <w:color w:val="auto"/>
          <w:spacing w:val="6"/>
          <w:sz w:val="20"/>
          <w:szCs w:val="20"/>
          <w:highlight w:val="none"/>
        </w:rPr>
        <w:t>弯头</w:t>
      </w:r>
      <w:r>
        <w:rPr>
          <w:rFonts w:hint="eastAsia"/>
          <w:color w:val="auto"/>
          <w:spacing w:val="6"/>
          <w:sz w:val="20"/>
          <w:szCs w:val="20"/>
          <w:highlight w:val="none"/>
          <w:lang w:val="en-US" w:eastAsia="zh-CN"/>
        </w:rPr>
        <w:t>抢修器</w:t>
      </w:r>
      <w:r>
        <w:rPr>
          <w:rFonts w:hint="eastAsia"/>
          <w:color w:val="auto"/>
          <w:spacing w:val="6"/>
          <w:sz w:val="20"/>
          <w:szCs w:val="20"/>
          <w:highlight w:val="none"/>
          <w:lang w:eastAsia="zh-CN"/>
        </w:rPr>
        <w:t>）</w:t>
      </w:r>
      <w:r>
        <w:rPr>
          <w:color w:val="auto"/>
          <w:spacing w:val="6"/>
          <w:sz w:val="20"/>
          <w:szCs w:val="20"/>
          <w:highlight w:val="none"/>
        </w:rPr>
        <w:t xml:space="preserve"> </w:t>
      </w:r>
    </w:p>
    <w:p>
      <w:pPr>
        <w:pStyle w:val="18"/>
        <w:spacing w:before="27" w:line="228" w:lineRule="auto"/>
        <w:ind w:left="470"/>
        <w:outlineLvl w:val="0"/>
        <w:rPr>
          <w:color w:val="auto"/>
          <w:spacing w:val="5"/>
          <w:sz w:val="20"/>
          <w:szCs w:val="20"/>
          <w:highlight w:val="none"/>
          <w14:textOutline w14:w="3795" w14:cap="sq" w14:cmpd="sng">
            <w14:solidFill>
              <w14:srgbClr w14:val="000000"/>
            </w14:solidFill>
            <w14:prstDash w14:val="solid"/>
            <w14:bevel/>
          </w14:textOutline>
        </w:rPr>
      </w:pPr>
    </w:p>
    <w:p>
      <w:pPr>
        <w:pStyle w:val="18"/>
        <w:spacing w:before="0" w:line="360" w:lineRule="auto"/>
        <w:ind w:left="0" w:firstLine="422" w:firstLineChars="200"/>
        <w:jc w:val="left"/>
        <w:outlineLvl w:val="9"/>
        <w:rPr>
          <w:color w:val="auto"/>
          <w:spacing w:val="5"/>
          <w:sz w:val="20"/>
          <w:szCs w:val="20"/>
          <w:highlight w:val="none"/>
          <w14:textOutline w14:w="3795" w14:cap="sq" w14:cmpd="sng">
            <w14:solidFill>
              <w14:srgbClr w14:val="000000"/>
            </w14:solidFill>
            <w14:prstDash w14:val="solid"/>
            <w14:bevel/>
          </w14:textOutline>
        </w:rPr>
      </w:pPr>
    </w:p>
    <w:p>
      <w:pPr>
        <w:pStyle w:val="3"/>
        <w:numPr>
          <w:ilvl w:val="0"/>
          <w:numId w:val="0"/>
        </w:numPr>
        <w:tabs>
          <w:tab w:val="left" w:pos="542"/>
        </w:tabs>
        <w:spacing w:line="360" w:lineRule="auto"/>
        <w:rPr>
          <w:rFonts w:hint="eastAsia" w:ascii="宋体" w:hAnsi="宋体" w:eastAsia="宋体" w:cs="宋体"/>
          <w:b/>
          <w:bCs/>
          <w:color w:val="auto"/>
          <w:sz w:val="21"/>
          <w:szCs w:val="21"/>
          <w:highlight w:val="none"/>
        </w:rPr>
      </w:pPr>
      <w:bookmarkStart w:id="513" w:name="_Toc23652"/>
      <w:bookmarkStart w:id="514" w:name="_Toc27879"/>
      <w:bookmarkStart w:id="515" w:name="_Toc16455"/>
      <w:r>
        <w:rPr>
          <w:rFonts w:hint="eastAsia" w:ascii="宋体" w:hAnsi="宋体" w:eastAsia="宋体" w:cs="宋体"/>
          <w:b/>
          <w:bCs/>
          <w:color w:val="auto"/>
          <w:spacing w:val="0"/>
          <w:sz w:val="21"/>
          <w:szCs w:val="21"/>
          <w:highlight w:val="none"/>
        </w:rPr>
        <w:t>四、其他要求</w:t>
      </w:r>
      <w:bookmarkEnd w:id="513"/>
      <w:bookmarkEnd w:id="514"/>
      <w:bookmarkEnd w:id="515"/>
    </w:p>
    <w:p>
      <w:pPr>
        <w:autoSpaceDE/>
        <w:autoSpaceDN/>
        <w:snapToGrid w:val="0"/>
        <w:spacing w:line="360" w:lineRule="auto"/>
        <w:ind w:firstLine="420" w:firstLineChars="200"/>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pacing w:val="0"/>
          <w:sz w:val="21"/>
          <w:szCs w:val="21"/>
          <w:highlight w:val="none"/>
        </w:rPr>
        <w:t>1.标志和产品质量证明书</w:t>
      </w:r>
    </w:p>
    <w:p>
      <w:pPr>
        <w:adjustRightInd w:val="0"/>
        <w:snapToGrid w:val="0"/>
        <w:spacing w:line="360" w:lineRule="auto"/>
        <w:ind w:firstLine="420" w:firstLineChars="200"/>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pacing w:val="0"/>
          <w:position w:val="0"/>
          <w:sz w:val="21"/>
          <w:szCs w:val="21"/>
          <w:highlight w:val="none"/>
        </w:rPr>
        <w:t>出厂前厂家应提交抢修器成品的合格证书，合格证书内容包括但不限于：制造厂名</w:t>
      </w:r>
      <w:r>
        <w:rPr>
          <w:rFonts w:hint="eastAsia" w:ascii="宋体" w:hAnsi="宋体" w:eastAsia="宋体" w:cs="Times New Roman"/>
          <w:b w:val="0"/>
          <w:bCs w:val="0"/>
          <w:color w:val="auto"/>
          <w:spacing w:val="0"/>
          <w:sz w:val="21"/>
          <w:szCs w:val="21"/>
          <w:highlight w:val="none"/>
        </w:rPr>
        <w:t>及生产日期；产品规格、产品编号；</w:t>
      </w:r>
    </w:p>
    <w:p>
      <w:pPr>
        <w:spacing w:line="360" w:lineRule="auto"/>
        <w:ind w:firstLine="420" w:firstLineChars="200"/>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pacing w:val="0"/>
          <w:sz w:val="21"/>
          <w:szCs w:val="21"/>
          <w:highlight w:val="none"/>
        </w:rPr>
        <w:t>2.运输、包装</w:t>
      </w:r>
    </w:p>
    <w:p>
      <w:pPr>
        <w:spacing w:line="360" w:lineRule="auto"/>
        <w:ind w:firstLine="420" w:firstLineChars="200"/>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pacing w:val="0"/>
          <w:sz w:val="21"/>
          <w:szCs w:val="21"/>
          <w:highlight w:val="none"/>
        </w:rPr>
        <w:t>抢修器包装、运输过程应做好保护措施，并保证按质、按量、按时安全送达</w:t>
      </w:r>
      <w:r>
        <w:rPr>
          <w:rFonts w:hint="eastAsia" w:ascii="宋体" w:hAnsi="宋体" w:eastAsia="宋体" w:cs="Times New Roman"/>
          <w:b w:val="0"/>
          <w:bCs w:val="0"/>
          <w:color w:val="auto"/>
          <w:spacing w:val="0"/>
          <w:sz w:val="21"/>
          <w:szCs w:val="21"/>
          <w:highlight w:val="none"/>
          <w:lang w:val="en-US" w:eastAsia="zh-CN"/>
        </w:rPr>
        <w:t>东莞市范围内招标人指定</w:t>
      </w:r>
      <w:r>
        <w:rPr>
          <w:rFonts w:hint="eastAsia" w:ascii="宋体" w:hAnsi="宋体" w:eastAsia="宋体" w:cs="Times New Roman"/>
          <w:b w:val="0"/>
          <w:bCs w:val="0"/>
          <w:color w:val="auto"/>
          <w:spacing w:val="0"/>
          <w:sz w:val="21"/>
          <w:szCs w:val="21"/>
          <w:highlight w:val="none"/>
        </w:rPr>
        <w:t>地点。</w:t>
      </w:r>
    </w:p>
    <w:p>
      <w:pPr>
        <w:spacing w:line="360" w:lineRule="auto"/>
        <w:ind w:firstLine="420" w:firstLineChars="200"/>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pacing w:val="0"/>
          <w:sz w:val="21"/>
          <w:szCs w:val="21"/>
          <w:highlight w:val="none"/>
        </w:rPr>
        <w:t>3.质量保证及承诺</w:t>
      </w:r>
    </w:p>
    <w:p>
      <w:pPr>
        <w:spacing w:line="360" w:lineRule="auto"/>
        <w:ind w:firstLine="420" w:firstLineChars="200"/>
        <w:rPr>
          <w:rFonts w:hint="eastAsia" w:ascii="宋体" w:hAnsi="宋体" w:eastAsia="宋体" w:cs="Times New Roman"/>
          <w:b w:val="0"/>
          <w:bCs w:val="0"/>
          <w:color w:val="auto"/>
          <w:spacing w:val="0"/>
          <w:sz w:val="21"/>
          <w:szCs w:val="21"/>
          <w:highlight w:val="none"/>
        </w:rPr>
      </w:pPr>
      <w:r>
        <w:rPr>
          <w:rFonts w:hint="eastAsia" w:ascii="宋体" w:hAnsi="宋体" w:eastAsia="宋体" w:cs="Times New Roman"/>
          <w:b w:val="0"/>
          <w:bCs w:val="0"/>
          <w:color w:val="auto"/>
          <w:spacing w:val="0"/>
          <w:position w:val="0"/>
          <w:sz w:val="21"/>
          <w:szCs w:val="21"/>
          <w:highlight w:val="none"/>
        </w:rPr>
        <w:t>3.1 质量保证期：货物质量自验收合格之日起计质量保证期为 2</w:t>
      </w:r>
      <w:r>
        <w:rPr>
          <w:rFonts w:hint="eastAsia" w:ascii="宋体" w:hAnsi="宋体" w:eastAsia="宋体" w:cs="Times New Roman"/>
          <w:b w:val="0"/>
          <w:bCs w:val="0"/>
          <w:color w:val="auto"/>
          <w:spacing w:val="0"/>
          <w:sz w:val="21"/>
          <w:szCs w:val="21"/>
          <w:highlight w:val="none"/>
        </w:rPr>
        <w:t>年。</w:t>
      </w:r>
    </w:p>
    <w:p>
      <w:pPr>
        <w:spacing w:line="360" w:lineRule="auto"/>
        <w:ind w:firstLine="420" w:firstLineChars="200"/>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pacing w:val="0"/>
          <w:sz w:val="21"/>
          <w:szCs w:val="21"/>
          <w:highlight w:val="none"/>
        </w:rPr>
        <w:t>3.2 供货商应保证所供货物是全新的、未使用过的，并完全符合合同规定的质量、规格型号和技术性能的要求。供货商应保证其货物在正常使用和保养条件下，在其使用寿命期内具有满意的性能。在货物验收合格后的质量保证期内，供货商应对由于货物工艺材质的缺陷而产生的事故负责。</w:t>
      </w:r>
    </w:p>
    <w:p>
      <w:pPr>
        <w:spacing w:line="360" w:lineRule="auto"/>
        <w:ind w:firstLine="420" w:firstLineChars="200"/>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pacing w:val="0"/>
          <w:position w:val="0"/>
          <w:sz w:val="21"/>
          <w:szCs w:val="21"/>
          <w:highlight w:val="none"/>
        </w:rPr>
        <w:t>3.3 质量保证期内供货商在收到采购人发出的抢修、维修通知后 24 小时内无偿提供技</w:t>
      </w:r>
      <w:r>
        <w:rPr>
          <w:rFonts w:hint="eastAsia" w:ascii="宋体" w:hAnsi="宋体" w:eastAsia="宋体" w:cs="Times New Roman"/>
          <w:b w:val="0"/>
          <w:bCs w:val="0"/>
          <w:color w:val="auto"/>
          <w:spacing w:val="0"/>
          <w:sz w:val="21"/>
          <w:szCs w:val="21"/>
          <w:highlight w:val="none"/>
        </w:rPr>
        <w:t>术指导。若因货物质量造成的一切损失由供货商负责。</w:t>
      </w:r>
    </w:p>
    <w:p>
      <w:pPr>
        <w:spacing w:line="360" w:lineRule="auto"/>
        <w:ind w:firstLine="420" w:firstLineChars="200"/>
        <w:rPr>
          <w:rFonts w:hint="default"/>
          <w:b w:val="0"/>
          <w:bCs w:val="0"/>
          <w:color w:val="auto"/>
          <w:spacing w:val="8"/>
          <w:sz w:val="21"/>
          <w:szCs w:val="21"/>
          <w:highlight w:val="none"/>
          <w:lang w:val="en-US"/>
        </w:rPr>
      </w:pPr>
      <w:r>
        <w:rPr>
          <w:rFonts w:hint="eastAsia" w:ascii="宋体" w:hAnsi="宋体" w:eastAsia="宋体" w:cs="Times New Roman"/>
          <w:b w:val="0"/>
          <w:bCs w:val="0"/>
          <w:color w:val="auto"/>
          <w:spacing w:val="0"/>
          <w:sz w:val="21"/>
          <w:szCs w:val="21"/>
          <w:highlight w:val="none"/>
        </w:rPr>
        <w:t>3.</w:t>
      </w:r>
      <w:r>
        <w:rPr>
          <w:rFonts w:hint="eastAsia" w:ascii="宋体" w:hAnsi="宋体" w:eastAsia="宋体" w:cs="Times New Roman"/>
          <w:b w:val="0"/>
          <w:bCs w:val="0"/>
          <w:color w:val="auto"/>
          <w:spacing w:val="0"/>
          <w:sz w:val="21"/>
          <w:szCs w:val="21"/>
          <w:highlight w:val="none"/>
          <w:lang w:val="en-US" w:eastAsia="zh-CN"/>
        </w:rPr>
        <w:t>4</w:t>
      </w:r>
      <w:r>
        <w:rPr>
          <w:rFonts w:hint="eastAsia" w:ascii="宋体" w:hAnsi="宋体" w:eastAsia="宋体" w:cs="Times New Roman"/>
          <w:b w:val="0"/>
          <w:bCs w:val="0"/>
          <w:color w:val="auto"/>
          <w:spacing w:val="0"/>
          <w:sz w:val="21"/>
          <w:szCs w:val="21"/>
          <w:highlight w:val="none"/>
        </w:rPr>
        <w:t xml:space="preserve"> 供货商所供货物在抵达货物现场时，必须是满足使用条件的。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五、包装、标记、运输和交付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1.包装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 中标人负责货物的运输、卸货并承担相关的费用和责任，货物的包装应采取相应的保护措施。凡由于包装不良造成的损失和由此产生的费用均由中标人承担，且原则上应在1个日历天内无条件进行更换。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 中标人提供的包装应足以承受整个过程中的运输、转运、装卸、储存等，充分考虑到运输途中的各种情况(如暴露于恶劣气候等)和交货地的气候特点，以及露天存放的需要。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2.运输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2.1 中标人负责办理运输过程中的装、卸的一切手续，承担装卸、运输的全部工作和责任。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2.2 装卸费、运费等相关费用已包含在合同价款内。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3.交付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3.1 中标人应指派己方固定的工作人员，按招标人每批次提供的品种、数量、质量、时间等(具体以合同及采购订单的要求为准)原则上需于 24 小时内将所需货物送到招标人指定的地点，急需的材料原则上应在 2 个小时内送达。中标人每次随货送上一式两份的送货清单，中标人、招标人双方验货后签字确认，双方各持一份，作为送、收货的凭证。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3.2 中标人应随货附送同批货物的质量合格证书、检测报告和其他相关技术文件。如货物缺少质量合格证书和检测报告，招标人有权拒收货物，由此产生的责任全部由中标人承担。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3.3 由中标人负责将货物运送至东莞市范围内招标人指定地点，并负责卸货及搬运至招标人指定的货物停放区。运输及装卸费用已包含在合同价款中，不再另行支付。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六、检验和验收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1.货物的验收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 由招标人、中标人共同进行货物的验收，验收合格后交付招标人。在招标人现场验收所发生的一切费用由中标人承担。验收按国家有关的规定、规范进行。货物质控要求符合用户需求的质量控制标准或有效试验判断标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 验收时如发现所交付的货物有短装、次品、损坏或其它不符合本合同规定之情形者，由招标人和中标人双方签署详细的验收记录。此现场记录可用作补充、缺失和更换损坏部件的有效证据。由此产生的有关费用由中标人承担。招标人有权要求中标人在 4 小时内补充、更换货物，如中标人拒不履行，招标人可按照合同约定的违约条款进行索赔。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 国内产品或合资厂产品必须具备出厂合格证。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1.4 进口产品必须具有《进口产品注册证书》及相关商检证明。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2.1 中标人应将其提供的合同货物运抵现场，并经验收合格方可交付招标人。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2.2 定期抽检：在履约期间，招标人有权每半年一次委托有资质的第三方检测机构进行检测，货物质量应满足《管道用球墨铸铁修补器(YB/T 4652)》等相关标准的要求，检测费用由中标人负责。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2.3 不定期检测：在履约期间，招标人有权委托有资质的第三方检测机构按相关规定对货物进行检测，检测地点根据检测项目需求可为材料生产基地或招标人指定的材料送货地点，中标人应予以配合，如检测结果合格，费用由招标人负责；如检测结果不合格，费用由中标人负责，并承担对不合格批次产品的更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2.4 中标人按合同交付货物给招标人时，质保期内正常使用下，因非人为因素损坏的，中标人应在收到有关通知后，按招标人要求时间予以更换，质保期内全部服务费和更换货物的费用由中标人承担。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2.5 中标人除不可抗力外，不得因其他任何理由延迟送货。招标人如遇特殊情况需推迟送货，应提前通知中标人。因中标人原因延误交货日期的(招标人要求推迟的除外),招标人有权自行采购，并由中标人承担由此产生的一切损失和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2.6 如货物不能达到合同约定的质量标准和厂家的质量标准，招标人有权退货，并依法追究中标人的违约责任。达到三次或以上退货的，招标人有权解除合同，并另外委托其他中标人供应，由此产生的招标人的经济损失由中标人负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2.7 如果合同货物运输过程中因事故造成货物短缺、损坏，中标人应及时安排换货，以保证合同货物验收的成功完成。换货的相关费用由中标人承担。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宋体"/>
          <w:b w:val="0"/>
          <w:bCs w:val="0"/>
          <w:i w:val="0"/>
          <w:iCs w:val="0"/>
          <w:snapToGrid w:val="0"/>
          <w:color w:val="auto"/>
          <w:kern w:val="0"/>
          <w:sz w:val="21"/>
          <w:szCs w:val="21"/>
          <w:highlight w:val="none"/>
          <w:u w:val="none"/>
          <w:lang w:val="en-US" w:eastAsia="zh-CN" w:bidi="ar"/>
        </w:rPr>
        <w:t>2.8 供货期内，中标人如接到招标人的售后服务通知的，需在4小时内响应。</w:t>
      </w:r>
    </w:p>
    <w:p>
      <w:pPr>
        <w:spacing w:line="360" w:lineRule="auto"/>
        <w:rPr>
          <w:rFonts w:hint="eastAsia" w:ascii="宋体" w:hAnsi="宋体" w:eastAsia="宋体" w:cs="Times New Roman"/>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七、付款方式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本项目不设预付款。本项目的投标报价采用统一折扣系数报价，合同履约过程中，采购清单中的不含税中标综合单价按以下方式计算：不含税中标综合单价=不含税固定综合单价×中标折扣系数，以实际供货数量进行结算。不含税中标综合单价出现小数点，保留小数点后两位，从小数点后第3位四舍五入。本项目的价格为不含税价，即为《中华人民共和国增值税暂行条例》（国务院令第691号修订版）规定的销售额。本招标文件所称的不含税价和暂定合同价是指不含本采购项目中标人的销项税额，包含了中标人完成合同义务（含中标人代缴代扣、分包及委外服务、采购货物等所产生的价税）的其他全部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招标人收到每批货物经招标人书面确认验收合格后，招标人按供货进度向中标人支付上月实际验收合格供货量的款项。中标人应向招标人提供请款报告和等额的合法、有效的增值税普通发票，招标人在收到前述材料并确认无误后 20 个工作日内，采购人支付结算上月实际验收合格供货量总价【100%】的货款及对应税额。</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附件一：采购货物清单</w:t>
      </w:r>
    </w:p>
    <w:tbl>
      <w:tblPr>
        <w:tblStyle w:val="38"/>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1500"/>
        <w:gridCol w:w="1652"/>
        <w:gridCol w:w="1098"/>
        <w:gridCol w:w="1178"/>
        <w:gridCol w:w="1363"/>
        <w:gridCol w:w="1652"/>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型号及规格</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预计用量</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不含税全费用综合单价</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不含税合价</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DN20X100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24.63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1280.76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DN25X100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32.67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32506.65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DN32X130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34.92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4469.76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DN40X130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41.25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28503.75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DN50X150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59.26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95527.12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90.04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10624.72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DN65X150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79.44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8341.20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DN65X300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106.61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2452.03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DN80X200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94.58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58734.18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DN80X250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120.79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15944.28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DN80X350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137.83</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11302.06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DN80X500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173.45</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6070.75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121.80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85869.00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138.02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45822.64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203.99</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17747.13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378.95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378.95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DN125X300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default" w:ascii="宋体" w:hAnsi="宋体" w:eastAsia="宋体" w:cs="宋体"/>
                <w:i w:val="0"/>
                <w:iCs w:val="0"/>
                <w:color w:val="auto"/>
                <w:kern w:val="0"/>
                <w:sz w:val="22"/>
                <w:szCs w:val="22"/>
                <w:highlight w:val="none"/>
                <w:u w:val="none"/>
                <w:lang w:val="en-US" w:eastAsia="zh-CN" w:bidi="ar"/>
              </w:rPr>
              <w:t>185.04</w:t>
            </w: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2775.60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DN150X200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150.79</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39054.61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DN150X300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203.23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22152.07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DN150X500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299.21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11669.19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DN150X1000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568.37</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5115.33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233.54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32929.14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309.11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19783.04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401.33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10835.91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652.55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4567.85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DN250X200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341.00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9889.00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DN250X300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370.42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5556.30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425.09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1700.36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714.60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714.60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DN300X200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412.17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24730.20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DN300X300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497.06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4970.60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DN300X500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532.62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12782.88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DN300X1000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924.89</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3699.56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DN350X200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457.42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457.42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DN350X500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689.38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689.38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DN350X1000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1224.89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1224.89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DN400X200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655.51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11799.18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DN400X300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671.62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1343.24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843.46</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14338.82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1516.58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6066.32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DN500X300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966.73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966.73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1287.46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5149.84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1570.54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1570.54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DN600X500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1320.80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11887.2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DN600X1000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1901.92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1901.92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DN800X500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2036.86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4073.72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DN800X1000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3555.54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3555.54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2772.33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2772.33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5024.84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5024.84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DN1200X500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3941.70</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3941.70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DN1200X1000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6882.20</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6882.20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DN1400X500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5962.60</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5962.60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DN1400X1000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11845.97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11845.97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DN125X200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143.10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143.10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DN125X500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240.77</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240.77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DN800X500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2193.54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4387.08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DN800X1000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4048.54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4048.54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2976.92</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2976.92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5069.33</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5069.33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DN1200X500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3901.44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3901.44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DN1200X1000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6782.11</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6782.11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DN1400X500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5893.96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5893.96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DN1400X1000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11713.67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11713.67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铸铁管用承插式抢修器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191.84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11510.40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铸铁管用承插式抢修器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356.17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13890.63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铸铁管用承插式抢修器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506.24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8099.84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铸铁管用承插式抢修器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800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12800.00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铸铁管用承插式抢修器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1044.58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1044.58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铸铁管用承插式抢修器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1337.50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6687.5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铸铁管用承插式抢修器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DN800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2587.87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2587.87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铸铁管用承插式抢修器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3787.48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3787.48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铸铁管用承插式抢修器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5377.30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5377.30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铸铁管用承插式抢修器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DN1400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8976.85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8976.85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21.31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21.31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26.81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26.81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32.80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32.80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48.84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48.84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55.75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1338.00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79.95</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3038.10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100.94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100.94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DN80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138.69</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3189.87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176.36</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5467.16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32.02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32.02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37.05</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37.05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45.46</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45.46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58.23</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58.23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71.44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71.44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96.30</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122.42</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122.42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DN80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164.96</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989.76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镀锌钢管用三通抢修器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208.61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625.83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dn50X160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42.73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2264.69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dn63X200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62.21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23764.22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dn63X300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76.53</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459.18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dn63X500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100.51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100.51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dn75X200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95.11</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1616.87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dn75X300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113.18</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113.18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dn75X500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130.82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130.82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dn90X200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109.44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6456.96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dn90X300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144.91</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12317.35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dn90X500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163.14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163.14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dn110X200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116.27</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4999.61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dn110X300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162.79</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47209.10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dn110X500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184.44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21763.92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dn110X1000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397.19</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397.19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dn125X200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126.32</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126.32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dn125X500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193.92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193.92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dn140X200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137.57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137.57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dn160X200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141.92</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3264.16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dn160X300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202.05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18992.70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dn160X500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261.83</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261.83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dn160X1000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525.24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525.24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dn180X200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186.82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3362.76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201.08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1206.48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286.98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16931.82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329.11</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4607.54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561.01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561.01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dn225X200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251.03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502.06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dn225X300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306.34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3063.40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dn225X500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361.84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361.84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dn225X1000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587.04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587.04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dn250X300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334.71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4351.23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392.89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1178.67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628.96</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628.96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dn315X200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356.81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1070.43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dn315X300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433.27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3032.89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dn315X500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523.92</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8382.72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dn315X1000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831.85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831.85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dn355X500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677.03</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677.03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dn355X1000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1135.51</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1135.51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dn400X300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578.32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578.32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dn400X500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736.32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4417.92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dn400X1000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1383.08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1383.08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21.75</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25.79</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25.79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35.96</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35.96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44.84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89.68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53.33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53.33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77.78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46356.88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dn75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110.13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3744.42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dn90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137.27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40220.11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dn110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153.03</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44990.82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dn125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183.42</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183.42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dn160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213.81</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25229.58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290.04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16532.28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dn225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329.42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7576.66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380.60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1903.00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dn315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519.98</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6239.76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785.40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3927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28.14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28.14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33.75</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33.75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39.37</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39.37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54.62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54.62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70.74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353.70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104.07</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2497.68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dn75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129.34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129.34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dn90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166.86</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4171.50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dn110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210.67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8426.80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dn160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388.21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1941.05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486.39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486.39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dn225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544.97</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544.97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648.45</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648.45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dn315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741.92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741.92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塑料管用弯头抢修器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1705.50</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1705.50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40.46</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40.46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48.34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48.34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53.50</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53.50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66.54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66.54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82.96</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82.96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116.58</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1165.80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dn75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147.13</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147.13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dn90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193.74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1162.44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dn110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253.58</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4057.28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dn160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424.73</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424.73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542.52</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542.52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dn225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651.52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651.52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732.94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732.94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dn315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881.96</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881.96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dn50X25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65.77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65.77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dn50X32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70.59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70.59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dn50X40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72.27</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72.27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dn63X25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79.36</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79.36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dn63X32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80.80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80.80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dn63X40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90.44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90.44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dn63X50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100.93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100.93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dn75X50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142.49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142.49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dn75X63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156.82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156.82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dn90X50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160.53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160.53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dn90X63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166.88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166.88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dn90X75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179.65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179.65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dn110X50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213.87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1283.22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dn110X63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217.70</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217.70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dn110X75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227.09</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227.09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dn110X90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233.43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233.43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dn160X63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394.16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394.16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dn160X90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401.02</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401.02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dn160X110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406.77</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813.54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dn200X63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491.64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491.64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dn200X90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507.12</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507.12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dn200X110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694.94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694.94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dn200X160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700.54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700.54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dn315X110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1196.74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1196.74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dn315X160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1229.93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1229.93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塑料管用异径三通抢修器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dn315X200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1260.23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1260.23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DN100X300，一般适 用外径150mm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176.94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176.94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DN100X500，一般适 用外径150mm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330.46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330.46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DN100X1000，一般 适用外径200mm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804.95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804.95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DN150X300，一般适 用外径200mm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264.17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264.17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DN150X500，一般适 用外径200mm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464.70</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464.70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DN150X1000，一般 适用外径200mm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992.39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992.39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DN200X300，一般适 用外径260mm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377.73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377.73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DN200X500，一般适 用外径260mm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627.87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1255.74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DN200X1000，一般 适用外径260mm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1181.71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1181.71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DN300X500，一般适 用外径380mm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800.94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800.94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DN300X1000，一般 适用外径260mm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1597.12</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1597.12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DN400X500，一般适 用外径490mm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1224.94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1224.94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DN400X1000，一般 适用外径490mm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2252.92</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2252.92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DN500X500，一般适 用外径610mm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1644.15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1644.15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DN500X1000，一般 适用外径610mm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2881.84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2881.84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DN600X500，一般适 用外径720mm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2121.99</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2121.99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水泥管用直身抢修器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DN600X1000，一般 适用外径720mm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3430.29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3430.29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DN100，一般适用外 径150mm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347.23</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347.23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DN150，一般适用外 径200mm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479.34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479.34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DN200，一般适用外 径260mm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557.21</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3900.47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DN250，一般适用外 径320mm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711.26</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711.26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DN300，一般适用外 径380mm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784.05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784.05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DN400，一般适用外 径490mm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1173.02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1173.02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DN400（三阶），一 般适用外径506mm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1521.83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1521.83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DN500，一般适用外 径610mm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1737.79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1737.79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DN500（三阶），一 般适用外径610mm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2537.50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2537.50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DN600，一般适用外 径720mm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2296.20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6888.60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DN600（三阶），一 般适用外径720mm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4733.23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4733.23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DN800，一般适用外 径920mm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4835.24</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4835.24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DN800（三阶），一 般适用外径940mm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6977.63</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6977.63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DN1000，一般适用 外径1140mm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7496.20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7496.20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DN1000（三阶）， 一般适用外径1160mm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10147.20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10147.20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DN1200，一般适用 外径1380mm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11977.83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11977.83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DN1400，一般适用 外径1600mm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15331.41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15331.41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水泥管用承插式抢修器</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DN1600，一般适用 外径1800mm</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19730.05 </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19730.05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宋体" w:hAnsi="宋体" w:eastAsia="宋体" w:cs="宋体"/>
                <w:b/>
                <w:bCs/>
                <w:i w:val="0"/>
                <w:iCs w:val="0"/>
                <w:color w:val="auto"/>
                <w:sz w:val="22"/>
                <w:szCs w:val="22"/>
                <w:highlight w:val="none"/>
                <w:u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Times New Roman"/>
          <w:b/>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Times New Roman"/>
          <w:b/>
          <w:bCs/>
          <w:color w:val="auto"/>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附件二：</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东莞市水务集团供水有限公司及下属分公司供水管网维护维修材料送货单</w:t>
      </w:r>
    </w:p>
    <w:p>
      <w:pPr>
        <w:spacing w:line="165" w:lineRule="exact"/>
        <w:rPr>
          <w:color w:val="auto"/>
          <w:highlight w:val="none"/>
        </w:rPr>
      </w:pPr>
    </w:p>
    <w:tbl>
      <w:tblPr>
        <w:tblStyle w:val="207"/>
        <w:tblW w:w="84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232"/>
        <w:gridCol w:w="1233"/>
        <w:gridCol w:w="821"/>
        <w:gridCol w:w="1413"/>
        <w:gridCol w:w="1252"/>
        <w:gridCol w:w="17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8470" w:type="dxa"/>
            <w:gridSpan w:val="7"/>
            <w:vAlign w:val="center"/>
          </w:tcPr>
          <w:p>
            <w:pPr>
              <w:pStyle w:val="206"/>
              <w:keepNext w:val="0"/>
              <w:keepLines w:val="0"/>
              <w:pageBreakBefore w:val="0"/>
              <w:widowControl w:val="0"/>
              <w:kinsoku/>
              <w:wordWrap/>
              <w:overflowPunct/>
              <w:topLinePunct w:val="0"/>
              <w:autoSpaceDE/>
              <w:autoSpaceDN/>
              <w:bidi w:val="0"/>
              <w:adjustRightInd w:val="0"/>
              <w:snapToGrid w:val="0"/>
              <w:spacing w:line="22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4"/>
                <w:szCs w:val="24"/>
                <w:highlight w:val="none"/>
                <w14:textOutline w14:w="2923" w14:cap="sq" w14:cmpd="sng">
                  <w14:solidFill>
                    <w14:srgbClr w14:val="000000"/>
                  </w14:solidFill>
                  <w14:prstDash w14:val="solid"/>
                  <w14:bevel/>
                </w14:textOutline>
              </w:rPr>
              <w:t>送货清单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jc w:val="center"/>
        </w:trPr>
        <w:tc>
          <w:tcPr>
            <w:tcW w:w="817"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222"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序号</w:t>
            </w:r>
          </w:p>
        </w:tc>
        <w:tc>
          <w:tcPr>
            <w:tcW w:w="1232"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22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货物名称</w:t>
            </w:r>
          </w:p>
        </w:tc>
        <w:tc>
          <w:tcPr>
            <w:tcW w:w="1233"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22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规格型号</w:t>
            </w:r>
          </w:p>
        </w:tc>
        <w:tc>
          <w:tcPr>
            <w:tcW w:w="821"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22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数量</w:t>
            </w:r>
          </w:p>
        </w:tc>
        <w:tc>
          <w:tcPr>
            <w:tcW w:w="1413"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22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不含税中标综合单价(元)</w:t>
            </w:r>
          </w:p>
        </w:tc>
        <w:tc>
          <w:tcPr>
            <w:tcW w:w="1252"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22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不含税小计</w:t>
            </w:r>
            <w:r>
              <w:rPr>
                <w:rFonts w:hint="eastAsia" w:ascii="宋体" w:hAnsi="宋体" w:eastAsia="宋体" w:cs="宋体"/>
                <w:color w:val="auto"/>
                <w:spacing w:val="-12"/>
                <w:sz w:val="21"/>
                <w:szCs w:val="21"/>
                <w:highlight w:val="none"/>
              </w:rPr>
              <w:t>(元)</w:t>
            </w:r>
          </w:p>
        </w:tc>
        <w:tc>
          <w:tcPr>
            <w:tcW w:w="1702"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222"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17"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185"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233"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821"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413"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25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70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817"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184"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233"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821"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413"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25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70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9" w:hRule="atLeast"/>
          <w:jc w:val="center"/>
        </w:trPr>
        <w:tc>
          <w:tcPr>
            <w:tcW w:w="817"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184"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233"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821"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413"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25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70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817"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184"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233"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821"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413"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25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70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5516" w:type="dxa"/>
            <w:gridSpan w:val="5"/>
            <w:vAlign w:val="center"/>
          </w:tcPr>
          <w:p>
            <w:pPr>
              <w:pStyle w:val="206"/>
              <w:keepNext w:val="0"/>
              <w:keepLines w:val="0"/>
              <w:pageBreakBefore w:val="0"/>
              <w:widowControl w:val="0"/>
              <w:kinsoku/>
              <w:wordWrap/>
              <w:overflowPunct/>
              <w:topLinePunct w:val="0"/>
              <w:autoSpaceDE/>
              <w:autoSpaceDN/>
              <w:bidi w:val="0"/>
              <w:adjustRightInd w:val="0"/>
              <w:snapToGrid w:val="0"/>
              <w:spacing w:line="22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2923" w14:cap="sq" w14:cmpd="sng">
                  <w14:solidFill>
                    <w14:srgbClr w14:val="000000"/>
                  </w14:solidFill>
                  <w14:prstDash w14:val="solid"/>
                  <w14:bevel/>
                </w14:textOutline>
              </w:rPr>
              <w:t>不含税合计(元)</w:t>
            </w:r>
          </w:p>
        </w:tc>
        <w:tc>
          <w:tcPr>
            <w:tcW w:w="125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70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2" w:hRule="atLeast"/>
          <w:jc w:val="center"/>
        </w:trPr>
        <w:tc>
          <w:tcPr>
            <w:tcW w:w="5516" w:type="dxa"/>
            <w:gridSpan w:val="5"/>
            <w:vAlign w:val="center"/>
          </w:tcPr>
          <w:p>
            <w:pPr>
              <w:pStyle w:val="206"/>
              <w:keepNext w:val="0"/>
              <w:keepLines w:val="0"/>
              <w:pageBreakBefore w:val="0"/>
              <w:widowControl w:val="0"/>
              <w:kinsoku/>
              <w:wordWrap/>
              <w:overflowPunct/>
              <w:topLinePunct w:val="0"/>
              <w:autoSpaceDE/>
              <w:autoSpaceDN/>
              <w:bidi w:val="0"/>
              <w:adjustRightInd w:val="0"/>
              <w:snapToGrid w:val="0"/>
              <w:spacing w:line="22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2923" w14:cap="sq" w14:cmpd="sng">
                  <w14:solidFill>
                    <w14:srgbClr w14:val="000000"/>
                  </w14:solidFill>
                  <w14:prstDash w14:val="solid"/>
                  <w14:bevel/>
                </w14:textOutline>
              </w:rPr>
              <w:t>税率(</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pacing w:val="-1"/>
                <w:sz w:val="22"/>
                <w:szCs w:val="22"/>
                <w:highlight w:val="none"/>
                <w14:textOutline w14:w="2923" w14:cap="sq" w14:cmpd="sng">
                  <w14:solidFill>
                    <w14:srgbClr w14:val="000000"/>
                  </w14:solidFill>
                  <w14:prstDash w14:val="solid"/>
                  <w14:bevel/>
                </w14:textOutline>
              </w:rPr>
              <w:t>%</w:t>
            </w:r>
            <w:r>
              <w:rPr>
                <w:rFonts w:hint="eastAsia" w:ascii="宋体" w:hAnsi="宋体" w:eastAsia="宋体" w:cs="宋体"/>
                <w:color w:val="auto"/>
                <w:spacing w:val="9"/>
                <w:sz w:val="22"/>
                <w:szCs w:val="22"/>
                <w:highlight w:val="none"/>
              </w:rPr>
              <w:t xml:space="preserve"> </w:t>
            </w:r>
            <w:r>
              <w:rPr>
                <w:rFonts w:hint="eastAsia" w:ascii="宋体" w:hAnsi="宋体" w:eastAsia="宋体" w:cs="宋体"/>
                <w:color w:val="auto"/>
                <w:spacing w:val="-1"/>
                <w:sz w:val="22"/>
                <w:szCs w:val="22"/>
                <w:highlight w:val="none"/>
                <w14:textOutline w14:w="2923" w14:cap="sq" w14:cmpd="sng">
                  <w14:solidFill>
                    <w14:srgbClr w14:val="000000"/>
                  </w14:solidFill>
                  <w14:prstDash w14:val="solid"/>
                  <w14:bevel/>
                </w14:textOutline>
              </w:rPr>
              <w:t>)</w:t>
            </w:r>
          </w:p>
        </w:tc>
        <w:tc>
          <w:tcPr>
            <w:tcW w:w="125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70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8470" w:type="dxa"/>
            <w:gridSpan w:val="7"/>
            <w:vAlign w:val="center"/>
          </w:tcPr>
          <w:p>
            <w:pPr>
              <w:pStyle w:val="206"/>
              <w:keepNext w:val="0"/>
              <w:keepLines w:val="0"/>
              <w:pageBreakBefore w:val="0"/>
              <w:widowControl w:val="0"/>
              <w:kinsoku/>
              <w:wordWrap/>
              <w:overflowPunct/>
              <w:topLinePunct w:val="0"/>
              <w:autoSpaceDE/>
              <w:autoSpaceDN/>
              <w:bidi w:val="0"/>
              <w:adjustRightInd w:val="0"/>
              <w:snapToGrid w:val="0"/>
              <w:spacing w:line="22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4"/>
                <w:szCs w:val="24"/>
                <w:highlight w:val="none"/>
                <w14:textOutline w14:w="2923" w14:cap="sq" w14:cmpd="sng">
                  <w14:solidFill>
                    <w14:srgbClr w14:val="000000"/>
                  </w14:solidFill>
                  <w14:prstDash w14:val="solid"/>
                  <w14:bevel/>
                </w14:textOutline>
              </w:rPr>
              <w:t>收货要求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817"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185"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5" w:type="dxa"/>
            <w:gridSpan w:val="2"/>
            <w:vAlign w:val="center"/>
          </w:tcPr>
          <w:p>
            <w:pPr>
              <w:pStyle w:val="206"/>
              <w:keepNext w:val="0"/>
              <w:keepLines w:val="0"/>
              <w:pageBreakBefore w:val="0"/>
              <w:widowControl w:val="0"/>
              <w:kinsoku/>
              <w:wordWrap/>
              <w:overflowPunct/>
              <w:topLinePunct w:val="0"/>
              <w:autoSpaceDE/>
              <w:autoSpaceDN/>
              <w:bidi w:val="0"/>
              <w:adjustRightInd w:val="0"/>
              <w:snapToGrid w:val="0"/>
              <w:spacing w:line="22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收货时间</w:t>
            </w:r>
          </w:p>
        </w:tc>
        <w:tc>
          <w:tcPr>
            <w:tcW w:w="5188"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jc w:val="center"/>
        </w:trPr>
        <w:tc>
          <w:tcPr>
            <w:tcW w:w="817"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184"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65" w:type="dxa"/>
            <w:gridSpan w:val="2"/>
            <w:vAlign w:val="center"/>
          </w:tcPr>
          <w:p>
            <w:pPr>
              <w:pStyle w:val="206"/>
              <w:keepNext w:val="0"/>
              <w:keepLines w:val="0"/>
              <w:pageBreakBefore w:val="0"/>
              <w:widowControl w:val="0"/>
              <w:kinsoku/>
              <w:wordWrap/>
              <w:overflowPunct/>
              <w:topLinePunct w:val="0"/>
              <w:autoSpaceDE/>
              <w:autoSpaceDN/>
              <w:bidi w:val="0"/>
              <w:adjustRightInd w:val="0"/>
              <w:snapToGrid w:val="0"/>
              <w:spacing w:line="22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收货地点</w:t>
            </w:r>
          </w:p>
        </w:tc>
        <w:tc>
          <w:tcPr>
            <w:tcW w:w="5188"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817"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184"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465" w:type="dxa"/>
            <w:gridSpan w:val="2"/>
            <w:vAlign w:val="center"/>
          </w:tcPr>
          <w:p>
            <w:pPr>
              <w:pStyle w:val="206"/>
              <w:keepNext w:val="0"/>
              <w:keepLines w:val="0"/>
              <w:pageBreakBefore w:val="0"/>
              <w:widowControl w:val="0"/>
              <w:kinsoku/>
              <w:wordWrap/>
              <w:overflowPunct/>
              <w:topLinePunct w:val="0"/>
              <w:autoSpaceDE/>
              <w:autoSpaceDN/>
              <w:bidi w:val="0"/>
              <w:adjustRightInd w:val="0"/>
              <w:snapToGrid w:val="0"/>
              <w:spacing w:line="22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收货联系人</w:t>
            </w:r>
          </w:p>
        </w:tc>
        <w:tc>
          <w:tcPr>
            <w:tcW w:w="2234" w:type="dxa"/>
            <w:gridSpan w:val="2"/>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252"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223"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联系电话</w:t>
            </w:r>
          </w:p>
        </w:tc>
        <w:tc>
          <w:tcPr>
            <w:tcW w:w="170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817"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184"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465" w:type="dxa"/>
            <w:gridSpan w:val="2"/>
            <w:vAlign w:val="center"/>
          </w:tcPr>
          <w:p>
            <w:pPr>
              <w:pStyle w:val="206"/>
              <w:keepNext w:val="0"/>
              <w:keepLines w:val="0"/>
              <w:pageBreakBefore w:val="0"/>
              <w:widowControl w:val="0"/>
              <w:kinsoku/>
              <w:wordWrap/>
              <w:overflowPunct/>
              <w:topLinePunct w:val="0"/>
              <w:autoSpaceDE/>
              <w:autoSpaceDN/>
              <w:bidi w:val="0"/>
              <w:adjustRightInd w:val="0"/>
              <w:snapToGrid w:val="0"/>
              <w:spacing w:line="221"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其他要求</w:t>
            </w:r>
          </w:p>
        </w:tc>
        <w:tc>
          <w:tcPr>
            <w:tcW w:w="5188"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8470" w:type="dxa"/>
            <w:gridSpan w:val="7"/>
            <w:vAlign w:val="center"/>
          </w:tcPr>
          <w:p>
            <w:pPr>
              <w:pStyle w:val="206"/>
              <w:keepNext w:val="0"/>
              <w:keepLines w:val="0"/>
              <w:pageBreakBefore w:val="0"/>
              <w:widowControl w:val="0"/>
              <w:kinsoku/>
              <w:wordWrap/>
              <w:overflowPunct/>
              <w:topLinePunct w:val="0"/>
              <w:autoSpaceDE/>
              <w:autoSpaceDN/>
              <w:bidi w:val="0"/>
              <w:adjustRightInd w:val="0"/>
              <w:snapToGrid w:val="0"/>
              <w:spacing w:line="22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送货联系信息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3282" w:type="dxa"/>
            <w:gridSpan w:val="3"/>
            <w:vAlign w:val="center"/>
          </w:tcPr>
          <w:p>
            <w:pPr>
              <w:pStyle w:val="206"/>
              <w:keepNext w:val="0"/>
              <w:keepLines w:val="0"/>
              <w:pageBreakBefore w:val="0"/>
              <w:widowControl w:val="0"/>
              <w:kinsoku/>
              <w:wordWrap/>
              <w:overflowPunct/>
              <w:topLinePunct w:val="0"/>
              <w:autoSpaceDE/>
              <w:autoSpaceDN/>
              <w:bidi w:val="0"/>
              <w:adjustRightInd w:val="0"/>
              <w:snapToGrid w:val="0"/>
              <w:spacing w:line="22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送货联系人</w:t>
            </w:r>
          </w:p>
        </w:tc>
        <w:tc>
          <w:tcPr>
            <w:tcW w:w="2234" w:type="dxa"/>
            <w:gridSpan w:val="2"/>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c>
          <w:tcPr>
            <w:tcW w:w="1252" w:type="dxa"/>
            <w:vAlign w:val="center"/>
          </w:tcPr>
          <w:p>
            <w:pPr>
              <w:pStyle w:val="206"/>
              <w:keepNext w:val="0"/>
              <w:keepLines w:val="0"/>
              <w:pageBreakBefore w:val="0"/>
              <w:widowControl w:val="0"/>
              <w:kinsoku/>
              <w:wordWrap/>
              <w:overflowPunct/>
              <w:topLinePunct w:val="0"/>
              <w:autoSpaceDE/>
              <w:autoSpaceDN/>
              <w:bidi w:val="0"/>
              <w:adjustRightInd w:val="0"/>
              <w:snapToGrid w:val="0"/>
              <w:spacing w:line="223"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联系电话</w:t>
            </w:r>
          </w:p>
        </w:tc>
        <w:tc>
          <w:tcPr>
            <w:tcW w:w="1702" w:type="dxa"/>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90" w:hRule="atLeast"/>
          <w:jc w:val="center"/>
        </w:trPr>
        <w:tc>
          <w:tcPr>
            <w:tcW w:w="4103" w:type="dxa"/>
            <w:gridSpan w:val="4"/>
            <w:vAlign w:val="center"/>
          </w:tcPr>
          <w:p>
            <w:pPr>
              <w:pStyle w:val="206"/>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pacing w:val="-2"/>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p>
            <w:pPr>
              <w:pStyle w:val="206"/>
              <w:keepNext w:val="0"/>
              <w:keepLines w:val="0"/>
              <w:pageBreakBefore w:val="0"/>
              <w:widowControl w:val="0"/>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收货单位代表签字</w:t>
            </w:r>
            <w:r>
              <w:rPr>
                <w:rFonts w:hint="eastAsia" w:ascii="宋体" w:hAnsi="宋体" w:eastAsia="宋体" w:cs="宋体"/>
                <w:color w:val="auto"/>
                <w:spacing w:val="-2"/>
                <w:sz w:val="21"/>
                <w:szCs w:val="21"/>
                <w:highlight w:val="none"/>
                <w:lang w:eastAsia="zh-CN"/>
              </w:rPr>
              <w:t>：</w:t>
            </w:r>
          </w:p>
          <w:p>
            <w:pPr>
              <w:pStyle w:val="206"/>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6"/>
                <w:sz w:val="21"/>
                <w:szCs w:val="21"/>
                <w:highlight w:val="none"/>
              </w:rPr>
              <w:t>日</w:t>
            </w:r>
          </w:p>
        </w:tc>
        <w:tc>
          <w:tcPr>
            <w:tcW w:w="4367" w:type="dxa"/>
            <w:gridSpan w:val="3"/>
            <w:vAlign w:val="center"/>
          </w:tcPr>
          <w:p>
            <w:pPr>
              <w:pStyle w:val="206"/>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pacing w:val="-1"/>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color w:val="auto"/>
                <w:sz w:val="21"/>
                <w:szCs w:val="21"/>
                <w:highlight w:val="none"/>
              </w:rPr>
            </w:pPr>
          </w:p>
          <w:p>
            <w:pPr>
              <w:pStyle w:val="206"/>
              <w:keepNext w:val="0"/>
              <w:keepLines w:val="0"/>
              <w:pageBreakBefore w:val="0"/>
              <w:widowControl w:val="0"/>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送货单位代表签字</w:t>
            </w:r>
            <w:r>
              <w:rPr>
                <w:rFonts w:hint="eastAsia" w:ascii="宋体" w:hAnsi="宋体" w:eastAsia="宋体" w:cs="宋体"/>
                <w:color w:val="auto"/>
                <w:spacing w:val="-1"/>
                <w:sz w:val="21"/>
                <w:szCs w:val="21"/>
                <w:highlight w:val="none"/>
                <w:lang w:eastAsia="zh-CN"/>
              </w:rPr>
              <w:t>：</w:t>
            </w:r>
          </w:p>
          <w:p>
            <w:pPr>
              <w:pStyle w:val="206"/>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6"/>
                <w:sz w:val="21"/>
                <w:szCs w:val="21"/>
                <w:highlight w:val="none"/>
              </w:rPr>
              <w:t>日</w:t>
            </w:r>
          </w:p>
        </w:tc>
      </w:tr>
    </w:tbl>
    <w:p>
      <w:pPr>
        <w:spacing w:line="360" w:lineRule="auto"/>
        <w:rPr>
          <w:rFonts w:hint="eastAsia" w:ascii="宋体" w:hAnsi="宋体" w:eastAsia="宋体" w:cs="Times New Roman"/>
          <w:color w:val="auto"/>
          <w:szCs w:val="21"/>
          <w:highlight w:val="none"/>
          <w:lang w:val="en-US" w:eastAsia="zh-CN"/>
        </w:rPr>
      </w:pPr>
    </w:p>
    <w:p>
      <w:pPr>
        <w:spacing w:line="360" w:lineRule="auto"/>
        <w:rPr>
          <w:rFonts w:ascii="宋体" w:hAnsi="宋体" w:eastAsia="宋体" w:cs="Times New Roman"/>
          <w:color w:val="auto"/>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516" w:name="_Toc450662892"/>
      <w:bookmarkStart w:id="517" w:name="_Toc142508359"/>
      <w:bookmarkStart w:id="518" w:name="_Toc7731"/>
      <w:bookmarkStart w:id="519" w:name="_Toc4351"/>
      <w:bookmarkStart w:id="520" w:name="_Toc11281_WPSOffice_Level1"/>
      <w:bookmarkStart w:id="521" w:name="_Toc30860"/>
      <w:bookmarkStart w:id="522" w:name="_Toc19477"/>
      <w:bookmarkStart w:id="523" w:name="_Toc486167707"/>
      <w:bookmarkStart w:id="524" w:name="_Toc14551"/>
      <w:bookmarkStart w:id="525" w:name="_Toc15025"/>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516"/>
      <w:bookmarkEnd w:id="517"/>
      <w:bookmarkEnd w:id="518"/>
      <w:bookmarkEnd w:id="519"/>
      <w:bookmarkEnd w:id="520"/>
      <w:bookmarkEnd w:id="521"/>
      <w:bookmarkEnd w:id="522"/>
      <w:bookmarkEnd w:id="523"/>
      <w:bookmarkEnd w:id="524"/>
      <w:bookmarkEnd w:id="525"/>
    </w:p>
    <w:p>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p>
    <w:p>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p>
    <w:p>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p>
    <w:p>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东莞市水务集团供水有限公司抢修器</w:t>
      </w:r>
    </w:p>
    <w:p>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采购项目</w:t>
      </w:r>
    </w:p>
    <w:p>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480" w:lineRule="auto"/>
        <w:ind w:left="0" w:leftChars="0" w:firstLine="2749" w:firstLineChars="978"/>
        <w:jc w:val="left"/>
        <w:rPr>
          <w:rFonts w:hint="default" w:ascii="宋体" w:hAnsi="宋体" w:eastAsia="宋体" w:cs="Times New Roman"/>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lang w:val="en-US" w:eastAsia="zh-CN"/>
        </w:rPr>
        <w:t xml:space="preserve"> 东莞市水务集团供水有限公司 </w:t>
      </w:r>
    </w:p>
    <w:p>
      <w:pPr>
        <w:autoSpaceDE w:val="0"/>
        <w:autoSpaceDN w:val="0"/>
        <w:adjustRightInd w:val="0"/>
        <w:spacing w:line="480" w:lineRule="auto"/>
        <w:ind w:left="0" w:leftChars="0" w:firstLine="2749" w:firstLineChars="978"/>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u w:val="single"/>
          <w:lang w:val="en-US" w:eastAsia="zh-CN"/>
        </w:rPr>
        <w:t xml:space="preserve">  </w:t>
      </w:r>
      <w:r>
        <w:rPr>
          <w:rFonts w:hint="eastAsia" w:ascii="宋体" w:hAnsi="宋体" w:eastAsia="宋体" w:cs="宋体"/>
          <w:b/>
          <w:bCs/>
          <w:color w:val="auto"/>
          <w:kern w:val="0"/>
          <w:sz w:val="28"/>
          <w:szCs w:val="28"/>
          <w:highlight w:val="none"/>
          <w:u w:val="single"/>
        </w:rPr>
        <w:t xml:space="preserve">        </w:t>
      </w:r>
    </w:p>
    <w:p>
      <w:pPr>
        <w:autoSpaceDE w:val="0"/>
        <w:autoSpaceDN w:val="0"/>
        <w:adjustRightInd w:val="0"/>
        <w:spacing w:line="360" w:lineRule="auto"/>
        <w:ind w:left="0" w:leftChars="0" w:firstLine="2749" w:firstLineChars="978"/>
        <w:jc w:val="left"/>
        <w:rPr>
          <w:rFonts w:ascii="宋体" w:hAnsi="宋体" w:eastAsia="宋体" w:cs="宋体"/>
          <w:b/>
          <w:bCs/>
          <w:color w:val="auto"/>
          <w:kern w:val="0"/>
          <w:sz w:val="28"/>
          <w:szCs w:val="28"/>
          <w:highlight w:val="none"/>
        </w:rPr>
      </w:pPr>
    </w:p>
    <w:p>
      <w:pPr>
        <w:autoSpaceDE w:val="0"/>
        <w:autoSpaceDN w:val="0"/>
        <w:adjustRightInd w:val="0"/>
        <w:spacing w:line="360" w:lineRule="auto"/>
        <w:ind w:left="0" w:leftChars="0" w:firstLine="2749" w:firstLineChars="978"/>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甲方（买方）：</w:t>
      </w:r>
      <w:r>
        <w:rPr>
          <w:rFonts w:hint="eastAsia" w:ascii="宋体" w:hAnsi="宋体" w:eastAsia="宋体" w:cs="宋体"/>
          <w:color w:val="auto"/>
          <w:sz w:val="21"/>
          <w:szCs w:val="21"/>
          <w:highlight w:val="none"/>
          <w:u w:val="single"/>
        </w:rPr>
        <w:t>东莞市水务集团供水有限公司</w:t>
      </w:r>
    </w:p>
    <w:p>
      <w:pPr>
        <w:keepNext w:val="0"/>
        <w:keepLines w:val="0"/>
        <w:pageBreakBefore w:val="0"/>
        <w:kinsoku/>
        <w:wordWrap/>
        <w:overflowPunct/>
        <w:topLinePunct w:val="0"/>
        <w:autoSpaceDE/>
        <w:autoSpaceDN/>
        <w:bidi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乙方（卖方）：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东莞市水务集团供水有限公司抢修器采购项目</w:t>
      </w:r>
      <w:r>
        <w:rPr>
          <w:rFonts w:hint="eastAsia" w:ascii="宋体" w:hAnsi="宋体" w:eastAsia="宋体" w:cs="宋体"/>
          <w:color w:val="auto"/>
          <w:sz w:val="21"/>
          <w:szCs w:val="21"/>
          <w:highlight w:val="none"/>
        </w:rPr>
        <w:t>招投标结果（招标编号：</w:t>
      </w:r>
      <w:r>
        <w:rPr>
          <w:rFonts w:hint="eastAsia" w:ascii="宋体" w:hAnsi="宋体" w:eastAsia="宋体" w:cs="宋体"/>
          <w:color w:val="auto"/>
          <w:sz w:val="21"/>
          <w:szCs w:val="21"/>
          <w:highlight w:val="none"/>
          <w:u w:val="single"/>
          <w:lang w:eastAsia="zh-CN"/>
        </w:rPr>
        <w:t>0832-SFCX25DG010A</w:t>
      </w:r>
      <w:r>
        <w:rPr>
          <w:rFonts w:hint="eastAsia" w:ascii="宋体" w:hAnsi="宋体" w:eastAsia="宋体" w:cs="宋体"/>
          <w:color w:val="auto"/>
          <w:sz w:val="21"/>
          <w:szCs w:val="21"/>
          <w:highlight w:val="none"/>
        </w:rPr>
        <w:t>）和招标文件的要求，经双方协商一致，签订本合同。</w:t>
      </w:r>
    </w:p>
    <w:p>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lang w:val="en-US" w:eastAsia="zh-CN"/>
        </w:rPr>
      </w:pPr>
      <w:bookmarkStart w:id="526" w:name="_Toc2679"/>
      <w:bookmarkStart w:id="527" w:name="_Toc27660"/>
      <w:bookmarkStart w:id="528" w:name="_Toc13353"/>
      <w:bookmarkStart w:id="529" w:name="_Toc3821"/>
      <w:bookmarkStart w:id="530" w:name="_Toc2376"/>
      <w:bookmarkStart w:id="531" w:name="_Toc27243"/>
      <w:bookmarkStart w:id="532" w:name="_Toc21827"/>
      <w:bookmarkStart w:id="533" w:name="_Toc12581"/>
      <w:bookmarkStart w:id="534" w:name="_Toc96787710"/>
      <w:r>
        <w:rPr>
          <w:rFonts w:hint="eastAsia" w:ascii="宋体" w:hAnsi="宋体" w:eastAsia="宋体" w:cs="宋体"/>
          <w:b/>
          <w:color w:val="auto"/>
          <w:sz w:val="21"/>
          <w:szCs w:val="21"/>
          <w:highlight w:val="none"/>
          <w:lang w:val="en-US" w:eastAsia="zh-CN"/>
        </w:rPr>
        <w:t>第一条 供货资格及范围</w:t>
      </w:r>
      <w:bookmarkEnd w:id="526"/>
      <w:bookmarkEnd w:id="527"/>
      <w:bookmarkEnd w:id="528"/>
      <w:bookmarkEnd w:id="529"/>
      <w:bookmarkEnd w:id="530"/>
      <w:bookmarkEnd w:id="531"/>
      <w:bookmarkEnd w:id="532"/>
      <w:bookmarkEnd w:id="533"/>
      <w:bookmarkEnd w:id="534"/>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1、甲方确定乙方成为</w:t>
      </w:r>
      <w:r>
        <w:rPr>
          <w:rFonts w:hint="eastAsia" w:ascii="宋体" w:hAnsi="宋体" w:eastAsia="宋体" w:cs="宋体"/>
          <w:color w:val="auto"/>
          <w:sz w:val="21"/>
          <w:szCs w:val="21"/>
          <w:highlight w:val="none"/>
          <w:u w:val="single"/>
        </w:rPr>
        <w:t>东莞市水务集团供水有限公司抢修器采购项目</w:t>
      </w:r>
      <w:r>
        <w:rPr>
          <w:rFonts w:hint="eastAsia" w:ascii="宋体" w:hAnsi="宋体" w:eastAsia="宋体" w:cs="宋体"/>
          <w:color w:val="auto"/>
          <w:sz w:val="21"/>
          <w:szCs w:val="21"/>
          <w:highlight w:val="none"/>
        </w:rPr>
        <w:t>供应商，由乙方向甲方提供所需的</w:t>
      </w:r>
      <w:r>
        <w:rPr>
          <w:rFonts w:hint="eastAsia" w:ascii="宋体" w:hAnsi="宋体" w:eastAsia="宋体" w:cs="宋体"/>
          <w:color w:val="auto"/>
          <w:sz w:val="21"/>
          <w:szCs w:val="21"/>
          <w:highlight w:val="none"/>
          <w:lang w:val="en-US" w:eastAsia="zh-CN"/>
        </w:rPr>
        <w:t>抢修器</w:t>
      </w:r>
      <w:r>
        <w:rPr>
          <w:rFonts w:hint="eastAsia" w:ascii="宋体" w:hAnsi="宋体" w:eastAsia="宋体" w:cs="宋体"/>
          <w:color w:val="auto"/>
          <w:sz w:val="21"/>
          <w:szCs w:val="21"/>
          <w:highlight w:val="none"/>
        </w:rPr>
        <w:t>，详见附件《</w:t>
      </w:r>
      <w:r>
        <w:rPr>
          <w:rFonts w:hint="eastAsia" w:ascii="宋体" w:hAnsi="宋体" w:eastAsia="宋体" w:cs="宋体"/>
          <w:color w:val="auto"/>
          <w:sz w:val="21"/>
          <w:szCs w:val="21"/>
          <w:highlight w:val="none"/>
          <w:u w:val="single"/>
        </w:rPr>
        <w:t>东莞市水务集团供水有限公司抢修器采购项目</w:t>
      </w:r>
      <w:r>
        <w:rPr>
          <w:rFonts w:hint="eastAsia" w:ascii="宋体" w:hAnsi="宋体" w:eastAsia="宋体" w:cs="宋体"/>
          <w:color w:val="auto"/>
          <w:sz w:val="21"/>
          <w:szCs w:val="21"/>
          <w:highlight w:val="none"/>
        </w:rPr>
        <w:t>采购清单》（以下简称为“《采购清单及价格表》”）。</w:t>
      </w:r>
    </w:p>
    <w:p>
      <w:pPr>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2、本次采购数量为暂定数量，仅为便于计算暂定合同价使用，不作为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最终采购数量的保证。实际需求数量以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具体供货通知为准，按实结算。综合单价不随数量的变化而增减。</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不得因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实际采购数量的减少或增加而要求提供任何形式的补偿或赔偿，或者要求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按暂定数量采购相应货物。</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3、乙方有义务接受甲方的监督、评价及考核。</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4、乙方必须清楚理解：本项目不具排他性，本采购结果仅作为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在合同期限内取得向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供货抢修器</w:t>
      </w:r>
      <w:r>
        <w:rPr>
          <w:rFonts w:hint="eastAsia" w:ascii="宋体" w:hAnsi="宋体" w:eastAsia="宋体" w:cs="宋体"/>
          <w:color w:val="auto"/>
          <w:sz w:val="21"/>
          <w:szCs w:val="21"/>
          <w:highlight w:val="none"/>
        </w:rPr>
        <w:t>的资格，但并不代表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必然取得供货的权利。</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资质条件、履约能力和实际履约情况，及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的实际需求仍有权另行采购其他第三方进行本次合同范围内的货物供货服务。</w:t>
      </w:r>
    </w:p>
    <w:p>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lang w:val="en-US" w:eastAsia="zh-CN"/>
        </w:rPr>
      </w:pPr>
      <w:bookmarkStart w:id="535" w:name="_Toc11706"/>
      <w:bookmarkStart w:id="536" w:name="_Toc22688"/>
      <w:bookmarkStart w:id="537" w:name="_Toc5027"/>
      <w:bookmarkStart w:id="538" w:name="_Toc20922"/>
      <w:bookmarkStart w:id="539" w:name="_Toc28359"/>
      <w:bookmarkStart w:id="540" w:name="_Toc1391"/>
      <w:bookmarkStart w:id="541" w:name="_Toc21961"/>
      <w:bookmarkStart w:id="542" w:name="_Toc27856"/>
      <w:bookmarkStart w:id="543" w:name="_Toc96787711"/>
      <w:r>
        <w:rPr>
          <w:rFonts w:hint="eastAsia" w:ascii="宋体" w:hAnsi="宋体" w:eastAsia="宋体" w:cs="宋体"/>
          <w:b/>
          <w:color w:val="auto"/>
          <w:sz w:val="21"/>
          <w:szCs w:val="21"/>
          <w:highlight w:val="none"/>
          <w:lang w:val="en-US" w:eastAsia="zh-CN"/>
        </w:rPr>
        <w:t>第二条 合同供货期</w:t>
      </w:r>
      <w:bookmarkEnd w:id="535"/>
      <w:bookmarkEnd w:id="536"/>
      <w:bookmarkEnd w:id="537"/>
      <w:bookmarkEnd w:id="538"/>
      <w:bookmarkEnd w:id="539"/>
      <w:bookmarkEnd w:id="540"/>
      <w:bookmarkEnd w:id="541"/>
      <w:bookmarkEnd w:id="542"/>
      <w:bookmarkEnd w:id="543"/>
    </w:p>
    <w:p>
      <w:pPr>
        <w:keepNext w:val="0"/>
        <w:keepLines w:val="0"/>
        <w:pageBreakBefore w:val="0"/>
        <w:kinsoku/>
        <w:wordWrap/>
        <w:overflowPunct/>
        <w:topLinePunct w:val="0"/>
        <w:autoSpaceDE/>
        <w:autoSpaceDN/>
        <w:bidi w:val="0"/>
        <w:spacing w:line="360" w:lineRule="auto"/>
        <w:ind w:firstLine="408" w:firstLineChars="200"/>
        <w:jc w:val="both"/>
        <w:textAlignment w:val="auto"/>
        <w:rPr>
          <w:rFonts w:hint="eastAsia" w:ascii="宋体" w:hAnsi="宋体" w:eastAsia="宋体" w:cs="宋体"/>
          <w:b/>
          <w:color w:val="auto"/>
          <w:kern w:val="2"/>
          <w:sz w:val="21"/>
          <w:szCs w:val="21"/>
          <w:highlight w:val="none"/>
          <w:u w:val="words"/>
        </w:rPr>
      </w:pPr>
      <w:r>
        <w:rPr>
          <w:rFonts w:hint="eastAsia" w:ascii="宋体" w:hAnsi="宋体" w:eastAsia="宋体" w:cs="宋体"/>
          <w:color w:val="auto"/>
          <w:spacing w:val="-3"/>
          <w:sz w:val="21"/>
          <w:szCs w:val="21"/>
          <w:highlight w:val="none"/>
        </w:rPr>
        <w:t>自</w:t>
      </w:r>
      <w:r>
        <w:rPr>
          <w:rFonts w:hint="eastAsia" w:ascii="宋体" w:hAnsi="宋体" w:eastAsia="宋体" w:cs="宋体"/>
          <w:color w:val="auto"/>
          <w:spacing w:val="-3"/>
          <w:sz w:val="21"/>
          <w:szCs w:val="21"/>
          <w:highlight w:val="none"/>
          <w:lang w:val="en-US" w:eastAsia="zh-CN"/>
        </w:rPr>
        <w:t>合同签订之日起一年</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lang w:val="en-US" w:eastAsia="zh-CN"/>
        </w:rPr>
      </w:pPr>
      <w:bookmarkStart w:id="544" w:name="_Toc5796"/>
      <w:bookmarkStart w:id="545" w:name="_Toc13968"/>
      <w:bookmarkStart w:id="546" w:name="_Toc12898"/>
      <w:bookmarkStart w:id="547" w:name="_Toc96787712"/>
      <w:bookmarkStart w:id="548" w:name="_Toc3019"/>
      <w:bookmarkStart w:id="549" w:name="_Toc4733"/>
      <w:bookmarkStart w:id="550" w:name="_Toc26790"/>
      <w:bookmarkStart w:id="551" w:name="_Toc18761"/>
      <w:bookmarkStart w:id="552" w:name="_Toc579"/>
      <w:r>
        <w:rPr>
          <w:rFonts w:hint="eastAsia" w:ascii="宋体" w:hAnsi="宋体" w:eastAsia="宋体" w:cs="宋体"/>
          <w:b/>
          <w:color w:val="auto"/>
          <w:sz w:val="21"/>
          <w:szCs w:val="21"/>
          <w:highlight w:val="none"/>
          <w:lang w:val="en-US" w:eastAsia="zh-CN"/>
        </w:rPr>
        <w:t>第三条 技术要求</w:t>
      </w:r>
      <w:bookmarkEnd w:id="544"/>
      <w:bookmarkEnd w:id="545"/>
      <w:bookmarkEnd w:id="546"/>
      <w:bookmarkEnd w:id="547"/>
      <w:bookmarkEnd w:id="548"/>
      <w:bookmarkEnd w:id="549"/>
      <w:bookmarkEnd w:id="550"/>
      <w:bookmarkEnd w:id="551"/>
      <w:bookmarkEnd w:id="552"/>
    </w:p>
    <w:p>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b/>
          <w:bCs/>
          <w:color w:val="auto"/>
          <w:kern w:val="2"/>
          <w:sz w:val="21"/>
          <w:szCs w:val="21"/>
          <w:highlight w:val="none"/>
        </w:rPr>
        <w:t>乙方所提供的货物必须符合国家现行有效的法律法规、行业规范及相关的质量标准并保证其产品使用质量，满足甲方的实际使用需求。如在货物送货时发现货物破损或者发生质量问题，甲方有权</w:t>
      </w:r>
      <w:r>
        <w:rPr>
          <w:rFonts w:hint="eastAsia" w:ascii="宋体" w:hAnsi="宋体" w:eastAsia="宋体" w:cs="宋体"/>
          <w:b/>
          <w:bCs/>
          <w:color w:val="auto"/>
          <w:kern w:val="2"/>
          <w:sz w:val="21"/>
          <w:szCs w:val="21"/>
          <w:highlight w:val="none"/>
          <w:lang w:eastAsia="zh-Hans"/>
        </w:rPr>
        <w:t>要求乙方在收到通知后【3】日内</w:t>
      </w:r>
      <w:r>
        <w:rPr>
          <w:rFonts w:hint="eastAsia" w:ascii="宋体" w:hAnsi="宋体" w:eastAsia="宋体" w:cs="宋体"/>
          <w:b/>
          <w:bCs/>
          <w:color w:val="auto"/>
          <w:kern w:val="2"/>
          <w:sz w:val="21"/>
          <w:szCs w:val="21"/>
          <w:highlight w:val="none"/>
        </w:rPr>
        <w:t>退换相应的货物；如因货物质量问题在安装使用后导致设备损坏无法正常使用，由乙方负责对该设备进行维修，因此产生的费用由乙方承担。</w:t>
      </w:r>
    </w:p>
    <w:p>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乙方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pPr>
        <w:keepNext w:val="0"/>
        <w:keepLines w:val="0"/>
        <w:pageBreakBefore w:val="0"/>
        <w:kinsoku/>
        <w:wordWrap/>
        <w:overflowPunct/>
        <w:topLinePunct w:val="0"/>
        <w:autoSpaceDE/>
        <w:autoSpaceDN/>
        <w:bidi w:val="0"/>
        <w:adjustRightInd/>
        <w:spacing w:line="360" w:lineRule="auto"/>
        <w:ind w:right="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乙方必须提供目前市场上技术较先进，成熟的原装产品，其质量、规格及技术特征符合合同附件的要求，并符合国家有关标准。</w:t>
      </w:r>
    </w:p>
    <w:p>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如货物属于国家规定的特种劳动防护用品的，乙方应在交货时提供相关产品检验报告等质量证明文件。</w:t>
      </w:r>
    </w:p>
    <w:p>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default" w:ascii="宋体" w:hAnsi="宋体" w:eastAsia="宋体" w:cs="宋体"/>
          <w:color w:val="auto"/>
          <w:sz w:val="21"/>
          <w:szCs w:val="21"/>
          <w:highlight w:val="none"/>
          <w:lang w:val="en-US" w:eastAsia="zh-CN"/>
        </w:rPr>
      </w:pPr>
      <w:bookmarkStart w:id="553" w:name="_Toc4196"/>
      <w:bookmarkStart w:id="554" w:name="_Toc21404"/>
      <w:bookmarkStart w:id="555" w:name="_Toc96787713"/>
      <w:bookmarkStart w:id="556" w:name="_Toc27161"/>
      <w:bookmarkStart w:id="557" w:name="_Toc4551"/>
      <w:bookmarkStart w:id="558" w:name="_Toc5817"/>
      <w:r>
        <w:rPr>
          <w:rFonts w:hint="eastAsia" w:ascii="宋体" w:hAnsi="宋体" w:eastAsia="宋体" w:cs="宋体"/>
          <w:color w:val="auto"/>
          <w:sz w:val="21"/>
          <w:szCs w:val="21"/>
          <w:highlight w:val="none"/>
          <w:lang w:val="en-US" w:eastAsia="zh-CN"/>
        </w:rPr>
        <w:t>5、产品执行标准</w:t>
      </w:r>
    </w:p>
    <w:p>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YB/T 4652  管道用球墨铸铁修补器；</w:t>
      </w:r>
    </w:p>
    <w:p>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1348 球墨铸铁件；</w:t>
      </w:r>
    </w:p>
    <w:p>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3098.1 紧固件机械性能 螺栓、螺钉和螺柱；</w:t>
      </w:r>
    </w:p>
    <w:p>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3098.2 紧固件机械性能 螺母；</w:t>
      </w:r>
    </w:p>
    <w:p>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6414 铸件 尺寸公差、几何公差与机械加工余量；</w:t>
      </w:r>
    </w:p>
    <w:p>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9941 球墨铸铁金相检验；</w:t>
      </w:r>
    </w:p>
    <w:p>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16938 紧固件 螺栓、螺钉、螺柱和螺母 通用技术条件；</w:t>
      </w:r>
    </w:p>
    <w:p>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17219 生活饮用水输配水设备及防护材料的安全性评价标准；</w:t>
      </w:r>
    </w:p>
    <w:p>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21873 橡胶密封件给、排水管及污水管道用接口封圈材料规范。</w:t>
      </w:r>
    </w:p>
    <w:p>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bookmarkStart w:id="559" w:name="_Toc1510"/>
      <w:bookmarkStart w:id="560" w:name="_Toc10410"/>
      <w:bookmarkStart w:id="561" w:name="_Toc4807"/>
      <w:r>
        <w:rPr>
          <w:rFonts w:hint="eastAsia" w:ascii="宋体" w:hAnsi="宋体" w:eastAsia="宋体" w:cs="宋体"/>
          <w:b/>
          <w:color w:val="auto"/>
          <w:sz w:val="21"/>
          <w:szCs w:val="21"/>
          <w:highlight w:val="none"/>
          <w:lang w:val="en-US" w:eastAsia="zh-CN"/>
        </w:rPr>
        <w:t xml:space="preserve">第四条 </w:t>
      </w:r>
      <w:r>
        <w:rPr>
          <w:rFonts w:hint="eastAsia" w:ascii="宋体" w:hAnsi="宋体" w:eastAsia="宋体" w:cs="宋体"/>
          <w:b/>
          <w:color w:val="auto"/>
          <w:sz w:val="21"/>
          <w:szCs w:val="21"/>
          <w:highlight w:val="none"/>
        </w:rPr>
        <w:t>交货约定</w:t>
      </w:r>
      <w:bookmarkEnd w:id="553"/>
      <w:bookmarkEnd w:id="554"/>
      <w:bookmarkEnd w:id="555"/>
      <w:bookmarkEnd w:id="556"/>
      <w:bookmarkEnd w:id="557"/>
      <w:bookmarkEnd w:id="558"/>
      <w:bookmarkEnd w:id="559"/>
      <w:bookmarkEnd w:id="560"/>
      <w:bookmarkEnd w:id="561"/>
    </w:p>
    <w:p>
      <w:pPr>
        <w:keepNext w:val="0"/>
        <w:keepLines w:val="0"/>
        <w:pageBreakBefore w:val="0"/>
        <w:kinsoku/>
        <w:wordWrap/>
        <w:overflowPunct/>
        <w:topLinePunct w:val="0"/>
        <w:autoSpaceDE/>
        <w:autoSpaceDN/>
        <w:bidi w:val="0"/>
        <w:spacing w:line="360" w:lineRule="auto"/>
        <w:ind w:firstLine="420" w:firstLineChars="200"/>
        <w:textAlignment w:val="auto"/>
        <w:outlineLvl w:val="1"/>
        <w:rPr>
          <w:rFonts w:hint="eastAsia" w:ascii="宋体" w:hAnsi="宋体" w:eastAsia="宋体" w:cs="宋体"/>
          <w:b w:val="0"/>
          <w:bCs/>
          <w:color w:val="auto"/>
          <w:sz w:val="21"/>
          <w:szCs w:val="21"/>
          <w:highlight w:val="none"/>
          <w:lang w:val="en-US" w:eastAsia="zh-CN"/>
        </w:rPr>
      </w:pPr>
      <w:bookmarkStart w:id="562" w:name="_Toc9454"/>
      <w:bookmarkStart w:id="563" w:name="_Toc4812"/>
      <w:bookmarkStart w:id="564" w:name="_Toc23319"/>
      <w:bookmarkStart w:id="565" w:name="_Toc22512"/>
      <w:bookmarkStart w:id="566" w:name="_Toc96787714"/>
      <w:bookmarkStart w:id="567" w:name="_Toc17174"/>
      <w:bookmarkStart w:id="568" w:name="_Toc21551"/>
      <w:bookmarkStart w:id="569" w:name="_Toc31907"/>
      <w:bookmarkStart w:id="570" w:name="_Toc28842"/>
      <w:r>
        <w:rPr>
          <w:rFonts w:hint="eastAsia" w:ascii="宋体" w:hAnsi="宋体" w:eastAsia="宋体" w:cs="宋体"/>
          <w:b w:val="0"/>
          <w:bCs/>
          <w:color w:val="auto"/>
          <w:sz w:val="21"/>
          <w:szCs w:val="21"/>
          <w:highlight w:val="none"/>
          <w:lang w:val="en-US" w:eastAsia="zh-CN"/>
        </w:rPr>
        <w:t>1、交货时间：乙方应指派固定的工作人员，按甲方每批次需要的货物名称、规格型号、数量等(具体以合同及采购订单的要求为准)，于甲方发出供货通知后24小时内将货物送到甲方指定的地点，急需的材料应在甲方发出供货通知后   个小时内送达。乙方每次随货送上一式两份的送货清单，乙方、甲方双方验货后签字确认，双方各持一份，作为送、收货的凭证。</w:t>
      </w:r>
    </w:p>
    <w:p>
      <w:pPr>
        <w:keepNext w:val="0"/>
        <w:keepLines w:val="0"/>
        <w:pageBreakBefore w:val="0"/>
        <w:kinsoku/>
        <w:wordWrap/>
        <w:overflowPunct/>
        <w:topLinePunct w:val="0"/>
        <w:autoSpaceDE/>
        <w:autoSpaceDN/>
        <w:bidi w:val="0"/>
        <w:spacing w:line="360" w:lineRule="auto"/>
        <w:ind w:firstLine="420" w:firstLineChars="200"/>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2、交货地点：</w:t>
      </w:r>
      <w:r>
        <w:rPr>
          <w:rFonts w:hint="eastAsia" w:ascii="宋体" w:hAnsi="宋体" w:eastAsia="宋体" w:cs="Times New Roman"/>
          <w:b w:val="0"/>
          <w:bCs w:val="0"/>
          <w:color w:val="auto"/>
          <w:spacing w:val="0"/>
          <w:sz w:val="21"/>
          <w:szCs w:val="21"/>
          <w:highlight w:val="none"/>
          <w:lang w:val="en-US" w:eastAsia="zh-CN"/>
        </w:rPr>
        <w:t>东莞市范围内</w:t>
      </w:r>
      <w:r>
        <w:rPr>
          <w:rFonts w:hint="eastAsia" w:ascii="宋体" w:hAnsi="宋体" w:eastAsia="宋体" w:cs="宋体"/>
          <w:b w:val="0"/>
          <w:bCs/>
          <w:color w:val="auto"/>
          <w:sz w:val="21"/>
          <w:szCs w:val="21"/>
          <w:highlight w:val="none"/>
          <w:lang w:val="en-US" w:eastAsia="zh-CN"/>
        </w:rPr>
        <w:t>甲方指定地点。</w:t>
      </w:r>
    </w:p>
    <w:p>
      <w:pPr>
        <w:keepNext w:val="0"/>
        <w:keepLines w:val="0"/>
        <w:pageBreakBefore w:val="0"/>
        <w:kinsoku/>
        <w:wordWrap/>
        <w:overflowPunct/>
        <w:topLinePunct w:val="0"/>
        <w:autoSpaceDE/>
        <w:autoSpaceDN/>
        <w:bidi w:val="0"/>
        <w:spacing w:line="360" w:lineRule="auto"/>
        <w:ind w:firstLine="420" w:firstLineChars="200"/>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乙方负责货物的运输、卸货并承担相关的费用和责任，货物的包装应采取相应的保护措施。凡由于包装不良造成的损失和由此产生的费用均由乙方承担，且原则上应在4个小时内无条件进行更换。</w:t>
      </w:r>
    </w:p>
    <w:p>
      <w:pPr>
        <w:keepNext w:val="0"/>
        <w:keepLines w:val="0"/>
        <w:pageBreakBefore w:val="0"/>
        <w:kinsoku/>
        <w:wordWrap/>
        <w:overflowPunct/>
        <w:topLinePunct w:val="0"/>
        <w:autoSpaceDE/>
        <w:autoSpaceDN/>
        <w:bidi w:val="0"/>
        <w:spacing w:line="360" w:lineRule="auto"/>
        <w:ind w:firstLine="420" w:firstLineChars="200"/>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3、交货要求：</w:t>
      </w:r>
    </w:p>
    <w:p>
      <w:pPr>
        <w:keepNext w:val="0"/>
        <w:keepLines w:val="0"/>
        <w:pageBreakBefore w:val="0"/>
        <w:kinsoku/>
        <w:wordWrap/>
        <w:overflowPunct/>
        <w:topLinePunct w:val="0"/>
        <w:autoSpaceDE/>
        <w:autoSpaceDN/>
        <w:bidi w:val="0"/>
        <w:spacing w:line="360" w:lineRule="auto"/>
        <w:ind w:firstLine="420" w:firstLineChars="200"/>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（1）乙方提供的货物必须是全新的(包括所有零配件、专用工具等)，表面无划伤，无碰撞，各项技术参数完全符合国家计量检测标准。</w:t>
      </w:r>
    </w:p>
    <w:p>
      <w:pPr>
        <w:keepNext w:val="0"/>
        <w:keepLines w:val="0"/>
        <w:pageBreakBefore w:val="0"/>
        <w:kinsoku/>
        <w:wordWrap/>
        <w:overflowPunct/>
        <w:topLinePunct w:val="0"/>
        <w:autoSpaceDE/>
        <w:autoSpaceDN/>
        <w:bidi w:val="0"/>
        <w:spacing w:line="360" w:lineRule="auto"/>
        <w:ind w:firstLine="420" w:firstLineChars="200"/>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（2）所有货物必须送到指定的交货现场(甲方指定地点)后才能拆封。在开箱检验时必须完好，无破损，配置与装箱单相符。货物外观清洁，标记编号以及产品其他信息等字体清晰、明确。</w:t>
      </w:r>
    </w:p>
    <w:p>
      <w:pPr>
        <w:keepNext w:val="0"/>
        <w:keepLines w:val="0"/>
        <w:pageBreakBefore w:val="0"/>
        <w:kinsoku/>
        <w:wordWrap/>
        <w:overflowPunct/>
        <w:topLinePunct w:val="0"/>
        <w:autoSpaceDE/>
        <w:autoSpaceDN/>
        <w:bidi w:val="0"/>
        <w:spacing w:line="360" w:lineRule="auto"/>
        <w:ind w:firstLine="420" w:firstLineChars="200"/>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（3）在货物验收合格之前，因乙方原因导致的安全事故，包括但不限于导致甲方或第三人遭受财产损失或人员损失的，均由乙方承担</w:t>
      </w:r>
    </w:p>
    <w:p>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验收要求</w:t>
      </w:r>
      <w:bookmarkEnd w:id="562"/>
      <w:bookmarkEnd w:id="563"/>
      <w:bookmarkEnd w:id="564"/>
      <w:bookmarkEnd w:id="565"/>
      <w:bookmarkEnd w:id="566"/>
      <w:bookmarkEnd w:id="567"/>
      <w:bookmarkEnd w:id="568"/>
      <w:bookmarkEnd w:id="569"/>
      <w:bookmarkEnd w:id="57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1、由甲方、乙方共同进行货物的验收，验收合格后交付甲方。在甲方现场验收所发生的一切费用由乙方承担。验收按国家有关的规定、规范进行。货物质控要求符合用户需求的质量控制标准或有效试验判断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2、验收时如发现所交付的货物有短装、次品、损坏或其他不符合本项目用户需求书规定之情形者，由甲方和乙方双方签署详细的验收记录。此现场记录可用作补充、缺失和更换损坏部件的有效证据。由此产生的有关费用由乙方承担。甲方有权要求乙方在4小时内补充、更换货物，如乙方拒不履行，甲方可按照合同约定的违约条款进行索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3、国内产品或合资厂产品必须具备出厂合格证。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4、进口产品必须具有《进口产品注册证书》及相关商检证明。</w:t>
      </w:r>
    </w:p>
    <w:p>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bookmarkStart w:id="571" w:name="_Toc27292"/>
      <w:bookmarkStart w:id="572" w:name="_Toc415"/>
      <w:bookmarkStart w:id="573" w:name="_Toc4846"/>
      <w:bookmarkStart w:id="574" w:name="_Toc96787715"/>
      <w:bookmarkStart w:id="575" w:name="_Toc17345"/>
      <w:bookmarkStart w:id="576" w:name="_Toc17491"/>
      <w:bookmarkStart w:id="577" w:name="_Toc20186"/>
      <w:bookmarkStart w:id="578" w:name="_Toc7000"/>
      <w:bookmarkStart w:id="579" w:name="_Toc1763"/>
      <w:r>
        <w:rPr>
          <w:rFonts w:hint="eastAsia" w:ascii="宋体" w:hAnsi="宋体" w:eastAsia="宋体" w:cs="宋体"/>
          <w:b/>
          <w:color w:val="auto"/>
          <w:sz w:val="21"/>
          <w:szCs w:val="21"/>
          <w:highlight w:val="none"/>
        </w:rPr>
        <w:t>第六条 综合单价、暂定合同价及付款方式</w:t>
      </w:r>
      <w:bookmarkEnd w:id="571"/>
      <w:bookmarkEnd w:id="572"/>
      <w:bookmarkEnd w:id="573"/>
      <w:bookmarkEnd w:id="574"/>
      <w:bookmarkEnd w:id="575"/>
      <w:bookmarkEnd w:id="576"/>
      <w:bookmarkEnd w:id="577"/>
      <w:bookmarkEnd w:id="578"/>
      <w:bookmarkEnd w:id="579"/>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1、本合同价采用折扣系数，本项目执行的中标折扣系数为：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。合同履约过程中，</w:t>
      </w:r>
      <w:r>
        <w:rPr>
          <w:rFonts w:hint="eastAsia" w:ascii="宋体" w:hAnsi="宋体" w:eastAsia="宋体" w:cs="宋体"/>
          <w:color w:val="auto"/>
          <w:sz w:val="21"/>
          <w:szCs w:val="21"/>
          <w:highlight w:val="none"/>
          <w:u w:val="none"/>
          <w:lang w:val="en-US" w:eastAsia="zh-CN"/>
        </w:rPr>
        <w:t>采</w:t>
      </w:r>
      <w:r>
        <w:rPr>
          <w:rFonts w:hint="eastAsia" w:ascii="宋体" w:hAnsi="宋体" w:eastAsia="宋体" w:cs="宋体"/>
          <w:color w:val="auto"/>
          <w:sz w:val="21"/>
          <w:szCs w:val="21"/>
          <w:highlight w:val="none"/>
        </w:rPr>
        <w:t>购清单中</w:t>
      </w:r>
      <w:r>
        <w:rPr>
          <w:rFonts w:hint="eastAsia" w:ascii="宋体" w:hAnsi="宋体" w:eastAsia="宋体" w:cs="宋体"/>
          <w:color w:val="auto"/>
          <w:sz w:val="21"/>
          <w:szCs w:val="21"/>
          <w:highlight w:val="none"/>
          <w:lang w:val="en-US" w:eastAsia="zh-CN"/>
        </w:rPr>
        <w:t>抢修器</w:t>
      </w:r>
      <w:r>
        <w:rPr>
          <w:rFonts w:hint="eastAsia" w:ascii="宋体" w:hAnsi="宋体" w:eastAsia="宋体" w:cs="宋体"/>
          <w:color w:val="auto"/>
          <w:sz w:val="21"/>
          <w:szCs w:val="21"/>
          <w:highlight w:val="none"/>
        </w:rPr>
        <w:t>不含税中标综合单价按以下方式计算：不含税中标综合单价=不含税</w:t>
      </w:r>
      <w:r>
        <w:rPr>
          <w:rFonts w:hint="eastAsia" w:ascii="宋体" w:hAnsi="宋体" w:eastAsia="宋体" w:cs="宋体"/>
          <w:color w:val="auto"/>
          <w:sz w:val="21"/>
          <w:szCs w:val="21"/>
          <w:highlight w:val="none"/>
          <w:lang w:val="en-US" w:eastAsia="zh-CN"/>
        </w:rPr>
        <w:t>固定</w:t>
      </w:r>
      <w:r>
        <w:rPr>
          <w:rFonts w:hint="eastAsia" w:ascii="宋体" w:hAnsi="宋体" w:eastAsia="宋体" w:cs="宋体"/>
          <w:color w:val="auto"/>
          <w:sz w:val="21"/>
          <w:szCs w:val="21"/>
          <w:highlight w:val="none"/>
        </w:rPr>
        <w:t>综合单价×中标折扣系数，以实际供货数量进行结算，不含税中标综合单价出现小数点，保留小数点后两位，从小数点后第3位四舍五入。</w:t>
      </w:r>
      <w:r>
        <w:rPr>
          <w:rFonts w:hint="eastAsia" w:ascii="宋体" w:hAnsi="宋体" w:eastAsia="宋体" w:cs="宋体"/>
          <w:color w:val="auto"/>
          <w:sz w:val="21"/>
          <w:szCs w:val="21"/>
          <w:highlight w:val="none"/>
          <w:u w:val="none"/>
        </w:rPr>
        <w:t>不含税预算综合单价详见附件《采购清单及价格表》，对应招标时暂列采购数量清单计算的暂定合同价（即销售额，不含销项税额）为¥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，在本合同履行过程中，税收政策变动导致增值税税率调整，依法应调整销项税额的，依法调整</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发票类型为增值税普通发票</w:t>
      </w:r>
      <w:r>
        <w:rPr>
          <w:rFonts w:hint="eastAsia" w:ascii="宋体" w:hAnsi="宋体" w:eastAsia="宋体" w:cs="宋体"/>
          <w:color w:val="auto"/>
          <w:sz w:val="21"/>
          <w:szCs w:val="21"/>
          <w:highlight w:val="none"/>
          <w:u w:val="none"/>
        </w:rPr>
        <w:t>；但因乙方未按甲方要求时间完成供货、未根据合同约定提供合法、完整的请款资料、货物验收不合格导致的返工或退货、货物验收合格前的非正常损耗等原因导致销项税额增加的，相应损失由乙方承担。</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因乙方未按法定税率计算税额或未根据本合同约定出具对应税额的增值税</w:t>
      </w:r>
      <w:r>
        <w:rPr>
          <w:rFonts w:hint="eastAsia" w:ascii="宋体" w:hAnsi="宋体" w:eastAsia="宋体" w:cs="宋体"/>
          <w:color w:val="auto"/>
          <w:sz w:val="21"/>
          <w:szCs w:val="21"/>
          <w:highlight w:val="none"/>
          <w:u w:val="none"/>
          <w:lang w:val="en-US" w:eastAsia="zh-CN"/>
        </w:rPr>
        <w:t>普通</w:t>
      </w:r>
      <w:r>
        <w:rPr>
          <w:rFonts w:hint="eastAsia" w:ascii="宋体" w:hAnsi="宋体" w:eastAsia="宋体" w:cs="宋体"/>
          <w:color w:val="auto"/>
          <w:sz w:val="21"/>
          <w:szCs w:val="21"/>
          <w:highlight w:val="none"/>
          <w:u w:val="none"/>
        </w:rPr>
        <w:t>发票等乙方原因导致甲方多支付税额的，乙方必须退还甲方，给甲方造成损失的，乙方须向甲方赔偿相应损失。</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3、不含税中标综合单价包括了甲方需就购买本合同项下货物及其服务所支付的全部价款，</w:t>
      </w:r>
      <w:r>
        <w:rPr>
          <w:rFonts w:hint="eastAsia" w:ascii="宋体" w:hAnsi="宋体" w:eastAsia="宋体" w:cs="宋体"/>
          <w:color w:val="auto"/>
          <w:sz w:val="21"/>
          <w:szCs w:val="21"/>
          <w:highlight w:val="none"/>
          <w:u w:val="none"/>
          <w:lang w:val="zh-CN"/>
        </w:rPr>
        <w:t>包括但不限于：</w:t>
      </w:r>
      <w:r>
        <w:rPr>
          <w:rFonts w:hint="eastAsia" w:ascii="宋体" w:hAnsi="宋体" w:eastAsia="宋体" w:cs="宋体"/>
          <w:color w:val="auto"/>
          <w:sz w:val="21"/>
          <w:szCs w:val="21"/>
          <w:highlight w:val="none"/>
          <w:u w:val="none"/>
        </w:rPr>
        <w:t>（1）货物及用户需求书采购清单中要求每项货物配备的附件、备品备件的采购、制造、检测、试验、送货、</w:t>
      </w:r>
      <w:r>
        <w:rPr>
          <w:rFonts w:hint="default" w:ascii="宋体" w:hAnsi="宋体" w:eastAsia="宋体" w:cs="宋体"/>
          <w:color w:val="auto"/>
          <w:sz w:val="21"/>
          <w:szCs w:val="21"/>
          <w:highlight w:val="none"/>
          <w:u w:val="none"/>
          <w:lang w:val="en-US"/>
        </w:rPr>
        <w:t>装卸</w:t>
      </w:r>
      <w:r>
        <w:rPr>
          <w:rFonts w:hint="eastAsia" w:ascii="宋体" w:hAnsi="宋体" w:eastAsia="宋体" w:cs="宋体"/>
          <w:color w:val="auto"/>
          <w:sz w:val="21"/>
          <w:szCs w:val="21"/>
          <w:highlight w:val="none"/>
          <w:u w:val="none"/>
        </w:rPr>
        <w:t>（含二次搬运至</w:t>
      </w:r>
      <w:r>
        <w:rPr>
          <w:rFonts w:hint="eastAsia" w:ascii="宋体" w:hAnsi="宋体" w:eastAsia="宋体" w:cs="宋体"/>
          <w:color w:val="auto"/>
          <w:sz w:val="21"/>
          <w:szCs w:val="21"/>
          <w:highlight w:val="none"/>
          <w:u w:val="none"/>
          <w:lang w:val="en-US" w:eastAsia="zh-CN"/>
        </w:rPr>
        <w:t>甲方</w:t>
      </w:r>
      <w:r>
        <w:rPr>
          <w:rFonts w:hint="eastAsia" w:ascii="宋体" w:hAnsi="宋体" w:eastAsia="宋体" w:cs="宋体"/>
          <w:color w:val="auto"/>
          <w:sz w:val="21"/>
          <w:szCs w:val="21"/>
          <w:highlight w:val="none"/>
          <w:u w:val="none"/>
        </w:rPr>
        <w:t>指定仓储地点）、包装费、运费、保险、现场仓储等相关服务的全部费用；（2）免费的质保服务，包括但不限于免费质量问题处理或更换失效产品；（3）货物验收合格前发生的安全事故所产生的一切费用；（4）合理利润、乙方销项税额以外的税费等；（5）法律法规、商业公认、招标文件规定由乙方承担的其他直接及间接费用。</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在本合同履行过程中，不含税中标</w:t>
      </w:r>
      <w:r>
        <w:rPr>
          <w:rFonts w:hint="eastAsia" w:ascii="宋体" w:hAnsi="宋体" w:eastAsia="宋体" w:cs="宋体"/>
          <w:color w:val="auto"/>
          <w:sz w:val="21"/>
          <w:szCs w:val="21"/>
          <w:highlight w:val="none"/>
        </w:rPr>
        <w:t>综合单价（不含乙方销项税额）在</w:t>
      </w:r>
      <w:r>
        <w:rPr>
          <w:rFonts w:hint="eastAsia" w:ascii="宋体" w:hAnsi="宋体" w:eastAsia="宋体" w:cs="宋体"/>
          <w:color w:val="auto"/>
          <w:sz w:val="21"/>
          <w:szCs w:val="21"/>
          <w:highlight w:val="none"/>
          <w:lang w:val="zh-CN"/>
        </w:rPr>
        <w:t>合同执行期间</w:t>
      </w:r>
      <w:r>
        <w:rPr>
          <w:rFonts w:hint="eastAsia" w:ascii="宋体" w:hAnsi="宋体" w:eastAsia="宋体" w:cs="宋体"/>
          <w:color w:val="auto"/>
          <w:sz w:val="21"/>
          <w:szCs w:val="21"/>
          <w:highlight w:val="none"/>
        </w:rPr>
        <w:t>固定不变，不得因材料、劳务成本、运输成本、国家政策、货物的行业标准或国家标准的变动或其他任何理由</w:t>
      </w:r>
      <w:r>
        <w:rPr>
          <w:rFonts w:hint="eastAsia" w:ascii="宋体" w:hAnsi="宋体" w:eastAsia="宋体" w:cs="宋体"/>
          <w:color w:val="auto"/>
          <w:sz w:val="21"/>
          <w:szCs w:val="21"/>
          <w:highlight w:val="none"/>
          <w:lang w:val="zh-CN"/>
        </w:rPr>
        <w:t>予以变更。</w:t>
      </w:r>
      <w:r>
        <w:rPr>
          <w:rFonts w:hint="eastAsia" w:ascii="宋体" w:hAnsi="宋体" w:eastAsia="宋体" w:cs="宋体"/>
          <w:color w:val="auto"/>
          <w:sz w:val="21"/>
          <w:szCs w:val="21"/>
          <w:highlight w:val="none"/>
        </w:rPr>
        <w:t>未经甲方书面确认，乙方无权另行收取</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任何费用。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5、付款方式</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甲方收到每批货物最终书面确认验收合格后，甲方按供货进度向乙方支付上月实际验收合格供货量的款项，乙方向甲方提交请款报告和等额的合法、有效的增值税普通发票，甲方在收到前述材料并确认无误后20个工作日内，甲方支付结算上月实际验收合格供货量合同价的【100%】及对应税额。</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按甲方采购需求清单提供货物价款等额合法的增值税普通发票、请款报告等请款资料，逾期提交请款资料及发票或提交资料不符合甲方要求的，甲方付款时间顺延，并不承担逾期付款违约责任。由于乙方提供的发票不符合税法规定，给甲方造成的损失由乙方承担赔偿责任。</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7、乙方指定收款账户：</w:t>
      </w:r>
    </w:p>
    <w:p>
      <w:pPr>
        <w:keepNext w:val="0"/>
        <w:keepLines w:val="0"/>
        <w:pageBreakBefore w:val="0"/>
        <w:kinsoku/>
        <w:wordWrap/>
        <w:overflowPunct/>
        <w:topLinePunct w:val="0"/>
        <w:autoSpaceDE/>
        <w:autoSpaceDN/>
        <w:bidi w:val="0"/>
        <w:adjustRightInd/>
        <w:spacing w:line="360" w:lineRule="auto"/>
        <w:ind w:left="720" w:firstLine="420" w:firstLineChars="200"/>
        <w:jc w:val="both"/>
        <w:textAlignment w:val="auto"/>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 xml:space="preserve">户名： </w:t>
      </w:r>
    </w:p>
    <w:p>
      <w:pPr>
        <w:keepNext w:val="0"/>
        <w:keepLines w:val="0"/>
        <w:pageBreakBefore w:val="0"/>
        <w:kinsoku/>
        <w:wordWrap/>
        <w:overflowPunct/>
        <w:topLinePunct w:val="0"/>
        <w:autoSpaceDE/>
        <w:autoSpaceDN/>
        <w:bidi w:val="0"/>
        <w:adjustRightInd/>
        <w:spacing w:line="360" w:lineRule="auto"/>
        <w:ind w:left="720" w:firstLine="420" w:firstLineChars="200"/>
        <w:jc w:val="both"/>
        <w:textAlignment w:val="auto"/>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 xml:space="preserve">开户行： </w:t>
      </w:r>
    </w:p>
    <w:p>
      <w:pPr>
        <w:keepNext w:val="0"/>
        <w:keepLines w:val="0"/>
        <w:pageBreakBefore w:val="0"/>
        <w:kinsoku/>
        <w:wordWrap/>
        <w:overflowPunct/>
        <w:topLinePunct w:val="0"/>
        <w:autoSpaceDE/>
        <w:autoSpaceDN/>
        <w:bidi w:val="0"/>
        <w:adjustRightInd/>
        <w:spacing w:line="360" w:lineRule="auto"/>
        <w:ind w:left="720" w:firstLine="420" w:firstLineChars="200"/>
        <w:jc w:val="both"/>
        <w:textAlignment w:val="auto"/>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账号：</w:t>
      </w:r>
    </w:p>
    <w:p>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u w:val="words"/>
        </w:rPr>
      </w:pPr>
      <w:r>
        <w:rPr>
          <w:rFonts w:hint="eastAsia" w:ascii="宋体" w:hAnsi="宋体" w:eastAsia="宋体" w:cs="宋体"/>
          <w:color w:val="auto"/>
          <w:kern w:val="2"/>
          <w:sz w:val="21"/>
          <w:szCs w:val="21"/>
          <w:highlight w:val="none"/>
          <w:u w:val="none"/>
          <w:lang w:eastAsia="zh-Hans"/>
        </w:rPr>
        <w:t>乙方确认本合同项下的款项均支付至上述银行账户，甲方将款项支付至乙方指定账户即完成支付义务。如乙方收款账户发生任何变更，乙方应至少提前【15】个工作日书面通知甲方；因未及时通知或因上述银行账户被查封、冻结或发生其他非因甲方原因导致款项未能及时到账的，因此导致的后果由乙方自行承担，与甲方无关。</w:t>
      </w:r>
    </w:p>
    <w:p>
      <w:pPr>
        <w:keepNext w:val="0"/>
        <w:keepLines w:val="0"/>
        <w:pageBreakBefore w:val="0"/>
        <w:numPr>
          <w:ilvl w:val="0"/>
          <w:numId w:val="0"/>
        </w:numPr>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bookmarkStart w:id="580" w:name="_Toc25423"/>
      <w:bookmarkStart w:id="581" w:name="_Toc6693"/>
      <w:bookmarkStart w:id="582" w:name="_Toc25170"/>
      <w:bookmarkStart w:id="583" w:name="_Toc29086"/>
      <w:bookmarkStart w:id="584" w:name="_Toc11789"/>
      <w:bookmarkStart w:id="585" w:name="_Toc10504"/>
      <w:bookmarkStart w:id="586" w:name="_Toc1574"/>
      <w:bookmarkStart w:id="587" w:name="_Toc9857"/>
      <w:bookmarkStart w:id="588" w:name="_Toc96787716"/>
      <w:r>
        <w:rPr>
          <w:rFonts w:hint="eastAsia" w:ascii="宋体" w:hAnsi="宋体" w:eastAsia="宋体" w:cs="宋体"/>
          <w:b/>
          <w:color w:val="auto"/>
          <w:kern w:val="2"/>
          <w:sz w:val="21"/>
          <w:szCs w:val="21"/>
          <w:highlight w:val="none"/>
          <w:lang w:val="en-US" w:eastAsia="zh-CN" w:bidi="ar-SA"/>
        </w:rPr>
        <w:t xml:space="preserve">第七条 </w:t>
      </w:r>
      <w:r>
        <w:rPr>
          <w:rFonts w:hint="eastAsia" w:ascii="宋体" w:hAnsi="宋体" w:eastAsia="宋体" w:cs="宋体"/>
          <w:b/>
          <w:color w:val="auto"/>
          <w:sz w:val="21"/>
          <w:szCs w:val="21"/>
          <w:highlight w:val="none"/>
        </w:rPr>
        <w:t>质保及售后要求</w:t>
      </w:r>
      <w:bookmarkEnd w:id="580"/>
      <w:bookmarkEnd w:id="581"/>
      <w:bookmarkEnd w:id="582"/>
      <w:bookmarkEnd w:id="583"/>
      <w:bookmarkEnd w:id="584"/>
      <w:bookmarkEnd w:id="585"/>
      <w:bookmarkEnd w:id="586"/>
      <w:bookmarkEnd w:id="587"/>
      <w:bookmarkEnd w:id="58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1、乙方应将其提供的合同货物运抵现场，并经验收合格方可交付甲方。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2、定期抽检：在履约期间，甲方有权委托有资质的第三方检测机构每半年对货物进行抽检一次，货物需符合</w:t>
      </w:r>
      <w:r>
        <w:rPr>
          <w:rFonts w:hint="eastAsia" w:ascii="宋体" w:hAnsi="宋体" w:eastAsia="宋体" w:cs="宋体"/>
          <w:snapToGrid w:val="0"/>
          <w:color w:val="auto"/>
          <w:kern w:val="0"/>
          <w:szCs w:val="21"/>
          <w:highlight w:val="none"/>
          <w:u w:val="none"/>
          <w:lang w:bidi="ar"/>
        </w:rPr>
        <w:t>《管道用球墨铸铁修补器</w:t>
      </w:r>
      <w:r>
        <w:rPr>
          <w:rFonts w:hint="eastAsia" w:ascii="宋体" w:hAnsi="宋体" w:eastAsia="宋体" w:cs="宋体"/>
          <w:snapToGrid w:val="0"/>
          <w:color w:val="auto"/>
          <w:kern w:val="0"/>
          <w:szCs w:val="21"/>
          <w:highlight w:val="none"/>
          <w:u w:val="none"/>
          <w:lang w:eastAsia="zh-CN" w:bidi="ar"/>
        </w:rPr>
        <w:t>（</w:t>
      </w:r>
      <w:r>
        <w:rPr>
          <w:rFonts w:hint="eastAsia" w:ascii="宋体" w:hAnsi="宋体" w:eastAsia="宋体" w:cs="宋体"/>
          <w:snapToGrid w:val="0"/>
          <w:color w:val="auto"/>
          <w:kern w:val="0"/>
          <w:szCs w:val="21"/>
          <w:highlight w:val="none"/>
          <w:u w:val="none"/>
          <w:lang w:bidi="ar"/>
        </w:rPr>
        <w:t>YB∕T 4652-2018</w:t>
      </w:r>
      <w:r>
        <w:rPr>
          <w:rFonts w:hint="eastAsia" w:ascii="宋体" w:hAnsi="宋体" w:eastAsia="宋体" w:cs="宋体"/>
          <w:snapToGrid w:val="0"/>
          <w:color w:val="auto"/>
          <w:kern w:val="0"/>
          <w:szCs w:val="21"/>
          <w:highlight w:val="none"/>
          <w:u w:val="none"/>
          <w:lang w:eastAsia="zh-CN" w:bidi="ar"/>
        </w:rPr>
        <w:t>）</w:t>
      </w:r>
      <w:r>
        <w:rPr>
          <w:rFonts w:hint="eastAsia" w:ascii="宋体" w:hAnsi="宋体" w:eastAsia="宋体" w:cs="宋体"/>
          <w:snapToGrid w:val="0"/>
          <w:color w:val="auto"/>
          <w:kern w:val="0"/>
          <w:szCs w:val="21"/>
          <w:highlight w:val="none"/>
          <w:u w:val="none"/>
          <w:lang w:bidi="ar"/>
        </w:rPr>
        <w:t>》《生活饮用水输配水设备及防护材料的安全性评价标准（GB/T 17219）》</w:t>
      </w:r>
      <w:r>
        <w:rPr>
          <w:rFonts w:hint="eastAsia" w:ascii="宋体" w:hAnsi="宋体" w:eastAsia="宋体" w:cs="宋体"/>
          <w:snapToGrid w:val="0"/>
          <w:color w:val="auto"/>
          <w:kern w:val="0"/>
          <w:szCs w:val="21"/>
          <w:highlight w:val="none"/>
          <w:u w:val="none"/>
          <w:lang w:val="en-US" w:eastAsia="zh-CN" w:bidi="ar"/>
        </w:rPr>
        <w:t>等</w:t>
      </w:r>
      <w:r>
        <w:rPr>
          <w:rFonts w:hint="eastAsia" w:ascii="宋体" w:hAnsi="宋体" w:eastAsia="宋体" w:cs="宋体"/>
          <w:b w:val="0"/>
          <w:bCs w:val="0"/>
          <w:i w:val="0"/>
          <w:iCs w:val="0"/>
          <w:snapToGrid w:val="0"/>
          <w:color w:val="auto"/>
          <w:kern w:val="0"/>
          <w:sz w:val="21"/>
          <w:szCs w:val="21"/>
          <w:highlight w:val="none"/>
          <w:u w:val="none"/>
          <w:lang w:val="en-US" w:eastAsia="zh-CN" w:bidi="ar"/>
        </w:rPr>
        <w:t>要求，检测费用由乙方负责。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3、不定期检测：在履约期间，甲方有权委托有资质的第三方检测机构按相关规定对货物进行检测，检测地点根据建材检测项目需求可为材料生产基地或甲方指定的材料送货地点，乙方应予以配合，如检测结果合格，费用由甲方负责；如检测结果不合格，费用由乙方负责，并承担对不合格批次产品的更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4、乙方按合同交付货物给甲方时，质保期内正常使用下，因非人为因素损坏的，乙方应在收到有关通知后，按甲方要求时间予以更换，质保期内全部服务费和更换货物的费用由乙方承担。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5、质量保证期内乙方在收到甲方发出的抢修、维修通知后，24小时内无偿提供技术指导。若因管材质量造成的一切损失由乙方负责。如果乙方在收到通知后没有弥补缺陷，甲方可采取必要的补救措施，但其风险和费用将由乙方承担，甲方根据合同规定对乙方行使的其他权利不受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6、乙方除不可抗力外，不得因其他任何理由延迟送货。甲方如遇特殊情况需推迟送货，应提前通知乙方。因乙方原因延误交货日期的(甲方要求推迟的除外),甲方有权自行采购，并由乙方承担由此产生的一切损失和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7、如货物不能达到本用户需求书约定的质量标准和厂家的质量标准，甲方有权退货，并依法追究乙方的违约责任。达到三次或以上退货的，甲方有权解除合同，并另外委托其他供货商供应，由此产生的甲方的经济损失由乙方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8、如果合同货物运输过程中因事故造成货物短缺、损坏，乙方应及时安排换货，以保证合同货物验收的成功完成。换货的相关费用由乙方承担。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9、供货期内，乙方如接到甲方的售后服务通知的，需在</w:t>
      </w:r>
      <w:r>
        <w:rPr>
          <w:rFonts w:hint="eastAsia" w:ascii="宋体" w:hAnsi="宋体" w:eastAsia="宋体" w:cs="宋体"/>
          <w:b w:val="0"/>
          <w:bCs w:val="0"/>
          <w:i w:val="0"/>
          <w:iCs w:val="0"/>
          <w:snapToGrid w:val="0"/>
          <w:color w:val="auto"/>
          <w:kern w:val="0"/>
          <w:sz w:val="21"/>
          <w:szCs w:val="21"/>
          <w:highlight w:val="none"/>
          <w:u w:val="single"/>
          <w:lang w:val="en-US" w:eastAsia="zh-CN" w:bidi="ar"/>
        </w:rPr>
        <w:t xml:space="preserve">    </w:t>
      </w:r>
      <w:r>
        <w:rPr>
          <w:rFonts w:hint="eastAsia" w:ascii="宋体" w:hAnsi="宋体" w:eastAsia="宋体" w:cs="宋体"/>
          <w:b w:val="0"/>
          <w:bCs w:val="0"/>
          <w:i w:val="0"/>
          <w:iCs w:val="0"/>
          <w:snapToGrid w:val="0"/>
          <w:color w:val="auto"/>
          <w:kern w:val="0"/>
          <w:sz w:val="21"/>
          <w:szCs w:val="21"/>
          <w:highlight w:val="none"/>
          <w:u w:val="none"/>
          <w:lang w:val="en-US" w:eastAsia="zh-CN" w:bidi="ar"/>
        </w:rPr>
        <w:t>小时内响应。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10、质保期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自货到现场且经甲方书面确认验收合格之日起计算，质量保证期为 2 年。</w:t>
      </w:r>
    </w:p>
    <w:p>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color w:val="auto"/>
          <w:sz w:val="21"/>
          <w:szCs w:val="21"/>
          <w:highlight w:val="none"/>
        </w:rPr>
      </w:pPr>
      <w:bookmarkStart w:id="589" w:name="_Toc9438"/>
      <w:bookmarkStart w:id="590" w:name="_Toc96787717"/>
      <w:bookmarkStart w:id="591" w:name="_Toc29094"/>
      <w:bookmarkStart w:id="592" w:name="_Toc19906"/>
      <w:bookmarkStart w:id="593" w:name="_Toc13676"/>
      <w:bookmarkStart w:id="594" w:name="_Toc2761"/>
      <w:bookmarkStart w:id="595" w:name="_Toc29087"/>
      <w:bookmarkStart w:id="596" w:name="_Toc28663"/>
      <w:bookmarkStart w:id="597" w:name="_Toc8766"/>
      <w:r>
        <w:rPr>
          <w:rFonts w:hint="eastAsia" w:ascii="宋体" w:hAnsi="宋体" w:eastAsia="宋体" w:cs="宋体"/>
          <w:b/>
          <w:color w:val="auto"/>
          <w:sz w:val="21"/>
          <w:szCs w:val="21"/>
          <w:highlight w:val="none"/>
        </w:rPr>
        <w:t>第八条 履约担保</w:t>
      </w:r>
      <w:bookmarkEnd w:id="589"/>
      <w:bookmarkEnd w:id="590"/>
      <w:bookmarkEnd w:id="591"/>
      <w:bookmarkEnd w:id="592"/>
      <w:bookmarkEnd w:id="593"/>
      <w:bookmarkEnd w:id="594"/>
      <w:bookmarkEnd w:id="595"/>
      <w:bookmarkEnd w:id="596"/>
      <w:bookmarkEnd w:id="597"/>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履约保证金（银行转账形式）金额为¥     元（大写人民币      ）；</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不可撤销银行履约保函金额为</w:t>
      </w:r>
      <w:r>
        <w:rPr>
          <w:rFonts w:hint="eastAsia" w:ascii="宋体" w:hAnsi="宋体" w:eastAsia="宋体" w:cs="宋体"/>
          <w:color w:val="auto"/>
          <w:sz w:val="21"/>
          <w:szCs w:val="21"/>
          <w:highlight w:val="none"/>
          <w:u w:val="single"/>
          <w:lang w:val="zh-CN"/>
        </w:rPr>
        <w:t>¥     元（大写人民币      ）</w:t>
      </w:r>
      <w:r>
        <w:rPr>
          <w:rFonts w:hint="eastAsia" w:ascii="宋体" w:hAnsi="宋体" w:eastAsia="宋体" w:cs="宋体"/>
          <w:color w:val="auto"/>
          <w:sz w:val="21"/>
          <w:szCs w:val="21"/>
          <w:highlight w:val="none"/>
          <w:u w:val="single"/>
        </w:rPr>
        <w:t>；</w:t>
      </w:r>
    </w:p>
    <w:p>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□履约保证保险</w:t>
      </w:r>
      <w:r>
        <w:rPr>
          <w:rFonts w:hint="eastAsia" w:ascii="宋体" w:hAnsi="宋体" w:eastAsia="宋体" w:cs="宋体"/>
          <w:color w:val="auto"/>
          <w:sz w:val="21"/>
          <w:szCs w:val="21"/>
          <w:highlight w:val="none"/>
          <w:u w:val="single"/>
        </w:rPr>
        <w:t>金额为</w:t>
      </w:r>
      <w:r>
        <w:rPr>
          <w:rFonts w:hint="eastAsia" w:ascii="宋体" w:hAnsi="宋体" w:eastAsia="宋体" w:cs="宋体"/>
          <w:color w:val="auto"/>
          <w:sz w:val="21"/>
          <w:szCs w:val="21"/>
          <w:highlight w:val="none"/>
          <w:u w:val="single"/>
          <w:lang w:val="zh-CN"/>
        </w:rPr>
        <w:t>¥     元（大写人民币      ）</w:t>
      </w:r>
      <w:r>
        <w:rPr>
          <w:rFonts w:hint="eastAsia" w:ascii="宋体" w:hAnsi="宋体" w:eastAsia="宋体" w:cs="宋体"/>
          <w:color w:val="auto"/>
          <w:sz w:val="21"/>
          <w:szCs w:val="21"/>
          <w:highlight w:val="none"/>
          <w:u w:val="single"/>
        </w:rPr>
        <w:t>；</w:t>
      </w:r>
    </w:p>
    <w:p>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担保公司履约担保书金额为¥     元（大写人民币      ）。</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2、履约担保用于补偿甲方因乙方不能完成其合同义务而蒙受的损失或其他合同约定的事项。如发生下列任一情况时，甲方有权依合同追究违约责任外，同时有权提取履约担保并进行相应处理：</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（1）乙方将合同项下乙方的权利义务全部转让给第三方，或未经甲方书面同意将部分权利义务转让给第三方的，甲方有权没收其履约担保。</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）在合同履行期间，因乙方</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）在合同履行期间，乙方违约产生的违约金、赔偿、罚款或其他应付费用等款项，甲方有权直接从未付款项中直接扣除或启用履约担保予以支付。</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）合同期内，乙方不能及时完成某项合同义务的，甲方有权提取履约担保用于处理该项工作。</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）其他根据本合同约定或法律规定，甲方可</w:t>
      </w:r>
      <w:r>
        <w:rPr>
          <w:rFonts w:hint="eastAsia" w:ascii="宋体" w:hAnsi="宋体" w:eastAsia="宋体" w:cs="宋体"/>
          <w:color w:val="auto"/>
          <w:sz w:val="21"/>
          <w:szCs w:val="21"/>
          <w:highlight w:val="none"/>
          <w:lang w:val="en-US" w:eastAsia="zh-CN"/>
        </w:rPr>
        <w:t>启</w:t>
      </w:r>
      <w:r>
        <w:rPr>
          <w:rFonts w:hint="eastAsia" w:ascii="宋体" w:hAnsi="宋体" w:eastAsia="宋体" w:cs="宋体"/>
          <w:color w:val="auto"/>
          <w:sz w:val="21"/>
          <w:szCs w:val="21"/>
          <w:highlight w:val="none"/>
        </w:rPr>
        <w:t>用履约担保的情形。</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3、若乙方</w:t>
      </w:r>
      <w:r>
        <w:rPr>
          <w:rFonts w:hint="eastAsia" w:ascii="宋体" w:hAnsi="宋体" w:eastAsia="宋体" w:cs="宋体"/>
          <w:color w:val="auto"/>
          <w:kern w:val="0"/>
          <w:szCs w:val="21"/>
          <w:highlight w:val="none"/>
        </w:rPr>
        <w:t>以履约保证金（银行转账形式）提供</w:t>
      </w:r>
      <w:r>
        <w:rPr>
          <w:rFonts w:hint="eastAsia" w:ascii="宋体" w:hAnsi="宋体" w:eastAsia="宋体" w:cs="宋体"/>
          <w:color w:val="auto"/>
          <w:sz w:val="21"/>
          <w:szCs w:val="21"/>
          <w:highlight w:val="none"/>
        </w:rPr>
        <w:t>履约担保的，在</w:t>
      </w:r>
      <w:r>
        <w:rPr>
          <w:rFonts w:hint="eastAsia" w:ascii="宋体" w:hAnsi="宋体" w:eastAsia="宋体" w:cs="Times New Roman"/>
          <w:color w:val="auto"/>
          <w:kern w:val="0"/>
          <w:szCs w:val="21"/>
          <w:highlight w:val="none"/>
        </w:rPr>
        <w:t>合同期限届满并完成全部供货（含最终验收合格）及履行完毕相关服务义务且结算完毕之后二十八（28）日</w:t>
      </w:r>
      <w:r>
        <w:rPr>
          <w:rFonts w:hint="eastAsia" w:ascii="宋体" w:hAnsi="宋体" w:eastAsia="宋体" w:cs="宋体"/>
          <w:color w:val="auto"/>
          <w:sz w:val="21"/>
          <w:szCs w:val="21"/>
          <w:highlight w:val="none"/>
        </w:rPr>
        <w:t>后，甲方将履约担保余额无息退还乙方。</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或担保公司履约担保书作为履约担保的，不可撤销银行履约保函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或担保公司履约担保书应</w:t>
      </w:r>
      <w:r>
        <w:rPr>
          <w:rFonts w:hint="eastAsia" w:ascii="宋体" w:hAnsi="宋体" w:eastAsia="宋体" w:cs="Times New Roman"/>
          <w:color w:val="auto"/>
          <w:kern w:val="0"/>
          <w:szCs w:val="21"/>
          <w:highlight w:val="none"/>
        </w:rPr>
        <w:t>从合同签订之日起至合同期限届满并完成全部供货（含最终验收合格）及履行完毕相关服务义务且结算完毕之后二十八（28）日内</w:t>
      </w:r>
      <w:r>
        <w:rPr>
          <w:rFonts w:hint="eastAsia" w:ascii="宋体" w:hAnsi="宋体" w:eastAsia="宋体" w:cs="宋体"/>
          <w:color w:val="auto"/>
          <w:sz w:val="21"/>
          <w:szCs w:val="21"/>
          <w:highlight w:val="none"/>
        </w:rPr>
        <w:t>保持有效。如不可撤销银行履约保函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或担保公司履约担保书在规定有效期届满时而货物尚未全部最终验收合格的，乙方必须在不可撤销银行履约保函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或担保公司履约担保书到期15日前无条件办理办妥延期手续或重新提供；否则视为乙方违约，甲方有权在不可撤销银行履约保函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或担保公司履约担保书到期前向出具履约担保的机构提取履约担保。在不可撤销银行履约保函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或担保公司履约担保书到期后乙方未按甲方要求重新提供的，甲方有权要求乙方以履约担保金额为限承担违约金，违约金可直接从未付货款中扣除。</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w:t>
      </w:r>
      <w:r>
        <w:rPr>
          <w:rFonts w:hint="eastAsia" w:ascii="宋体" w:hAnsi="宋体" w:eastAsia="宋体" w:cs="宋体"/>
          <w:color w:val="auto"/>
          <w:sz w:val="21"/>
          <w:szCs w:val="21"/>
          <w:highlight w:val="none"/>
          <w:lang w:val="en-US" w:eastAsia="zh-CN"/>
        </w:rPr>
        <w:t>及本合同</w:t>
      </w:r>
      <w:r>
        <w:rPr>
          <w:rFonts w:hint="eastAsia" w:ascii="宋体" w:hAnsi="宋体" w:eastAsia="宋体" w:cs="宋体"/>
          <w:color w:val="auto"/>
          <w:sz w:val="21"/>
          <w:szCs w:val="21"/>
          <w:highlight w:val="none"/>
        </w:rPr>
        <w:t>要求的，乙方应当在5日内予以补足。逾期不予补足的，甲方有权按需补足的金额要求乙方承担违约金，并要求限期补足。如乙方仍不补足的，甲方有权单方解除本合同，违约金可直接从未付合同款或履约担保中扣除。</w:t>
      </w:r>
    </w:p>
    <w:p>
      <w:pPr>
        <w:keepNext w:val="0"/>
        <w:keepLines w:val="0"/>
        <w:pageBreakBefore w:val="0"/>
        <w:kinsoku/>
        <w:wordWrap/>
        <w:overflowPunct/>
        <w:topLinePunct w:val="0"/>
        <w:bidi w:val="0"/>
        <w:snapToGrid w:val="0"/>
        <w:spacing w:line="360" w:lineRule="auto"/>
        <w:ind w:firstLine="6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6、本合同中提及的“没收履约担保”、“使用履约担保予以支付”、“启动履约担保”等，如履约担保为保证金形式的，则该含义为没收保证金、直接使用保证金等；如履约担保为银行不可撤销履约保函（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lang w:val="en-US" w:eastAsia="zh-CN"/>
        </w:rPr>
        <w:t>或担保公司履约担保书），则该含义为：要求乙方承担与保函或履约担保书同等金额的款项或违约金等，并向银行</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w:t>
      </w:r>
      <w:r>
        <w:rPr>
          <w:rFonts w:hint="eastAsia" w:ascii="宋体" w:hAnsi="宋体" w:eastAsia="宋体" w:cs="宋体"/>
          <w:color w:val="auto"/>
          <w:sz w:val="21"/>
          <w:szCs w:val="21"/>
          <w:highlight w:val="none"/>
          <w:lang w:val="en-US" w:eastAsia="zh-CN"/>
        </w:rPr>
        <w:t>索赔。</w:t>
      </w:r>
    </w:p>
    <w:p>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bookmarkStart w:id="598" w:name="_Toc8286"/>
      <w:bookmarkStart w:id="599" w:name="_Toc27921"/>
      <w:bookmarkStart w:id="600" w:name="_Toc27401"/>
      <w:bookmarkStart w:id="601" w:name="_Toc96787718"/>
      <w:bookmarkStart w:id="602" w:name="_Toc6853"/>
      <w:bookmarkStart w:id="603" w:name="_Toc20973"/>
      <w:bookmarkStart w:id="604" w:name="_Toc27056"/>
      <w:bookmarkStart w:id="605" w:name="_Toc3434"/>
      <w:bookmarkStart w:id="606" w:name="_Toc107"/>
      <w:r>
        <w:rPr>
          <w:rFonts w:hint="eastAsia" w:ascii="宋体" w:hAnsi="宋体" w:eastAsia="宋体" w:cs="宋体"/>
          <w:b/>
          <w:color w:val="auto"/>
          <w:sz w:val="21"/>
          <w:szCs w:val="21"/>
          <w:highlight w:val="none"/>
        </w:rPr>
        <w:t>第九条 违约责任</w:t>
      </w:r>
      <w:bookmarkEnd w:id="598"/>
      <w:bookmarkEnd w:id="599"/>
      <w:bookmarkEnd w:id="600"/>
      <w:bookmarkEnd w:id="601"/>
      <w:bookmarkEnd w:id="602"/>
      <w:bookmarkEnd w:id="603"/>
      <w:bookmarkEnd w:id="604"/>
      <w:bookmarkEnd w:id="605"/>
      <w:bookmarkEnd w:id="606"/>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1、乙方未在约定的时间内完成交货的，每逾期1日，乙方须按当月供货货物</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（含销项税）的1%向甲方支付违约金，最高不超过当月供货货物金额（含销项税）的10%。乙方逾期超过10日的，甲方可单方解除本合同，乙方除前述逾期违约金外，还应额外按暂定总合同价（含销项税）的 5 %向甲方支付违约金，并追究乙方的违约责任。</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2、乙方未按合同约定履行货物的更换、退货责任，乙方须按当月供货货物</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（含销项税）的3%向甲方支付违约金，最高不超过当月供货货物金额（含销项税）的10%。</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还</w:t>
      </w:r>
      <w:r>
        <w:rPr>
          <w:rFonts w:hint="eastAsia" w:ascii="宋体" w:hAnsi="宋体" w:eastAsia="宋体" w:cs="宋体"/>
          <w:color w:val="auto"/>
          <w:sz w:val="21"/>
          <w:szCs w:val="21"/>
          <w:highlight w:val="none"/>
        </w:rPr>
        <w:t>有权单方解除本合同</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没收全部履约担保。</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Cs w:val="21"/>
          <w:highlight w:val="none"/>
        </w:rPr>
        <w:t>乙方所交货物经检验累计出现3次以上（含本数）不合格的情况，甲方有权单方解除本合同及没收全部履约担保</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乙方未按约定履行售后服务义务的，甲方有权要求限期改正，如逾期仍未改正的，甲方有权要求其他第三方提供相关服务，因此产生的费用全部由乙方承担，并且甲方有权单方解除本合同，</w:t>
      </w:r>
      <w:r>
        <w:rPr>
          <w:rFonts w:hint="eastAsia" w:ascii="宋体" w:hAnsi="宋体" w:eastAsia="宋体" w:cs="宋体"/>
          <w:color w:val="auto"/>
          <w:sz w:val="21"/>
          <w:szCs w:val="21"/>
          <w:highlight w:val="none"/>
          <w:lang w:eastAsia="zh-Hans"/>
        </w:rPr>
        <w:t>同时甲方有权</w:t>
      </w:r>
      <w:r>
        <w:rPr>
          <w:rFonts w:hint="eastAsia" w:ascii="宋体" w:hAnsi="宋体" w:eastAsia="宋体" w:cs="宋体"/>
          <w:color w:val="auto"/>
          <w:sz w:val="21"/>
          <w:szCs w:val="21"/>
          <w:highlight w:val="none"/>
        </w:rPr>
        <w:t>并没收</w:t>
      </w:r>
      <w:r>
        <w:rPr>
          <w:rFonts w:hint="eastAsia" w:ascii="宋体" w:hAnsi="宋体" w:eastAsia="宋体" w:cs="宋体"/>
          <w:color w:val="auto"/>
          <w:sz w:val="21"/>
          <w:szCs w:val="21"/>
          <w:highlight w:val="none"/>
          <w:lang w:eastAsia="zh-CN"/>
        </w:rPr>
        <w:t>全部</w:t>
      </w:r>
      <w:r>
        <w:rPr>
          <w:rFonts w:hint="eastAsia" w:ascii="宋体" w:hAnsi="宋体" w:eastAsia="宋体" w:cs="宋体"/>
          <w:color w:val="auto"/>
          <w:sz w:val="21"/>
          <w:szCs w:val="21"/>
          <w:highlight w:val="none"/>
        </w:rPr>
        <w:t>履约担保。</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、在质保期内，因乙方所供货物质量问题导致甲方设备运行出现异常、故障、发生安全事故或引起其他损失和造成不良后果的，乙方应在接到甲方通知后</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小时内到达现场确认情况，并承担全部责任及损失赔偿。</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、乙方自甲方通知货物不合格之时起，甲方有权要求乙方必须加急供货，乙方接到通知后，</w:t>
      </w:r>
      <w:r>
        <w:rPr>
          <w:rFonts w:hint="eastAsia" w:ascii="宋体" w:hAnsi="宋体" w:eastAsia="宋体" w:cs="宋体"/>
          <w:color w:val="auto"/>
          <w:sz w:val="21"/>
          <w:szCs w:val="21"/>
          <w:highlight w:val="none"/>
          <w:lang w:val="en-US" w:eastAsia="zh-CN"/>
        </w:rPr>
        <w:t>4个小时</w:t>
      </w:r>
      <w:r>
        <w:rPr>
          <w:rFonts w:hint="eastAsia" w:ascii="宋体" w:hAnsi="宋体" w:eastAsia="宋体" w:cs="宋体"/>
          <w:color w:val="auto"/>
          <w:sz w:val="21"/>
          <w:szCs w:val="21"/>
          <w:highlight w:val="none"/>
        </w:rPr>
        <w:t>内将等量的合格货物送交甲方，否则按</w:t>
      </w:r>
      <w:r>
        <w:rPr>
          <w:rFonts w:hint="eastAsia" w:ascii="宋体" w:hAnsi="宋体" w:eastAsia="宋体" w:cs="宋体"/>
          <w:color w:val="auto"/>
          <w:sz w:val="21"/>
          <w:szCs w:val="21"/>
          <w:highlight w:val="none"/>
          <w:lang w:eastAsia="zh-Hans"/>
        </w:rPr>
        <w:t>本合同第九条第一款</w:t>
      </w:r>
      <w:r>
        <w:rPr>
          <w:rFonts w:hint="eastAsia" w:ascii="宋体" w:hAnsi="宋体" w:eastAsia="宋体" w:cs="宋体"/>
          <w:color w:val="auto"/>
          <w:sz w:val="21"/>
          <w:szCs w:val="21"/>
          <w:highlight w:val="none"/>
        </w:rPr>
        <w:t>逾期供货的违约规定进行处理。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、乙方应确保所交货物不得侵犯第三方任何权益，否则，由此引起的一切责任及损失都由乙方承担，</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还</w:t>
      </w:r>
      <w:r>
        <w:rPr>
          <w:rFonts w:hint="eastAsia" w:ascii="宋体" w:hAnsi="宋体" w:eastAsia="宋体" w:cs="宋体"/>
          <w:color w:val="auto"/>
          <w:sz w:val="21"/>
          <w:szCs w:val="21"/>
          <w:highlight w:val="none"/>
        </w:rPr>
        <w:t>有权单方解除本合同</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没收全部履约担保。</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保证对其在讨论、签订、履行合同约定过程中所获悉的属于甲方的且无法从公开渠道获得的文件资料及项目信息予以严格保密并应采取相应的保密措施，保证其自身及工作人员不私自使用或向任何第三方泄漏，否则，视为乙方违约，甲方有权要求乙方支付履约担保等额的违约金，且乙方须承担由此给甲方造成的一切损失。乙方及其工作人员的保密义务不因本合同的终止而终止，直至相关保密信息被合法公开时止。</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、因货物的质量问题而发生争议，由广东省或东莞市质检部门进行质量鉴定。货物符合质量标准的，鉴定费用由甲方承担；货物不符合质量标准的，鉴定费用由乙方承担。</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highlight w:val="none"/>
          <w:u w:val="words"/>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、除另有约定</w:t>
      </w:r>
      <w:r>
        <w:rPr>
          <w:rFonts w:hint="eastAsia" w:ascii="宋体" w:hAnsi="宋体" w:eastAsia="宋体" w:cs="宋体"/>
          <w:color w:val="auto"/>
          <w:sz w:val="21"/>
          <w:szCs w:val="21"/>
          <w:highlight w:val="none"/>
          <w:lang w:eastAsia="zh-CN"/>
        </w:rPr>
        <w:t>违约责任</w:t>
      </w:r>
      <w:r>
        <w:rPr>
          <w:rFonts w:hint="eastAsia" w:ascii="宋体" w:hAnsi="宋体" w:eastAsia="宋体" w:cs="宋体"/>
          <w:color w:val="auto"/>
          <w:sz w:val="21"/>
          <w:szCs w:val="21"/>
          <w:highlight w:val="none"/>
        </w:rPr>
        <w:t>外，乙方违反本合同项下任意一条约定均视为严重违约，</w:t>
      </w:r>
      <w:r>
        <w:rPr>
          <w:rFonts w:hint="eastAsia" w:ascii="宋体" w:hAnsi="宋体" w:eastAsia="宋体" w:cs="宋体"/>
          <w:color w:val="auto"/>
          <w:sz w:val="21"/>
          <w:szCs w:val="21"/>
          <w:highlight w:val="none"/>
          <w:lang w:eastAsia="zh-CN"/>
        </w:rPr>
        <w:t>甲方有权责令乙方限期整改，若乙方在期限内未整改或整改后仍不符合合同及甲方要求的，</w:t>
      </w:r>
      <w:r>
        <w:rPr>
          <w:rFonts w:hint="eastAsia" w:ascii="宋体" w:hAnsi="宋体" w:eastAsia="宋体" w:cs="宋体"/>
          <w:color w:val="auto"/>
          <w:sz w:val="21"/>
          <w:szCs w:val="21"/>
          <w:highlight w:val="none"/>
        </w:rPr>
        <w:t>甲方有权单方解除本合同及没收全部履约担保且有权要求乙方一次性承担暂定合同价</w:t>
      </w:r>
      <w:r>
        <w:rPr>
          <w:rFonts w:hint="eastAsia" w:ascii="宋体" w:hAnsi="宋体" w:eastAsia="宋体" w:cs="宋体"/>
          <w:color w:val="auto"/>
          <w:sz w:val="21"/>
          <w:szCs w:val="21"/>
          <w:highlight w:val="none"/>
          <w:lang w:eastAsia="zh-CN"/>
        </w:rPr>
        <w:t>（含销项税）</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%的违约金，同时</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为维护自身权益所支付的所有费用均由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承担（包括但不限于律师费、诉讼费、担保费、鉴定费等所有费用）。</w:t>
      </w:r>
    </w:p>
    <w:p>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bookmarkStart w:id="607" w:name="_Toc7032"/>
      <w:bookmarkStart w:id="608" w:name="_Toc15666"/>
      <w:bookmarkStart w:id="609" w:name="_Toc12803"/>
      <w:bookmarkStart w:id="610" w:name="_Toc96787719"/>
      <w:bookmarkStart w:id="611" w:name="_Toc117"/>
      <w:bookmarkStart w:id="612" w:name="_Toc19900"/>
      <w:bookmarkStart w:id="613" w:name="_Toc25804"/>
      <w:bookmarkStart w:id="614" w:name="_Toc4777"/>
      <w:bookmarkStart w:id="615" w:name="_Toc9526"/>
      <w:r>
        <w:rPr>
          <w:rFonts w:hint="eastAsia" w:ascii="宋体" w:hAnsi="宋体" w:eastAsia="宋体" w:cs="宋体"/>
          <w:b/>
          <w:color w:val="auto"/>
          <w:sz w:val="21"/>
          <w:szCs w:val="21"/>
          <w:highlight w:val="none"/>
        </w:rPr>
        <w:t>第十条 不可抗力</w:t>
      </w:r>
      <w:bookmarkEnd w:id="607"/>
      <w:bookmarkEnd w:id="608"/>
      <w:bookmarkEnd w:id="609"/>
      <w:bookmarkEnd w:id="610"/>
      <w:bookmarkEnd w:id="611"/>
      <w:bookmarkEnd w:id="612"/>
      <w:bookmarkEnd w:id="613"/>
      <w:bookmarkEnd w:id="614"/>
      <w:bookmarkEnd w:id="615"/>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7日内，提供</w:t>
      </w:r>
      <w:r>
        <w:rPr>
          <w:rFonts w:hint="eastAsia" w:ascii="宋体"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rPr>
        <w:t>书面证明材料。如果不可抗力事件发生后，乙方不能按甲方每次的最迟交货期交货的，则甲方有权单方解除本合同并不承担任何责任。</w:t>
      </w:r>
    </w:p>
    <w:p>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bookmarkStart w:id="616" w:name="_Toc25418"/>
      <w:bookmarkStart w:id="617" w:name="_Toc21517"/>
      <w:bookmarkStart w:id="618" w:name="_Toc27413"/>
      <w:bookmarkStart w:id="619" w:name="_Toc5211"/>
      <w:bookmarkStart w:id="620" w:name="_Toc13729"/>
      <w:bookmarkStart w:id="621" w:name="_Toc96787720"/>
      <w:bookmarkStart w:id="622" w:name="_Toc7103"/>
      <w:bookmarkStart w:id="623" w:name="_Toc20838"/>
      <w:bookmarkStart w:id="624" w:name="_Toc28735"/>
      <w:r>
        <w:rPr>
          <w:rFonts w:hint="eastAsia" w:ascii="宋体" w:hAnsi="宋体" w:eastAsia="宋体" w:cs="宋体"/>
          <w:b/>
          <w:color w:val="auto"/>
          <w:sz w:val="21"/>
          <w:szCs w:val="21"/>
          <w:highlight w:val="none"/>
        </w:rPr>
        <w:t>第十一条 承诺与保证</w:t>
      </w:r>
      <w:bookmarkEnd w:id="616"/>
      <w:bookmarkEnd w:id="617"/>
      <w:bookmarkEnd w:id="618"/>
      <w:bookmarkEnd w:id="619"/>
      <w:bookmarkEnd w:id="620"/>
      <w:bookmarkEnd w:id="621"/>
      <w:bookmarkEnd w:id="622"/>
      <w:bookmarkEnd w:id="623"/>
      <w:bookmarkEnd w:id="624"/>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乙方保证对其销售的货物拥有完全的所有权/处置权或取得相关授权，无任何著作权、商标权、专利权或其他知识产权方面的权利限制或瑕疵，</w:t>
      </w:r>
      <w:r>
        <w:rPr>
          <w:rFonts w:hint="eastAsia" w:ascii="宋体" w:hAnsi="宋体" w:eastAsia="宋体" w:cs="宋体"/>
          <w:color w:val="auto"/>
          <w:sz w:val="21"/>
          <w:szCs w:val="21"/>
          <w:highlight w:val="none"/>
          <w:lang w:val="en-US" w:eastAsia="zh-CN"/>
        </w:rPr>
        <w:t>如第三方以本合同产品侵权为由提起侵权主张，乙方须与第三方交涉并承担由此发生的一切责任、费用和经济赔偿，并由乙方承担因此给甲方造成的全部损失</w:t>
      </w:r>
      <w:r>
        <w:rPr>
          <w:rFonts w:hint="eastAsia" w:ascii="宋体" w:hAnsi="宋体" w:eastAsia="宋体" w:cs="宋体"/>
          <w:color w:val="auto"/>
          <w:sz w:val="21"/>
          <w:szCs w:val="21"/>
          <w:highlight w:val="none"/>
        </w:rPr>
        <w:t>（包括但不限于甲方聘请</w:t>
      </w:r>
      <w:r>
        <w:rPr>
          <w:rFonts w:hint="eastAsia" w:ascii="宋体" w:hAnsi="宋体" w:eastAsia="宋体" w:cs="宋体"/>
          <w:color w:val="auto"/>
          <w:sz w:val="21"/>
          <w:szCs w:val="21"/>
          <w:highlight w:val="none"/>
          <w:lang w:eastAsia="zh-Hans"/>
        </w:rPr>
        <w:t>相关专业人员所支付</w:t>
      </w:r>
      <w:r>
        <w:rPr>
          <w:rFonts w:hint="eastAsia" w:ascii="宋体" w:hAnsi="宋体" w:eastAsia="宋体" w:cs="宋体"/>
          <w:color w:val="auto"/>
          <w:sz w:val="21"/>
          <w:szCs w:val="21"/>
          <w:highlight w:val="none"/>
        </w:rPr>
        <w:t>的律师费、调查取证费、诉讼费、交通费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保全担保费</w:t>
      </w:r>
      <w:r>
        <w:rPr>
          <w:rFonts w:hint="eastAsia" w:ascii="宋体" w:hAnsi="宋体" w:eastAsia="宋体" w:cs="宋体"/>
          <w:color w:val="auto"/>
          <w:sz w:val="21"/>
          <w:szCs w:val="21"/>
          <w:highlight w:val="none"/>
        </w:rPr>
        <w:t>等全部费用）。</w:t>
      </w:r>
    </w:p>
    <w:p>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bookmarkStart w:id="625" w:name="_Toc27915"/>
      <w:bookmarkStart w:id="626" w:name="_Toc4570"/>
      <w:bookmarkStart w:id="627" w:name="_Toc26618"/>
      <w:bookmarkStart w:id="628" w:name="_Toc30310"/>
      <w:bookmarkStart w:id="629" w:name="_Toc26177"/>
      <w:bookmarkStart w:id="630" w:name="_Toc27632"/>
      <w:bookmarkStart w:id="631" w:name="_Toc31173"/>
      <w:bookmarkStart w:id="632" w:name="_Toc1292"/>
      <w:bookmarkStart w:id="633" w:name="_Toc96787721"/>
      <w:r>
        <w:rPr>
          <w:rFonts w:hint="eastAsia" w:ascii="宋体" w:hAnsi="宋体" w:eastAsia="宋体" w:cs="宋体"/>
          <w:b/>
          <w:color w:val="auto"/>
          <w:sz w:val="21"/>
          <w:szCs w:val="21"/>
          <w:highlight w:val="none"/>
        </w:rPr>
        <w:t>第十二条 合同争议的解决办法</w:t>
      </w:r>
      <w:bookmarkEnd w:id="625"/>
      <w:bookmarkEnd w:id="626"/>
      <w:bookmarkEnd w:id="627"/>
      <w:bookmarkEnd w:id="628"/>
      <w:bookmarkEnd w:id="629"/>
      <w:bookmarkEnd w:id="630"/>
      <w:bookmarkEnd w:id="631"/>
      <w:bookmarkEnd w:id="632"/>
      <w:bookmarkEnd w:id="633"/>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因本合同发生争议的，可协商解决。协商不成的，任何一方可向甲方住所地有管辖权的人民法院提起诉讼。因乙方违约，除应承担合同约定的违约、损失赔偿等责任外，乙方还应承担甲方为解决纠纷而产生的所有费用，包括但不限于律师费、诉讼费、仲裁费及处理费、</w:t>
      </w:r>
      <w:r>
        <w:rPr>
          <w:rFonts w:hint="eastAsia" w:ascii="宋体" w:hAnsi="宋体" w:eastAsia="宋体" w:cs="宋体"/>
          <w:color w:val="auto"/>
          <w:sz w:val="21"/>
          <w:szCs w:val="21"/>
          <w:highlight w:val="none"/>
          <w:lang w:eastAsia="zh-CN"/>
        </w:rPr>
        <w:t>保全</w:t>
      </w:r>
      <w:r>
        <w:rPr>
          <w:rFonts w:hint="eastAsia" w:ascii="宋体" w:hAnsi="宋体" w:eastAsia="宋体" w:cs="宋体"/>
          <w:color w:val="auto"/>
          <w:sz w:val="21"/>
          <w:szCs w:val="21"/>
          <w:highlight w:val="none"/>
        </w:rPr>
        <w:t>担保费、保全费、执行费、公证费、鉴定费、差旅费等。</w:t>
      </w:r>
    </w:p>
    <w:p>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bookmarkStart w:id="634" w:name="_Toc4761"/>
      <w:bookmarkStart w:id="635" w:name="_Toc8926"/>
      <w:bookmarkStart w:id="636" w:name="_Toc8937"/>
      <w:bookmarkStart w:id="637" w:name="_Toc17920"/>
      <w:bookmarkStart w:id="638" w:name="_Toc96787722"/>
      <w:bookmarkStart w:id="639" w:name="_Toc847"/>
      <w:bookmarkStart w:id="640" w:name="_Toc28220"/>
      <w:bookmarkStart w:id="641" w:name="_Toc14837"/>
      <w:bookmarkStart w:id="642" w:name="_Toc23022"/>
      <w:r>
        <w:rPr>
          <w:rFonts w:hint="eastAsia" w:ascii="宋体" w:hAnsi="宋体" w:eastAsia="宋体" w:cs="宋体"/>
          <w:b/>
          <w:color w:val="auto"/>
          <w:sz w:val="21"/>
          <w:szCs w:val="21"/>
          <w:highlight w:val="none"/>
        </w:rPr>
        <w:t>第十三条 其他</w:t>
      </w:r>
      <w:bookmarkEnd w:id="634"/>
      <w:bookmarkEnd w:id="635"/>
      <w:bookmarkEnd w:id="636"/>
      <w:bookmarkEnd w:id="637"/>
      <w:bookmarkEnd w:id="638"/>
      <w:bookmarkEnd w:id="639"/>
      <w:bookmarkEnd w:id="640"/>
      <w:bookmarkEnd w:id="641"/>
      <w:bookmarkEnd w:id="642"/>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确认：本合同中列明的乙方“地址”为有效的收件地址，甲方对乙方的相关通知、函件等可通过特快专递方式送达至该地址。甲方通过特快专递方式向乙方“地址”发出相关通知、函件等3日后，即视为有效送达。乙方更换地址的，应该 1 日内书面告知甲方。</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份，其中甲方执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份，招标代理机构执</w:t>
      </w:r>
      <w:r>
        <w:rPr>
          <w:rFonts w:hint="eastAsia" w:ascii="宋体" w:hAnsi="宋体" w:eastAsia="宋体" w:cs="宋体"/>
          <w:color w:val="auto"/>
          <w:sz w:val="21"/>
          <w:szCs w:val="21"/>
          <w:highlight w:val="none"/>
          <w:u w:val="single"/>
        </w:rPr>
        <w:t xml:space="preserve"> 壹 </w:t>
      </w:r>
      <w:r>
        <w:rPr>
          <w:rFonts w:hint="eastAsia" w:ascii="宋体" w:hAnsi="宋体" w:eastAsia="宋体" w:cs="宋体"/>
          <w:color w:val="auto"/>
          <w:sz w:val="21"/>
          <w:szCs w:val="21"/>
          <w:highlight w:val="none"/>
        </w:rPr>
        <w:t>份，每份均具有同等法律效力。</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4、本合同经双方法定代表人或负责人签名并盖章后生效。</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5、合同所有附件及本项目的招标文件、答疑文件、投标文件、补充通知及相关承诺、协议等均为本合</w:t>
      </w:r>
      <w:r>
        <w:rPr>
          <w:rFonts w:hint="eastAsia" w:ascii="宋体" w:hAnsi="宋体" w:eastAsia="宋体" w:cs="宋体"/>
          <w:color w:val="auto"/>
          <w:sz w:val="21"/>
          <w:szCs w:val="21"/>
          <w:highlight w:val="none"/>
          <w:lang w:val="en-US" w:eastAsia="zh-CN"/>
        </w:rPr>
        <w:t>同有效组成</w:t>
      </w:r>
      <w:r>
        <w:rPr>
          <w:rFonts w:hint="eastAsia" w:ascii="宋体" w:hAnsi="宋体" w:eastAsia="宋体" w:cs="宋体"/>
          <w:color w:val="auto"/>
          <w:sz w:val="21"/>
          <w:szCs w:val="21"/>
          <w:highlight w:val="none"/>
        </w:rPr>
        <w:t>部分，与本合同同具法律效力，该等文件与本合同正文约定不一致的，以有利于甲方的约定为准。</w:t>
      </w:r>
    </w:p>
    <w:p>
      <w:pPr>
        <w:keepNext w:val="0"/>
        <w:keepLines w:val="0"/>
        <w:pageBreakBefore w:val="0"/>
        <w:numPr>
          <w:ilvl w:val="0"/>
          <w:numId w:val="0"/>
        </w:numPr>
        <w:kinsoku/>
        <w:wordWrap/>
        <w:overflowPunct/>
        <w:topLinePunct w:val="0"/>
        <w:autoSpaceDE/>
        <w:autoSpaceDN/>
        <w:bidi w:val="0"/>
        <w:spacing w:line="360" w:lineRule="auto"/>
        <w:ind w:firstLine="1058" w:firstLineChars="504"/>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东莞市水务集团供水有限公司货物到货验收表</w:t>
      </w:r>
    </w:p>
    <w:p>
      <w:pPr>
        <w:keepNext w:val="0"/>
        <w:keepLines w:val="0"/>
        <w:pageBreakBefore w:val="0"/>
        <w:numPr>
          <w:ilvl w:val="0"/>
          <w:numId w:val="0"/>
        </w:numPr>
        <w:kinsoku/>
        <w:wordWrap/>
        <w:overflowPunct/>
        <w:topLinePunct w:val="0"/>
        <w:autoSpaceDE/>
        <w:autoSpaceDN/>
        <w:bidi w:val="0"/>
        <w:spacing w:line="360" w:lineRule="auto"/>
        <w:ind w:firstLine="1686" w:firstLineChars="803"/>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2.东莞市水务集团供水有限公司抢修器采购项目采购清单</w:t>
      </w:r>
    </w:p>
    <w:p>
      <w:pPr>
        <w:keepNext w:val="0"/>
        <w:keepLines w:val="0"/>
        <w:pageBreakBefore w:val="0"/>
        <w:numPr>
          <w:ilvl w:val="0"/>
          <w:numId w:val="0"/>
        </w:numPr>
        <w:kinsoku/>
        <w:wordWrap/>
        <w:overflowPunct/>
        <w:topLinePunct w:val="0"/>
        <w:autoSpaceDE/>
        <w:autoSpaceDN/>
        <w:bidi w:val="0"/>
        <w:spacing w:line="360" w:lineRule="auto"/>
        <w:ind w:firstLine="1686" w:firstLineChars="80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廉洁协议书</w:t>
      </w:r>
    </w:p>
    <w:p>
      <w:pPr>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keepNext w:val="0"/>
        <w:keepLines w:val="0"/>
        <w:pageBreakBefore w:val="0"/>
        <w:numPr>
          <w:ilvl w:val="0"/>
          <w:numId w:val="0"/>
        </w:numPr>
        <w:kinsoku/>
        <w:wordWrap/>
        <w:overflowPunct/>
        <w:topLinePunct w:val="0"/>
        <w:bidi w:val="0"/>
        <w:spacing w:line="360" w:lineRule="auto"/>
        <w:ind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r>
        <w:rPr>
          <w:rFonts w:hint="eastAsia" w:ascii="宋体" w:hAnsi="宋体" w:eastAsia="宋体" w:cs="宋体"/>
          <w:color w:val="auto"/>
          <w:sz w:val="21"/>
          <w:szCs w:val="21"/>
          <w:highlight w:val="none"/>
          <w:lang w:val="en-US" w:eastAsia="zh-CN"/>
        </w:rPr>
        <w:t>内容为签字盖章页</w:t>
      </w:r>
      <w:r>
        <w:rPr>
          <w:rFonts w:hint="eastAsia" w:ascii="宋体" w:hAnsi="宋体" w:eastAsia="宋体" w:cs="宋体"/>
          <w:color w:val="auto"/>
          <w:sz w:val="21"/>
          <w:szCs w:val="21"/>
          <w:highlight w:val="none"/>
        </w:rPr>
        <w:t>）</w:t>
      </w:r>
    </w:p>
    <w:p>
      <w:pPr>
        <w:keepNext w:val="0"/>
        <w:keepLines w:val="0"/>
        <w:pageBreakBefore w:val="0"/>
        <w:numPr>
          <w:ilvl w:val="0"/>
          <w:numId w:val="0"/>
        </w:numPr>
        <w:kinsoku/>
        <w:wordWrap/>
        <w:overflowPunct/>
        <w:topLinePunct w:val="0"/>
        <w:bidi w:val="0"/>
        <w:spacing w:line="360" w:lineRule="auto"/>
        <w:ind w:left="0" w:firstLine="0" w:firstLineChars="0"/>
        <w:jc w:val="left"/>
        <w:textAlignment w:val="auto"/>
        <w:rPr>
          <w:rFonts w:hint="eastAsia" w:ascii="宋体" w:hAnsi="宋体" w:eastAsia="宋体" w:cs="宋体"/>
          <w:color w:val="auto"/>
          <w:sz w:val="21"/>
          <w:szCs w:val="21"/>
          <w:highlight w:val="none"/>
        </w:rPr>
      </w:pPr>
    </w:p>
    <w:p>
      <w:pPr>
        <w:keepNext w:val="0"/>
        <w:keepLines w:val="0"/>
        <w:pageBreakBefore w:val="0"/>
        <w:numPr>
          <w:ilvl w:val="0"/>
          <w:numId w:val="0"/>
        </w:numPr>
        <w:kinsoku/>
        <w:wordWrap/>
        <w:overflowPunct/>
        <w:topLinePunct w:val="0"/>
        <w:bidi w:val="0"/>
        <w:spacing w:line="360" w:lineRule="auto"/>
        <w:ind w:left="0" w:firstLine="0" w:firstLineChars="0"/>
        <w:jc w:val="left"/>
        <w:textAlignment w:val="auto"/>
        <w:rPr>
          <w:rFonts w:hint="eastAsia" w:ascii="宋体" w:hAnsi="宋体" w:eastAsia="宋体" w:cs="宋体"/>
          <w:color w:val="auto"/>
          <w:sz w:val="21"/>
          <w:szCs w:val="21"/>
          <w:highlight w:val="none"/>
        </w:rPr>
      </w:pPr>
    </w:p>
    <w:p>
      <w:pPr>
        <w:keepNext w:val="0"/>
        <w:keepLines w:val="0"/>
        <w:pageBreakBefore w:val="0"/>
        <w:numPr>
          <w:ilvl w:val="0"/>
          <w:numId w:val="0"/>
        </w:numPr>
        <w:kinsoku/>
        <w:wordWrap/>
        <w:overflowPunct/>
        <w:topLinePunct w:val="0"/>
        <w:bidi w:val="0"/>
        <w:spacing w:line="36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法定代表（或负责）人：                      法定代表（或负责）人：</w:t>
      </w:r>
    </w:p>
    <w:p>
      <w:pPr>
        <w:keepNext w:val="0"/>
        <w:keepLines w:val="0"/>
        <w:pageBreakBefore w:val="0"/>
        <w:numPr>
          <w:ilvl w:val="0"/>
          <w:numId w:val="0"/>
        </w:numPr>
        <w:kinsoku/>
        <w:wordWrap/>
        <w:overflowPunct/>
        <w:topLinePunct w:val="0"/>
        <w:bidi w:val="0"/>
        <w:spacing w:line="36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名称：                                      名称： </w:t>
      </w:r>
    </w:p>
    <w:p>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                                  银行账号：</w:t>
      </w:r>
    </w:p>
    <w:p>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税号：                                      税号：</w:t>
      </w:r>
    </w:p>
    <w:p>
      <w:pPr>
        <w:pStyle w:val="18"/>
        <w:keepNext w:val="0"/>
        <w:keepLines w:val="0"/>
        <w:pageBreakBefore w:val="0"/>
        <w:kinsoku/>
        <w:wordWrap/>
        <w:overflowPunct/>
        <w:topLinePunct w:val="0"/>
        <w:bidi w:val="0"/>
        <w:spacing w:beforeLines="0" w:afterLines="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numPr>
          <w:ilvl w:val="0"/>
          <w:numId w:val="0"/>
        </w:numPr>
        <w:kinsoku/>
        <w:wordWrap/>
        <w:overflowPunct/>
        <w:topLinePunct w:val="0"/>
        <w:autoSpaceDE/>
        <w:autoSpaceDN/>
        <w:bidi w:val="0"/>
        <w:spacing w:before="0" w:beforeLines="0" w:after="0" w:afterLines="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p>
      <w:pPr>
        <w:keepNext w:val="0"/>
        <w:keepLines w:val="0"/>
        <w:pageBreakBefore w:val="0"/>
        <w:widowControl/>
        <w:numPr>
          <w:ilvl w:val="0"/>
          <w:numId w:val="0"/>
        </w:numPr>
        <w:kinsoku/>
        <w:wordWrap/>
        <w:overflowPunct/>
        <w:topLinePunct w:val="0"/>
        <w:autoSpaceDE/>
        <w:autoSpaceDN/>
        <w:bidi w:val="0"/>
        <w:spacing w:before="0" w:beforeLines="0" w:after="0" w:afterLines="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签约地点：</w:t>
      </w:r>
    </w:p>
    <w:p>
      <w:pPr>
        <w:widowControl w:val="0"/>
        <w:spacing w:after="0" w:line="360" w:lineRule="auto"/>
        <w:jc w:val="left"/>
        <w:rPr>
          <w:rFonts w:hint="eastAsia" w:ascii="宋体" w:hAnsi="宋体" w:eastAsia="宋体" w:cs="宋体"/>
          <w:b/>
          <w:color w:val="auto"/>
          <w:sz w:val="21"/>
          <w:szCs w:val="21"/>
          <w:highlight w:val="none"/>
          <w:lang w:val="en-US" w:eastAsia="zh-CN"/>
        </w:rPr>
      </w:pPr>
    </w:p>
    <w:p>
      <w:pPr>
        <w:widowControl w:val="0"/>
        <w:spacing w:after="0" w:line="360" w:lineRule="auto"/>
        <w:jc w:val="left"/>
        <w:rPr>
          <w:rFonts w:hint="eastAsia" w:ascii="宋体" w:hAnsi="宋体" w:eastAsia="宋体" w:cs="宋体"/>
          <w:b/>
          <w:color w:val="auto"/>
          <w:sz w:val="21"/>
          <w:szCs w:val="21"/>
          <w:highlight w:val="none"/>
          <w:lang w:val="en-US" w:eastAsia="zh-CN"/>
        </w:rPr>
      </w:pPr>
    </w:p>
    <w:p>
      <w:pPr>
        <w:widowControl w:val="0"/>
        <w:spacing w:after="0" w:line="360" w:lineRule="auto"/>
        <w:jc w:val="left"/>
        <w:rPr>
          <w:rFonts w:hint="eastAsia" w:ascii="宋体" w:hAnsi="宋体" w:eastAsia="宋体" w:cs="宋体"/>
          <w:b/>
          <w:color w:val="auto"/>
          <w:sz w:val="21"/>
          <w:szCs w:val="21"/>
          <w:highlight w:val="none"/>
          <w:lang w:val="en-US" w:eastAsia="zh-CN"/>
        </w:rPr>
      </w:pPr>
    </w:p>
    <w:p>
      <w:pPr>
        <w:widowControl w:val="0"/>
        <w:spacing w:after="0" w:line="360" w:lineRule="auto"/>
        <w:jc w:val="left"/>
        <w:rPr>
          <w:rFonts w:hint="eastAsia" w:ascii="宋体" w:hAnsi="宋体" w:eastAsia="宋体" w:cs="宋体"/>
          <w:b/>
          <w:color w:val="auto"/>
          <w:sz w:val="21"/>
          <w:szCs w:val="21"/>
          <w:highlight w:val="none"/>
          <w:lang w:val="en-US" w:eastAsia="zh-CN"/>
        </w:rPr>
      </w:pPr>
    </w:p>
    <w:p>
      <w:pPr>
        <w:widowControl w:val="0"/>
        <w:spacing w:after="0" w:line="360" w:lineRule="auto"/>
        <w:jc w:val="left"/>
        <w:rPr>
          <w:rFonts w:hint="eastAsia" w:ascii="宋体" w:hAnsi="宋体" w:eastAsia="宋体" w:cs="宋体"/>
          <w:b/>
          <w:color w:val="auto"/>
          <w:sz w:val="21"/>
          <w:szCs w:val="21"/>
          <w:highlight w:val="none"/>
          <w:lang w:val="en-US" w:eastAsia="zh-CN"/>
        </w:rPr>
      </w:pPr>
    </w:p>
    <w:p>
      <w:pPr>
        <w:widowControl w:val="0"/>
        <w:spacing w:after="0" w:line="360" w:lineRule="auto"/>
        <w:jc w:val="left"/>
        <w:rPr>
          <w:rFonts w:hint="eastAsia" w:ascii="宋体" w:hAnsi="宋体" w:eastAsia="宋体" w:cs="宋体"/>
          <w:b/>
          <w:color w:val="auto"/>
          <w:sz w:val="21"/>
          <w:szCs w:val="21"/>
          <w:highlight w:val="none"/>
          <w:lang w:val="en-US" w:eastAsia="zh-CN"/>
        </w:rPr>
      </w:pPr>
    </w:p>
    <w:p>
      <w:pPr>
        <w:widowControl w:val="0"/>
        <w:spacing w:after="0" w:line="360" w:lineRule="auto"/>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附件1：东莞市水务集团供水有限公司货物到货验收表</w:t>
      </w:r>
    </w:p>
    <w:p>
      <w:pPr>
        <w:widowControl w:val="0"/>
        <w:spacing w:after="0" w:line="600" w:lineRule="exact"/>
        <w:jc w:val="center"/>
        <w:rPr>
          <w:rFonts w:hint="eastAsia" w:ascii="Times New Roman" w:hAnsi="Times New Roman" w:eastAsia="方正小标宋简体" w:cs="Times New Roman"/>
          <w:b w:val="0"/>
          <w:bCs/>
          <w:color w:val="auto"/>
          <w:spacing w:val="-10"/>
          <w:kern w:val="2"/>
          <w:sz w:val="44"/>
          <w:szCs w:val="44"/>
          <w:highlight w:val="none"/>
          <w:lang w:val="en-US" w:eastAsia="zh-CN" w:bidi="ar-SA"/>
        </w:rPr>
      </w:pPr>
      <w:r>
        <w:rPr>
          <w:rFonts w:hint="default" w:ascii="Times New Roman" w:hAnsi="Times New Roman" w:eastAsia="方正小标宋简体" w:cs="Times New Roman"/>
          <w:b w:val="0"/>
          <w:bCs/>
          <w:color w:val="auto"/>
          <w:spacing w:val="-10"/>
          <w:kern w:val="2"/>
          <w:sz w:val="44"/>
          <w:szCs w:val="44"/>
          <w:highlight w:val="none"/>
          <w:lang w:val="en-US" w:eastAsia="zh-CN" w:bidi="ar-SA"/>
        </w:rPr>
        <w:t>东莞市水务集团</w:t>
      </w:r>
      <w:r>
        <w:rPr>
          <w:rFonts w:hint="eastAsia" w:ascii="Times New Roman" w:hAnsi="Times New Roman" w:eastAsia="方正小标宋简体" w:cs="Times New Roman"/>
          <w:b w:val="0"/>
          <w:bCs/>
          <w:color w:val="auto"/>
          <w:spacing w:val="-10"/>
          <w:kern w:val="2"/>
          <w:sz w:val="44"/>
          <w:szCs w:val="44"/>
          <w:highlight w:val="none"/>
          <w:lang w:val="en-US" w:eastAsia="zh-CN" w:bidi="ar-SA"/>
        </w:rPr>
        <w:t>供水有限公司</w:t>
      </w:r>
      <w:r>
        <w:rPr>
          <w:rFonts w:hint="default" w:ascii="Times New Roman" w:hAnsi="Times New Roman" w:eastAsia="方正小标宋简体" w:cs="Times New Roman"/>
          <w:b w:val="0"/>
          <w:bCs/>
          <w:color w:val="auto"/>
          <w:spacing w:val="-10"/>
          <w:kern w:val="2"/>
          <w:sz w:val="44"/>
          <w:szCs w:val="44"/>
          <w:highlight w:val="none"/>
          <w:lang w:val="en-US" w:eastAsia="zh-CN" w:bidi="ar-SA"/>
        </w:rPr>
        <w:t>货物</w:t>
      </w:r>
      <w:r>
        <w:rPr>
          <w:rFonts w:hint="eastAsia" w:ascii="Times New Roman" w:hAnsi="Times New Roman" w:eastAsia="方正小标宋简体" w:cs="Times New Roman"/>
          <w:b w:val="0"/>
          <w:bCs/>
          <w:color w:val="auto"/>
          <w:spacing w:val="-10"/>
          <w:kern w:val="2"/>
          <w:sz w:val="44"/>
          <w:szCs w:val="44"/>
          <w:highlight w:val="none"/>
          <w:lang w:val="en-US" w:eastAsia="zh-CN" w:bidi="ar-SA"/>
        </w:rPr>
        <w:t>到货验收表</w:t>
      </w:r>
    </w:p>
    <w:p>
      <w:pPr>
        <w:pStyle w:val="18"/>
        <w:rPr>
          <w:rFonts w:hint="default" w:ascii="Times New Roman" w:hAnsi="Times New Roman" w:eastAsia="仿宋_GB2312" w:cs="Times New Roman"/>
          <w:b w:val="0"/>
          <w:bCs/>
          <w:snapToGrid/>
          <w:color w:val="auto"/>
          <w:kern w:val="2"/>
          <w:sz w:val="22"/>
          <w:szCs w:val="22"/>
          <w:highlight w:val="none"/>
          <w:lang w:eastAsia="zh-CN"/>
        </w:rPr>
      </w:pPr>
      <w:r>
        <w:rPr>
          <w:rFonts w:hint="default" w:ascii="Times New Roman" w:hAnsi="Times New Roman" w:eastAsia="仿宋_GB2312" w:cs="Times New Roman"/>
          <w:b w:val="0"/>
          <w:bCs/>
          <w:snapToGrid/>
          <w:color w:val="auto"/>
          <w:kern w:val="2"/>
          <w:sz w:val="22"/>
          <w:szCs w:val="22"/>
          <w:highlight w:val="none"/>
          <w:lang w:eastAsia="zh-CN"/>
        </w:rPr>
        <w:t xml:space="preserve">编号：                                     </w:t>
      </w:r>
    </w:p>
    <w:tbl>
      <w:tblPr>
        <w:tblStyle w:val="38"/>
        <w:tblpPr w:leftFromText="180" w:rightFromText="180" w:vertAnchor="text" w:horzAnchor="page" w:tblpX="1088" w:tblpY="94"/>
        <w:tblOverlap w:val="never"/>
        <w:tblW w:w="5000" w:type="pct"/>
        <w:tblInd w:w="0" w:type="dxa"/>
        <w:tblLayout w:type="autofit"/>
        <w:tblCellMar>
          <w:top w:w="0" w:type="dxa"/>
          <w:left w:w="108" w:type="dxa"/>
          <w:bottom w:w="0" w:type="dxa"/>
          <w:right w:w="108" w:type="dxa"/>
        </w:tblCellMar>
      </w:tblPr>
      <w:tblGrid>
        <w:gridCol w:w="1268"/>
        <w:gridCol w:w="3260"/>
        <w:gridCol w:w="200"/>
        <w:gridCol w:w="676"/>
        <w:gridCol w:w="1073"/>
        <w:gridCol w:w="3559"/>
      </w:tblGrid>
      <w:tr>
        <w:tblPrEx>
          <w:tblCellMar>
            <w:top w:w="0" w:type="dxa"/>
            <w:left w:w="108" w:type="dxa"/>
            <w:bottom w:w="0" w:type="dxa"/>
            <w:right w:w="108" w:type="dxa"/>
          </w:tblCellMar>
        </w:tblPrEx>
        <w:trPr>
          <w:trHeight w:val="437" w:hRule="atLeast"/>
        </w:trPr>
        <w:tc>
          <w:tcPr>
            <w:tcW w:w="621" w:type="pct"/>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合同名称</w:t>
            </w:r>
          </w:p>
        </w:tc>
        <w:tc>
          <w:tcPr>
            <w:tcW w:w="4378" w:type="pct"/>
            <w:gridSpan w:val="5"/>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东莞市水务集团供水有限公司抢修器采购项目采购合同</w:t>
            </w:r>
          </w:p>
        </w:tc>
      </w:tr>
      <w:tr>
        <w:tblPrEx>
          <w:tblCellMar>
            <w:top w:w="0" w:type="dxa"/>
            <w:left w:w="108" w:type="dxa"/>
            <w:bottom w:w="0" w:type="dxa"/>
            <w:right w:w="108" w:type="dxa"/>
          </w:tblCellMar>
        </w:tblPrEx>
        <w:trPr>
          <w:trHeight w:val="460" w:hRule="atLeast"/>
        </w:trPr>
        <w:tc>
          <w:tcPr>
            <w:tcW w:w="621" w:type="pct"/>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供货单位</w:t>
            </w:r>
          </w:p>
        </w:tc>
        <w:tc>
          <w:tcPr>
            <w:tcW w:w="1631" w:type="pct"/>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val="en-US" w:eastAsia="zh-CN"/>
              </w:rPr>
            </w:pPr>
          </w:p>
        </w:tc>
        <w:tc>
          <w:tcPr>
            <w:tcW w:w="966" w:type="pct"/>
            <w:gridSpan w:val="3"/>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到货时间</w:t>
            </w:r>
          </w:p>
        </w:tc>
        <w:tc>
          <w:tcPr>
            <w:tcW w:w="1780" w:type="pct"/>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 xml:space="preserve">         年    月    日</w:t>
            </w:r>
          </w:p>
        </w:tc>
      </w:tr>
      <w:tr>
        <w:tblPrEx>
          <w:tblCellMar>
            <w:top w:w="0" w:type="dxa"/>
            <w:left w:w="108" w:type="dxa"/>
            <w:bottom w:w="0" w:type="dxa"/>
            <w:right w:w="108" w:type="dxa"/>
          </w:tblCellMar>
        </w:tblPrEx>
        <w:trPr>
          <w:trHeight w:val="460" w:hRule="atLeast"/>
        </w:trPr>
        <w:tc>
          <w:tcPr>
            <w:tcW w:w="621" w:type="pct"/>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采购</w:t>
            </w:r>
            <w:r>
              <w:rPr>
                <w:rFonts w:hint="default" w:ascii="Times New Roman" w:hAnsi="Times New Roman" w:eastAsia="仿宋_GB2312" w:cs="Times New Roman"/>
                <w:b w:val="0"/>
                <w:bCs/>
                <w:snapToGrid/>
                <w:color w:val="auto"/>
                <w:kern w:val="0"/>
                <w:sz w:val="22"/>
                <w:szCs w:val="22"/>
                <w:highlight w:val="none"/>
                <w:lang w:eastAsia="zh-CN"/>
              </w:rPr>
              <w:t>单位</w:t>
            </w:r>
          </w:p>
        </w:tc>
        <w:tc>
          <w:tcPr>
            <w:tcW w:w="1631" w:type="pct"/>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966" w:type="pct"/>
            <w:gridSpan w:val="3"/>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验收时间</w:t>
            </w:r>
          </w:p>
        </w:tc>
        <w:tc>
          <w:tcPr>
            <w:tcW w:w="1780" w:type="pct"/>
            <w:tcBorders>
              <w:top w:val="single" w:color="auto" w:sz="4" w:space="0"/>
              <w:left w:val="single" w:color="auto" w:sz="4" w:space="0"/>
              <w:bottom w:val="single" w:color="auto" w:sz="4" w:space="0"/>
              <w:right w:val="single" w:color="auto" w:sz="4" w:space="0"/>
            </w:tcBorders>
            <w:noWrap/>
            <w:vAlign w:val="center"/>
          </w:tcPr>
          <w:p>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 xml:space="preserve">         年    月    日</w:t>
            </w:r>
          </w:p>
        </w:tc>
      </w:tr>
      <w:tr>
        <w:tblPrEx>
          <w:tblCellMar>
            <w:top w:w="0" w:type="dxa"/>
            <w:left w:w="108" w:type="dxa"/>
            <w:bottom w:w="0" w:type="dxa"/>
            <w:right w:w="108" w:type="dxa"/>
          </w:tblCellMar>
        </w:tblPrEx>
        <w:trPr>
          <w:trHeight w:val="1356" w:hRule="atLeast"/>
        </w:trPr>
        <w:tc>
          <w:tcPr>
            <w:tcW w:w="621" w:type="pct"/>
            <w:tcBorders>
              <w:top w:val="single" w:color="auto" w:sz="4" w:space="0"/>
              <w:left w:val="single" w:color="auto" w:sz="4" w:space="0"/>
              <w:right w:val="single" w:color="auto" w:sz="4" w:space="0"/>
            </w:tcBorders>
            <w:noWrap/>
            <w:vAlign w:val="center"/>
          </w:tcPr>
          <w:p>
            <w:pPr>
              <w:widowControl/>
              <w:kinsoku/>
              <w:autoSpaceDE/>
              <w:autoSpaceDN/>
              <w:adjustRightInd/>
              <w:snapToGrid w:val="0"/>
              <w:spacing w:line="300" w:lineRule="exact"/>
              <w:ind w:left="-105" w:leftChars="-50" w:right="-105" w:rightChars="-5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到货</w:t>
            </w:r>
          </w:p>
          <w:p>
            <w:pPr>
              <w:widowControl/>
              <w:kinsoku/>
              <w:autoSpaceDE/>
              <w:autoSpaceDN/>
              <w:adjustRightInd/>
              <w:snapToGrid w:val="0"/>
              <w:spacing w:line="300" w:lineRule="exact"/>
              <w:ind w:left="-105" w:leftChars="-50" w:right="-105" w:rightChars="-5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清单</w:t>
            </w:r>
          </w:p>
        </w:tc>
        <w:tc>
          <w:tcPr>
            <w:tcW w:w="4378" w:type="pct"/>
            <w:gridSpan w:val="5"/>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val="en-US" w:eastAsia="zh-CN"/>
              </w:rPr>
            </w:pPr>
            <w:r>
              <w:rPr>
                <w:rFonts w:hint="eastAsia" w:ascii="仿宋" w:hAnsi="仿宋" w:eastAsia="仿宋" w:cs="仿宋"/>
                <w:b w:val="0"/>
                <w:bCs w:val="0"/>
                <w:color w:val="auto"/>
                <w:sz w:val="24"/>
                <w:szCs w:val="24"/>
                <w:highlight w:val="none"/>
                <w:lang w:val="en-US" w:eastAsia="zh-CN"/>
              </w:rPr>
              <w:t>已供货物详见附件清单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restar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进场</w:t>
            </w:r>
          </w:p>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检查</w:t>
            </w:r>
          </w:p>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情况</w:t>
            </w:r>
          </w:p>
        </w:tc>
        <w:tc>
          <w:tcPr>
            <w:tcW w:w="1631" w:type="pc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货物数量是否齐全，如否请备注缺货或错货情况</w:t>
            </w:r>
          </w:p>
        </w:tc>
        <w:tc>
          <w:tcPr>
            <w:tcW w:w="2746" w:type="pct"/>
            <w:gridSpan w:val="4"/>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pPr>
              <w:widowControl w:val="0"/>
              <w:spacing w:after="0" w:line="300" w:lineRule="exact"/>
              <w:ind w:firstLine="0" w:firstLineChars="0"/>
              <w:jc w:val="both"/>
              <w:rPr>
                <w:rFonts w:hint="default" w:ascii="Times New Roman" w:hAnsi="Times New Roman" w:eastAsia="仿宋_GB2312" w:cs="Times New Roman"/>
                <w:bCs/>
                <w:color w:val="auto"/>
                <w:kern w:val="2"/>
                <w:sz w:val="21"/>
                <w:szCs w:val="24"/>
                <w:highlight w:val="none"/>
                <w:lang w:val="en-US" w:eastAsia="zh-CN" w:bidi="ar-SA"/>
              </w:rPr>
            </w:pPr>
            <w:r>
              <w:rPr>
                <w:rFonts w:hint="default" w:ascii="Times New Roman" w:hAnsi="Times New Roman" w:eastAsia="仿宋_GB2312" w:cs="Times New Roman"/>
                <w:b w:val="0"/>
                <w:bCs/>
                <w:color w:val="auto"/>
                <w:kern w:val="0"/>
                <w:sz w:val="22"/>
                <w:szCs w:val="22"/>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货物是否完好无损，如否请备注货损情况</w:t>
            </w:r>
          </w:p>
        </w:tc>
        <w:tc>
          <w:tcPr>
            <w:tcW w:w="2746" w:type="pct"/>
            <w:gridSpan w:val="4"/>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随货物备品备件和专用工具情况，如有缺请备注</w:t>
            </w:r>
          </w:p>
        </w:tc>
        <w:tc>
          <w:tcPr>
            <w:tcW w:w="2746" w:type="pct"/>
            <w:gridSpan w:val="4"/>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货物和配件材质是否</w:t>
            </w:r>
            <w:r>
              <w:rPr>
                <w:rFonts w:hint="eastAsia" w:ascii="Times New Roman" w:hAnsi="Times New Roman" w:eastAsia="仿宋_GB2312" w:cs="Times New Roman"/>
                <w:b w:val="0"/>
                <w:bCs/>
                <w:snapToGrid/>
                <w:color w:val="auto"/>
                <w:kern w:val="0"/>
                <w:sz w:val="22"/>
                <w:szCs w:val="22"/>
                <w:highlight w:val="none"/>
                <w:lang w:val="en-US" w:eastAsia="zh-CN"/>
              </w:rPr>
              <w:t>符合需求</w:t>
            </w:r>
            <w:r>
              <w:rPr>
                <w:rFonts w:hint="default" w:ascii="Times New Roman" w:hAnsi="Times New Roman" w:eastAsia="仿宋_GB2312" w:cs="Times New Roman"/>
                <w:b w:val="0"/>
                <w:bCs/>
                <w:snapToGrid/>
                <w:color w:val="auto"/>
                <w:kern w:val="0"/>
                <w:sz w:val="22"/>
                <w:szCs w:val="22"/>
                <w:highlight w:val="none"/>
                <w:lang w:eastAsia="zh-CN"/>
              </w:rPr>
              <w:t>，如否请备注情况</w:t>
            </w:r>
          </w:p>
        </w:tc>
        <w:tc>
          <w:tcPr>
            <w:tcW w:w="2746" w:type="pct"/>
            <w:gridSpan w:val="4"/>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货物和配件性能参数是否</w:t>
            </w:r>
            <w:r>
              <w:rPr>
                <w:rFonts w:hint="eastAsia" w:ascii="Times New Roman" w:hAnsi="Times New Roman" w:eastAsia="仿宋_GB2312" w:cs="Times New Roman"/>
                <w:b w:val="0"/>
                <w:bCs/>
                <w:snapToGrid/>
                <w:color w:val="auto"/>
                <w:kern w:val="0"/>
                <w:sz w:val="22"/>
                <w:szCs w:val="22"/>
                <w:highlight w:val="none"/>
                <w:lang w:val="en-US" w:eastAsia="zh-CN"/>
              </w:rPr>
              <w:t>符合需求</w:t>
            </w:r>
            <w:r>
              <w:rPr>
                <w:rFonts w:hint="default" w:ascii="Times New Roman" w:hAnsi="Times New Roman" w:eastAsia="仿宋_GB2312" w:cs="Times New Roman"/>
                <w:b w:val="0"/>
                <w:bCs/>
                <w:snapToGrid/>
                <w:color w:val="auto"/>
                <w:kern w:val="0"/>
                <w:sz w:val="22"/>
                <w:szCs w:val="22"/>
                <w:highlight w:val="none"/>
                <w:lang w:eastAsia="zh-CN"/>
              </w:rPr>
              <w:t>，如否请备注情况</w:t>
            </w:r>
          </w:p>
        </w:tc>
        <w:tc>
          <w:tcPr>
            <w:tcW w:w="2746" w:type="pct"/>
            <w:gridSpan w:val="4"/>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bottom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到货资料检查</w:t>
            </w:r>
          </w:p>
        </w:tc>
        <w:tc>
          <w:tcPr>
            <w:tcW w:w="2746" w:type="pct"/>
            <w:gridSpan w:val="4"/>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val="en-US" w:eastAsia="zh-CN"/>
              </w:rPr>
              <w:t>产品说明书</w:t>
            </w:r>
            <w:r>
              <w:rPr>
                <w:rFonts w:hint="default" w:ascii="Times New Roman" w:hAnsi="Times New Roman" w:eastAsia="仿宋_GB2312" w:cs="Times New Roman"/>
                <w:b w:val="0"/>
                <w:bCs/>
                <w:snapToGrid/>
                <w:color w:val="auto"/>
                <w:kern w:val="0"/>
                <w:sz w:val="22"/>
                <w:szCs w:val="22"/>
                <w:highlight w:val="none"/>
                <w:lang w:eastAsia="zh-CN"/>
              </w:rPr>
              <w:t>、</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产品合格证、</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保修单、</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val="en-US" w:eastAsia="zh-CN"/>
              </w:rPr>
              <w:t>出厂检测</w:t>
            </w:r>
            <w:r>
              <w:rPr>
                <w:rFonts w:hint="default" w:ascii="Times New Roman" w:hAnsi="Times New Roman" w:eastAsia="仿宋_GB2312" w:cs="Times New Roman"/>
                <w:b w:val="0"/>
                <w:bCs/>
                <w:snapToGrid/>
                <w:color w:val="auto"/>
                <w:kern w:val="0"/>
                <w:sz w:val="22"/>
                <w:szCs w:val="22"/>
                <w:highlight w:val="none"/>
                <w:lang w:eastAsia="zh-CN"/>
              </w:rPr>
              <w:t>报告、</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技术图纸、</w:t>
            </w:r>
            <w:r>
              <w:rPr>
                <w:rFonts w:hint="eastAsia" w:ascii="Times New Roman" w:hAnsi="Times New Roman" w:eastAsia="仿宋_GB2312" w:cs="Times New Roman"/>
                <w:b w:val="0"/>
                <w:bCs/>
                <w:snapToGrid/>
                <w:color w:val="auto"/>
                <w:kern w:val="0"/>
                <w:sz w:val="22"/>
                <w:szCs w:val="22"/>
                <w:highlight w:val="none"/>
                <w:lang w:val="en-US" w:eastAsia="zh-CN"/>
              </w:rPr>
              <w:t>其他</w:t>
            </w:r>
            <w:r>
              <w:rPr>
                <w:rFonts w:hint="default" w:ascii="Times New Roman" w:hAnsi="Times New Roman" w:eastAsia="仿宋_GB2312" w:cs="Times New Roman"/>
                <w:b w:val="0"/>
                <w:bCs/>
                <w:snapToGrid/>
                <w:color w:val="auto"/>
                <w:kern w:val="0"/>
                <w:sz w:val="22"/>
                <w:szCs w:val="22"/>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bottom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是否需要送检</w:t>
            </w:r>
          </w:p>
        </w:tc>
        <w:tc>
          <w:tcPr>
            <w:tcW w:w="2746" w:type="pct"/>
            <w:gridSpan w:val="4"/>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ind w:firstLine="880" w:firstLineChars="40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pct"/>
            <w:vMerge w:val="continue"/>
            <w:tcBorders>
              <w:left w:val="single" w:color="auto" w:sz="4" w:space="0"/>
              <w:bottom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631" w:type="pct"/>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其他问题</w:t>
            </w:r>
          </w:p>
        </w:tc>
        <w:tc>
          <w:tcPr>
            <w:tcW w:w="2746" w:type="pct"/>
            <w:gridSpan w:val="4"/>
            <w:tcBorders>
              <w:top w:val="single" w:color="auto" w:sz="4" w:space="0"/>
              <w:left w:val="single" w:color="auto" w:sz="4" w:space="0"/>
              <w:right w:val="single" w:color="auto" w:sz="4" w:space="0"/>
            </w:tcBorders>
            <w:noWrap w:val="0"/>
            <w:vAlign w:val="center"/>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351" w:type="pct"/>
            <w:gridSpan w:val="3"/>
            <w:tcBorders>
              <w:left w:val="single" w:color="auto" w:sz="4" w:space="0"/>
              <w:bottom w:val="single" w:color="auto" w:sz="4" w:space="0"/>
              <w:right w:val="single" w:color="auto" w:sz="4" w:space="0"/>
            </w:tcBorders>
            <w:noWrap w:val="0"/>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现场到货验收意见</w:t>
            </w:r>
          </w:p>
        </w:tc>
        <w:tc>
          <w:tcPr>
            <w:tcW w:w="2648" w:type="pct"/>
            <w:gridSpan w:val="3"/>
            <w:tcBorders>
              <w:top w:val="single" w:color="auto" w:sz="4" w:space="0"/>
              <w:left w:val="single" w:color="auto" w:sz="4" w:space="0"/>
              <w:right w:val="single" w:color="auto" w:sz="4" w:space="0"/>
            </w:tcBorders>
            <w:noWrap w:val="0"/>
            <w:vAlign w:val="center"/>
          </w:tcPr>
          <w:p>
            <w:pPr>
              <w:pStyle w:val="18"/>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0" w:right="0" w:firstLine="620" w:firstLineChars="200"/>
              <w:textAlignment w:val="auto"/>
              <w:rPr>
                <w:rFonts w:hint="default" w:ascii="Times New Roman" w:hAnsi="Times New Roman" w:eastAsia="仿宋_GB2312" w:cs="Times New Roman"/>
                <w:b w:val="0"/>
                <w:bCs/>
                <w:snapToGrid/>
                <w:color w:val="auto"/>
                <w:kern w:val="2"/>
                <w:sz w:val="31"/>
                <w:szCs w:val="24"/>
                <w:highlight w:val="none"/>
                <w:lang w:eastAsia="zh-CN"/>
              </w:rPr>
            </w:pPr>
          </w:p>
          <w:p>
            <w:pPr>
              <w:pStyle w:val="18"/>
              <w:rPr>
                <w:rFonts w:hint="default"/>
                <w:color w:val="auto"/>
                <w:highlight w:val="none"/>
                <w:lang w:eastAsia="zh-CN"/>
              </w:rPr>
            </w:pPr>
          </w:p>
          <w:p>
            <w:pPr>
              <w:rPr>
                <w:rFonts w:hint="default"/>
                <w:color w:val="auto"/>
                <w:highlight w:val="none"/>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0" w:hRule="atLeast"/>
        </w:trPr>
        <w:tc>
          <w:tcPr>
            <w:tcW w:w="5000" w:type="pct"/>
            <w:gridSpan w:val="6"/>
            <w:tcBorders>
              <w:top w:val="single" w:color="auto" w:sz="6" w:space="0"/>
              <w:left w:val="single" w:color="auto" w:sz="6" w:space="0"/>
              <w:bottom w:val="single" w:color="auto" w:sz="6" w:space="0"/>
              <w:right w:val="single" w:color="auto" w:sz="6" w:space="0"/>
            </w:tcBorders>
            <w:noWrap/>
            <w:vAlign w:val="center"/>
          </w:tcPr>
          <w:p>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2"/>
                <w:sz w:val="22"/>
                <w:szCs w:val="22"/>
                <w:highlight w:val="none"/>
                <w:lang w:eastAsia="zh-CN"/>
              </w:rPr>
              <w:t xml:space="preserve">参 加  验 收 的 单 位 和 代 表 （签 </w:t>
            </w:r>
            <w:r>
              <w:rPr>
                <w:rFonts w:hint="default" w:ascii="Times New Roman" w:hAnsi="Times New Roman" w:eastAsia="仿宋_GB2312" w:cs="Times New Roman"/>
                <w:b w:val="0"/>
                <w:bCs/>
                <w:snapToGrid/>
                <w:color w:val="auto"/>
                <w:kern w:val="2"/>
                <w:sz w:val="22"/>
                <w:szCs w:val="22"/>
                <w:highlight w:val="none"/>
                <w:lang w:val="en-US" w:eastAsia="zh-CN"/>
              </w:rPr>
              <w:t>字</w:t>
            </w:r>
            <w:r>
              <w:rPr>
                <w:rFonts w:hint="default" w:ascii="Times New Roman" w:hAnsi="Times New Roman" w:eastAsia="仿宋_GB2312" w:cs="Times New Roman"/>
                <w:b w:val="0"/>
                <w:bCs/>
                <w:snapToGrid/>
                <w:color w:val="auto"/>
                <w:kern w:val="2"/>
                <w:sz w:val="22"/>
                <w:szCs w:val="22"/>
                <w:highlight w:val="none"/>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2" w:hRule="atLeast"/>
        </w:trPr>
        <w:tc>
          <w:tcPr>
            <w:tcW w:w="2686" w:type="pct"/>
            <w:gridSpan w:val="4"/>
            <w:tcBorders>
              <w:top w:val="single" w:color="auto" w:sz="6" w:space="0"/>
              <w:left w:val="single" w:color="auto" w:sz="6" w:space="0"/>
              <w:bottom w:val="single" w:color="auto" w:sz="6" w:space="0"/>
              <w:right w:val="single" w:color="auto" w:sz="6" w:space="0"/>
            </w:tcBorders>
            <w:noWrap/>
            <w:vAlign w:val="top"/>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2"/>
                <w:sz w:val="22"/>
                <w:szCs w:val="22"/>
                <w:highlight w:val="none"/>
                <w:lang w:val="en-US" w:eastAsia="zh-CN"/>
              </w:rPr>
            </w:pPr>
            <w:r>
              <w:rPr>
                <w:rFonts w:hint="default" w:ascii="Times New Roman" w:hAnsi="Times New Roman" w:eastAsia="仿宋_GB2312" w:cs="Times New Roman"/>
                <w:b w:val="0"/>
                <w:bCs/>
                <w:snapToGrid/>
                <w:color w:val="auto"/>
                <w:kern w:val="2"/>
                <w:sz w:val="22"/>
                <w:szCs w:val="22"/>
                <w:highlight w:val="none"/>
                <w:lang w:val="en-US" w:eastAsia="zh-CN"/>
              </w:rPr>
              <w:t>供货</w:t>
            </w:r>
            <w:r>
              <w:rPr>
                <w:rFonts w:hint="default" w:ascii="Times New Roman" w:hAnsi="Times New Roman" w:eastAsia="仿宋_GB2312" w:cs="Times New Roman"/>
                <w:b w:val="0"/>
                <w:bCs/>
                <w:snapToGrid/>
                <w:color w:val="auto"/>
                <w:kern w:val="2"/>
                <w:sz w:val="22"/>
                <w:szCs w:val="22"/>
                <w:highlight w:val="none"/>
                <w:lang w:eastAsia="zh-CN"/>
              </w:rPr>
              <w:t>单位</w:t>
            </w:r>
            <w:r>
              <w:rPr>
                <w:rFonts w:hint="eastAsia" w:ascii="Times New Roman" w:hAnsi="Times New Roman" w:eastAsia="仿宋_GB2312" w:cs="Times New Roman"/>
                <w:b w:val="0"/>
                <w:bCs/>
                <w:snapToGrid/>
                <w:color w:val="auto"/>
                <w:kern w:val="2"/>
                <w:sz w:val="22"/>
                <w:szCs w:val="22"/>
                <w:highlight w:val="none"/>
                <w:lang w:val="en-US" w:eastAsia="zh-CN"/>
              </w:rPr>
              <w:t xml:space="preserve">  </w:t>
            </w:r>
          </w:p>
        </w:tc>
        <w:tc>
          <w:tcPr>
            <w:tcW w:w="2313" w:type="pct"/>
            <w:gridSpan w:val="2"/>
            <w:tcBorders>
              <w:top w:val="single" w:color="auto" w:sz="6" w:space="0"/>
              <w:left w:val="single" w:color="auto" w:sz="6" w:space="0"/>
              <w:bottom w:val="single" w:color="auto" w:sz="6" w:space="0"/>
              <w:right w:val="single" w:color="auto" w:sz="6" w:space="0"/>
            </w:tcBorders>
            <w:noWrap w:val="0"/>
            <w:vAlign w:val="top"/>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val="en-US" w:eastAsia="zh-CN"/>
              </w:rPr>
            </w:pPr>
            <w:r>
              <w:rPr>
                <w:rFonts w:hint="default" w:ascii="Times New Roman" w:hAnsi="Times New Roman" w:eastAsia="仿宋_GB2312" w:cs="Times New Roman"/>
                <w:b w:val="0"/>
                <w:bCs/>
                <w:snapToGrid/>
                <w:color w:val="auto"/>
                <w:kern w:val="2"/>
                <w:sz w:val="22"/>
                <w:szCs w:val="22"/>
                <w:highlight w:val="none"/>
                <w:lang w:val="en-US" w:eastAsia="zh-CN"/>
              </w:rPr>
              <w:t>采购</w:t>
            </w:r>
            <w:r>
              <w:rPr>
                <w:rFonts w:hint="default" w:ascii="Times New Roman" w:hAnsi="Times New Roman" w:eastAsia="仿宋_GB2312" w:cs="Times New Roman"/>
                <w:b w:val="0"/>
                <w:bCs/>
                <w:snapToGrid/>
                <w:color w:val="auto"/>
                <w:kern w:val="2"/>
                <w:sz w:val="22"/>
                <w:szCs w:val="22"/>
                <w:highlight w:val="none"/>
                <w:lang w:eastAsia="zh-CN"/>
              </w:rPr>
              <w:t>单位</w:t>
            </w:r>
            <w:r>
              <w:rPr>
                <w:rFonts w:hint="eastAsia" w:ascii="Times New Roman" w:hAnsi="Times New Roman" w:eastAsia="仿宋_GB2312" w:cs="Times New Roman"/>
                <w:b w:val="0"/>
                <w:bCs/>
                <w:snapToGrid/>
                <w:color w:val="auto"/>
                <w:kern w:val="2"/>
                <w:sz w:val="22"/>
                <w:szCs w:val="22"/>
                <w:highlight w:val="none"/>
                <w:lang w:val="en-US" w:eastAsia="zh-CN"/>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7" w:hRule="atLeast"/>
        </w:trPr>
        <w:tc>
          <w:tcPr>
            <w:tcW w:w="5000" w:type="pct"/>
            <w:gridSpan w:val="6"/>
            <w:tcBorders>
              <w:top w:val="single" w:color="auto" w:sz="6" w:space="0"/>
              <w:left w:val="single" w:color="auto" w:sz="6" w:space="0"/>
              <w:bottom w:val="single" w:color="auto" w:sz="6" w:space="0"/>
              <w:right w:val="single" w:color="auto" w:sz="6" w:space="0"/>
            </w:tcBorders>
            <w:noWrap/>
            <w:vAlign w:val="top"/>
          </w:tcPr>
          <w:p>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2"/>
                <w:sz w:val="22"/>
                <w:szCs w:val="22"/>
                <w:highlight w:val="none"/>
                <w:lang w:val="en-US" w:eastAsia="zh-CN"/>
              </w:rPr>
            </w:pPr>
            <w:r>
              <w:rPr>
                <w:rFonts w:hint="default" w:ascii="Times New Roman" w:hAnsi="Times New Roman" w:eastAsia="仿宋_GB2312" w:cs="Times New Roman"/>
                <w:b w:val="0"/>
                <w:bCs/>
                <w:snapToGrid/>
                <w:color w:val="auto"/>
                <w:kern w:val="2"/>
                <w:sz w:val="22"/>
                <w:szCs w:val="22"/>
                <w:highlight w:val="none"/>
                <w:lang w:val="en-US" w:eastAsia="zh-CN"/>
              </w:rPr>
              <w:t>注：对于需要调试和整体验收的项目，本验收表签署仅代表货物到场，不代表完全认可货物的质量，不代表货物所有权转移。</w:t>
            </w:r>
          </w:p>
        </w:tc>
      </w:tr>
    </w:tbl>
    <w:p>
      <w:pPr>
        <w:pStyle w:val="18"/>
        <w:rPr>
          <w:rFonts w:hint="default" w:ascii="Times New Roman" w:hAnsi="Times New Roman" w:eastAsia="仿宋_GB2312" w:cs="Times New Roman"/>
          <w:b w:val="0"/>
          <w:bCs/>
          <w:snapToGrid/>
          <w:color w:val="auto"/>
          <w:kern w:val="2"/>
          <w:sz w:val="22"/>
          <w:szCs w:val="22"/>
          <w:highlight w:val="none"/>
          <w:lang w:eastAsia="zh-CN"/>
        </w:rPr>
      </w:pPr>
      <w:r>
        <w:rPr>
          <w:rFonts w:hint="default" w:ascii="Times New Roman" w:hAnsi="Times New Roman" w:eastAsia="仿宋_GB2312" w:cs="Times New Roman"/>
          <w:b w:val="0"/>
          <w:bCs/>
          <w:snapToGrid/>
          <w:color w:val="auto"/>
          <w:kern w:val="2"/>
          <w:sz w:val="22"/>
          <w:szCs w:val="22"/>
          <w:highlight w:val="none"/>
          <w:lang w:eastAsia="zh-CN"/>
        </w:rPr>
        <w:t>此表一式</w:t>
      </w:r>
      <w:r>
        <w:rPr>
          <w:rFonts w:hint="default" w:ascii="Times New Roman" w:hAnsi="Times New Roman" w:eastAsia="仿宋_GB2312" w:cs="Times New Roman"/>
          <w:b w:val="0"/>
          <w:bCs/>
          <w:snapToGrid/>
          <w:color w:val="auto"/>
          <w:kern w:val="2"/>
          <w:sz w:val="22"/>
          <w:szCs w:val="22"/>
          <w:highlight w:val="none"/>
          <w:lang w:val="en-US" w:eastAsia="zh-CN"/>
        </w:rPr>
        <w:t>两</w:t>
      </w:r>
      <w:r>
        <w:rPr>
          <w:rFonts w:hint="default" w:ascii="Times New Roman" w:hAnsi="Times New Roman" w:eastAsia="仿宋_GB2312" w:cs="Times New Roman"/>
          <w:b w:val="0"/>
          <w:bCs/>
          <w:snapToGrid/>
          <w:color w:val="auto"/>
          <w:kern w:val="2"/>
          <w:sz w:val="22"/>
          <w:szCs w:val="22"/>
          <w:highlight w:val="none"/>
          <w:lang w:eastAsia="zh-CN"/>
        </w:rPr>
        <w:t>份，</w:t>
      </w:r>
      <w:r>
        <w:rPr>
          <w:rFonts w:hint="default" w:ascii="Times New Roman" w:hAnsi="Times New Roman" w:eastAsia="仿宋_GB2312" w:cs="Times New Roman"/>
          <w:b w:val="0"/>
          <w:bCs/>
          <w:snapToGrid/>
          <w:color w:val="auto"/>
          <w:kern w:val="2"/>
          <w:sz w:val="22"/>
          <w:szCs w:val="22"/>
          <w:highlight w:val="none"/>
          <w:lang w:val="en-US" w:eastAsia="zh-CN"/>
        </w:rPr>
        <w:t>供货</w:t>
      </w:r>
      <w:r>
        <w:rPr>
          <w:rFonts w:hint="default" w:ascii="Times New Roman" w:hAnsi="Times New Roman" w:eastAsia="仿宋_GB2312" w:cs="Times New Roman"/>
          <w:b w:val="0"/>
          <w:bCs/>
          <w:snapToGrid/>
          <w:color w:val="auto"/>
          <w:kern w:val="2"/>
          <w:sz w:val="22"/>
          <w:szCs w:val="22"/>
          <w:highlight w:val="none"/>
          <w:lang w:eastAsia="zh-CN"/>
        </w:rPr>
        <w:t>单位、</w:t>
      </w:r>
      <w:r>
        <w:rPr>
          <w:rFonts w:hint="default" w:ascii="Times New Roman" w:hAnsi="Times New Roman" w:eastAsia="仿宋_GB2312" w:cs="Times New Roman"/>
          <w:b w:val="0"/>
          <w:bCs/>
          <w:snapToGrid/>
          <w:color w:val="auto"/>
          <w:kern w:val="2"/>
          <w:sz w:val="22"/>
          <w:szCs w:val="22"/>
          <w:highlight w:val="none"/>
          <w:lang w:val="en-US" w:eastAsia="zh-CN"/>
        </w:rPr>
        <w:t>采购</w:t>
      </w:r>
      <w:r>
        <w:rPr>
          <w:rFonts w:hint="default" w:ascii="Times New Roman" w:hAnsi="Times New Roman" w:eastAsia="仿宋_GB2312" w:cs="Times New Roman"/>
          <w:b w:val="0"/>
          <w:bCs/>
          <w:snapToGrid/>
          <w:color w:val="auto"/>
          <w:kern w:val="2"/>
          <w:sz w:val="22"/>
          <w:szCs w:val="22"/>
          <w:highlight w:val="none"/>
          <w:lang w:eastAsia="zh-CN"/>
        </w:rPr>
        <w:t>单位各存一份。</w:t>
      </w:r>
    </w:p>
    <w:p>
      <w:pPr>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br w:type="page"/>
      </w:r>
    </w:p>
    <w:p>
      <w:pPr>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附件：已供货清单</w:t>
      </w:r>
    </w:p>
    <w:p>
      <w:pPr>
        <w:jc w:val="both"/>
        <w:rPr>
          <w:rFonts w:hint="eastAsia" w:ascii="仿宋" w:hAnsi="仿宋" w:eastAsia="仿宋" w:cs="仿宋"/>
          <w:b w:val="0"/>
          <w:bCs w:val="0"/>
          <w:color w:val="auto"/>
          <w:kern w:val="2"/>
          <w:sz w:val="24"/>
          <w:szCs w:val="24"/>
          <w:highlight w:val="none"/>
          <w:lang w:val="en-US" w:eastAsia="zh-CN" w:bidi="ar-SA"/>
        </w:rPr>
      </w:pPr>
    </w:p>
    <w:tbl>
      <w:tblPr>
        <w:tblStyle w:val="20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56"/>
        <w:gridCol w:w="1442"/>
        <w:gridCol w:w="1446"/>
        <w:gridCol w:w="964"/>
        <w:gridCol w:w="1655"/>
        <w:gridCol w:w="1466"/>
        <w:gridCol w:w="20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5000" w:type="pct"/>
            <w:gridSpan w:val="7"/>
            <w:tcMar>
              <w:top w:w="57" w:type="dxa"/>
              <w:left w:w="57" w:type="dxa"/>
              <w:bottom w:w="57" w:type="dxa"/>
              <w:right w:w="57" w:type="dxa"/>
            </w:tcMar>
            <w:vAlign w:val="top"/>
          </w:tcPr>
          <w:p>
            <w:pPr>
              <w:pStyle w:val="206"/>
              <w:spacing w:before="103"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2923" w14:cap="sq" w14:cmpd="sng">
                  <w14:solidFill>
                    <w14:srgbClr w14:val="000000"/>
                  </w14:solidFill>
                  <w14:prstDash w14:val="solid"/>
                  <w14:bevel/>
                </w14:textOutline>
              </w:rPr>
              <w:t>送货清单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81" w:type="pct"/>
            <w:tcMar>
              <w:top w:w="57" w:type="dxa"/>
              <w:left w:w="57" w:type="dxa"/>
              <w:bottom w:w="57" w:type="dxa"/>
              <w:right w:w="57" w:type="dxa"/>
            </w:tcMar>
            <w:vAlign w:val="top"/>
          </w:tcPr>
          <w:p>
            <w:pPr>
              <w:pStyle w:val="206"/>
              <w:spacing w:before="146" w:line="22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序号</w:t>
            </w:r>
          </w:p>
        </w:tc>
        <w:tc>
          <w:tcPr>
            <w:tcW w:w="726" w:type="pct"/>
            <w:tcMar>
              <w:top w:w="57" w:type="dxa"/>
              <w:left w:w="57" w:type="dxa"/>
              <w:bottom w:w="57" w:type="dxa"/>
              <w:right w:w="57" w:type="dxa"/>
            </w:tcMar>
            <w:vAlign w:val="top"/>
          </w:tcPr>
          <w:p>
            <w:pPr>
              <w:pStyle w:val="206"/>
              <w:spacing w:before="146"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货物名称</w:t>
            </w:r>
          </w:p>
        </w:tc>
        <w:tc>
          <w:tcPr>
            <w:tcW w:w="727" w:type="pct"/>
            <w:tcMar>
              <w:top w:w="57" w:type="dxa"/>
              <w:left w:w="57" w:type="dxa"/>
              <w:bottom w:w="57" w:type="dxa"/>
              <w:right w:w="57" w:type="dxa"/>
            </w:tcMar>
            <w:vAlign w:val="top"/>
          </w:tcPr>
          <w:p>
            <w:pPr>
              <w:pStyle w:val="206"/>
              <w:spacing w:before="147"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规格型号</w:t>
            </w:r>
          </w:p>
        </w:tc>
        <w:tc>
          <w:tcPr>
            <w:tcW w:w="485" w:type="pct"/>
            <w:tcMar>
              <w:top w:w="57" w:type="dxa"/>
              <w:left w:w="57" w:type="dxa"/>
              <w:bottom w:w="57" w:type="dxa"/>
              <w:right w:w="57" w:type="dxa"/>
            </w:tcMar>
            <w:vAlign w:val="top"/>
          </w:tcPr>
          <w:p>
            <w:pPr>
              <w:pStyle w:val="206"/>
              <w:spacing w:before="147"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数量</w:t>
            </w:r>
          </w:p>
        </w:tc>
        <w:tc>
          <w:tcPr>
            <w:tcW w:w="833" w:type="pct"/>
            <w:tcMar>
              <w:top w:w="57" w:type="dxa"/>
              <w:left w:w="57" w:type="dxa"/>
              <w:bottom w:w="57" w:type="dxa"/>
              <w:right w:w="57" w:type="dxa"/>
            </w:tcMar>
            <w:vAlign w:val="top"/>
          </w:tcPr>
          <w:p>
            <w:pPr>
              <w:pStyle w:val="206"/>
              <w:spacing w:before="44"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不含税中标综合</w:t>
            </w:r>
          </w:p>
          <w:p>
            <w:pPr>
              <w:pStyle w:val="206"/>
              <w:spacing w:before="15" w:line="21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单价(元)</w:t>
            </w:r>
          </w:p>
        </w:tc>
        <w:tc>
          <w:tcPr>
            <w:tcW w:w="738" w:type="pct"/>
            <w:tcMar>
              <w:top w:w="57" w:type="dxa"/>
              <w:left w:w="57" w:type="dxa"/>
              <w:bottom w:w="57" w:type="dxa"/>
              <w:right w:w="57" w:type="dxa"/>
            </w:tcMar>
            <w:vAlign w:val="top"/>
          </w:tcPr>
          <w:p>
            <w:pPr>
              <w:pStyle w:val="206"/>
              <w:spacing w:before="44"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不含税小计</w:t>
            </w:r>
          </w:p>
          <w:p>
            <w:pPr>
              <w:pStyle w:val="206"/>
              <w:spacing w:before="15"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(元)</w:t>
            </w:r>
          </w:p>
        </w:tc>
        <w:tc>
          <w:tcPr>
            <w:tcW w:w="1007" w:type="pct"/>
            <w:tcMar>
              <w:top w:w="57" w:type="dxa"/>
              <w:left w:w="57" w:type="dxa"/>
              <w:bottom w:w="57" w:type="dxa"/>
              <w:right w:w="57" w:type="dxa"/>
            </w:tcMar>
            <w:vAlign w:val="top"/>
          </w:tcPr>
          <w:p>
            <w:pPr>
              <w:pStyle w:val="206"/>
              <w:spacing w:before="146" w:line="22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81" w:type="pct"/>
            <w:tcMar>
              <w:top w:w="57" w:type="dxa"/>
              <w:left w:w="57" w:type="dxa"/>
              <w:bottom w:w="57" w:type="dxa"/>
              <w:right w:w="57" w:type="dxa"/>
            </w:tcMar>
            <w:vAlign w:val="top"/>
          </w:tcPr>
          <w:p>
            <w:pPr>
              <w:pStyle w:val="206"/>
              <w:spacing w:before="140" w:line="185" w:lineRule="auto"/>
              <w:ind w:left="3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6"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727"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485"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833"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738"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1007"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481" w:type="pct"/>
            <w:tcMar>
              <w:top w:w="57" w:type="dxa"/>
              <w:left w:w="57" w:type="dxa"/>
              <w:bottom w:w="57" w:type="dxa"/>
              <w:right w:w="57" w:type="dxa"/>
            </w:tcMar>
            <w:vAlign w:val="top"/>
          </w:tcPr>
          <w:p>
            <w:pPr>
              <w:pStyle w:val="206"/>
              <w:spacing w:before="132" w:line="184" w:lineRule="auto"/>
              <w:ind w:left="37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26"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727"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485"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833"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738"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1007"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81" w:type="pct"/>
            <w:tcMar>
              <w:top w:w="57" w:type="dxa"/>
              <w:left w:w="57" w:type="dxa"/>
              <w:bottom w:w="57" w:type="dxa"/>
              <w:right w:w="57" w:type="dxa"/>
            </w:tcMar>
            <w:vAlign w:val="top"/>
          </w:tcPr>
          <w:p>
            <w:pPr>
              <w:pStyle w:val="206"/>
              <w:spacing w:before="131" w:line="184" w:lineRule="auto"/>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26"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727"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485"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833"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738"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1007"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81" w:type="pct"/>
            <w:tcMar>
              <w:top w:w="57" w:type="dxa"/>
              <w:left w:w="57" w:type="dxa"/>
              <w:bottom w:w="57" w:type="dxa"/>
              <w:right w:w="57" w:type="dxa"/>
            </w:tcMar>
            <w:vAlign w:val="top"/>
          </w:tcPr>
          <w:p>
            <w:pPr>
              <w:pStyle w:val="206"/>
              <w:spacing w:before="131" w:line="184" w:lineRule="auto"/>
              <w:ind w:left="3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26"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727"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485"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833"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738"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1007"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3253" w:type="pct"/>
            <w:gridSpan w:val="5"/>
            <w:tcMar>
              <w:top w:w="57" w:type="dxa"/>
              <w:left w:w="57" w:type="dxa"/>
              <w:bottom w:w="57" w:type="dxa"/>
              <w:right w:w="57" w:type="dxa"/>
            </w:tcMar>
            <w:vAlign w:val="top"/>
          </w:tcPr>
          <w:p>
            <w:pPr>
              <w:pStyle w:val="206"/>
              <w:spacing w:before="221" w:line="220" w:lineRule="auto"/>
              <w:ind w:left="220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2923" w14:cap="sq" w14:cmpd="sng">
                  <w14:solidFill>
                    <w14:srgbClr w14:val="000000"/>
                  </w14:solidFill>
                  <w14:prstDash w14:val="solid"/>
                  <w14:bevel/>
                </w14:textOutline>
              </w:rPr>
              <w:t>不含税合计(元)</w:t>
            </w:r>
          </w:p>
        </w:tc>
        <w:tc>
          <w:tcPr>
            <w:tcW w:w="738"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1007"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3253" w:type="pct"/>
            <w:gridSpan w:val="5"/>
            <w:tcMar>
              <w:top w:w="57" w:type="dxa"/>
              <w:left w:w="57" w:type="dxa"/>
              <w:bottom w:w="57" w:type="dxa"/>
              <w:right w:w="57" w:type="dxa"/>
            </w:tcMar>
            <w:vAlign w:val="top"/>
          </w:tcPr>
          <w:p>
            <w:pPr>
              <w:pStyle w:val="206"/>
              <w:spacing w:before="178" w:line="220" w:lineRule="auto"/>
              <w:ind w:left="24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2923" w14:cap="sq" w14:cmpd="sng">
                  <w14:solidFill>
                    <w14:srgbClr w14:val="000000"/>
                  </w14:solidFill>
                  <w14:prstDash w14:val="solid"/>
                  <w14:bevel/>
                </w14:textOutline>
              </w:rPr>
              <w:t>税率(</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14:textOutline w14:w="2923" w14:cap="sq" w14:cmpd="sng">
                  <w14:solidFill>
                    <w14:srgbClr w14:val="000000"/>
                  </w14:solidFill>
                  <w14:prstDash w14:val="solid"/>
                  <w14:bevel/>
                </w14:textOutline>
              </w:rPr>
              <w:t>%</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1"/>
                <w:sz w:val="21"/>
                <w:szCs w:val="21"/>
                <w:highlight w:val="none"/>
                <w14:textOutline w14:w="2923" w14:cap="sq" w14:cmpd="sng">
                  <w14:solidFill>
                    <w14:srgbClr w14:val="000000"/>
                  </w14:solidFill>
                  <w14:prstDash w14:val="solid"/>
                  <w14:bevel/>
                </w14:textOutline>
              </w:rPr>
              <w:t>)</w:t>
            </w:r>
          </w:p>
        </w:tc>
        <w:tc>
          <w:tcPr>
            <w:tcW w:w="738"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1007"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000" w:type="pct"/>
            <w:gridSpan w:val="7"/>
            <w:tcMar>
              <w:top w:w="57" w:type="dxa"/>
              <w:left w:w="57" w:type="dxa"/>
              <w:bottom w:w="57" w:type="dxa"/>
              <w:right w:w="57" w:type="dxa"/>
            </w:tcMar>
            <w:vAlign w:val="top"/>
          </w:tcPr>
          <w:p>
            <w:pPr>
              <w:pStyle w:val="206"/>
              <w:spacing w:before="120"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2923" w14:cap="sq" w14:cmpd="sng">
                  <w14:solidFill>
                    <w14:srgbClr w14:val="000000"/>
                  </w14:solidFill>
                  <w14:prstDash w14:val="solid"/>
                  <w14:bevel/>
                </w14:textOutline>
              </w:rPr>
              <w:t>收货要求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481" w:type="pct"/>
            <w:tcMar>
              <w:top w:w="57" w:type="dxa"/>
              <w:left w:w="57" w:type="dxa"/>
              <w:bottom w:w="57" w:type="dxa"/>
              <w:right w:w="57" w:type="dxa"/>
            </w:tcMar>
            <w:vAlign w:val="top"/>
          </w:tcPr>
          <w:p>
            <w:pPr>
              <w:pStyle w:val="206"/>
              <w:spacing w:before="161" w:line="185" w:lineRule="auto"/>
              <w:ind w:left="3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54" w:type="pct"/>
            <w:gridSpan w:val="2"/>
            <w:tcMar>
              <w:top w:w="57" w:type="dxa"/>
              <w:left w:w="57" w:type="dxa"/>
              <w:bottom w:w="57" w:type="dxa"/>
              <w:right w:w="57" w:type="dxa"/>
            </w:tcMar>
            <w:vAlign w:val="top"/>
          </w:tcPr>
          <w:p>
            <w:pPr>
              <w:pStyle w:val="206"/>
              <w:spacing w:before="136" w:line="220" w:lineRule="auto"/>
              <w:ind w:left="92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收货时间</w:t>
            </w:r>
          </w:p>
        </w:tc>
        <w:tc>
          <w:tcPr>
            <w:tcW w:w="3064" w:type="pct"/>
            <w:gridSpan w:val="4"/>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481" w:type="pct"/>
            <w:tcMar>
              <w:top w:w="57" w:type="dxa"/>
              <w:left w:w="57" w:type="dxa"/>
              <w:bottom w:w="57" w:type="dxa"/>
              <w:right w:w="57" w:type="dxa"/>
            </w:tcMar>
            <w:vAlign w:val="top"/>
          </w:tcPr>
          <w:p>
            <w:pPr>
              <w:pStyle w:val="206"/>
              <w:spacing w:before="158" w:line="184" w:lineRule="auto"/>
              <w:ind w:left="37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54" w:type="pct"/>
            <w:gridSpan w:val="2"/>
            <w:tcMar>
              <w:top w:w="57" w:type="dxa"/>
              <w:left w:w="57" w:type="dxa"/>
              <w:bottom w:w="57" w:type="dxa"/>
              <w:right w:w="57" w:type="dxa"/>
            </w:tcMar>
            <w:vAlign w:val="top"/>
          </w:tcPr>
          <w:p>
            <w:pPr>
              <w:pStyle w:val="206"/>
              <w:spacing w:before="132" w:line="220" w:lineRule="auto"/>
              <w:ind w:left="92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收货地点</w:t>
            </w:r>
          </w:p>
        </w:tc>
        <w:tc>
          <w:tcPr>
            <w:tcW w:w="3064" w:type="pct"/>
            <w:gridSpan w:val="4"/>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81" w:type="pct"/>
            <w:tcMar>
              <w:top w:w="57" w:type="dxa"/>
              <w:left w:w="57" w:type="dxa"/>
              <w:bottom w:w="57" w:type="dxa"/>
              <w:right w:w="57" w:type="dxa"/>
            </w:tcMar>
            <w:vAlign w:val="top"/>
          </w:tcPr>
          <w:p>
            <w:pPr>
              <w:pStyle w:val="206"/>
              <w:spacing w:before="194" w:line="184" w:lineRule="auto"/>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54" w:type="pct"/>
            <w:gridSpan w:val="2"/>
            <w:tcMar>
              <w:top w:w="57" w:type="dxa"/>
              <w:left w:w="57" w:type="dxa"/>
              <w:bottom w:w="57" w:type="dxa"/>
              <w:right w:w="57" w:type="dxa"/>
            </w:tcMar>
            <w:vAlign w:val="top"/>
          </w:tcPr>
          <w:p>
            <w:pPr>
              <w:pStyle w:val="206"/>
              <w:spacing w:before="168" w:line="220" w:lineRule="auto"/>
              <w:ind w:left="84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收货联系人</w:t>
            </w:r>
          </w:p>
        </w:tc>
        <w:tc>
          <w:tcPr>
            <w:tcW w:w="1318" w:type="pct"/>
            <w:gridSpan w:val="2"/>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738" w:type="pct"/>
            <w:tcMar>
              <w:top w:w="57" w:type="dxa"/>
              <w:left w:w="57" w:type="dxa"/>
              <w:bottom w:w="57" w:type="dxa"/>
              <w:right w:w="57" w:type="dxa"/>
            </w:tcMar>
            <w:vAlign w:val="top"/>
          </w:tcPr>
          <w:p>
            <w:pPr>
              <w:pStyle w:val="206"/>
              <w:spacing w:before="168" w:line="223" w:lineRule="auto"/>
              <w:ind w:left="3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联系电话</w:t>
            </w:r>
          </w:p>
        </w:tc>
        <w:tc>
          <w:tcPr>
            <w:tcW w:w="1007"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81" w:type="pct"/>
            <w:tcMar>
              <w:top w:w="57" w:type="dxa"/>
              <w:left w:w="57" w:type="dxa"/>
              <w:bottom w:w="57" w:type="dxa"/>
              <w:right w:w="57" w:type="dxa"/>
            </w:tcMar>
            <w:vAlign w:val="top"/>
          </w:tcPr>
          <w:p>
            <w:pPr>
              <w:pStyle w:val="206"/>
              <w:spacing w:before="230" w:line="184" w:lineRule="auto"/>
              <w:ind w:left="3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54" w:type="pct"/>
            <w:gridSpan w:val="2"/>
            <w:tcMar>
              <w:top w:w="57" w:type="dxa"/>
              <w:left w:w="57" w:type="dxa"/>
              <w:bottom w:w="57" w:type="dxa"/>
              <w:right w:w="57" w:type="dxa"/>
            </w:tcMar>
            <w:vAlign w:val="top"/>
          </w:tcPr>
          <w:p>
            <w:pPr>
              <w:pStyle w:val="206"/>
              <w:spacing w:before="205" w:line="221" w:lineRule="auto"/>
              <w:ind w:left="9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其他要求</w:t>
            </w:r>
          </w:p>
        </w:tc>
        <w:tc>
          <w:tcPr>
            <w:tcW w:w="3064" w:type="pct"/>
            <w:gridSpan w:val="4"/>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000" w:type="pct"/>
            <w:gridSpan w:val="7"/>
            <w:tcMar>
              <w:top w:w="57" w:type="dxa"/>
              <w:left w:w="57" w:type="dxa"/>
              <w:bottom w:w="57" w:type="dxa"/>
              <w:right w:w="57" w:type="dxa"/>
            </w:tcMar>
            <w:vAlign w:val="top"/>
          </w:tcPr>
          <w:p>
            <w:pPr>
              <w:pStyle w:val="206"/>
              <w:spacing w:before="158"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送货联系信息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1935" w:type="pct"/>
            <w:gridSpan w:val="3"/>
            <w:tcMar>
              <w:top w:w="57" w:type="dxa"/>
              <w:left w:w="57" w:type="dxa"/>
              <w:bottom w:w="57" w:type="dxa"/>
              <w:right w:w="57" w:type="dxa"/>
            </w:tcMar>
            <w:vAlign w:val="top"/>
          </w:tcPr>
          <w:p>
            <w:pPr>
              <w:pStyle w:val="206"/>
              <w:spacing w:before="193" w:line="220" w:lineRule="auto"/>
              <w:ind w:left="124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送货联系人</w:t>
            </w:r>
          </w:p>
        </w:tc>
        <w:tc>
          <w:tcPr>
            <w:tcW w:w="1318" w:type="pct"/>
            <w:gridSpan w:val="2"/>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c>
          <w:tcPr>
            <w:tcW w:w="738" w:type="pct"/>
            <w:tcMar>
              <w:top w:w="57" w:type="dxa"/>
              <w:left w:w="57" w:type="dxa"/>
              <w:bottom w:w="57" w:type="dxa"/>
              <w:right w:w="57" w:type="dxa"/>
            </w:tcMar>
            <w:vAlign w:val="top"/>
          </w:tcPr>
          <w:p>
            <w:pPr>
              <w:pStyle w:val="206"/>
              <w:spacing w:before="193" w:line="223" w:lineRule="auto"/>
              <w:ind w:left="3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联系电话</w:t>
            </w:r>
          </w:p>
        </w:tc>
        <w:tc>
          <w:tcPr>
            <w:tcW w:w="1007" w:type="pct"/>
            <w:tcMar>
              <w:top w:w="57" w:type="dxa"/>
              <w:left w:w="57" w:type="dxa"/>
              <w:bottom w:w="57" w:type="dxa"/>
              <w:right w:w="57" w:type="dxa"/>
            </w:tcMar>
            <w:vAlign w:val="top"/>
          </w:tcPr>
          <w:p>
            <w:pP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5" w:hRule="atLeast"/>
        </w:trPr>
        <w:tc>
          <w:tcPr>
            <w:tcW w:w="2420" w:type="pct"/>
            <w:gridSpan w:val="4"/>
            <w:tcMar>
              <w:top w:w="57" w:type="dxa"/>
              <w:left w:w="57" w:type="dxa"/>
              <w:bottom w:w="57" w:type="dxa"/>
              <w:right w:w="57" w:type="dxa"/>
            </w:tcMar>
            <w:vAlign w:val="top"/>
          </w:tcPr>
          <w:p>
            <w:pPr>
              <w:pStyle w:val="206"/>
              <w:spacing w:before="46" w:line="220" w:lineRule="auto"/>
              <w:ind w:left="1341"/>
              <w:rPr>
                <w:rFonts w:hint="eastAsia" w:ascii="宋体" w:hAnsi="宋体" w:eastAsia="宋体" w:cs="宋体"/>
                <w:color w:val="auto"/>
                <w:spacing w:val="-2"/>
                <w:sz w:val="21"/>
                <w:szCs w:val="21"/>
                <w:highlight w:val="none"/>
              </w:rPr>
            </w:pPr>
          </w:p>
          <w:p>
            <w:pPr>
              <w:spacing w:line="248" w:lineRule="auto"/>
              <w:rPr>
                <w:rFonts w:hint="eastAsia" w:ascii="宋体" w:hAnsi="宋体" w:eastAsia="宋体" w:cs="宋体"/>
                <w:color w:val="auto"/>
                <w:sz w:val="21"/>
                <w:szCs w:val="21"/>
                <w:highlight w:val="none"/>
              </w:rPr>
            </w:pPr>
          </w:p>
          <w:p>
            <w:pPr>
              <w:spacing w:line="249" w:lineRule="auto"/>
              <w:rPr>
                <w:rFonts w:hint="eastAsia" w:ascii="宋体" w:hAnsi="宋体" w:eastAsia="宋体" w:cs="宋体"/>
                <w:color w:val="auto"/>
                <w:sz w:val="21"/>
                <w:szCs w:val="21"/>
                <w:highlight w:val="none"/>
              </w:rPr>
            </w:pPr>
          </w:p>
          <w:p>
            <w:pPr>
              <w:spacing w:line="249" w:lineRule="auto"/>
              <w:rPr>
                <w:rFonts w:hint="eastAsia" w:ascii="宋体" w:hAnsi="宋体" w:eastAsia="宋体" w:cs="宋体"/>
                <w:color w:val="auto"/>
                <w:sz w:val="21"/>
                <w:szCs w:val="21"/>
                <w:highlight w:val="none"/>
              </w:rPr>
            </w:pPr>
          </w:p>
          <w:p>
            <w:pPr>
              <w:spacing w:line="249" w:lineRule="auto"/>
              <w:rPr>
                <w:rFonts w:hint="eastAsia" w:ascii="宋体" w:hAnsi="宋体" w:eastAsia="宋体" w:cs="宋体"/>
                <w:color w:val="auto"/>
                <w:sz w:val="21"/>
                <w:szCs w:val="21"/>
                <w:highlight w:val="none"/>
              </w:rPr>
            </w:pPr>
          </w:p>
          <w:p>
            <w:pPr>
              <w:pStyle w:val="206"/>
              <w:spacing w:before="52" w:line="220" w:lineRule="auto"/>
              <w:ind w:left="134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收货单位代表签字</w:t>
            </w:r>
            <w:r>
              <w:rPr>
                <w:rFonts w:hint="eastAsia" w:ascii="宋体" w:hAnsi="宋体" w:eastAsia="宋体" w:cs="宋体"/>
                <w:color w:val="auto"/>
                <w:spacing w:val="-2"/>
                <w:sz w:val="21"/>
                <w:szCs w:val="21"/>
                <w:highlight w:val="none"/>
                <w:lang w:val="en-US" w:eastAsia="zh-CN"/>
              </w:rPr>
              <w:t>：</w:t>
            </w:r>
          </w:p>
          <w:p>
            <w:pPr>
              <w:pStyle w:val="206"/>
              <w:spacing w:before="201" w:line="220" w:lineRule="auto"/>
              <w:ind w:left="2495"/>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6"/>
                <w:sz w:val="21"/>
                <w:szCs w:val="21"/>
                <w:highlight w:val="none"/>
              </w:rPr>
              <w:t>日</w:t>
            </w:r>
          </w:p>
        </w:tc>
        <w:tc>
          <w:tcPr>
            <w:tcW w:w="2579" w:type="pct"/>
            <w:gridSpan w:val="3"/>
            <w:tcMar>
              <w:top w:w="57" w:type="dxa"/>
              <w:left w:w="57" w:type="dxa"/>
              <w:bottom w:w="57" w:type="dxa"/>
              <w:right w:w="57" w:type="dxa"/>
            </w:tcMar>
            <w:vAlign w:val="top"/>
          </w:tcPr>
          <w:p>
            <w:pPr>
              <w:pStyle w:val="206"/>
              <w:spacing w:before="46" w:line="220" w:lineRule="auto"/>
              <w:ind w:left="1464"/>
              <w:rPr>
                <w:rFonts w:hint="eastAsia" w:ascii="宋体" w:hAnsi="宋体" w:eastAsia="宋体" w:cs="宋体"/>
                <w:color w:val="auto"/>
                <w:spacing w:val="-1"/>
                <w:sz w:val="21"/>
                <w:szCs w:val="21"/>
                <w:highlight w:val="none"/>
              </w:rPr>
            </w:pPr>
          </w:p>
          <w:p>
            <w:pPr>
              <w:spacing w:line="248" w:lineRule="auto"/>
              <w:rPr>
                <w:rFonts w:hint="eastAsia" w:ascii="宋体" w:hAnsi="宋体" w:eastAsia="宋体" w:cs="宋体"/>
                <w:color w:val="auto"/>
                <w:sz w:val="21"/>
                <w:szCs w:val="21"/>
                <w:highlight w:val="none"/>
              </w:rPr>
            </w:pPr>
          </w:p>
          <w:p>
            <w:pPr>
              <w:spacing w:line="249" w:lineRule="auto"/>
              <w:rPr>
                <w:rFonts w:hint="eastAsia" w:ascii="宋体" w:hAnsi="宋体" w:eastAsia="宋体" w:cs="宋体"/>
                <w:color w:val="auto"/>
                <w:sz w:val="21"/>
                <w:szCs w:val="21"/>
                <w:highlight w:val="none"/>
              </w:rPr>
            </w:pPr>
          </w:p>
          <w:p>
            <w:pPr>
              <w:spacing w:line="249" w:lineRule="auto"/>
              <w:rPr>
                <w:rFonts w:hint="eastAsia" w:ascii="宋体" w:hAnsi="宋体" w:eastAsia="宋体" w:cs="宋体"/>
                <w:color w:val="auto"/>
                <w:sz w:val="21"/>
                <w:szCs w:val="21"/>
                <w:highlight w:val="none"/>
              </w:rPr>
            </w:pPr>
          </w:p>
          <w:p>
            <w:pPr>
              <w:spacing w:line="249" w:lineRule="auto"/>
              <w:rPr>
                <w:rFonts w:hint="eastAsia" w:ascii="宋体" w:hAnsi="宋体" w:eastAsia="宋体" w:cs="宋体"/>
                <w:color w:val="auto"/>
                <w:sz w:val="21"/>
                <w:szCs w:val="21"/>
                <w:highlight w:val="none"/>
              </w:rPr>
            </w:pPr>
          </w:p>
          <w:p>
            <w:pPr>
              <w:pStyle w:val="206"/>
              <w:spacing w:before="52" w:line="220" w:lineRule="auto"/>
              <w:ind w:left="146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送货单位代表签字</w:t>
            </w:r>
            <w:r>
              <w:rPr>
                <w:rFonts w:hint="eastAsia" w:ascii="宋体" w:hAnsi="宋体" w:eastAsia="宋体" w:cs="宋体"/>
                <w:color w:val="auto"/>
                <w:spacing w:val="-1"/>
                <w:sz w:val="21"/>
                <w:szCs w:val="21"/>
                <w:highlight w:val="none"/>
                <w:lang w:eastAsia="zh-CN"/>
              </w:rPr>
              <w:t>：</w:t>
            </w:r>
          </w:p>
          <w:p>
            <w:pPr>
              <w:pStyle w:val="206"/>
              <w:spacing w:before="201" w:line="220" w:lineRule="auto"/>
              <w:ind w:left="2746"/>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6"/>
                <w:sz w:val="21"/>
                <w:szCs w:val="21"/>
                <w:highlight w:val="none"/>
                <w:lang w:val="en-US" w:eastAsia="zh-CN"/>
              </w:rPr>
              <w:t xml:space="preserve"> </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6"/>
                <w:sz w:val="21"/>
                <w:szCs w:val="21"/>
                <w:highlight w:val="none"/>
              </w:rPr>
              <w:t>日</w:t>
            </w:r>
          </w:p>
        </w:tc>
      </w:tr>
    </w:tbl>
    <w:p>
      <w:pPr>
        <w:pStyle w:val="18"/>
        <w:rPr>
          <w:rFonts w:hint="default" w:ascii="仿宋_GB2312" w:hAnsi="仿宋_GB2312" w:eastAsia="仿宋_GB2312" w:cs="仿宋_GB2312"/>
          <w:b w:val="0"/>
          <w:bCs/>
          <w:i w:val="0"/>
          <w:caps w:val="0"/>
          <w:color w:val="auto"/>
          <w:spacing w:val="0"/>
          <w:w w:val="100"/>
          <w:sz w:val="28"/>
          <w:szCs w:val="28"/>
          <w:highlight w:val="none"/>
          <w:lang w:val="en-US" w:eastAsia="zh-CN"/>
        </w:rPr>
      </w:pPr>
    </w:p>
    <w:p>
      <w:pPr>
        <w:spacing w:line="24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2:东莞市水务集团供水有限公司抢修器采购项目采购清单</w:t>
      </w:r>
    </w:p>
    <w:tbl>
      <w:tblPr>
        <w:tblStyle w:val="38"/>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2436"/>
        <w:gridCol w:w="1238"/>
        <w:gridCol w:w="1975"/>
        <w:gridCol w:w="562"/>
        <w:gridCol w:w="775"/>
        <w:gridCol w:w="1263"/>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snapToGrid w:val="0"/>
                <w:color w:val="auto"/>
                <w:kern w:val="0"/>
                <w:sz w:val="20"/>
                <w:szCs w:val="20"/>
                <w:highlight w:val="none"/>
                <w:u w:val="none"/>
                <w:lang w:val="en-US" w:eastAsia="zh-CN" w:bidi="ar"/>
              </w:rPr>
              <w:t>序号</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snapToGrid w:val="0"/>
                <w:color w:val="auto"/>
                <w:kern w:val="0"/>
                <w:sz w:val="20"/>
                <w:szCs w:val="20"/>
                <w:highlight w:val="none"/>
                <w:u w:val="none"/>
                <w:lang w:val="en-US" w:eastAsia="zh-CN" w:bidi="ar"/>
              </w:rPr>
              <w:t>物料名称</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snapToGrid w:val="0"/>
                <w:color w:val="auto"/>
                <w:kern w:val="0"/>
                <w:sz w:val="20"/>
                <w:szCs w:val="20"/>
                <w:highlight w:val="none"/>
                <w:u w:val="none"/>
                <w:lang w:val="en-US" w:eastAsia="zh-CN" w:bidi="ar"/>
              </w:rPr>
            </w:pPr>
            <w:r>
              <w:rPr>
                <w:rFonts w:hint="eastAsia" w:ascii="宋体" w:hAnsi="宋体" w:eastAsia="宋体" w:cs="宋体"/>
                <w:b/>
                <w:bCs/>
                <w:i w:val="0"/>
                <w:iCs w:val="0"/>
                <w:snapToGrid w:val="0"/>
                <w:color w:val="auto"/>
                <w:kern w:val="0"/>
                <w:sz w:val="20"/>
                <w:szCs w:val="20"/>
                <w:highlight w:val="none"/>
                <w:u w:val="none"/>
                <w:lang w:val="en-US" w:eastAsia="zh-CN" w:bidi="ar"/>
              </w:rPr>
              <w:t>品牌</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snapToGrid w:val="0"/>
                <w:color w:val="auto"/>
                <w:kern w:val="0"/>
                <w:sz w:val="20"/>
                <w:szCs w:val="20"/>
                <w:highlight w:val="none"/>
                <w:u w:val="none"/>
                <w:lang w:val="en-US" w:eastAsia="zh-CN" w:bidi="ar"/>
              </w:rPr>
              <w:t>型号</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snapToGrid w:val="0"/>
                <w:color w:val="auto"/>
                <w:kern w:val="0"/>
                <w:sz w:val="20"/>
                <w:szCs w:val="20"/>
                <w:highlight w:val="none"/>
                <w:u w:val="none"/>
                <w:lang w:val="en-US" w:eastAsia="zh-CN" w:bidi="ar"/>
              </w:rPr>
              <w:t>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snapToGrid w:val="0"/>
                <w:color w:val="auto"/>
                <w:kern w:val="0"/>
                <w:sz w:val="20"/>
                <w:szCs w:val="20"/>
                <w:highlight w:val="none"/>
                <w:u w:val="none"/>
                <w:lang w:val="en-US" w:eastAsia="zh-CN" w:bidi="ar"/>
              </w:rPr>
              <w:t>预计用量</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i w:val="0"/>
                <w:iCs w:val="0"/>
                <w:snapToGrid w:val="0"/>
                <w:color w:val="auto"/>
                <w:kern w:val="0"/>
                <w:sz w:val="20"/>
                <w:szCs w:val="20"/>
                <w:highlight w:val="none"/>
                <w:u w:val="none"/>
                <w:lang w:val="en-US" w:eastAsia="zh-CN" w:bidi="ar"/>
              </w:rPr>
            </w:pPr>
            <w:r>
              <w:rPr>
                <w:rFonts w:hint="eastAsia" w:ascii="宋体" w:hAnsi="宋体" w:eastAsia="宋体" w:cs="宋体"/>
                <w:b/>
                <w:color w:val="auto"/>
                <w:sz w:val="18"/>
                <w:szCs w:val="18"/>
                <w:highlight w:val="none"/>
              </w:rPr>
              <w:t>不含税</w:t>
            </w:r>
            <w:r>
              <w:rPr>
                <w:rFonts w:hint="eastAsia" w:ascii="宋体" w:hAnsi="宋体" w:eastAsia="宋体" w:cs="宋体"/>
                <w:b/>
                <w:color w:val="auto"/>
                <w:sz w:val="18"/>
                <w:szCs w:val="18"/>
                <w:highlight w:val="none"/>
                <w:lang w:val="en-US" w:eastAsia="zh-CN"/>
              </w:rPr>
              <w:t>中标</w:t>
            </w:r>
            <w:r>
              <w:rPr>
                <w:rFonts w:hint="eastAsia" w:ascii="宋体" w:hAnsi="宋体" w:eastAsia="宋体" w:cs="宋体"/>
                <w:b/>
                <w:color w:val="auto"/>
                <w:sz w:val="18"/>
                <w:szCs w:val="18"/>
                <w:highlight w:val="none"/>
              </w:rPr>
              <w:t>综合单价（元）</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b/>
                <w:bCs/>
                <w:i w:val="0"/>
                <w:iCs w:val="0"/>
                <w:snapToGrid w:val="0"/>
                <w:color w:val="auto"/>
                <w:kern w:val="0"/>
                <w:sz w:val="20"/>
                <w:szCs w:val="20"/>
                <w:highlight w:val="none"/>
                <w:u w:val="none"/>
                <w:lang w:val="en-US" w:eastAsia="zh-CN" w:bidi="ar"/>
              </w:rPr>
            </w:pPr>
            <w:r>
              <w:rPr>
                <w:rFonts w:hint="eastAsia" w:ascii="宋体" w:hAnsi="宋体" w:eastAsia="宋体" w:cs="宋体"/>
                <w:b/>
                <w:color w:val="auto"/>
                <w:sz w:val="18"/>
                <w:szCs w:val="18"/>
                <w:highlight w:val="none"/>
              </w:rPr>
              <w:t>不含税中标综合</w:t>
            </w:r>
            <w:r>
              <w:rPr>
                <w:rFonts w:hint="eastAsia" w:ascii="宋体" w:hAnsi="宋体" w:eastAsia="宋体" w:cs="宋体"/>
                <w:b/>
                <w:color w:val="auto"/>
                <w:sz w:val="18"/>
                <w:szCs w:val="18"/>
                <w:highlight w:val="none"/>
                <w:lang w:val="en-US" w:eastAsia="zh-CN"/>
              </w:rPr>
              <w:t>总价</w:t>
            </w:r>
            <w:r>
              <w:rPr>
                <w:rFonts w:hint="eastAsia" w:ascii="宋体" w:hAnsi="宋体" w:eastAsia="宋体" w:cs="宋体"/>
                <w:b/>
                <w:color w:val="auto"/>
                <w:sz w:val="18"/>
                <w:szCs w:val="18"/>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DN20X100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52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DN25X100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995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DN32X130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128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DN40X130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691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DN50X150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1612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118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DN65X150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105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DN65X300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23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DN80X200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621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DN80X250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132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DN80X350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82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DN80X500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35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705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332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87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DN125X300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15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DN150X200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259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DN150X300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109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DN150X500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39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DN150X1000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9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141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64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27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7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DN250X200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29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DN250X300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15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4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30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DN300X200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60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31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DN300X300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10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32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DN300X500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24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33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DN300X1000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4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34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DN350X200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35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DN350X500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36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DN350X1000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37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DN400X200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18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38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DN400X300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39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17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40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4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41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DN500X300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42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4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43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44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DN600X500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9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45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DN600X1000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46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DN800X500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47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DN800X1000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48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49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50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DN1200X500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51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DN1200X1000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52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DN1400X500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53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DN1400X1000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54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钢管用直身抢修器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DN125X200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55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钢管用直身抢修器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DN125X500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56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钢管用直身抢修器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DN800X500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57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钢管用直身抢修器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DN800X1000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58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钢管用直身抢修器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59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钢管用直身抢修器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60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钢管用直身抢修器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DN1200X500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61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钢管用直身抢修器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DN1200X1000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62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钢管用直身抢修器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DN1400X500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63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钢管用直身抢修器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DN1400X1000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64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铸铁管用承插式抢修器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60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65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铸铁管用承插式抢修器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39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66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铸铁管用承插式抢修器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16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67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铸铁管用承插式抢修器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16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68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铸铁管用承插式抢修器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69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铸铁管用承插式抢修器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5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70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铸铁管用承插式抢修器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DN800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71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铸铁管用承插式抢修器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72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铸铁管用承插式抢修器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73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铸铁管用承插式抢修器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DN1400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74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75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76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77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78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24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79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38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80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81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DN80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23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82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31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83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84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85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86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87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88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89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90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DN80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6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91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镀锌钢管用三通抢修器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3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92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dn50X160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53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93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dn63X200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382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94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dn63X300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6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95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dn63X500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96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dn75X200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17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97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dn75X300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98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dn75X500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99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dn90X200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59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100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dn90X300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85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101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dn90X500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102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dn110X200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43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103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dn110X300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290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104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dn110X500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118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105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dn110X1000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106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dn125X200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107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dn125X500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108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dn140X200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109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dn160X200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23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110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dn160X300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94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111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dn160X500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112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dn160X1000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113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dn180X200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18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114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6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115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59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116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14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117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118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dn225X200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119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dn225X300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10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120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dn225X500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121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dn225X1000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122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dn250X300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13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123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3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124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125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dn315X200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3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126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dn315X300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7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127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dn315X500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16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128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dn315X1000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129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dn355X500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130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dn355X1000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131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dn400X300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132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dn400X500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6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133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dn400X1000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134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135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136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137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138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139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596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140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dn75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34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141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dn90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293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142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dn110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294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143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dn125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144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dn160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118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145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57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146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dn225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23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147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5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148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dn315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12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149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5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150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151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152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153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154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5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155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24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156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dn75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157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dn90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25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158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dn110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40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159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dn160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5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160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161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dn225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162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163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dn315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164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塑料管用弯头抢修器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165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166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167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168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169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170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10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171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dn75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172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dn90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6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173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dn110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16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174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dn160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175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176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dn225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177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178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dn315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179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dn50X25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180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dn50X32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181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dn50X40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182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dn63X25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183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dn63X32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184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dn63X40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185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dn63X50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186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dn75X50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187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dn75X63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188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dn90X50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189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dn90X63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190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dn90X75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191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dn110X50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6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192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dn110X63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193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dn110X75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194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dn110X90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195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dn160X63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196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dn160X90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197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dn160X110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198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dn200X63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199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dn200X90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200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dn200X110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201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dn200X160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202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dn315X110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203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dn315X160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204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塑料管用异径三通抢修器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dn315X200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205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DN100X300，一般适</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用外径150mm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206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DN100X500，一般适</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用外径150mm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207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DN100X1000，一般</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适用外径200mm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208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DN150X300，一般适</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用外径200mm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209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DN150X500，一般适</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用外径200mm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210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DN150X1000，一般</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适用外径200mm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211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DN200X300，一般适</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用外径260mm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212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DN200X500，一般适</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用外径260mm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213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DN200X1000，一般</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适用外径260mm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214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DN300X500，一般适</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用外径380mm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215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DN300X1000，一般</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适用外径260mm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216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DN400X500，一般适</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用外径490mm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217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DN400X1000，一般</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适用外径490mm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218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DN500X500，一般适</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用外径610mm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219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DN500X1000，一般</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适用外径610mm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220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DN600X500，一般适</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用外径720mm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221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水泥管用直身抢修器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DN600X1000，一般</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适用外径720mm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222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DN100，一般适用外</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径150mm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223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DN150，一般适用外</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径200mm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224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DN200，一般适用外</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径260mm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7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225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DN250，一般适用外</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径320mm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226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DN300，一般适用外</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径380mm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227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DN400，一般适用外</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径490mm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228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DN400（三阶），一</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般适用外径506mm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229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DN500，一般适用外</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径610mm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230</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DN500（三阶），一</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般适用外径610mm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231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DN600，一般适用外</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径720mm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3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232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DN600（三阶），一</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般适用外径720mm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233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DN800，一般适用外</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径920mm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234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DN800（三阶），一</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般适用外径940mm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235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DN1000，一般适用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外径1140mm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236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DN1000（三阶），</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一般适用外径</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1160mm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237</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DN1200，一般适用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外径1380mm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238</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DN1400，一般适用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外径1600mm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239</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水泥管用承插式抢修器</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DN1600，一般适用</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外径1800mm</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 </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r>
    </w:tbl>
    <w:p>
      <w:pPr>
        <w:spacing w:line="360" w:lineRule="auto"/>
        <w:rPr>
          <w:rFonts w:hint="eastAsia" w:ascii="宋体" w:hAnsi="宋体" w:eastAsia="宋体" w:cs="宋体"/>
          <w:b/>
          <w:bCs/>
          <w:color w:val="auto"/>
          <w:sz w:val="21"/>
          <w:szCs w:val="21"/>
          <w:highlight w:val="none"/>
          <w:lang w:val="en-US" w:eastAsia="zh-CN"/>
        </w:rPr>
      </w:pPr>
    </w:p>
    <w:p>
      <w:pPr>
        <w:spacing w:line="360" w:lineRule="auto"/>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廉洁协议书</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Times New Roman"/>
          <w:b/>
          <w:color w:val="auto"/>
          <w:kern w:val="0"/>
          <w:sz w:val="30"/>
          <w:szCs w:val="30"/>
          <w:highlight w:val="none"/>
        </w:rPr>
      </w:pPr>
      <w:bookmarkStart w:id="643" w:name="_Hlk121131750"/>
      <w:r>
        <w:rPr>
          <w:rFonts w:hint="eastAsia" w:ascii="宋体" w:hAnsi="宋体" w:eastAsia="宋体" w:cs="Times New Roman"/>
          <w:b/>
          <w:color w:val="auto"/>
          <w:kern w:val="0"/>
          <w:sz w:val="30"/>
          <w:szCs w:val="30"/>
          <w:highlight w:val="none"/>
        </w:rPr>
        <w:t>廉洁协议书</w:t>
      </w:r>
      <w:bookmarkEnd w:id="643"/>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项目名称：东莞市水务集团供水有限公司抢修器采购项目（招标编号：0832-SFCX25DG010A）</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甲方（业主单位）：东莞市水务集团供水有限公司</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甲乙双方的权利和义务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（三）双方的业务活动坚持公开、公正、诚信、透明的原则（除法律认定的商业秘密和合同文件另有规定之外）不得损害国家和集体利益，违反法律法规规章制度。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甲方的义务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（六）甲方及其工作人员不得进行违反廉洁规定的其他活动。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（七）甲方应对甲方工作人员进行廉洁监督管理，如甲方工作人员违反本协议第一条、第二条，甲方应依据有关法律法规、党纪规定对其进行处理；涉嫌犯罪的，甲方应将其移交司法机关追究刑事责任。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乙方义务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条、第三条，乙方应依据有关法律法规、党纪规定对其进行处理；乙方工作人员涉嫌犯罪的，乙方应将其移交司法机关追究刑事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违约责任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（一）甲方违反本协议第一条、第二条给乙方单位造成经济损失的，应予以赔偿。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（二）乙方违反本协议第一条、第三条给甲方单位造成经济损失的，应予以赔偿。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监督检查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甲乙双方的廉洁从业行为由双方或双方上级单位的纪检、监察负责监督，对本协议履行情况进行检查。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举报信访受理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 举报受理部门: </w:t>
      </w:r>
      <w:r>
        <w:rPr>
          <w:rFonts w:hint="eastAsia" w:ascii="宋体" w:hAnsi="宋体" w:eastAsia="宋体" w:cs="宋体"/>
          <w:color w:val="auto"/>
          <w:sz w:val="21"/>
          <w:szCs w:val="21"/>
          <w:highlight w:val="none"/>
          <w:lang w:eastAsia="zh-CN"/>
        </w:rPr>
        <w:t>东莞市水务环境投资控股集团有限公司</w:t>
      </w:r>
      <w:r>
        <w:rPr>
          <w:rFonts w:hint="eastAsia" w:ascii="宋体" w:hAnsi="宋体" w:eastAsia="宋体" w:cs="宋体"/>
          <w:color w:val="auto"/>
          <w:sz w:val="21"/>
          <w:szCs w:val="21"/>
          <w:highlight w:val="none"/>
        </w:rPr>
        <w:t>纪检监察部。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( 0769 ) 23076092</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 举报邮箱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jcs</w:t>
      </w:r>
      <w:r>
        <w:rPr>
          <w:rFonts w:hint="eastAsia" w:ascii="宋体" w:hAnsi="宋体" w:eastAsia="宋体" w:cs="宋体"/>
          <w:color w:val="auto"/>
          <w:sz w:val="21"/>
          <w:szCs w:val="21"/>
          <w:highlight w:val="none"/>
          <w:lang w:val="en-US" w:eastAsia="zh-CN"/>
        </w:rPr>
        <w:t>j</w:t>
      </w:r>
      <w:r>
        <w:rPr>
          <w:rFonts w:hint="eastAsia" w:ascii="宋体" w:hAnsi="宋体" w:eastAsia="宋体" w:cs="宋体"/>
          <w:color w:val="auto"/>
          <w:sz w:val="21"/>
          <w:szCs w:val="21"/>
          <w:highlight w:val="none"/>
        </w:rPr>
        <w:t>@dgsw</w:t>
      </w:r>
      <w:r>
        <w:rPr>
          <w:rFonts w:hint="eastAsia" w:ascii="宋体" w:hAnsi="宋体" w:eastAsia="宋体" w:cs="宋体"/>
          <w:color w:val="auto"/>
          <w:sz w:val="21"/>
          <w:szCs w:val="21"/>
          <w:highlight w:val="none"/>
          <w:lang w:val="en-US" w:eastAsia="zh-CN"/>
        </w:rPr>
        <w:t>j</w:t>
      </w:r>
      <w:r>
        <w:rPr>
          <w:rFonts w:hint="eastAsia" w:ascii="宋体" w:hAnsi="宋体" w:eastAsia="宋体" w:cs="宋体"/>
          <w:color w:val="auto"/>
          <w:sz w:val="21"/>
          <w:szCs w:val="21"/>
          <w:highlight w:val="none"/>
        </w:rPr>
        <w:t>t.cn.</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 信访地址: 广东省东莞市东城街道育华路 1 号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其他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本协议有效期为甲乙双方法定代表人或负责人签字并盖章之日起至该工程/采购项目竣工验收完毕，质保期/服务期满后止。本协议一式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柒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招标代理执</w:t>
      </w:r>
      <w:r>
        <w:rPr>
          <w:rFonts w:hint="eastAsia" w:ascii="宋体" w:hAnsi="宋体" w:eastAsia="宋体" w:cs="宋体"/>
          <w:color w:val="auto"/>
          <w:sz w:val="21"/>
          <w:szCs w:val="21"/>
          <w:highlight w:val="none"/>
          <w:u w:val="single"/>
          <w:lang w:val="en-US" w:eastAsia="zh-CN"/>
        </w:rPr>
        <w:t xml:space="preserve"> 壹 </w:t>
      </w:r>
      <w:r>
        <w:rPr>
          <w:rFonts w:hint="eastAsia" w:ascii="宋体" w:hAnsi="宋体" w:eastAsia="宋体" w:cs="宋体"/>
          <w:color w:val="auto"/>
          <w:sz w:val="21"/>
          <w:szCs w:val="21"/>
          <w:highlight w:val="none"/>
          <w:lang w:val="en-US" w:eastAsia="zh-CN"/>
        </w:rPr>
        <w:t>份</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法定代表（或负责）人：                     法定代表（或负责）人：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甲方代表：                                 乙方代表：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ascii="宋体" w:hAnsi="宋体" w:eastAsia="宋体" w:cs="Times New Roman"/>
          <w:color w:val="auto"/>
          <w:kern w:val="0"/>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lang w:val="en-US" w:eastAsia="zh-CN"/>
        </w:rPr>
        <w:t xml:space="preserve">  </w:t>
      </w:r>
    </w:p>
    <w:p>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644" w:name="_Toc22246"/>
      <w:bookmarkStart w:id="645" w:name="_Toc512353083"/>
      <w:bookmarkStart w:id="646" w:name="_Toc447045090"/>
      <w:bookmarkStart w:id="647" w:name="_Toc447044603"/>
      <w:bookmarkStart w:id="648" w:name="_Toc447044479"/>
      <w:bookmarkStart w:id="649" w:name="_Toc32479"/>
      <w:bookmarkStart w:id="650" w:name="_Toc4388"/>
      <w:bookmarkStart w:id="651" w:name="_Toc25114"/>
      <w:bookmarkStart w:id="652" w:name="_Toc22920"/>
      <w:bookmarkStart w:id="653" w:name="_Toc14073"/>
      <w:bookmarkStart w:id="654" w:name="_Toc142508360"/>
      <w:bookmarkStart w:id="655" w:name="_Toc24427_WPSOffice_Level1"/>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644"/>
      <w:bookmarkEnd w:id="645"/>
      <w:bookmarkEnd w:id="646"/>
      <w:bookmarkEnd w:id="647"/>
      <w:bookmarkEnd w:id="648"/>
      <w:bookmarkEnd w:id="649"/>
      <w:bookmarkEnd w:id="650"/>
      <w:bookmarkEnd w:id="651"/>
      <w:bookmarkEnd w:id="652"/>
      <w:bookmarkEnd w:id="653"/>
      <w:bookmarkEnd w:id="654"/>
      <w:bookmarkEnd w:id="655"/>
      <w:bookmarkStart w:id="656" w:name="_Toc447045091"/>
      <w:bookmarkStart w:id="657" w:name="_Toc447044480"/>
      <w:bookmarkStart w:id="658" w:name="_Toc447044604"/>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659" w:name="_Toc26521_WPSOffice_Level2"/>
      <w:r>
        <w:rPr>
          <w:rFonts w:hint="eastAsia" w:ascii="宋体" w:hAnsi="宋体" w:eastAsia="宋体" w:cs="Times New Roman"/>
          <w:b/>
          <w:color w:val="auto"/>
          <w:kern w:val="0"/>
          <w:sz w:val="28"/>
          <w:szCs w:val="28"/>
          <w:highlight w:val="none"/>
        </w:rPr>
        <w:t>一、不可撤销银行履约保函格式</w:t>
      </w:r>
      <w:bookmarkEnd w:id="656"/>
      <w:bookmarkEnd w:id="657"/>
      <w:bookmarkEnd w:id="658"/>
      <w:bookmarkEnd w:id="659"/>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w:t>
      </w:r>
      <w:r>
        <w:rPr>
          <w:rFonts w:hint="eastAsia" w:ascii="宋体" w:hAnsi="宋体" w:eastAsia="宋体" w:cs="Times New Roman"/>
          <w:color w:val="auto"/>
          <w:kern w:val="0"/>
          <w:szCs w:val="21"/>
          <w:highlight w:val="none"/>
          <w:lang w:val="zh-CN"/>
        </w:rPr>
        <w:t>从合同签订之日起至合同期限届满并完成全部供货（含最终验收合格）及履行完毕相关服务义务且结算完毕之后二十八（28）日内</w:t>
      </w:r>
      <w:r>
        <w:rPr>
          <w:rFonts w:hint="eastAsia" w:ascii="宋体" w:hAnsi="宋体" w:eastAsia="宋体" w:cs="Times New Roman"/>
          <w:color w:val="auto"/>
          <w:kern w:val="0"/>
          <w:szCs w:val="21"/>
          <w:highlight w:val="none"/>
        </w:rPr>
        <w:t>保持有效。</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1906" w:h="16838"/>
          <w:pgMar w:top="1191" w:right="1043" w:bottom="1191" w:left="1043" w:header="720" w:footer="720" w:gutter="0"/>
          <w:pgNumType w:fmt="decimal"/>
          <w:cols w:space="720" w:num="1"/>
          <w:titlePg/>
          <w:docGrid w:linePitch="326" w:charSpace="0"/>
        </w:sectPr>
      </w:pPr>
    </w:p>
    <w:p>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应从合同签订之日起至合同期限届满并完成全部供货（含最终验收合格）及履行完毕相关服务义务且结算完毕之后二十八（28）日内保持有效。</w:t>
      </w:r>
    </w:p>
    <w:p>
      <w:pPr>
        <w:numPr>
          <w:ilvl w:val="0"/>
          <w:numId w:val="0"/>
        </w:numPr>
        <w:outlineLvl w:val="9"/>
        <w:rPr>
          <w:rFonts w:hint="default"/>
          <w:color w:val="auto"/>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pPr>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应从合同签订之日起至合同期限届满并完成全部供货（含最终验收合格）及履行完毕相关服务义务且结算完毕之后二十八（28）日内保持有效。</w:t>
      </w: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660" w:name="_Toc24169"/>
      <w:bookmarkStart w:id="661" w:name="_Toc27433"/>
      <w:bookmarkStart w:id="662" w:name="_Toc450662895"/>
      <w:bookmarkStart w:id="663" w:name="_Toc21092"/>
      <w:bookmarkStart w:id="664" w:name="_Toc21843"/>
      <w:bookmarkStart w:id="665" w:name="_Toc12794"/>
      <w:bookmarkStart w:id="666" w:name="_Toc142508361"/>
      <w:bookmarkStart w:id="667" w:name="_Toc32761_WPSOffice_Level1"/>
      <w:bookmarkStart w:id="668" w:name="_Toc8165"/>
      <w:bookmarkStart w:id="669" w:name="_Toc486167708"/>
      <w:r>
        <w:rPr>
          <w:rFonts w:hint="eastAsia" w:ascii="宋体" w:hAnsi="宋体" w:eastAsia="宋体" w:cs="宋体"/>
          <w:b/>
          <w:bCs/>
          <w:color w:val="auto"/>
          <w:kern w:val="44"/>
          <w:sz w:val="32"/>
          <w:szCs w:val="32"/>
          <w:highlight w:val="none"/>
          <w:lang w:val="zh-CN"/>
        </w:rPr>
        <w:t>第六篇 投标文件格式</w:t>
      </w:r>
      <w:bookmarkEnd w:id="660"/>
      <w:bookmarkEnd w:id="661"/>
      <w:bookmarkEnd w:id="662"/>
      <w:bookmarkEnd w:id="663"/>
      <w:bookmarkEnd w:id="664"/>
      <w:bookmarkEnd w:id="665"/>
      <w:bookmarkEnd w:id="666"/>
      <w:bookmarkEnd w:id="667"/>
      <w:bookmarkEnd w:id="668"/>
      <w:bookmarkEnd w:id="669"/>
    </w:p>
    <w:p>
      <w:pPr>
        <w:pStyle w:val="21"/>
        <w:spacing w:line="360" w:lineRule="auto"/>
        <w:jc w:val="center"/>
        <w:rPr>
          <w:rFonts w:hint="eastAsia" w:ascii="宋体" w:hAnsi="宋体" w:eastAsia="宋体" w:cs="宋体"/>
          <w:b/>
          <w:color w:val="auto"/>
          <w:kern w:val="0"/>
          <w:sz w:val="32"/>
          <w:szCs w:val="32"/>
          <w:highlight w:val="none"/>
        </w:rPr>
      </w:pPr>
      <w:bookmarkStart w:id="670" w:name="_Toc21133_WPSOffice_Level2"/>
      <w:bookmarkStart w:id="671" w:name="_Toc142508362"/>
      <w:bookmarkStart w:id="672" w:name="_Toc1977721"/>
      <w:bookmarkStart w:id="673" w:name="_Toc486167709"/>
      <w:bookmarkStart w:id="674" w:name="_Toc102860067"/>
      <w:bookmarkStart w:id="675" w:name="_Toc94107202"/>
      <w:bookmarkStart w:id="676" w:name="_Toc104991868"/>
      <w:bookmarkStart w:id="677" w:name="_Toc140596921"/>
      <w:bookmarkStart w:id="678" w:name="_Toc102860411"/>
      <w:bookmarkStart w:id="679" w:name="_Toc533708121"/>
      <w:r>
        <w:rPr>
          <w:rFonts w:hint="eastAsia" w:ascii="宋体" w:hAnsi="宋体" w:eastAsia="宋体" w:cs="宋体"/>
          <w:b/>
          <w:color w:val="auto"/>
          <w:kern w:val="0"/>
          <w:sz w:val="32"/>
          <w:szCs w:val="32"/>
          <w:highlight w:val="none"/>
        </w:rPr>
        <w:br w:type="page"/>
      </w:r>
    </w:p>
    <w:p>
      <w:pPr>
        <w:pStyle w:val="21"/>
        <w:spacing w:line="360" w:lineRule="auto"/>
        <w:jc w:val="center"/>
        <w:rPr>
          <w:rFonts w:hint="eastAsia" w:ascii="宋体" w:hAnsi="宋体" w:eastAsia="宋体" w:cs="宋体"/>
          <w:b/>
          <w:color w:val="auto"/>
          <w:kern w:val="0"/>
          <w:sz w:val="32"/>
          <w:szCs w:val="32"/>
          <w:highlight w:val="none"/>
        </w:rPr>
      </w:pPr>
    </w:p>
    <w:p>
      <w:pPr>
        <w:pStyle w:val="21"/>
        <w:spacing w:line="360" w:lineRule="auto"/>
        <w:jc w:val="center"/>
        <w:rPr>
          <w:rFonts w:hint="eastAsia" w:ascii="宋体" w:hAnsi="宋体" w:eastAsia="宋体" w:cs="宋体"/>
          <w:b/>
          <w:color w:val="auto"/>
          <w:kern w:val="0"/>
          <w:sz w:val="32"/>
          <w:szCs w:val="32"/>
          <w:highlight w:val="none"/>
        </w:rPr>
      </w:pPr>
    </w:p>
    <w:p>
      <w:pPr>
        <w:pStyle w:val="21"/>
        <w:spacing w:line="360" w:lineRule="auto"/>
        <w:jc w:val="center"/>
        <w:rPr>
          <w:rFonts w:hint="eastAsia" w:ascii="宋体" w:hAnsi="宋体" w:eastAsia="宋体" w:cs="宋体"/>
          <w:b/>
          <w:color w:val="auto"/>
          <w:kern w:val="0"/>
          <w:sz w:val="32"/>
          <w:szCs w:val="32"/>
          <w:highlight w:val="none"/>
        </w:rPr>
      </w:pPr>
    </w:p>
    <w:p>
      <w:pPr>
        <w:pStyle w:val="21"/>
        <w:spacing w:line="360" w:lineRule="auto"/>
        <w:jc w:val="center"/>
        <w:rPr>
          <w:rFonts w:hint="eastAsia" w:ascii="宋体" w:hAnsi="宋体" w:eastAsia="宋体" w:cs="宋体"/>
          <w:color w:val="auto"/>
          <w:sz w:val="84"/>
          <w:highlight w:val="none"/>
        </w:rPr>
      </w:pPr>
    </w:p>
    <w:p>
      <w:pPr>
        <w:pStyle w:val="21"/>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1"/>
        <w:spacing w:line="360" w:lineRule="auto"/>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rPr>
      </w:pPr>
    </w:p>
    <w:p>
      <w:pPr>
        <w:pStyle w:val="21"/>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1"/>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1"/>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pPr>
        <w:pStyle w:val="21"/>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1"/>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1"/>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1"/>
        <w:spacing w:line="360" w:lineRule="auto"/>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1"/>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861" w:type="pct"/>
            <w:vAlign w:val="center"/>
          </w:tcPr>
          <w:p>
            <w:pP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pStyle w:val="21"/>
        <w:spacing w:line="360" w:lineRule="auto"/>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rPr>
      </w:pPr>
    </w:p>
    <w:p>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680" w:name="_Toc4514"/>
      <w:bookmarkStart w:id="681" w:name="_Toc21207"/>
      <w:bookmarkStart w:id="682" w:name="_Toc22445"/>
      <w:bookmarkStart w:id="683" w:name="_Toc13331"/>
      <w:bookmarkStart w:id="684" w:name="_Toc325"/>
      <w:bookmarkStart w:id="685" w:name="_Toc18706"/>
      <w:r>
        <w:rPr>
          <w:rFonts w:hint="eastAsia" w:ascii="宋体" w:hAnsi="宋体" w:eastAsia="宋体" w:cs="宋体"/>
          <w:b/>
          <w:color w:val="auto"/>
          <w:kern w:val="0"/>
          <w:sz w:val="32"/>
          <w:szCs w:val="32"/>
          <w:highlight w:val="none"/>
        </w:rPr>
        <w:t>一、投标函格式</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686" w:name="_Toc16695_WPSOffice_Level3"/>
      <w:r>
        <w:rPr>
          <w:rFonts w:hint="eastAsia" w:ascii="宋体" w:hAnsi="宋体" w:eastAsia="宋体" w:cs="宋体"/>
          <w:b/>
          <w:bCs/>
          <w:color w:val="auto"/>
          <w:sz w:val="30"/>
          <w:szCs w:val="30"/>
          <w:highlight w:val="none"/>
          <w:lang w:val="zh-CN"/>
        </w:rPr>
        <w:t>投 标 函</w:t>
      </w:r>
      <w:bookmarkEnd w:id="686"/>
    </w:p>
    <w:p>
      <w:pPr>
        <w:autoSpaceDE w:val="0"/>
        <w:autoSpaceDN w:val="0"/>
        <w:adjustRightInd w:val="0"/>
        <w:spacing w:line="360" w:lineRule="auto"/>
        <w:rPr>
          <w:rFonts w:ascii="宋体" w:hAnsi="宋体" w:eastAsia="宋体" w:cs="宋体"/>
          <w:color w:val="auto"/>
          <w:szCs w:val="21"/>
          <w:highlight w:val="none"/>
          <w:lang w:val="zh-CN"/>
        </w:rPr>
      </w:pPr>
    </w:p>
    <w:p>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东莞市水务集团供水有限公司</w:t>
      </w:r>
    </w:p>
    <w:p>
      <w:pPr>
        <w:autoSpaceDE w:val="0"/>
        <w:autoSpaceDN w:val="0"/>
        <w:adjustRightInd w:val="0"/>
        <w:spacing w:line="360" w:lineRule="auto"/>
        <w:rPr>
          <w:rFonts w:ascii="宋体" w:hAnsi="宋体" w:eastAsia="宋体" w:cs="宋体"/>
          <w:color w:val="auto"/>
          <w:szCs w:val="21"/>
          <w:highlight w:val="none"/>
        </w:rPr>
      </w:pPr>
    </w:p>
    <w:p>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东莞市水务集团供水有限公司抢修器采购项目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0832-SFCX25DG010A</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0832-SFCX25DG010A</w:t>
      </w:r>
      <w:r>
        <w:rPr>
          <w:rFonts w:hint="eastAsia" w:ascii="宋体" w:hAnsi="宋体" w:eastAsia="宋体" w:cs="宋体"/>
          <w:color w:val="auto"/>
          <w:szCs w:val="21"/>
          <w:highlight w:val="none"/>
          <w:lang w:val="zh-CN"/>
        </w:rPr>
        <w:t>的投标；</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w:t>
      </w:r>
      <w:r>
        <w:rPr>
          <w:rFonts w:hint="eastAsia" w:ascii="宋体" w:hAnsi="宋体" w:eastAsia="宋体" w:cs="宋体"/>
          <w:color w:val="auto"/>
          <w:szCs w:val="21"/>
          <w:highlight w:val="none"/>
          <w:lang w:val="en-US" w:eastAsia="zh-CN"/>
        </w:rPr>
        <w:t>其他</w:t>
      </w:r>
      <w:r>
        <w:rPr>
          <w:rFonts w:hint="eastAsia" w:ascii="宋体" w:hAnsi="宋体" w:eastAsia="宋体" w:cs="宋体"/>
          <w:color w:val="auto"/>
          <w:szCs w:val="21"/>
          <w:highlight w:val="none"/>
          <w:lang w:val="zh-CN"/>
        </w:rPr>
        <w:t>数据或信息；</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w:t>
      </w:r>
      <w:r>
        <w:rPr>
          <w:rFonts w:hint="eastAsia" w:ascii="宋体" w:hAnsi="宋体" w:eastAsia="宋体" w:cs="宋体"/>
          <w:color w:val="auto"/>
          <w:szCs w:val="21"/>
          <w:highlight w:val="none"/>
          <w:lang w:val="en-US" w:eastAsia="zh-CN"/>
        </w:rPr>
        <w:t>次</w:t>
      </w:r>
      <w:r>
        <w:rPr>
          <w:rFonts w:hint="eastAsia" w:ascii="宋体" w:hAnsi="宋体" w:eastAsia="宋体" w:cs="宋体"/>
          <w:color w:val="auto"/>
          <w:szCs w:val="21"/>
          <w:highlight w:val="none"/>
          <w:lang w:val="zh-CN"/>
        </w:rPr>
        <w:t>投标有关的函件请发往下列地址：</w:t>
      </w:r>
    </w:p>
    <w:p>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687" w:name="_Toc102860068"/>
      <w:bookmarkStart w:id="688" w:name="_Toc94107203"/>
      <w:bookmarkStart w:id="689" w:name="_Toc102860412"/>
      <w:bookmarkStart w:id="690" w:name="_Toc19934"/>
      <w:bookmarkStart w:id="691" w:name="_Toc140596922"/>
      <w:bookmarkStart w:id="692" w:name="_Toc486167710"/>
      <w:bookmarkStart w:id="693" w:name="_Toc1977722"/>
      <w:bookmarkStart w:id="694" w:name="_Toc104991869"/>
      <w:bookmarkStart w:id="695" w:name="_Toc142508363"/>
      <w:bookmarkStart w:id="696" w:name="_Toc21602"/>
      <w:bookmarkStart w:id="697" w:name="_Toc533708122"/>
      <w:bookmarkStart w:id="698" w:name="_Toc28613_WPSOffice_Level2"/>
      <w:bookmarkStart w:id="699" w:name="_Toc26795"/>
      <w:bookmarkStart w:id="700" w:name="_Toc8696"/>
      <w:bookmarkStart w:id="701" w:name="_Toc12086"/>
      <w:bookmarkStart w:id="702" w:name="_Toc29799"/>
      <w:r>
        <w:rPr>
          <w:rFonts w:hint="eastAsia" w:ascii="宋体" w:hAnsi="宋体" w:eastAsia="宋体" w:cs="宋体"/>
          <w:b/>
          <w:color w:val="auto"/>
          <w:kern w:val="0"/>
          <w:sz w:val="32"/>
          <w:szCs w:val="32"/>
          <w:highlight w:val="none"/>
        </w:rPr>
        <w:t>二、投标承诺书格式</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东莞市水务集团供水有限公司抢修器采购项目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0832-SFCX25DG010A</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w:t>
      </w:r>
      <w:r>
        <w:rPr>
          <w:rFonts w:hint="eastAsia" w:ascii="宋体" w:hAnsi="宋体" w:eastAsia="宋体" w:cs="宋体"/>
          <w:color w:val="auto"/>
          <w:kern w:val="0"/>
          <w:szCs w:val="21"/>
          <w:highlight w:val="none"/>
          <w:lang w:eastAsia="zh-CN"/>
        </w:rPr>
        <w:t>东莞市水务环境投资控股集团有限公司</w:t>
      </w:r>
      <w:r>
        <w:rPr>
          <w:rFonts w:hint="eastAsia" w:ascii="宋体" w:hAnsi="宋体" w:eastAsia="宋体" w:cs="宋体"/>
          <w:color w:val="auto"/>
          <w:kern w:val="0"/>
          <w:szCs w:val="21"/>
          <w:highlight w:val="none"/>
        </w:rPr>
        <w:t>相关招标采购活动的，由我方自行承担全部后果。</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bookmarkStart w:id="703" w:name="_Toc311032584"/>
      <w:bookmarkStart w:id="704" w:name="_Toc326768876"/>
      <w:bookmarkStart w:id="705" w:name="_Toc316896755"/>
    </w:p>
    <w:p>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706" w:name="_Toc102860413"/>
      <w:bookmarkStart w:id="707" w:name="_Toc24451"/>
      <w:bookmarkStart w:id="708" w:name="_Toc102860069"/>
      <w:bookmarkStart w:id="709" w:name="_Toc104991870"/>
      <w:bookmarkStart w:id="710" w:name="_Toc86764083"/>
      <w:bookmarkStart w:id="711" w:name="_Toc16135"/>
      <w:bookmarkStart w:id="712" w:name="_Toc12590"/>
      <w:bookmarkStart w:id="713" w:name="_Toc142508364"/>
      <w:bookmarkStart w:id="714" w:name="_Toc30546"/>
      <w:bookmarkStart w:id="715" w:name="_Toc94107204"/>
      <w:bookmarkStart w:id="716" w:name="_Toc82182546"/>
      <w:bookmarkStart w:id="717" w:name="_Toc9778"/>
      <w:bookmarkStart w:id="718" w:name="_Toc140596923"/>
      <w:bookmarkStart w:id="719" w:name="_Toc24999"/>
      <w:bookmarkStart w:id="720" w:name="_Toc7024_WPSOffice_Level2"/>
      <w:bookmarkStart w:id="721" w:name="_Toc533708123"/>
      <w:bookmarkStart w:id="722" w:name="_Toc486167711"/>
      <w:bookmarkStart w:id="723" w:name="_Toc1977723"/>
      <w:r>
        <w:rPr>
          <w:rFonts w:hint="eastAsia" w:ascii="宋体" w:hAnsi="宋体" w:eastAsia="宋体" w:cs="宋体"/>
          <w:b/>
          <w:color w:val="auto"/>
          <w:kern w:val="44"/>
          <w:sz w:val="32"/>
          <w:szCs w:val="32"/>
          <w:highlight w:val="none"/>
        </w:rPr>
        <w:t>三、供货及/或提供服务过程承诺函格式</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东莞市水务集团供水有限公司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东莞市水务集团供水有限公司抢修器采购项目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0832-SFCX25DG010A</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w:t>
      </w:r>
      <w:r>
        <w:rPr>
          <w:rFonts w:hint="eastAsia" w:ascii="宋体" w:hAnsi="宋体" w:eastAsia="宋体" w:cs="宋体"/>
          <w:color w:val="auto"/>
          <w:kern w:val="0"/>
          <w:szCs w:val="21"/>
          <w:highlight w:val="none"/>
          <w:lang w:val="en-US" w:eastAsia="zh-CN"/>
        </w:rPr>
        <w:t>他</w:t>
      </w:r>
      <w:r>
        <w:rPr>
          <w:rFonts w:hint="eastAsia" w:ascii="宋体" w:hAnsi="宋体" w:eastAsia="宋体" w:cs="宋体"/>
          <w:color w:val="auto"/>
          <w:kern w:val="0"/>
          <w:szCs w:val="21"/>
          <w:highlight w:val="none"/>
        </w:rPr>
        <w:t>工作场所活动，我方作业人员擅自到作业区域以外的其</w:t>
      </w:r>
      <w:r>
        <w:rPr>
          <w:rFonts w:hint="eastAsia" w:ascii="宋体" w:hAnsi="宋体" w:eastAsia="宋体" w:cs="宋体"/>
          <w:color w:val="auto"/>
          <w:kern w:val="0"/>
          <w:szCs w:val="21"/>
          <w:highlight w:val="none"/>
          <w:lang w:val="en-US" w:eastAsia="zh-CN"/>
        </w:rPr>
        <w:t>他</w:t>
      </w:r>
      <w:r>
        <w:rPr>
          <w:rFonts w:hint="eastAsia" w:ascii="宋体" w:hAnsi="宋体" w:eastAsia="宋体" w:cs="宋体"/>
          <w:color w:val="auto"/>
          <w:kern w:val="0"/>
          <w:szCs w:val="21"/>
          <w:highlight w:val="none"/>
        </w:rPr>
        <w:t>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w:t>
      </w:r>
      <w:r>
        <w:rPr>
          <w:rFonts w:hint="eastAsia" w:ascii="宋体" w:hAnsi="宋体" w:eastAsia="宋体" w:cs="宋体"/>
          <w:color w:val="auto"/>
          <w:kern w:val="0"/>
          <w:szCs w:val="21"/>
          <w:highlight w:val="none"/>
          <w:lang w:val="en-US" w:eastAsia="zh-CN"/>
        </w:rPr>
        <w:t>他</w:t>
      </w:r>
      <w:r>
        <w:rPr>
          <w:rFonts w:hint="eastAsia" w:ascii="宋体" w:hAnsi="宋体" w:eastAsia="宋体" w:cs="宋体"/>
          <w:color w:val="auto"/>
          <w:kern w:val="0"/>
          <w:szCs w:val="21"/>
          <w:highlight w:val="none"/>
        </w:rPr>
        <w:t>火源的间距必须达到10M及以上。</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724" w:name="_Toc102860414"/>
      <w:bookmarkStart w:id="725" w:name="_Toc140596924"/>
      <w:bookmarkStart w:id="726" w:name="_Toc86764084"/>
      <w:bookmarkStart w:id="727" w:name="_Toc82182547"/>
      <w:bookmarkStart w:id="728" w:name="_Toc142508365"/>
      <w:bookmarkStart w:id="729" w:name="_Toc104991871"/>
      <w:bookmarkStart w:id="730" w:name="_Toc94107205"/>
      <w:bookmarkStart w:id="731" w:name="_Toc102860070"/>
      <w:bookmarkStart w:id="732" w:name="_Toc2428"/>
      <w:bookmarkStart w:id="733" w:name="_Toc24764"/>
      <w:bookmarkStart w:id="734" w:name="_Toc6287"/>
      <w:bookmarkStart w:id="735" w:name="_Toc19277"/>
      <w:bookmarkStart w:id="736" w:name="_Toc3993"/>
      <w:bookmarkStart w:id="737" w:name="_Toc6034"/>
      <w:r>
        <w:rPr>
          <w:rFonts w:hint="eastAsia" w:ascii="宋体" w:hAnsi="宋体" w:eastAsia="宋体" w:cs="宋体"/>
          <w:b/>
          <w:color w:val="auto"/>
          <w:kern w:val="44"/>
          <w:sz w:val="32"/>
          <w:szCs w:val="32"/>
          <w:highlight w:val="none"/>
        </w:rPr>
        <w:t>四</w:t>
      </w:r>
      <w:bookmarkEnd w:id="724"/>
      <w:bookmarkEnd w:id="725"/>
      <w:bookmarkEnd w:id="726"/>
      <w:bookmarkEnd w:id="727"/>
      <w:bookmarkEnd w:id="728"/>
      <w:bookmarkEnd w:id="729"/>
      <w:bookmarkEnd w:id="730"/>
      <w:bookmarkEnd w:id="731"/>
      <w:bookmarkStart w:id="738" w:name="_Toc94107206"/>
      <w:bookmarkStart w:id="739" w:name="_Toc142508366"/>
      <w:bookmarkStart w:id="740" w:name="_Toc140596925"/>
      <w:bookmarkStart w:id="741" w:name="_Toc104991872"/>
      <w:bookmarkStart w:id="742" w:name="_Toc102860415"/>
      <w:bookmarkStart w:id="743" w:name="_Toc102860071"/>
      <w:r>
        <w:rPr>
          <w:rFonts w:hint="eastAsia" w:ascii="宋体" w:hAnsi="宋体" w:eastAsia="宋体" w:cs="宋体"/>
          <w:b/>
          <w:color w:val="auto"/>
          <w:kern w:val="0"/>
          <w:sz w:val="32"/>
          <w:szCs w:val="32"/>
          <w:highlight w:val="none"/>
        </w:rPr>
        <w:t>、投标报价表格式</w:t>
      </w:r>
      <w:bookmarkEnd w:id="720"/>
      <w:bookmarkEnd w:id="721"/>
      <w:bookmarkEnd w:id="722"/>
      <w:bookmarkEnd w:id="723"/>
      <w:bookmarkEnd w:id="732"/>
      <w:bookmarkEnd w:id="733"/>
      <w:bookmarkEnd w:id="734"/>
      <w:bookmarkEnd w:id="735"/>
      <w:bookmarkEnd w:id="736"/>
      <w:bookmarkEnd w:id="737"/>
      <w:bookmarkEnd w:id="738"/>
      <w:bookmarkEnd w:id="739"/>
      <w:bookmarkEnd w:id="740"/>
      <w:bookmarkEnd w:id="741"/>
      <w:bookmarkEnd w:id="742"/>
      <w:bookmarkEnd w:id="743"/>
    </w:p>
    <w:p>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东莞市水务集团供水有限公司抢修器采购项目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0832-SFCX25DG010A</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5"/>
        <w:gridCol w:w="4909"/>
        <w:gridCol w:w="3094"/>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49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366"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149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rPr>
              <w:t>投标折扣系数</w:t>
            </w:r>
          </w:p>
        </w:tc>
        <w:tc>
          <w:tcPr>
            <w:tcW w:w="64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499"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366"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东莞市水务集团供水有限公司抢修器采购项目</w:t>
            </w:r>
          </w:p>
        </w:tc>
        <w:tc>
          <w:tcPr>
            <w:tcW w:w="1491" w:type="pct"/>
            <w:tcBorders>
              <w:top w:val="single" w:color="auto" w:sz="4" w:space="0"/>
              <w:left w:val="single" w:color="auto" w:sz="4" w:space="0"/>
              <w:right w:val="single" w:color="auto" w:sz="4" w:space="0"/>
            </w:tcBorders>
            <w:vAlign w:val="center"/>
          </w:tcPr>
          <w:p>
            <w:pPr>
              <w:tabs>
                <w:tab w:val="left" w:pos="8610"/>
              </w:tabs>
              <w:spacing w:line="360" w:lineRule="auto"/>
              <w:rPr>
                <w:rFonts w:hint="eastAsia" w:ascii="宋体" w:hAnsi="宋体" w:eastAsia="宋体" w:cs="Times New Roman"/>
                <w:color w:val="auto"/>
                <w:kern w:val="0"/>
                <w:szCs w:val="21"/>
                <w:highlight w:val="none"/>
                <w:u w:val="none"/>
              </w:rPr>
            </w:pPr>
          </w:p>
          <w:p>
            <w:pPr>
              <w:tabs>
                <w:tab w:val="left" w:pos="8610"/>
              </w:tabs>
              <w:spacing w:line="360" w:lineRule="auto"/>
              <w:rPr>
                <w:rFonts w:hint="default"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none"/>
              </w:rPr>
              <w:t xml:space="preserve"> </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lang w:val="en-US" w:eastAsia="zh-CN"/>
              </w:rPr>
              <w:t xml:space="preserve">     </w:t>
            </w:r>
          </w:p>
          <w:p>
            <w:pPr>
              <w:pStyle w:val="15"/>
              <w:snapToGrid/>
              <w:spacing w:before="0"/>
              <w:rPr>
                <w:rFonts w:hint="eastAsia" w:eastAsia="宋体"/>
                <w:color w:val="auto"/>
                <w:highlight w:val="none"/>
                <w:lang w:val="en-US" w:eastAsia="zh-CN"/>
              </w:rPr>
            </w:pPr>
            <w:r>
              <w:rPr>
                <w:rFonts w:hint="eastAsia" w:ascii="宋体" w:hAnsi="宋体" w:eastAsia="宋体" w:cs="Times New Roman"/>
                <w:b/>
                <w:bCs/>
                <w:color w:val="auto"/>
                <w:kern w:val="0"/>
                <w:szCs w:val="21"/>
                <w:highlight w:val="none"/>
                <w:lang w:val="en-US" w:eastAsia="zh-CN"/>
              </w:rPr>
              <w:t>【折扣系数报价不得超过1.00（保留小数点后两位），且不能为0.00或负数】</w:t>
            </w:r>
          </w:p>
        </w:tc>
        <w:tc>
          <w:tcPr>
            <w:tcW w:w="642" w:type="pct"/>
            <w:tcBorders>
              <w:top w:val="single" w:color="auto" w:sz="4" w:space="0"/>
              <w:left w:val="single" w:color="auto" w:sz="4" w:space="0"/>
              <w:right w:val="single" w:color="auto" w:sz="4" w:space="0"/>
            </w:tcBorders>
            <w:vAlign w:val="center"/>
          </w:tcPr>
          <w:p>
            <w:pPr>
              <w:tabs>
                <w:tab w:val="left" w:pos="8610"/>
              </w:tabs>
              <w:spacing w:line="360" w:lineRule="auto"/>
              <w:jc w:val="center"/>
              <w:rPr>
                <w:rFonts w:ascii="宋体" w:hAnsi="宋体" w:eastAsia="宋体" w:cs="Times New Roman"/>
                <w:color w:val="auto"/>
                <w:kern w:val="0"/>
                <w:szCs w:val="21"/>
                <w:highlight w:val="none"/>
              </w:rPr>
            </w:pPr>
          </w:p>
        </w:tc>
      </w:tr>
    </w:tbl>
    <w:p>
      <w:pPr>
        <w:rPr>
          <w:rFonts w:ascii="宋体" w:hAnsi="宋体" w:eastAsia="宋体" w:cs="宋体"/>
          <w:color w:val="auto"/>
          <w:kern w:val="0"/>
          <w:sz w:val="20"/>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（1）本项目的投标报价采用统一折扣系数报价，合同履约过程中，采购清单中</w:t>
      </w:r>
      <w:r>
        <w:rPr>
          <w:rFonts w:hint="eastAsia" w:ascii="宋体" w:hAnsi="宋体" w:eastAsia="宋体" w:cs="Times New Roman"/>
          <w:b/>
          <w:bCs/>
          <w:color w:val="auto"/>
          <w:kern w:val="0"/>
          <w:szCs w:val="21"/>
          <w:highlight w:val="none"/>
          <w:lang w:eastAsia="zh-CN"/>
        </w:rPr>
        <w:t>抢修器</w:t>
      </w:r>
      <w:r>
        <w:rPr>
          <w:rFonts w:hint="eastAsia" w:ascii="宋体" w:hAnsi="宋体" w:eastAsia="宋体" w:cs="Times New Roman"/>
          <w:b/>
          <w:bCs/>
          <w:color w:val="auto"/>
          <w:kern w:val="0"/>
          <w:szCs w:val="21"/>
          <w:highlight w:val="none"/>
        </w:rPr>
        <w:t>不含税中标综合单价按以下方式计算：不含税中标综合单价=不含税预算综合单价×中标折扣系数，以实际供货数量进行结算，不含税中标综合单价出现小数点，保留小数点后两位，从小数点后第3位四舍五入。</w:t>
      </w:r>
    </w:p>
    <w:p>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）投标人的折扣系数报价不得超过1</w:t>
      </w:r>
      <w:r>
        <w:rPr>
          <w:rFonts w:hint="eastAsia" w:ascii="宋体" w:hAnsi="宋体" w:eastAsia="宋体" w:cs="Times New Roman"/>
          <w:b/>
          <w:bCs/>
          <w:color w:val="auto"/>
          <w:kern w:val="0"/>
          <w:szCs w:val="21"/>
          <w:highlight w:val="none"/>
          <w:lang w:val="en-US" w:eastAsia="zh-CN"/>
        </w:rPr>
        <w:t>.00</w:t>
      </w:r>
      <w:r>
        <w:rPr>
          <w:rFonts w:hint="eastAsia" w:ascii="宋体" w:hAnsi="宋体" w:eastAsia="宋体" w:cs="Times New Roman"/>
          <w:b/>
          <w:bCs/>
          <w:color w:val="auto"/>
          <w:kern w:val="0"/>
          <w:szCs w:val="21"/>
          <w:highlight w:val="none"/>
        </w:rPr>
        <w:t>，且不能为0</w:t>
      </w:r>
      <w:r>
        <w:rPr>
          <w:rFonts w:hint="eastAsia" w:ascii="宋体" w:hAnsi="宋体" w:eastAsia="宋体" w:cs="Times New Roman"/>
          <w:b/>
          <w:bCs/>
          <w:color w:val="auto"/>
          <w:kern w:val="0"/>
          <w:szCs w:val="21"/>
          <w:highlight w:val="none"/>
          <w:lang w:val="en-US" w:eastAsia="zh-CN"/>
        </w:rPr>
        <w:t>.00</w:t>
      </w:r>
      <w:r>
        <w:rPr>
          <w:rFonts w:hint="eastAsia" w:ascii="宋体" w:hAnsi="宋体" w:eastAsia="宋体" w:cs="Times New Roman"/>
          <w:b/>
          <w:bCs/>
          <w:color w:val="auto"/>
          <w:kern w:val="0"/>
          <w:szCs w:val="21"/>
          <w:highlight w:val="none"/>
        </w:rPr>
        <w:t>或负数，折扣系数报价最多保留小数点后两位。投标人未按招标文件要求进行折扣系数报价的，该投标人的投标文件将被视为无效投标</w:t>
      </w:r>
      <w:r>
        <w:rPr>
          <w:rFonts w:hint="eastAsia" w:ascii="宋体" w:hAnsi="宋体" w:eastAsia="宋体" w:cs="Times New Roman"/>
          <w:b/>
          <w:bCs/>
          <w:color w:val="auto"/>
          <w:kern w:val="0"/>
          <w:szCs w:val="21"/>
          <w:highlight w:val="none"/>
          <w:lang w:eastAsia="zh-CN"/>
        </w:rPr>
        <w:t>。</w:t>
      </w:r>
    </w:p>
    <w:p>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autoSpaceDE w:val="0"/>
        <w:autoSpaceDN w:val="0"/>
        <w:adjustRightInd w:val="0"/>
        <w:spacing w:line="360" w:lineRule="auto"/>
        <w:ind w:right="275" w:rightChars="131"/>
        <w:jc w:val="right"/>
        <w:rPr>
          <w:rFonts w:ascii="宋体" w:hAnsi="宋体" w:eastAsia="宋体" w:cs="宋体"/>
          <w:color w:val="auto"/>
          <w:kern w:val="0"/>
          <w:szCs w:val="21"/>
          <w:highlight w:val="none"/>
        </w:rPr>
      </w:pPr>
    </w:p>
    <w:p>
      <w:pPr>
        <w:autoSpaceDE w:val="0"/>
        <w:autoSpaceDN w:val="0"/>
        <w:adjustRightInd w:val="0"/>
        <w:spacing w:line="360" w:lineRule="auto"/>
        <w:ind w:firstLine="5668" w:firstLineChars="2362"/>
        <w:rPr>
          <w:rFonts w:ascii="宋体" w:hAnsi="宋体" w:eastAsia="宋体" w:cs="Times New Roman"/>
          <w:color w:val="auto"/>
          <w:sz w:val="24"/>
          <w:szCs w:val="24"/>
          <w:highlight w:val="none"/>
          <w:lang w:val="zh-CN"/>
        </w:rPr>
      </w:pP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zh-CN"/>
        </w:rPr>
        <w:br w:type="page"/>
      </w:r>
      <w:bookmarkStart w:id="744" w:name="_Toc18828"/>
      <w:bookmarkStart w:id="745" w:name="_Toc102860074"/>
      <w:bookmarkStart w:id="746" w:name="_Toc142508369"/>
      <w:bookmarkStart w:id="747" w:name="_Toc94107209"/>
      <w:bookmarkStart w:id="748" w:name="_Toc17850"/>
      <w:bookmarkStart w:id="749" w:name="_Toc104991875"/>
      <w:bookmarkStart w:id="750" w:name="_Toc30177"/>
      <w:bookmarkStart w:id="751" w:name="_Toc31028"/>
      <w:bookmarkStart w:id="752" w:name="_Toc140596928"/>
      <w:bookmarkStart w:id="753" w:name="_Toc17628"/>
      <w:bookmarkStart w:id="754" w:name="_Toc102860418"/>
      <w:bookmarkStart w:id="755" w:name="_Toc1977725"/>
      <w:bookmarkStart w:id="756" w:name="_Toc24015"/>
      <w:bookmarkStart w:id="757" w:name="_Toc486167712"/>
      <w:bookmarkStart w:id="758" w:name="_Toc533708124"/>
      <w:bookmarkStart w:id="759" w:name="_Toc20759_WPSOffice_Level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744"/>
      <w:bookmarkEnd w:id="745"/>
      <w:bookmarkEnd w:id="746"/>
      <w:bookmarkEnd w:id="747"/>
      <w:bookmarkEnd w:id="748"/>
      <w:bookmarkEnd w:id="749"/>
      <w:bookmarkEnd w:id="750"/>
      <w:bookmarkEnd w:id="751"/>
      <w:bookmarkEnd w:id="752"/>
      <w:bookmarkEnd w:id="753"/>
      <w:bookmarkEnd w:id="754"/>
      <w:bookmarkEnd w:id="755"/>
      <w:bookmarkEnd w:id="756"/>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60" w:name="_Toc31420"/>
      <w:bookmarkStart w:id="761" w:name="_Toc104991876"/>
      <w:bookmarkStart w:id="762" w:name="_Toc102860419"/>
      <w:bookmarkStart w:id="763" w:name="_Toc102860075"/>
      <w:bookmarkStart w:id="764" w:name="_Toc142508370"/>
      <w:bookmarkStart w:id="765" w:name="_Toc94107210"/>
      <w:bookmarkStart w:id="766" w:name="_Toc28737"/>
      <w:bookmarkStart w:id="767" w:name="_Toc140596929"/>
      <w:bookmarkStart w:id="768" w:name="_Toc28382"/>
      <w:bookmarkStart w:id="769" w:name="_Toc8074"/>
      <w:bookmarkStart w:id="770" w:name="_Toc21714"/>
      <w:bookmarkStart w:id="771" w:name="_Toc21681"/>
      <w:bookmarkStart w:id="772"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760"/>
      <w:bookmarkEnd w:id="761"/>
      <w:bookmarkEnd w:id="762"/>
      <w:bookmarkEnd w:id="763"/>
      <w:bookmarkEnd w:id="764"/>
      <w:bookmarkEnd w:id="765"/>
      <w:bookmarkEnd w:id="766"/>
      <w:bookmarkEnd w:id="767"/>
      <w:bookmarkEnd w:id="768"/>
      <w:bookmarkEnd w:id="769"/>
      <w:bookmarkEnd w:id="770"/>
      <w:bookmarkEnd w:id="771"/>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pgNumType w:fmt="decimal"/>
          <w:cols w:space="720" w:num="1"/>
          <w:titlePg/>
          <w:docGrid w:linePitch="326" w:charSpace="0"/>
        </w:sectPr>
      </w:pPr>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73" w:name="_Toc142508371"/>
      <w:bookmarkStart w:id="774" w:name="_Toc18408"/>
      <w:bookmarkStart w:id="775" w:name="_Toc102860420"/>
      <w:bookmarkStart w:id="776" w:name="_Toc26345"/>
      <w:bookmarkStart w:id="777" w:name="_Toc102860076"/>
      <w:bookmarkStart w:id="778" w:name="_Toc9851"/>
      <w:bookmarkStart w:id="779" w:name="_Toc10189"/>
      <w:bookmarkStart w:id="780" w:name="_Toc9489"/>
      <w:bookmarkStart w:id="781" w:name="_Toc26822"/>
      <w:bookmarkStart w:id="782" w:name="_Toc104991877"/>
      <w:bookmarkStart w:id="783" w:name="_Toc140596930"/>
      <w:bookmarkStart w:id="784" w:name="_Toc9410721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773"/>
      <w:bookmarkEnd w:id="774"/>
      <w:bookmarkEnd w:id="775"/>
      <w:bookmarkEnd w:id="776"/>
      <w:bookmarkEnd w:id="777"/>
      <w:bookmarkEnd w:id="778"/>
      <w:bookmarkEnd w:id="779"/>
      <w:bookmarkEnd w:id="780"/>
      <w:bookmarkEnd w:id="781"/>
      <w:bookmarkEnd w:id="782"/>
      <w:bookmarkEnd w:id="783"/>
      <w:bookmarkEnd w:id="784"/>
    </w:p>
    <w:p>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785" w:name="_Toc32546"/>
      <w:bookmarkStart w:id="786" w:name="_Toc94107212"/>
      <w:bookmarkStart w:id="787" w:name="_Toc21657"/>
      <w:bookmarkStart w:id="788" w:name="_Toc140596931"/>
      <w:bookmarkStart w:id="789" w:name="_Toc644"/>
      <w:bookmarkStart w:id="790" w:name="_Toc7407"/>
      <w:bookmarkStart w:id="791" w:name="_Toc104991878"/>
      <w:bookmarkStart w:id="792" w:name="_Toc102860421"/>
      <w:bookmarkStart w:id="793" w:name="_Toc24770"/>
      <w:bookmarkStart w:id="794" w:name="_Toc102860077"/>
      <w:bookmarkStart w:id="795" w:name="_Toc142508372"/>
      <w:bookmarkStart w:id="796" w:name="_Toc1402"/>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785"/>
      <w:bookmarkEnd w:id="786"/>
      <w:bookmarkEnd w:id="787"/>
      <w:bookmarkEnd w:id="788"/>
      <w:bookmarkEnd w:id="789"/>
      <w:bookmarkEnd w:id="790"/>
      <w:bookmarkEnd w:id="791"/>
      <w:bookmarkEnd w:id="792"/>
      <w:bookmarkEnd w:id="793"/>
      <w:bookmarkEnd w:id="794"/>
      <w:bookmarkEnd w:id="795"/>
      <w:bookmarkEnd w:id="796"/>
    </w:p>
    <w:p>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757"/>
      <w:bookmarkEnd w:id="758"/>
      <w:bookmarkEnd w:id="759"/>
      <w:bookmarkEnd w:id="772"/>
    </w:p>
    <w:p>
      <w:pPr>
        <w:spacing w:before="120" w:after="120" w:line="360" w:lineRule="auto"/>
        <w:ind w:firstLine="608" w:firstLineChars="202"/>
        <w:jc w:val="center"/>
        <w:rPr>
          <w:rFonts w:ascii="宋体" w:hAnsi="宋体" w:eastAsia="宋体" w:cs="宋体"/>
          <w:b/>
          <w:color w:val="auto"/>
          <w:sz w:val="30"/>
          <w:szCs w:val="30"/>
          <w:highlight w:val="none"/>
        </w:rPr>
      </w:pPr>
    </w:p>
    <w:p>
      <w:pPr>
        <w:spacing w:before="120" w:after="120" w:line="360" w:lineRule="auto"/>
        <w:ind w:firstLine="608" w:firstLineChars="202"/>
        <w:jc w:val="center"/>
        <w:rPr>
          <w:rFonts w:ascii="宋体" w:hAnsi="宋体" w:eastAsia="宋体" w:cs="宋体"/>
          <w:b/>
          <w:bCs/>
          <w:color w:val="auto"/>
          <w:sz w:val="30"/>
          <w:szCs w:val="30"/>
          <w:highlight w:val="none"/>
        </w:rPr>
      </w:pPr>
      <w:bookmarkStart w:id="797" w:name="_Toc11033_WPSOffice_Level3"/>
      <w:r>
        <w:rPr>
          <w:rFonts w:hint="eastAsia" w:ascii="宋体" w:hAnsi="宋体" w:eastAsia="宋体" w:cs="宋体"/>
          <w:b/>
          <w:color w:val="auto"/>
          <w:sz w:val="30"/>
          <w:szCs w:val="30"/>
          <w:highlight w:val="none"/>
        </w:rPr>
        <w:t>法定代</w:t>
      </w:r>
      <w:bookmarkStart w:id="798" w:name="_Toc45995270"/>
      <w:bookmarkStart w:id="799" w:name="_Toc36971359"/>
      <w:r>
        <w:rPr>
          <w:rFonts w:hint="eastAsia" w:ascii="宋体" w:hAnsi="宋体" w:eastAsia="宋体" w:cs="宋体"/>
          <w:b/>
          <w:color w:val="auto"/>
          <w:sz w:val="30"/>
          <w:szCs w:val="30"/>
          <w:highlight w:val="none"/>
        </w:rPr>
        <w:t>表人身份证明书</w:t>
      </w:r>
      <w:bookmarkEnd w:id="797"/>
    </w:p>
    <w:bookmarkEnd w:id="798"/>
    <w:bookmarkEnd w:id="799"/>
    <w:p>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b/>
          <w:color w:val="auto"/>
          <w:kern w:val="0"/>
          <w:szCs w:val="21"/>
          <w:highlight w:val="none"/>
        </w:rPr>
      </w:pPr>
    </w:p>
    <w:p>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rPr>
          <w:rFonts w:ascii="宋体" w:hAnsi="宋体" w:eastAsia="宋体" w:cs="宋体"/>
          <w:color w:val="auto"/>
          <w:kern w:val="0"/>
          <w:szCs w:val="21"/>
          <w:highlight w:val="none"/>
        </w:rPr>
      </w:pPr>
    </w:p>
    <w:p>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703"/>
      <w:bookmarkEnd w:id="704"/>
      <w:bookmarkEnd w:id="705"/>
      <w:bookmarkStart w:id="800" w:name="_Toc486167713"/>
      <w:bookmarkStart w:id="801" w:name="_Toc533708125"/>
      <w:bookmarkStart w:id="802" w:name="_Toc6240_WPSOffice_Level2"/>
      <w:bookmarkStart w:id="803" w:name="_Toc1977727"/>
      <w:r>
        <w:rPr>
          <w:rFonts w:hint="eastAsia" w:ascii="宋体" w:hAnsi="宋体" w:eastAsia="宋体" w:cs="宋体"/>
          <w:b/>
          <w:color w:val="auto"/>
          <w:szCs w:val="24"/>
          <w:highlight w:val="none"/>
        </w:rPr>
        <w:t>（2）法定代表人授权书格式</w:t>
      </w:r>
      <w:bookmarkEnd w:id="800"/>
      <w:bookmarkEnd w:id="801"/>
      <w:bookmarkEnd w:id="802"/>
      <w:bookmarkEnd w:id="803"/>
    </w:p>
    <w:p>
      <w:pPr>
        <w:autoSpaceDE w:val="0"/>
        <w:autoSpaceDN w:val="0"/>
        <w:adjustRightInd w:val="0"/>
        <w:spacing w:line="360" w:lineRule="auto"/>
        <w:jc w:val="center"/>
        <w:rPr>
          <w:rFonts w:ascii="宋体" w:hAnsi="宋体" w:eastAsia="宋体" w:cs="宋体"/>
          <w:b/>
          <w:bCs/>
          <w:color w:val="auto"/>
          <w:sz w:val="30"/>
          <w:szCs w:val="30"/>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804" w:name="_Toc29146_WPSOffice_Level3"/>
      <w:r>
        <w:rPr>
          <w:rFonts w:hint="eastAsia" w:ascii="宋体" w:hAnsi="宋体" w:eastAsia="宋体" w:cs="宋体"/>
          <w:b/>
          <w:bCs/>
          <w:color w:val="auto"/>
          <w:sz w:val="30"/>
          <w:szCs w:val="30"/>
          <w:highlight w:val="none"/>
          <w:lang w:val="zh-CN"/>
        </w:rPr>
        <w:t>法定代表人授权书</w:t>
      </w:r>
      <w:bookmarkEnd w:id="804"/>
    </w:p>
    <w:p>
      <w:pPr>
        <w:autoSpaceDE w:val="0"/>
        <w:autoSpaceDN w:val="0"/>
        <w:adjustRightInd w:val="0"/>
        <w:spacing w:line="360" w:lineRule="auto"/>
        <w:jc w:val="center"/>
        <w:rPr>
          <w:rFonts w:ascii="宋体" w:hAnsi="宋体" w:eastAsia="宋体" w:cs="宋体"/>
          <w:color w:val="auto"/>
          <w:szCs w:val="28"/>
          <w:highlight w:val="none"/>
          <w:lang w:val="zh-CN"/>
        </w:rPr>
      </w:pPr>
    </w:p>
    <w:p>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致：东莞市水务集团供水有限公司</w:t>
      </w:r>
    </w:p>
    <w:p>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东莞市水务集团供水有限公司抢修器采购项目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0832-SFCX25DG010A</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rPr>
          <w:rFonts w:ascii="宋体" w:hAnsi="宋体" w:eastAsia="宋体" w:cs="宋体"/>
          <w:color w:val="auto"/>
          <w:szCs w:val="24"/>
          <w:highlight w:val="none"/>
        </w:rPr>
      </w:pP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pgNumType w:fmt="decimal"/>
          <w:cols w:space="720" w:num="1"/>
          <w:titlePg/>
          <w:docGrid w:linePitch="326" w:charSpace="0"/>
        </w:sectPr>
      </w:pPr>
      <w:r>
        <w:rPr>
          <w:rFonts w:hint="eastAsia" w:ascii="宋体" w:hAnsi="宋体" w:eastAsia="宋体" w:cs="宋体"/>
          <w:b/>
          <w:color w:val="auto"/>
          <w:szCs w:val="24"/>
          <w:highlight w:val="none"/>
        </w:rPr>
        <w:t>注：上述所附身份证应在有效期限内。</w:t>
      </w:r>
    </w:p>
    <w:p>
      <w:pPr>
        <w:pStyle w:val="4"/>
        <w:pageBreakBefore/>
        <w:spacing w:line="360" w:lineRule="auto"/>
        <w:rPr>
          <w:rFonts w:hint="eastAsia" w:hAnsi="宋体" w:eastAsia="宋体"/>
          <w:b/>
          <w:color w:val="auto"/>
          <w:sz w:val="30"/>
          <w:szCs w:val="30"/>
          <w:highlight w:val="none"/>
          <w:lang w:val="zh-CN" w:eastAsia="zh-CN"/>
        </w:rPr>
      </w:pPr>
      <w:bookmarkStart w:id="805" w:name="_Toc8338"/>
      <w:bookmarkStart w:id="806" w:name="_Toc31100"/>
      <w:bookmarkStart w:id="807" w:name="_Toc27898"/>
      <w:bookmarkStart w:id="808" w:name="_Toc30070"/>
      <w:bookmarkStart w:id="809" w:name="_Toc13827"/>
      <w:bookmarkStart w:id="810" w:name="_Toc14563"/>
      <w:bookmarkStart w:id="811" w:name="_Toc140596933"/>
      <w:bookmarkStart w:id="812" w:name="_Toc1977730"/>
      <w:bookmarkStart w:id="813" w:name="_Toc142508373"/>
      <w:bookmarkStart w:id="814" w:name="_Toc94107214"/>
      <w:bookmarkStart w:id="815" w:name="_Toc104991880"/>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【投标人</w:t>
      </w:r>
      <w:r>
        <w:rPr>
          <w:rFonts w:hint="eastAsia" w:hAnsi="宋体"/>
          <w:b/>
          <w:bCs/>
          <w:color w:val="auto"/>
          <w:sz w:val="32"/>
          <w:szCs w:val="32"/>
          <w:highlight w:val="none"/>
          <w:lang w:val="en-US" w:eastAsia="zh-CN"/>
        </w:rPr>
        <w:t>至少</w:t>
      </w:r>
      <w:r>
        <w:rPr>
          <w:rFonts w:hint="default" w:ascii="宋体" w:hAnsi="宋体" w:eastAsia="宋体"/>
          <w:b/>
          <w:bCs/>
          <w:color w:val="auto"/>
          <w:sz w:val="32"/>
          <w:szCs w:val="32"/>
          <w:highlight w:val="none"/>
          <w:lang w:val="en-US"/>
        </w:rPr>
        <w:t>提供一份</w:t>
      </w:r>
      <w:r>
        <w:rPr>
          <w:rFonts w:hint="eastAsia" w:hAnsi="宋体"/>
          <w:b/>
          <w:bCs/>
          <w:color w:val="auto"/>
          <w:sz w:val="32"/>
          <w:szCs w:val="32"/>
          <w:highlight w:val="none"/>
          <w:lang w:val="en-US" w:eastAsia="zh-CN"/>
        </w:rPr>
        <w:t>2022</w:t>
      </w:r>
      <w:r>
        <w:rPr>
          <w:rFonts w:hint="eastAsia" w:ascii="宋体" w:hAnsi="宋体" w:eastAsia="宋体"/>
          <w:b/>
          <w:bCs/>
          <w:color w:val="auto"/>
          <w:sz w:val="32"/>
          <w:szCs w:val="32"/>
          <w:highlight w:val="none"/>
        </w:rPr>
        <w:t>年</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月</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日以来具有一份销售抢修器</w:t>
      </w:r>
      <w:r>
        <w:rPr>
          <w:rFonts w:hint="eastAsia" w:hAnsi="宋体"/>
          <w:b/>
          <w:bCs/>
          <w:color w:val="auto"/>
          <w:sz w:val="32"/>
          <w:szCs w:val="32"/>
          <w:highlight w:val="none"/>
          <w:lang w:eastAsia="zh-CN"/>
        </w:rPr>
        <w:t>（</w:t>
      </w:r>
      <w:r>
        <w:rPr>
          <w:rFonts w:hint="eastAsia" w:hAnsi="宋体"/>
          <w:b/>
          <w:bCs/>
          <w:color w:val="auto"/>
          <w:sz w:val="32"/>
          <w:szCs w:val="32"/>
          <w:highlight w:val="none"/>
          <w:lang w:val="en-US" w:eastAsia="zh-CN"/>
        </w:rPr>
        <w:t>别称：哈夫节）</w:t>
      </w:r>
      <w:r>
        <w:rPr>
          <w:rFonts w:hint="eastAsia" w:ascii="宋体" w:hAnsi="宋体" w:eastAsia="宋体" w:cs="宋体"/>
          <w:b/>
          <w:bCs/>
          <w:color w:val="auto"/>
          <w:sz w:val="32"/>
          <w:szCs w:val="32"/>
          <w:highlight w:val="none"/>
        </w:rPr>
        <w:t>业绩</w:t>
      </w:r>
      <w:r>
        <w:rPr>
          <w:rFonts w:hint="eastAsia" w:ascii="宋体" w:hAnsi="宋体" w:eastAsia="宋体"/>
          <w:b/>
          <w:bCs/>
          <w:color w:val="auto"/>
          <w:sz w:val="32"/>
          <w:szCs w:val="32"/>
          <w:highlight w:val="none"/>
        </w:rPr>
        <w:t>（合同签订日期为</w:t>
      </w:r>
      <w:r>
        <w:rPr>
          <w:rFonts w:hint="eastAsia" w:hAnsi="宋体"/>
          <w:b/>
          <w:bCs/>
          <w:color w:val="auto"/>
          <w:sz w:val="32"/>
          <w:szCs w:val="32"/>
          <w:highlight w:val="none"/>
          <w:lang w:val="en-US" w:eastAsia="zh-CN"/>
        </w:rPr>
        <w:t>2022</w:t>
      </w:r>
      <w:r>
        <w:rPr>
          <w:rFonts w:hint="eastAsia" w:ascii="宋体" w:hAnsi="宋体" w:eastAsia="宋体"/>
          <w:b/>
          <w:bCs/>
          <w:color w:val="auto"/>
          <w:sz w:val="32"/>
          <w:szCs w:val="32"/>
          <w:highlight w:val="none"/>
        </w:rPr>
        <w:t>年</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月</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日或以后）</w:t>
      </w:r>
      <w:bookmarkEnd w:id="805"/>
      <w:bookmarkEnd w:id="806"/>
      <w:bookmarkEnd w:id="807"/>
      <w:bookmarkEnd w:id="808"/>
      <w:bookmarkEnd w:id="809"/>
      <w:bookmarkEnd w:id="810"/>
      <w:r>
        <w:rPr>
          <w:rFonts w:hint="eastAsia" w:hAnsi="宋体"/>
          <w:b/>
          <w:bCs/>
          <w:color w:val="auto"/>
          <w:sz w:val="32"/>
          <w:szCs w:val="32"/>
          <w:highlight w:val="none"/>
          <w:lang w:eastAsia="zh-CN"/>
        </w:rPr>
        <w:t>】</w:t>
      </w:r>
    </w:p>
    <w:p>
      <w:pPr>
        <w:spacing w:line="360" w:lineRule="auto"/>
        <w:rPr>
          <w:rFonts w:hAnsi="宋体"/>
          <w:color w:val="auto"/>
          <w:szCs w:val="21"/>
          <w:highlight w:val="none"/>
          <w:lang w:val="zh-CN"/>
        </w:rPr>
      </w:pPr>
    </w:p>
    <w:tbl>
      <w:tblPr>
        <w:tblStyle w:val="3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43"/>
        <w:gridCol w:w="1358"/>
        <w:gridCol w:w="1354"/>
        <w:gridCol w:w="1243"/>
        <w:gridCol w:w="1315"/>
        <w:gridCol w:w="1733"/>
        <w:gridCol w:w="11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61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7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7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70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9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61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61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7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29"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1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61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7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29"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1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61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7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29"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1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61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7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29"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1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bl>
    <w:p>
      <w:pPr>
        <w:spacing w:line="360" w:lineRule="auto"/>
        <w:ind w:left="424" w:hanging="424" w:hangingChars="201"/>
        <w:rPr>
          <w:rFonts w:hint="eastAsia" w:ascii="宋体" w:hAnsi="宋体" w:eastAsia="宋体" w:cs="宋体"/>
          <w:b/>
          <w:color w:val="auto"/>
          <w:szCs w:val="21"/>
          <w:highlight w:val="none"/>
          <w:lang w:val="zh-CN"/>
        </w:rPr>
      </w:pPr>
    </w:p>
    <w:p>
      <w:pPr>
        <w:spacing w:line="360" w:lineRule="auto"/>
        <w:ind w:left="422" w:hanging="424" w:hangingChars="201"/>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资格业绩证明材料提交要求：</w:t>
      </w:r>
    </w:p>
    <w:p>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w:t>
      </w:r>
      <w:r>
        <w:rPr>
          <w:rFonts w:hint="eastAsia" w:ascii="宋体" w:hAnsi="宋体" w:eastAsia="宋体" w:cs="Times New Roman"/>
          <w:color w:val="auto"/>
          <w:szCs w:val="24"/>
          <w:highlight w:val="none"/>
          <w:lang w:val="zh-CN"/>
        </w:rPr>
        <w:t>投标</w:t>
      </w:r>
      <w:r>
        <w:rPr>
          <w:rFonts w:hint="eastAsia" w:ascii="宋体" w:hAnsi="宋体" w:eastAsia="宋体" w:cs="宋体"/>
          <w:color w:val="auto"/>
          <w:szCs w:val="21"/>
          <w:highlight w:val="none"/>
          <w:lang w:val="zh-CN"/>
        </w:rPr>
        <w:t>人资格条件证明的业绩放置在此处；</w:t>
      </w:r>
    </w:p>
    <w:p>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zh-CN"/>
        </w:rPr>
        <w:t>）业绩须同时提供</w:t>
      </w:r>
      <w:r>
        <w:rPr>
          <w:rFonts w:hint="eastAsia" w:ascii="宋体" w:hAnsi="宋体" w:eastAsia="宋体" w:cs="宋体"/>
          <w:color w:val="auto"/>
          <w:szCs w:val="24"/>
          <w:highlight w:val="none"/>
          <w:lang w:val="zh-CN" w:eastAsia="zh-CN"/>
        </w:rPr>
        <w:t>①</w:t>
      </w:r>
      <w:r>
        <w:rPr>
          <w:rFonts w:hint="eastAsia" w:ascii="宋体" w:hAnsi="宋体" w:eastAsia="宋体" w:cs="宋体"/>
          <w:color w:val="auto"/>
          <w:szCs w:val="24"/>
          <w:highlight w:val="none"/>
          <w:lang w:val="en-US" w:eastAsia="zh-CN"/>
        </w:rPr>
        <w:t>抢修器（别称：哈夫节）</w:t>
      </w:r>
      <w:r>
        <w:rPr>
          <w:rFonts w:hint="eastAsia" w:ascii="宋体" w:hAnsi="宋体" w:eastAsia="宋体" w:cs="宋体"/>
          <w:color w:val="auto"/>
          <w:szCs w:val="24"/>
          <w:highlight w:val="none"/>
          <w:lang w:val="zh-CN"/>
        </w:rPr>
        <w:t>合同复印件（合同卖方为投标人</w:t>
      </w:r>
      <w:r>
        <w:rPr>
          <w:rFonts w:hint="eastAsia" w:ascii="宋体" w:hAnsi="宋体" w:eastAsia="宋体" w:cs="宋体"/>
          <w:color w:val="auto"/>
          <w:szCs w:val="24"/>
          <w:highlight w:val="none"/>
          <w:lang w:val="zh-CN" w:eastAsia="zh-CN"/>
        </w:rPr>
        <w:t>,需显示合同买方公章</w:t>
      </w: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zh-CN" w:eastAsia="zh-CN"/>
        </w:rPr>
        <w:t>②已供货产品任意一张发票复印件（发票开具日期须在本项目招标公告发布之日前）</w:t>
      </w:r>
      <w:r>
        <w:rPr>
          <w:rFonts w:hint="eastAsia" w:ascii="宋体" w:hAnsi="宋体" w:eastAsia="宋体" w:cs="宋体"/>
          <w:color w:val="auto"/>
          <w:szCs w:val="24"/>
          <w:highlight w:val="none"/>
          <w:lang w:val="zh-CN"/>
        </w:rPr>
        <w:t>；</w:t>
      </w:r>
    </w:p>
    <w:p>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rPr>
        <w:t>）若合同无法反映</w:t>
      </w:r>
      <w:r>
        <w:rPr>
          <w:rFonts w:hint="eastAsia" w:ascii="宋体" w:hAnsi="宋体" w:eastAsia="宋体" w:cs="宋体"/>
          <w:color w:val="auto"/>
          <w:szCs w:val="24"/>
          <w:highlight w:val="none"/>
          <w:lang w:val="en-US" w:eastAsia="zh-CN"/>
        </w:rPr>
        <w:t>资格</w:t>
      </w:r>
      <w:r>
        <w:rPr>
          <w:rFonts w:hint="eastAsia" w:ascii="宋体" w:hAnsi="宋体" w:eastAsia="宋体" w:cs="宋体"/>
          <w:color w:val="auto"/>
          <w:szCs w:val="24"/>
          <w:highlight w:val="none"/>
          <w:lang w:val="zh-CN"/>
        </w:rPr>
        <w:t>条件</w:t>
      </w:r>
      <w:r>
        <w:rPr>
          <w:rFonts w:hint="eastAsia" w:ascii="宋体" w:hAnsi="宋体" w:eastAsia="宋体" w:cs="宋体"/>
          <w:color w:val="auto"/>
          <w:szCs w:val="21"/>
          <w:highlight w:val="none"/>
          <w:lang w:val="zh-CN"/>
        </w:rPr>
        <w:t>【</w:t>
      </w:r>
      <w:r>
        <w:rPr>
          <w:rFonts w:hint="eastAsia" w:ascii="宋体" w:hAnsi="宋体" w:eastAsia="宋体" w:cs="宋体"/>
          <w:color w:val="auto"/>
          <w:szCs w:val="24"/>
          <w:highlight w:val="none"/>
          <w:lang w:val="zh-CN"/>
        </w:rPr>
        <w:t>合同签订日期为202</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zh-CN"/>
        </w:rPr>
        <w:t>年1月1日或以后，合同标的必须包含</w:t>
      </w:r>
      <w:r>
        <w:rPr>
          <w:rFonts w:hint="eastAsia" w:ascii="宋体" w:hAnsi="宋体" w:eastAsia="宋体" w:cs="宋体"/>
          <w:color w:val="auto"/>
          <w:szCs w:val="24"/>
          <w:highlight w:val="none"/>
          <w:lang w:val="en-US" w:eastAsia="zh-CN"/>
        </w:rPr>
        <w:t>所投品牌抢修器（别称：哈夫节）</w:t>
      </w:r>
      <w:r>
        <w:rPr>
          <w:rFonts w:hint="eastAsia" w:ascii="宋体" w:hAnsi="宋体" w:eastAsia="宋体" w:cs="宋体"/>
          <w:color w:val="auto"/>
          <w:szCs w:val="24"/>
          <w:highlight w:val="none"/>
          <w:lang w:val="zh-CN"/>
        </w:rPr>
        <w:t>】的</w:t>
      </w:r>
      <w:r>
        <w:rPr>
          <w:rFonts w:hint="eastAsia" w:ascii="宋体" w:hAnsi="宋体" w:eastAsia="宋体" w:cs="宋体"/>
          <w:color w:val="auto"/>
          <w:szCs w:val="21"/>
          <w:highlight w:val="none"/>
          <w:lang w:val="zh-CN"/>
        </w:rPr>
        <w:t>，</w:t>
      </w:r>
      <w:r>
        <w:rPr>
          <w:rFonts w:hint="eastAsia" w:ascii="宋体" w:hAnsi="宋体" w:eastAsia="宋体" w:cs="宋体"/>
          <w:color w:val="auto"/>
          <w:szCs w:val="24"/>
          <w:highlight w:val="none"/>
          <w:lang w:val="zh-CN"/>
        </w:rPr>
        <w:t>还需提供产品购买方出具的书面补充说明文件复印件作为辅助证明（</w:t>
      </w:r>
      <w:r>
        <w:rPr>
          <w:rFonts w:hint="eastAsia" w:ascii="宋体" w:hAnsi="宋体" w:eastAsia="宋体" w:cs="宋体"/>
          <w:color w:val="auto"/>
          <w:szCs w:val="21"/>
          <w:highlight w:val="none"/>
          <w:lang w:val="en-US" w:eastAsia="zh-CN"/>
        </w:rPr>
        <w:t>需</w:t>
      </w:r>
      <w:r>
        <w:rPr>
          <w:rFonts w:hint="eastAsia" w:ascii="宋体" w:hAnsi="宋体" w:eastAsia="宋体" w:cs="宋体"/>
          <w:color w:val="auto"/>
          <w:szCs w:val="21"/>
          <w:highlight w:val="none"/>
          <w:lang w:val="zh-CN"/>
        </w:rPr>
        <w:t>显示购买方公章</w:t>
      </w:r>
      <w:r>
        <w:rPr>
          <w:rFonts w:hint="eastAsia" w:ascii="宋体" w:hAnsi="宋体" w:eastAsia="宋体" w:cs="宋体"/>
          <w:color w:val="auto"/>
          <w:szCs w:val="24"/>
          <w:highlight w:val="none"/>
          <w:lang w:val="zh-CN"/>
        </w:rPr>
        <w:t>）；</w:t>
      </w:r>
    </w:p>
    <w:p>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w:t>
      </w:r>
      <w:r>
        <w:rPr>
          <w:rFonts w:hint="eastAsia" w:ascii="宋体" w:hAnsi="宋体" w:eastAsia="宋体" w:cs="Times New Roman"/>
          <w:color w:val="auto"/>
          <w:szCs w:val="24"/>
          <w:highlight w:val="none"/>
          <w:lang w:val="en-US" w:eastAsia="zh-CN"/>
        </w:rPr>
        <w:t>目资格</w:t>
      </w:r>
      <w:r>
        <w:rPr>
          <w:rFonts w:hint="eastAsia" w:ascii="宋体" w:hAnsi="宋体" w:eastAsia="宋体" w:cs="Times New Roman"/>
          <w:color w:val="auto"/>
          <w:szCs w:val="24"/>
          <w:highlight w:val="none"/>
          <w:lang w:val="zh-CN"/>
        </w:rPr>
        <w:t>要求的业绩，在评标时将不予考虑</w:t>
      </w:r>
      <w:r>
        <w:rPr>
          <w:rFonts w:hint="eastAsia" w:ascii="宋体" w:hAnsi="宋体" w:eastAsia="宋体" w:cs="Times New Roman"/>
          <w:color w:val="auto"/>
          <w:kern w:val="0"/>
          <w:szCs w:val="21"/>
          <w:highlight w:val="none"/>
        </w:rPr>
        <w:t>。</w:t>
      </w:r>
    </w:p>
    <w:p>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pPr>
        <w:autoSpaceDE/>
        <w:autoSpaceDN/>
        <w:adjustRightInd/>
        <w:spacing w:line="240" w:lineRule="auto"/>
        <w:jc w:val="left"/>
        <w:outlineLvl w:val="9"/>
        <w:rPr>
          <w:rFonts w:ascii="宋体" w:hAnsi="宋体" w:eastAsia="宋体" w:cs="Times New Roman"/>
          <w:b/>
          <w:bCs/>
          <w:color w:val="auto"/>
          <w:sz w:val="32"/>
          <w:szCs w:val="32"/>
          <w:highlight w:val="none"/>
          <w:lang w:val="zh-CN"/>
        </w:rPr>
      </w:pPr>
      <w:bookmarkStart w:id="816" w:name="_Toc17312"/>
      <w:bookmarkStart w:id="817" w:name="_Toc31879"/>
      <w:bookmarkStart w:id="818" w:name="_Toc73"/>
      <w:bookmarkStart w:id="819" w:name="_Toc8979"/>
      <w:bookmarkStart w:id="820" w:name="_Toc6418"/>
      <w:bookmarkStart w:id="821" w:name="_Toc23032"/>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811"/>
      <w:bookmarkEnd w:id="812"/>
      <w:bookmarkEnd w:id="813"/>
      <w:bookmarkEnd w:id="814"/>
      <w:bookmarkEnd w:id="815"/>
      <w:bookmarkEnd w:id="816"/>
      <w:bookmarkEnd w:id="817"/>
      <w:bookmarkEnd w:id="818"/>
      <w:bookmarkEnd w:id="819"/>
      <w:bookmarkEnd w:id="820"/>
      <w:bookmarkEnd w:id="821"/>
    </w:p>
    <w:p>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jc w:val="center"/>
        </w:trPr>
        <w:tc>
          <w:tcPr>
            <w:tcW w:w="425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事项名称</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pPr>
        <w:autoSpaceDE w:val="0"/>
        <w:autoSpaceDN w:val="0"/>
        <w:adjustRightInd w:val="0"/>
        <w:spacing w:line="360" w:lineRule="auto"/>
        <w:jc w:val="center"/>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822" w:name="_Toc486167714"/>
      <w:bookmarkStart w:id="823" w:name="_Toc102860079"/>
      <w:bookmarkStart w:id="824" w:name="_Toc1977731"/>
      <w:bookmarkStart w:id="825" w:name="_Toc140596934"/>
      <w:bookmarkStart w:id="826" w:name="_Toc142508374"/>
      <w:bookmarkStart w:id="827" w:name="_Toc2031_WPSOffice_Level2"/>
      <w:bookmarkStart w:id="828" w:name="_Toc104991881"/>
      <w:bookmarkStart w:id="829" w:name="_Toc533708126"/>
      <w:bookmarkStart w:id="830" w:name="_Toc13237"/>
      <w:bookmarkStart w:id="831" w:name="_Toc94107215"/>
      <w:bookmarkStart w:id="832" w:name="_Toc102860423"/>
    </w:p>
    <w:p>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833" w:name="_Toc11148"/>
      <w:bookmarkStart w:id="834" w:name="_Toc24030"/>
      <w:bookmarkStart w:id="835" w:name="_Toc21923"/>
      <w:bookmarkStart w:id="836" w:name="_Toc16342"/>
      <w:bookmarkStart w:id="837" w:name="_Toc14482"/>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838" w:name="_Toc2773_WPSOffice_Level3"/>
      <w:r>
        <w:rPr>
          <w:rFonts w:hint="eastAsia" w:ascii="宋体" w:hAnsi="宋体" w:eastAsia="宋体" w:cs="宋体"/>
          <w:b/>
          <w:bCs/>
          <w:color w:val="auto"/>
          <w:sz w:val="30"/>
          <w:szCs w:val="30"/>
          <w:highlight w:val="none"/>
          <w:lang w:val="zh-CN"/>
        </w:rPr>
        <w:t>投标人基本情况一览表</w:t>
      </w:r>
      <w:bookmarkEnd w:id="838"/>
    </w:p>
    <w:p>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pPr>
        <w:autoSpaceDE w:val="0"/>
        <w:autoSpaceDN w:val="0"/>
        <w:adjustRightInd w:val="0"/>
        <w:spacing w:line="360" w:lineRule="auto"/>
        <w:ind w:firstLine="420" w:firstLineChars="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420" w:firstLineChars="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pPr>
        <w:autoSpaceDE w:val="0"/>
        <w:autoSpaceDN w:val="0"/>
        <w:adjustRightInd w:val="0"/>
        <w:spacing w:line="360" w:lineRule="auto"/>
        <w:ind w:left="0" w:leftChars="0" w:firstLine="420" w:firstLineChars="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ascii="宋体" w:hAnsi="宋体" w:eastAsia="宋体" w:cs="宋体"/>
          <w:color w:val="auto"/>
          <w:szCs w:val="24"/>
          <w:highlight w:val="none"/>
        </w:rPr>
      </w:pPr>
    </w:p>
    <w:p>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839" w:name="_Toc18288"/>
      <w:bookmarkStart w:id="840" w:name="_Toc142508375"/>
      <w:bookmarkStart w:id="841" w:name="_Toc3711"/>
      <w:bookmarkStart w:id="842" w:name="_Toc20486"/>
      <w:bookmarkStart w:id="843" w:name="_Toc4495"/>
      <w:bookmarkStart w:id="844" w:name="_Toc16963"/>
      <w:bookmarkStart w:id="845" w:name="_Toc10275"/>
      <w:bookmarkStart w:id="846" w:name="_Toc102860080"/>
      <w:bookmarkStart w:id="847" w:name="_Toc104991882"/>
      <w:bookmarkStart w:id="848" w:name="_Toc94107216"/>
      <w:bookmarkStart w:id="849" w:name="_Toc140596935"/>
      <w:bookmarkStart w:id="850" w:name="_Toc102860424"/>
      <w:bookmarkStart w:id="851" w:name="_Toc1977733"/>
      <w:bookmarkStart w:id="852" w:name="_Toc486167715"/>
      <w:bookmarkStart w:id="853" w:name="_Toc9051_WPSOffice_Level2"/>
      <w:bookmarkStart w:id="854" w:name="_Toc533708128"/>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839"/>
      <w:bookmarkEnd w:id="840"/>
      <w:bookmarkEnd w:id="841"/>
      <w:bookmarkEnd w:id="842"/>
      <w:bookmarkEnd w:id="843"/>
      <w:bookmarkEnd w:id="844"/>
      <w:bookmarkEnd w:id="845"/>
      <w:bookmarkEnd w:id="846"/>
      <w:bookmarkEnd w:id="847"/>
      <w:bookmarkEnd w:id="848"/>
      <w:bookmarkEnd w:id="849"/>
      <w:bookmarkEnd w:id="850"/>
    </w:p>
    <w:p>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2024</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pgNumType w:fmt="decimal"/>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851"/>
    <w:bookmarkEnd w:id="852"/>
    <w:bookmarkEnd w:id="853"/>
    <w:bookmarkEnd w:id="854"/>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855" w:name="_Toc140596936"/>
      <w:bookmarkStart w:id="856" w:name="_Toc94107217"/>
      <w:bookmarkStart w:id="857" w:name="_Toc18087"/>
      <w:bookmarkStart w:id="858" w:name="_Toc102860081"/>
      <w:bookmarkStart w:id="859" w:name="_Toc102860425"/>
      <w:bookmarkStart w:id="860" w:name="_Toc15551"/>
      <w:bookmarkStart w:id="861" w:name="_Toc20034"/>
      <w:bookmarkStart w:id="862" w:name="_Toc142508376"/>
      <w:bookmarkStart w:id="863" w:name="_Toc2603"/>
      <w:bookmarkStart w:id="864" w:name="_Toc104991883"/>
      <w:bookmarkStart w:id="865" w:name="_Toc533708130"/>
      <w:bookmarkStart w:id="866" w:name="_Toc486167716"/>
      <w:bookmarkStart w:id="867" w:name="_Toc30667"/>
      <w:bookmarkStart w:id="868" w:name="_Toc739_WPSOffice_Level2"/>
      <w:bookmarkStart w:id="869" w:name="_Toc4831"/>
      <w:bookmarkStart w:id="870" w:name="_Toc1977736"/>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871" w:name="_Toc26412_WPSOffice_Level3"/>
      <w:r>
        <w:rPr>
          <w:rFonts w:hint="eastAsia" w:ascii="宋体" w:hAnsi="宋体" w:eastAsia="宋体" w:cs="宋体"/>
          <w:b/>
          <w:bCs/>
          <w:color w:val="auto"/>
          <w:kern w:val="0"/>
          <w:sz w:val="28"/>
          <w:szCs w:val="30"/>
          <w:highlight w:val="none"/>
          <w:lang w:val="zh-CN"/>
        </w:rPr>
        <w:t>东莞市水务集团供水有限公司抢修器采购项目合同条款偏离表</w:t>
      </w:r>
      <w:bookmarkEnd w:id="871"/>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第一条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供货资格及范围</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第二条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合同供货期</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第三条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b w:val="0"/>
                <w:bCs/>
                <w:color w:val="auto"/>
                <w:sz w:val="21"/>
                <w:szCs w:val="21"/>
                <w:highlight w:val="none"/>
                <w:lang w:val="en-US" w:eastAsia="zh-CN"/>
              </w:rPr>
              <w:t>技术要求</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第四条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交货约定</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第五条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验收要求</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第六条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综合单价、暂定合同价及付款方式</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第七条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质保及售后要求</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第八条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履约担保</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第九条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违约责任</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不可抗力</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第十一条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承诺与保证</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第十二条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合同争议的解决办法</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第十三条</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其他</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附件1</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东莞市水务集团供水有限公司货物到货验收表</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附件2</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东莞市水务集团供水有限公司抢修器采购项目采购清单</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附件3</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廉洁协议书</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不可撤销银行履约保函</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履约保证保险凭证</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w:t>
            </w:r>
          </w:p>
        </w:tc>
        <w:tc>
          <w:tcPr>
            <w:tcW w:w="30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担保公司履约担保书</w:t>
            </w:r>
          </w:p>
        </w:tc>
        <w:tc>
          <w:tcPr>
            <w:tcW w:w="134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872" w:name="_Toc94107218"/>
      <w:bookmarkStart w:id="873" w:name="_Toc102860426"/>
      <w:bookmarkStart w:id="874" w:name="_Toc142508377"/>
      <w:bookmarkStart w:id="875" w:name="_Toc104991884"/>
      <w:bookmarkStart w:id="876" w:name="_Toc11334"/>
      <w:bookmarkStart w:id="877" w:name="_Toc2727"/>
      <w:bookmarkStart w:id="878" w:name="_Toc140596937"/>
      <w:bookmarkStart w:id="879" w:name="_Toc2075"/>
      <w:bookmarkStart w:id="880" w:name="_Toc102860082"/>
      <w:bookmarkStart w:id="881" w:name="_Toc1778"/>
      <w:bookmarkStart w:id="882" w:name="_Toc13348"/>
      <w:bookmarkStart w:id="883" w:name="_Toc4165"/>
      <w:bookmarkStart w:id="884" w:name="_Toc486167717"/>
      <w:bookmarkStart w:id="885"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872"/>
      <w:bookmarkEnd w:id="873"/>
      <w:bookmarkEnd w:id="874"/>
      <w:bookmarkEnd w:id="875"/>
      <w:bookmarkEnd w:id="876"/>
      <w:bookmarkEnd w:id="877"/>
      <w:bookmarkEnd w:id="878"/>
      <w:bookmarkEnd w:id="879"/>
      <w:bookmarkEnd w:id="880"/>
      <w:bookmarkEnd w:id="881"/>
      <w:bookmarkEnd w:id="882"/>
      <w:bookmarkEnd w:id="883"/>
    </w:p>
    <w:p>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投标人</w:t>
      </w:r>
      <w:r>
        <w:rPr>
          <w:rFonts w:hint="eastAsia" w:ascii="宋体" w:hAnsi="宋体" w:eastAsia="宋体" w:cs="Times New Roman"/>
          <w:b/>
          <w:bCs/>
          <w:color w:val="auto"/>
          <w:sz w:val="30"/>
          <w:szCs w:val="30"/>
          <w:highlight w:val="none"/>
          <w:lang w:val="en-US" w:eastAsia="zh-CN"/>
        </w:rPr>
        <w:t>2022</w:t>
      </w:r>
      <w:r>
        <w:rPr>
          <w:rFonts w:hint="eastAsia" w:ascii="宋体" w:hAnsi="宋体" w:eastAsia="宋体" w:cs="Times New Roman"/>
          <w:b/>
          <w:bCs/>
          <w:color w:val="auto"/>
          <w:sz w:val="30"/>
          <w:szCs w:val="30"/>
          <w:highlight w:val="none"/>
          <w:lang w:val="zh-CN"/>
        </w:rPr>
        <w:t>年</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Times New Roman"/>
          <w:b/>
          <w:bCs/>
          <w:color w:val="auto"/>
          <w:sz w:val="30"/>
          <w:szCs w:val="30"/>
          <w:highlight w:val="none"/>
          <w:lang w:val="zh-CN"/>
        </w:rPr>
        <w:t>月</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宋体"/>
          <w:b/>
          <w:bCs/>
          <w:color w:val="auto"/>
          <w:sz w:val="30"/>
          <w:szCs w:val="30"/>
          <w:highlight w:val="none"/>
          <w:lang w:val="zh-CN"/>
        </w:rPr>
        <w:t>日以来</w:t>
      </w:r>
      <w:r>
        <w:rPr>
          <w:rFonts w:hint="eastAsia" w:ascii="宋体" w:hAnsi="宋体" w:eastAsia="宋体" w:cs="宋体"/>
          <w:b/>
          <w:bCs/>
          <w:color w:val="auto"/>
          <w:sz w:val="30"/>
          <w:szCs w:val="30"/>
          <w:highlight w:val="none"/>
          <w:lang w:val="en-US" w:eastAsia="zh-CN"/>
        </w:rPr>
        <w:t>抢修器（别称：哈夫节）</w:t>
      </w:r>
      <w:r>
        <w:rPr>
          <w:rFonts w:hint="eastAsia" w:ascii="宋体" w:hAnsi="宋体" w:eastAsia="宋体" w:cs="宋体"/>
          <w:b/>
          <w:bCs/>
          <w:color w:val="auto"/>
          <w:sz w:val="30"/>
          <w:szCs w:val="30"/>
          <w:highlight w:val="none"/>
          <w:lang w:val="zh-CN"/>
        </w:rPr>
        <w:t>在国内的销售业绩表</w:t>
      </w:r>
    </w:p>
    <w:p>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w:t>
      </w:r>
      <w:r>
        <w:rPr>
          <w:rFonts w:hint="eastAsia" w:ascii="宋体" w:hAnsi="宋体" w:eastAsia="宋体" w:cs="宋体"/>
          <w:b/>
          <w:bCs/>
          <w:color w:val="auto"/>
          <w:kern w:val="2"/>
          <w:sz w:val="30"/>
          <w:szCs w:val="30"/>
          <w:highlight w:val="none"/>
          <w:lang w:val="zh-CN"/>
        </w:rPr>
        <w:t>签订合同的时间要求为202</w:t>
      </w:r>
      <w:r>
        <w:rPr>
          <w:rFonts w:hint="eastAsia" w:ascii="宋体" w:hAnsi="宋体" w:eastAsia="宋体" w:cs="宋体"/>
          <w:b/>
          <w:bCs/>
          <w:color w:val="auto"/>
          <w:kern w:val="2"/>
          <w:sz w:val="30"/>
          <w:szCs w:val="30"/>
          <w:highlight w:val="none"/>
          <w:lang w:val="en-US" w:eastAsia="zh-CN"/>
        </w:rPr>
        <w:t>2</w:t>
      </w:r>
      <w:r>
        <w:rPr>
          <w:rFonts w:hint="eastAsia" w:ascii="宋体" w:hAnsi="宋体" w:eastAsia="宋体" w:cs="宋体"/>
          <w:b/>
          <w:bCs/>
          <w:color w:val="auto"/>
          <w:kern w:val="2"/>
          <w:sz w:val="30"/>
          <w:szCs w:val="30"/>
          <w:highlight w:val="none"/>
          <w:lang w:val="zh-CN"/>
        </w:rPr>
        <w:t>年1月1日或以后</w:t>
      </w:r>
      <w:r>
        <w:rPr>
          <w:rFonts w:hint="eastAsia" w:ascii="宋体" w:hAnsi="宋体" w:eastAsia="宋体" w:cs="Times New Roman"/>
          <w:b/>
          <w:bCs/>
          <w:color w:val="auto"/>
          <w:sz w:val="30"/>
          <w:szCs w:val="30"/>
          <w:highlight w:val="none"/>
          <w:lang w:val="en-US" w:eastAsia="zh-CN"/>
        </w:rPr>
        <w:t>）</w:t>
      </w:r>
    </w:p>
    <w:tbl>
      <w:tblPr>
        <w:tblStyle w:val="38"/>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25"/>
        <w:gridCol w:w="1222"/>
        <w:gridCol w:w="2017"/>
        <w:gridCol w:w="1218"/>
        <w:gridCol w:w="1119"/>
        <w:gridCol w:w="1185"/>
        <w:gridCol w:w="1556"/>
        <w:gridCol w:w="10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58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97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金额（单位：万元）</w:t>
            </w:r>
          </w:p>
        </w:tc>
        <w:tc>
          <w:tcPr>
            <w:tcW w:w="5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5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57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7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58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7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7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58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7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7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58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7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7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58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7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7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eastAsia="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w:t>
      </w:r>
      <w:r>
        <w:rPr>
          <w:rFonts w:hint="eastAsia" w:ascii="宋体" w:hAnsi="宋体" w:eastAsia="宋体" w:cs="Times New Roman"/>
          <w:b/>
          <w:bCs/>
          <w:color w:val="auto"/>
          <w:szCs w:val="24"/>
          <w:highlight w:val="none"/>
          <w:lang w:val="en-US" w:eastAsia="zh-CN"/>
        </w:rPr>
        <w:t>单项</w:t>
      </w:r>
      <w:r>
        <w:rPr>
          <w:rFonts w:hint="eastAsia" w:ascii="宋体" w:hAnsi="宋体" w:eastAsia="宋体" w:cs="Times New Roman"/>
          <w:b/>
          <w:bCs/>
          <w:color w:val="auto"/>
          <w:szCs w:val="24"/>
          <w:highlight w:val="none"/>
        </w:rPr>
        <w:t>合同的业绩可以同时在资格业绩和评分业绩重复放置</w:t>
      </w:r>
      <w:r>
        <w:rPr>
          <w:rFonts w:hint="eastAsia" w:ascii="宋体" w:hAnsi="宋体" w:eastAsia="宋体" w:cs="Times New Roman"/>
          <w:b/>
          <w:bCs/>
          <w:color w:val="auto"/>
          <w:szCs w:val="24"/>
          <w:highlight w:val="none"/>
          <w:lang w:eastAsia="zh-CN"/>
        </w:rPr>
        <w:t>；</w:t>
      </w:r>
    </w:p>
    <w:p>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zh-CN"/>
        </w:rPr>
        <w:t>）业绩须同时提供</w:t>
      </w:r>
      <w:r>
        <w:rPr>
          <w:rFonts w:hint="eastAsia" w:ascii="宋体" w:hAnsi="宋体" w:eastAsia="宋体" w:cs="宋体"/>
          <w:color w:val="auto"/>
          <w:szCs w:val="24"/>
          <w:highlight w:val="none"/>
          <w:lang w:val="zh-CN" w:eastAsia="zh-CN"/>
        </w:rPr>
        <w:t>①</w:t>
      </w:r>
      <w:r>
        <w:rPr>
          <w:rFonts w:hint="eastAsia" w:ascii="宋体" w:hAnsi="宋体" w:eastAsia="宋体" w:cs="宋体"/>
          <w:color w:val="auto"/>
          <w:szCs w:val="24"/>
          <w:highlight w:val="none"/>
          <w:lang w:val="en-US" w:eastAsia="zh-CN"/>
        </w:rPr>
        <w:t>抢修器（别称：哈夫节）</w:t>
      </w:r>
      <w:r>
        <w:rPr>
          <w:rFonts w:hint="eastAsia" w:ascii="宋体" w:hAnsi="宋体" w:eastAsia="宋体" w:cs="宋体"/>
          <w:color w:val="auto"/>
          <w:szCs w:val="24"/>
          <w:highlight w:val="none"/>
          <w:lang w:val="zh-CN"/>
        </w:rPr>
        <w:t>销售合同复印件（合同卖方为投标人</w:t>
      </w:r>
      <w:r>
        <w:rPr>
          <w:rFonts w:hint="eastAsia" w:ascii="宋体" w:hAnsi="宋体" w:eastAsia="宋体" w:cs="宋体"/>
          <w:color w:val="auto"/>
          <w:szCs w:val="24"/>
          <w:highlight w:val="none"/>
          <w:lang w:val="zh-CN" w:eastAsia="zh-CN"/>
        </w:rPr>
        <w:t>,需显示合同买方公章</w:t>
      </w: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zh-CN" w:eastAsia="zh-CN"/>
        </w:rPr>
        <w:t>②已供货产品任意一张发票复印件（发票开具日期须在本项目招标公告发布之日前），</w:t>
      </w:r>
      <w:r>
        <w:rPr>
          <w:rFonts w:hint="eastAsia" w:ascii="宋体" w:hAnsi="宋体" w:eastAsia="宋体" w:cs="宋体"/>
          <w:color w:val="auto"/>
          <w:szCs w:val="24"/>
          <w:highlight w:val="none"/>
          <w:lang w:val="zh-CN"/>
        </w:rPr>
        <w:t>否则不得分；</w:t>
      </w:r>
    </w:p>
    <w:p>
      <w:pPr>
        <w:snapToGrid w:val="0"/>
        <w:spacing w:line="360" w:lineRule="auto"/>
        <w:ind w:left="481" w:leftChars="-4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rPr>
        <w:t>）若合同无法反映评分条件</w:t>
      </w:r>
      <w:r>
        <w:rPr>
          <w:rFonts w:hint="eastAsia" w:ascii="宋体" w:hAnsi="宋体" w:eastAsia="宋体" w:cs="宋体"/>
          <w:color w:val="auto"/>
          <w:szCs w:val="21"/>
          <w:highlight w:val="none"/>
          <w:lang w:val="zh-CN"/>
        </w:rPr>
        <w:t>【</w:t>
      </w:r>
      <w:r>
        <w:rPr>
          <w:rFonts w:hint="eastAsia" w:ascii="宋体" w:hAnsi="宋体" w:eastAsia="宋体" w:cs="宋体"/>
          <w:color w:val="auto"/>
          <w:szCs w:val="24"/>
          <w:highlight w:val="none"/>
          <w:lang w:val="zh-CN"/>
        </w:rPr>
        <w:t>合同签订日期为202</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zh-CN"/>
        </w:rPr>
        <w:t>年1月1日或以后，合同标的必须包含</w:t>
      </w:r>
      <w:r>
        <w:rPr>
          <w:rFonts w:hint="eastAsia" w:ascii="宋体" w:hAnsi="宋体" w:eastAsia="宋体" w:cs="宋体"/>
          <w:color w:val="auto"/>
          <w:szCs w:val="24"/>
          <w:highlight w:val="none"/>
          <w:lang w:val="en-US" w:eastAsia="zh-CN"/>
        </w:rPr>
        <w:t>抢修器（别称：哈夫节）、合同金额</w:t>
      </w:r>
      <w:r>
        <w:rPr>
          <w:rFonts w:hint="eastAsia" w:ascii="宋体" w:hAnsi="宋体" w:eastAsia="宋体" w:cs="宋体"/>
          <w:color w:val="auto"/>
          <w:szCs w:val="24"/>
          <w:highlight w:val="none"/>
          <w:lang w:val="zh-CN"/>
        </w:rPr>
        <w:t>】的</w:t>
      </w:r>
      <w:r>
        <w:rPr>
          <w:rFonts w:hint="eastAsia" w:ascii="宋体" w:hAnsi="宋体" w:eastAsia="宋体" w:cs="宋体"/>
          <w:color w:val="auto"/>
          <w:szCs w:val="21"/>
          <w:highlight w:val="none"/>
          <w:lang w:val="zh-CN"/>
        </w:rPr>
        <w:t>，</w:t>
      </w:r>
      <w:r>
        <w:rPr>
          <w:rFonts w:hint="eastAsia" w:ascii="宋体" w:hAnsi="宋体" w:eastAsia="宋体" w:cs="宋体"/>
          <w:color w:val="auto"/>
          <w:szCs w:val="24"/>
          <w:highlight w:val="none"/>
          <w:lang w:val="zh-CN"/>
        </w:rPr>
        <w:t>还需提供产品购买方出具的书面补充说明文件复印件作为辅助证明（</w:t>
      </w:r>
      <w:r>
        <w:rPr>
          <w:rFonts w:hint="eastAsia" w:ascii="宋体" w:hAnsi="宋体" w:eastAsia="宋体" w:cs="宋体"/>
          <w:color w:val="auto"/>
          <w:szCs w:val="21"/>
          <w:highlight w:val="none"/>
          <w:lang w:val="en-US" w:eastAsia="zh-CN"/>
        </w:rPr>
        <w:t>需</w:t>
      </w:r>
      <w:r>
        <w:rPr>
          <w:rFonts w:hint="eastAsia" w:ascii="宋体" w:hAnsi="宋体" w:eastAsia="宋体" w:cs="宋体"/>
          <w:color w:val="auto"/>
          <w:szCs w:val="21"/>
          <w:highlight w:val="none"/>
          <w:lang w:val="zh-CN"/>
        </w:rPr>
        <w:t>显示购买方公章</w:t>
      </w:r>
      <w:r>
        <w:rPr>
          <w:rFonts w:hint="eastAsia" w:ascii="宋体" w:hAnsi="宋体" w:eastAsia="宋体" w:cs="宋体"/>
          <w:color w:val="auto"/>
          <w:szCs w:val="24"/>
          <w:highlight w:val="none"/>
          <w:lang w:val="zh-CN"/>
        </w:rPr>
        <w:t>），否则不得分；</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）若业绩为框架式协议或资格入围无明确金额的合同，必须同时提供合同期限内已供货发票金额统计表和发票复印件；</w:t>
      </w:r>
    </w:p>
    <w:p>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pPr>
        <w:autoSpaceDE/>
        <w:autoSpaceDN/>
        <w:adjustRightInd/>
        <w:snapToGrid w:val="0"/>
        <w:spacing w:line="360" w:lineRule="auto"/>
        <w:ind w:left="548" w:leftChars="59" w:hanging="424" w:hangingChars="202"/>
        <w:rPr>
          <w:rFonts w:hint="eastAsia" w:ascii="宋体" w:hAnsi="宋体" w:eastAsia="宋体" w:cs="宋体"/>
          <w:b w:val="0"/>
          <w:bCs w:val="0"/>
          <w:color w:val="auto"/>
          <w:sz w:val="21"/>
          <w:szCs w:val="21"/>
          <w:highlight w:val="none"/>
          <w:lang w:val="en-US" w:eastAsia="zh-CN"/>
        </w:rPr>
      </w:pPr>
    </w:p>
    <w:p>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zh-CN"/>
        </w:rPr>
      </w:pPr>
      <w:bookmarkStart w:id="886" w:name="_Toc30491"/>
      <w:bookmarkStart w:id="887" w:name="_Toc31148"/>
      <w:bookmarkStart w:id="888" w:name="_Toc11033"/>
      <w:r>
        <w:rPr>
          <w:rFonts w:hint="eastAsia" w:ascii="宋体" w:hAnsi="宋体" w:eastAsia="宋体" w:cs="宋体"/>
          <w:b/>
          <w:color w:val="auto"/>
          <w:kern w:val="0"/>
          <w:sz w:val="32"/>
          <w:szCs w:val="32"/>
          <w:highlight w:val="none"/>
          <w:lang w:val="zh-CN"/>
        </w:rPr>
        <w:t>附表：已供货产品发票金额统计表</w:t>
      </w:r>
      <w:bookmarkEnd w:id="886"/>
      <w:bookmarkEnd w:id="887"/>
      <w:bookmarkEnd w:id="888"/>
    </w:p>
    <w:tbl>
      <w:tblPr>
        <w:tblStyle w:val="38"/>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416"/>
        <w:gridCol w:w="1274"/>
        <w:gridCol w:w="1558"/>
        <w:gridCol w:w="124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21"/>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5503" w:type="dxa"/>
            <w:gridSpan w:val="5"/>
            <w:noWrap w:val="0"/>
            <w:vAlign w:val="center"/>
          </w:tcPr>
          <w:p>
            <w:pPr>
              <w:pStyle w:val="21"/>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79" w:type="dxa"/>
            <w:gridSpan w:val="2"/>
            <w:noWrap w:val="0"/>
            <w:vAlign w:val="center"/>
          </w:tcPr>
          <w:p>
            <w:pPr>
              <w:pStyle w:val="21"/>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合同约定的供货期</w:t>
            </w:r>
          </w:p>
        </w:tc>
        <w:tc>
          <w:tcPr>
            <w:tcW w:w="5503" w:type="dxa"/>
            <w:gridSpan w:val="5"/>
            <w:noWrap w:val="0"/>
            <w:vAlign w:val="center"/>
          </w:tcPr>
          <w:p>
            <w:pPr>
              <w:pStyle w:val="21"/>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79" w:type="dxa"/>
            <w:gridSpan w:val="2"/>
            <w:noWrap w:val="0"/>
            <w:vAlign w:val="center"/>
          </w:tcPr>
          <w:p>
            <w:pPr>
              <w:pStyle w:val="21"/>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发票抬头（</w:t>
            </w:r>
            <w:r>
              <w:rPr>
                <w:rFonts w:hint="eastAsia" w:ascii="宋体" w:hAnsi="宋体"/>
                <w:color w:val="auto"/>
                <w:sz w:val="21"/>
                <w:highlight w:val="none"/>
              </w:rPr>
              <w:t>合同买方）</w:t>
            </w:r>
          </w:p>
        </w:tc>
        <w:tc>
          <w:tcPr>
            <w:tcW w:w="5503" w:type="dxa"/>
            <w:gridSpan w:val="5"/>
            <w:noWrap w:val="0"/>
            <w:vAlign w:val="center"/>
          </w:tcPr>
          <w:p>
            <w:pPr>
              <w:pStyle w:val="21"/>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jc w:val="center"/>
        </w:trPr>
        <w:tc>
          <w:tcPr>
            <w:tcW w:w="877" w:type="dxa"/>
            <w:noWrap w:val="0"/>
            <w:vAlign w:val="center"/>
          </w:tcPr>
          <w:p>
            <w:pPr>
              <w:pStyle w:val="21"/>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202" w:type="dxa"/>
            <w:noWrap w:val="0"/>
            <w:vAlign w:val="center"/>
          </w:tcPr>
          <w:p>
            <w:pPr>
              <w:pStyle w:val="21"/>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发票名目</w:t>
            </w:r>
          </w:p>
        </w:tc>
        <w:tc>
          <w:tcPr>
            <w:tcW w:w="1416" w:type="dxa"/>
            <w:noWrap w:val="0"/>
            <w:vAlign w:val="center"/>
          </w:tcPr>
          <w:p>
            <w:pPr>
              <w:pStyle w:val="21"/>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发票金额（单位：万元）</w:t>
            </w:r>
          </w:p>
        </w:tc>
        <w:tc>
          <w:tcPr>
            <w:tcW w:w="1274" w:type="dxa"/>
            <w:noWrap w:val="0"/>
            <w:vAlign w:val="center"/>
          </w:tcPr>
          <w:p>
            <w:pPr>
              <w:pStyle w:val="21"/>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发票号码</w:t>
            </w:r>
          </w:p>
        </w:tc>
        <w:tc>
          <w:tcPr>
            <w:tcW w:w="1558" w:type="dxa"/>
            <w:noWrap w:val="0"/>
            <w:vAlign w:val="center"/>
          </w:tcPr>
          <w:p>
            <w:pPr>
              <w:pStyle w:val="21"/>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发票所属时期</w:t>
            </w:r>
          </w:p>
        </w:tc>
        <w:tc>
          <w:tcPr>
            <w:tcW w:w="1241" w:type="dxa"/>
            <w:noWrap w:val="0"/>
            <w:vAlign w:val="center"/>
          </w:tcPr>
          <w:p>
            <w:pPr>
              <w:pStyle w:val="21"/>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1"/>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1</w:t>
            </w:r>
          </w:p>
        </w:tc>
        <w:tc>
          <w:tcPr>
            <w:tcW w:w="3202" w:type="dxa"/>
            <w:noWrap w:val="0"/>
            <w:vAlign w:val="center"/>
          </w:tcPr>
          <w:p>
            <w:pPr>
              <w:pStyle w:val="21"/>
              <w:snapToGrid w:val="0"/>
              <w:spacing w:line="360" w:lineRule="auto"/>
              <w:ind w:left="0" w:leftChars="0"/>
              <w:jc w:val="center"/>
              <w:rPr>
                <w:rFonts w:ascii="宋体" w:hAnsi="宋体"/>
                <w:color w:val="auto"/>
                <w:sz w:val="21"/>
                <w:szCs w:val="21"/>
                <w:highlight w:val="none"/>
              </w:rPr>
            </w:pPr>
          </w:p>
        </w:tc>
        <w:tc>
          <w:tcPr>
            <w:tcW w:w="1416" w:type="dxa"/>
            <w:noWrap w:val="0"/>
            <w:vAlign w:val="center"/>
          </w:tcPr>
          <w:p>
            <w:pPr>
              <w:pStyle w:val="21"/>
              <w:snapToGrid w:val="0"/>
              <w:spacing w:line="360" w:lineRule="auto"/>
              <w:ind w:left="0" w:leftChars="0"/>
              <w:jc w:val="center"/>
              <w:rPr>
                <w:rFonts w:ascii="宋体" w:hAnsi="宋体"/>
                <w:color w:val="auto"/>
                <w:sz w:val="21"/>
                <w:szCs w:val="21"/>
                <w:highlight w:val="none"/>
              </w:rPr>
            </w:pPr>
          </w:p>
        </w:tc>
        <w:tc>
          <w:tcPr>
            <w:tcW w:w="1274" w:type="dxa"/>
            <w:noWrap w:val="0"/>
            <w:vAlign w:val="center"/>
          </w:tcPr>
          <w:p>
            <w:pPr>
              <w:pStyle w:val="21"/>
              <w:snapToGrid w:val="0"/>
              <w:spacing w:line="360" w:lineRule="auto"/>
              <w:ind w:left="0" w:leftChars="0"/>
              <w:jc w:val="center"/>
              <w:rPr>
                <w:rFonts w:ascii="宋体" w:hAnsi="宋体"/>
                <w:color w:val="auto"/>
                <w:sz w:val="21"/>
                <w:szCs w:val="21"/>
                <w:highlight w:val="none"/>
              </w:rPr>
            </w:pPr>
          </w:p>
        </w:tc>
        <w:tc>
          <w:tcPr>
            <w:tcW w:w="1558" w:type="dxa"/>
            <w:noWrap w:val="0"/>
            <w:vAlign w:val="center"/>
          </w:tcPr>
          <w:p>
            <w:pPr>
              <w:pStyle w:val="21"/>
              <w:snapToGrid w:val="0"/>
              <w:spacing w:line="360" w:lineRule="auto"/>
              <w:ind w:left="0" w:leftChars="0"/>
              <w:jc w:val="center"/>
              <w:rPr>
                <w:rFonts w:ascii="宋体" w:hAnsi="宋体"/>
                <w:color w:val="auto"/>
                <w:sz w:val="21"/>
                <w:szCs w:val="21"/>
                <w:highlight w:val="none"/>
              </w:rPr>
            </w:pPr>
          </w:p>
        </w:tc>
        <w:tc>
          <w:tcPr>
            <w:tcW w:w="1241" w:type="dxa"/>
            <w:noWrap w:val="0"/>
            <w:vAlign w:val="center"/>
          </w:tcPr>
          <w:p>
            <w:pPr>
              <w:pStyle w:val="21"/>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1"/>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2</w:t>
            </w:r>
          </w:p>
        </w:tc>
        <w:tc>
          <w:tcPr>
            <w:tcW w:w="3202" w:type="dxa"/>
            <w:noWrap w:val="0"/>
            <w:vAlign w:val="center"/>
          </w:tcPr>
          <w:p>
            <w:pPr>
              <w:pStyle w:val="21"/>
              <w:snapToGrid w:val="0"/>
              <w:spacing w:line="360" w:lineRule="auto"/>
              <w:ind w:left="0" w:leftChars="0"/>
              <w:jc w:val="center"/>
              <w:rPr>
                <w:rFonts w:ascii="宋体" w:hAnsi="宋体"/>
                <w:color w:val="auto"/>
                <w:sz w:val="21"/>
                <w:szCs w:val="21"/>
                <w:highlight w:val="none"/>
              </w:rPr>
            </w:pPr>
          </w:p>
        </w:tc>
        <w:tc>
          <w:tcPr>
            <w:tcW w:w="1416" w:type="dxa"/>
            <w:noWrap w:val="0"/>
            <w:vAlign w:val="center"/>
          </w:tcPr>
          <w:p>
            <w:pPr>
              <w:pStyle w:val="21"/>
              <w:snapToGrid w:val="0"/>
              <w:spacing w:line="360" w:lineRule="auto"/>
              <w:ind w:left="0" w:leftChars="0"/>
              <w:jc w:val="center"/>
              <w:rPr>
                <w:rFonts w:ascii="宋体" w:hAnsi="宋体"/>
                <w:color w:val="auto"/>
                <w:sz w:val="21"/>
                <w:szCs w:val="21"/>
                <w:highlight w:val="none"/>
              </w:rPr>
            </w:pPr>
          </w:p>
        </w:tc>
        <w:tc>
          <w:tcPr>
            <w:tcW w:w="1274" w:type="dxa"/>
            <w:noWrap w:val="0"/>
            <w:vAlign w:val="center"/>
          </w:tcPr>
          <w:p>
            <w:pPr>
              <w:pStyle w:val="21"/>
              <w:snapToGrid w:val="0"/>
              <w:spacing w:line="360" w:lineRule="auto"/>
              <w:ind w:left="0" w:leftChars="0"/>
              <w:jc w:val="center"/>
              <w:rPr>
                <w:rFonts w:ascii="宋体" w:hAnsi="宋体"/>
                <w:color w:val="auto"/>
                <w:sz w:val="21"/>
                <w:szCs w:val="21"/>
                <w:highlight w:val="none"/>
              </w:rPr>
            </w:pPr>
          </w:p>
        </w:tc>
        <w:tc>
          <w:tcPr>
            <w:tcW w:w="1558" w:type="dxa"/>
            <w:noWrap w:val="0"/>
            <w:vAlign w:val="center"/>
          </w:tcPr>
          <w:p>
            <w:pPr>
              <w:pStyle w:val="21"/>
              <w:snapToGrid w:val="0"/>
              <w:spacing w:line="360" w:lineRule="auto"/>
              <w:ind w:left="0" w:leftChars="0"/>
              <w:jc w:val="center"/>
              <w:rPr>
                <w:rFonts w:ascii="宋体" w:hAnsi="宋体"/>
                <w:color w:val="auto"/>
                <w:sz w:val="21"/>
                <w:szCs w:val="21"/>
                <w:highlight w:val="none"/>
              </w:rPr>
            </w:pPr>
          </w:p>
        </w:tc>
        <w:tc>
          <w:tcPr>
            <w:tcW w:w="1241" w:type="dxa"/>
            <w:noWrap w:val="0"/>
            <w:vAlign w:val="center"/>
          </w:tcPr>
          <w:p>
            <w:pPr>
              <w:pStyle w:val="21"/>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1"/>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202" w:type="dxa"/>
            <w:noWrap w:val="0"/>
            <w:vAlign w:val="center"/>
          </w:tcPr>
          <w:p>
            <w:pPr>
              <w:pStyle w:val="21"/>
              <w:snapToGrid w:val="0"/>
              <w:spacing w:line="360" w:lineRule="auto"/>
              <w:ind w:left="0" w:leftChars="0"/>
              <w:jc w:val="center"/>
              <w:rPr>
                <w:rFonts w:ascii="宋体" w:hAnsi="宋体"/>
                <w:color w:val="auto"/>
                <w:sz w:val="21"/>
                <w:szCs w:val="21"/>
                <w:highlight w:val="none"/>
              </w:rPr>
            </w:pPr>
          </w:p>
        </w:tc>
        <w:tc>
          <w:tcPr>
            <w:tcW w:w="1416" w:type="dxa"/>
            <w:noWrap w:val="0"/>
            <w:vAlign w:val="center"/>
          </w:tcPr>
          <w:p>
            <w:pPr>
              <w:pStyle w:val="21"/>
              <w:snapToGrid w:val="0"/>
              <w:spacing w:line="360" w:lineRule="auto"/>
              <w:ind w:left="0" w:leftChars="0"/>
              <w:jc w:val="center"/>
              <w:rPr>
                <w:rFonts w:ascii="宋体" w:hAnsi="宋体"/>
                <w:color w:val="auto"/>
                <w:sz w:val="21"/>
                <w:szCs w:val="21"/>
                <w:highlight w:val="none"/>
              </w:rPr>
            </w:pPr>
          </w:p>
        </w:tc>
        <w:tc>
          <w:tcPr>
            <w:tcW w:w="1274" w:type="dxa"/>
            <w:noWrap w:val="0"/>
            <w:vAlign w:val="center"/>
          </w:tcPr>
          <w:p>
            <w:pPr>
              <w:pStyle w:val="21"/>
              <w:snapToGrid w:val="0"/>
              <w:spacing w:line="360" w:lineRule="auto"/>
              <w:ind w:left="0" w:leftChars="0"/>
              <w:jc w:val="center"/>
              <w:rPr>
                <w:rFonts w:ascii="宋体" w:hAnsi="宋体"/>
                <w:color w:val="auto"/>
                <w:sz w:val="21"/>
                <w:szCs w:val="21"/>
                <w:highlight w:val="none"/>
              </w:rPr>
            </w:pPr>
          </w:p>
        </w:tc>
        <w:tc>
          <w:tcPr>
            <w:tcW w:w="1558" w:type="dxa"/>
            <w:noWrap w:val="0"/>
            <w:vAlign w:val="center"/>
          </w:tcPr>
          <w:p>
            <w:pPr>
              <w:pStyle w:val="21"/>
              <w:snapToGrid w:val="0"/>
              <w:spacing w:line="360" w:lineRule="auto"/>
              <w:ind w:left="0" w:leftChars="0"/>
              <w:jc w:val="center"/>
              <w:rPr>
                <w:rFonts w:ascii="宋体" w:hAnsi="宋体"/>
                <w:color w:val="auto"/>
                <w:sz w:val="21"/>
                <w:szCs w:val="21"/>
                <w:highlight w:val="none"/>
              </w:rPr>
            </w:pPr>
          </w:p>
        </w:tc>
        <w:tc>
          <w:tcPr>
            <w:tcW w:w="1241" w:type="dxa"/>
            <w:noWrap w:val="0"/>
            <w:vAlign w:val="center"/>
          </w:tcPr>
          <w:p>
            <w:pPr>
              <w:pStyle w:val="21"/>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1"/>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w:t>
            </w:r>
          </w:p>
        </w:tc>
        <w:tc>
          <w:tcPr>
            <w:tcW w:w="3202" w:type="dxa"/>
            <w:noWrap w:val="0"/>
            <w:vAlign w:val="center"/>
          </w:tcPr>
          <w:p>
            <w:pPr>
              <w:pStyle w:val="21"/>
              <w:snapToGrid w:val="0"/>
              <w:spacing w:line="360" w:lineRule="auto"/>
              <w:ind w:left="0" w:leftChars="0"/>
              <w:jc w:val="center"/>
              <w:rPr>
                <w:rFonts w:ascii="宋体" w:hAnsi="宋体"/>
                <w:color w:val="auto"/>
                <w:sz w:val="21"/>
                <w:szCs w:val="21"/>
                <w:highlight w:val="none"/>
              </w:rPr>
            </w:pPr>
          </w:p>
        </w:tc>
        <w:tc>
          <w:tcPr>
            <w:tcW w:w="1416" w:type="dxa"/>
            <w:noWrap w:val="0"/>
            <w:vAlign w:val="center"/>
          </w:tcPr>
          <w:p>
            <w:pPr>
              <w:pStyle w:val="21"/>
              <w:snapToGrid w:val="0"/>
              <w:spacing w:line="360" w:lineRule="auto"/>
              <w:ind w:left="0" w:leftChars="0"/>
              <w:jc w:val="center"/>
              <w:rPr>
                <w:rFonts w:ascii="宋体" w:hAnsi="宋体"/>
                <w:color w:val="auto"/>
                <w:sz w:val="21"/>
                <w:szCs w:val="21"/>
                <w:highlight w:val="none"/>
              </w:rPr>
            </w:pPr>
          </w:p>
        </w:tc>
        <w:tc>
          <w:tcPr>
            <w:tcW w:w="1274" w:type="dxa"/>
            <w:noWrap w:val="0"/>
            <w:vAlign w:val="center"/>
          </w:tcPr>
          <w:p>
            <w:pPr>
              <w:pStyle w:val="21"/>
              <w:snapToGrid w:val="0"/>
              <w:spacing w:line="360" w:lineRule="auto"/>
              <w:ind w:left="0" w:leftChars="0"/>
              <w:jc w:val="center"/>
              <w:rPr>
                <w:rFonts w:ascii="宋体" w:hAnsi="宋体"/>
                <w:color w:val="auto"/>
                <w:sz w:val="21"/>
                <w:szCs w:val="21"/>
                <w:highlight w:val="none"/>
              </w:rPr>
            </w:pPr>
          </w:p>
        </w:tc>
        <w:tc>
          <w:tcPr>
            <w:tcW w:w="1558" w:type="dxa"/>
            <w:noWrap w:val="0"/>
            <w:vAlign w:val="center"/>
          </w:tcPr>
          <w:p>
            <w:pPr>
              <w:pStyle w:val="21"/>
              <w:snapToGrid w:val="0"/>
              <w:spacing w:line="360" w:lineRule="auto"/>
              <w:ind w:left="0" w:leftChars="0"/>
              <w:jc w:val="center"/>
              <w:rPr>
                <w:rFonts w:ascii="宋体" w:hAnsi="宋体"/>
                <w:color w:val="auto"/>
                <w:sz w:val="21"/>
                <w:szCs w:val="21"/>
                <w:highlight w:val="none"/>
              </w:rPr>
            </w:pPr>
          </w:p>
        </w:tc>
        <w:tc>
          <w:tcPr>
            <w:tcW w:w="1241" w:type="dxa"/>
            <w:noWrap w:val="0"/>
            <w:vAlign w:val="center"/>
          </w:tcPr>
          <w:p>
            <w:pPr>
              <w:pStyle w:val="21"/>
              <w:snapToGrid w:val="0"/>
              <w:spacing w:line="360" w:lineRule="auto"/>
              <w:ind w:left="0" w:leftChars="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079" w:type="dxa"/>
            <w:gridSpan w:val="2"/>
            <w:noWrap w:val="0"/>
            <w:vAlign w:val="center"/>
          </w:tcPr>
          <w:p>
            <w:pPr>
              <w:pStyle w:val="21"/>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发票金额合计（单位：万元）</w:t>
            </w:r>
          </w:p>
        </w:tc>
        <w:tc>
          <w:tcPr>
            <w:tcW w:w="5489" w:type="dxa"/>
            <w:gridSpan w:val="4"/>
            <w:noWrap w:val="0"/>
            <w:vAlign w:val="center"/>
          </w:tcPr>
          <w:p>
            <w:pPr>
              <w:pStyle w:val="21"/>
              <w:snapToGrid w:val="0"/>
              <w:spacing w:line="360" w:lineRule="auto"/>
              <w:ind w:left="0" w:leftChars="0"/>
              <w:jc w:val="center"/>
              <w:rPr>
                <w:rFonts w:ascii="宋体" w:hAnsi="宋体"/>
                <w:color w:val="auto"/>
                <w:sz w:val="21"/>
                <w:szCs w:val="21"/>
                <w:highlight w:val="none"/>
              </w:rPr>
            </w:pPr>
          </w:p>
        </w:tc>
      </w:tr>
    </w:tbl>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21"/>
          <w:szCs w:val="21"/>
          <w:highlight w:val="none"/>
          <w:lang w:val="en-US" w:eastAsia="zh-CN"/>
        </w:rPr>
      </w:pPr>
    </w:p>
    <w:p>
      <w:pPr>
        <w:snapToGrid w:val="0"/>
        <w:spacing w:line="360" w:lineRule="auto"/>
        <w:ind w:left="491" w:leftChars="-57" w:hanging="611" w:hangingChars="291"/>
        <w:rPr>
          <w:rFonts w:hint="eastAsia" w:ascii="宋体" w:hAnsi="宋体" w:eastAsia="宋体" w:cs="宋体"/>
          <w:color w:val="auto"/>
          <w:sz w:val="21"/>
          <w:szCs w:val="21"/>
          <w:highlight w:val="none"/>
        </w:rPr>
      </w:pPr>
      <w:bookmarkStart w:id="889" w:name="_Toc4459"/>
      <w:bookmarkStart w:id="890" w:name="_Toc12355"/>
      <w:bookmarkStart w:id="891" w:name="_Toc6076"/>
      <w:bookmarkStart w:id="892" w:name="_Toc1843"/>
      <w:r>
        <w:rPr>
          <w:rFonts w:hint="eastAsia" w:ascii="宋体" w:hAnsi="宋体" w:eastAsia="宋体" w:cs="宋体"/>
          <w:color w:val="auto"/>
          <w:sz w:val="21"/>
          <w:szCs w:val="21"/>
          <w:highlight w:val="none"/>
        </w:rPr>
        <w:t>备注：</w:t>
      </w:r>
    </w:p>
    <w:p>
      <w:pPr>
        <w:snapToGrid w:val="0"/>
        <w:spacing w:line="360" w:lineRule="auto"/>
        <w:ind w:left="628" w:leftChars="59" w:hanging="504" w:hangingChars="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（1）投标人提供框架式协议或资格入围无明确金额的合同时，须同时提供本统计表及供货发票复印件，本统计表及供货发票复印件应后附于合同复印件；</w:t>
      </w:r>
    </w:p>
    <w:p>
      <w:pPr>
        <w:snapToGrid w:val="0"/>
        <w:spacing w:line="360" w:lineRule="auto"/>
        <w:ind w:left="628" w:leftChars="59" w:hanging="504" w:hangingChars="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（2）发票抬头应为合同买方，收款人应为投标人，且发票名目、所属时期应与合同约定内容一致，否则不计分。</w:t>
      </w:r>
    </w:p>
    <w:p>
      <w:pPr>
        <w:autoSpaceDE/>
        <w:autoSpaceDN/>
        <w:adjustRightInd/>
        <w:snapToGrid w:val="0"/>
        <w:spacing w:line="360" w:lineRule="auto"/>
        <w:ind w:left="548" w:leftChars="59" w:hanging="424" w:hangingChars="20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（3）发票合计金额视为投标人所提供该项供货业绩的供货金额，并按此金额进行评审。</w:t>
      </w:r>
      <w:bookmarkEnd w:id="889"/>
      <w:bookmarkEnd w:id="890"/>
      <w:bookmarkEnd w:id="891"/>
      <w:bookmarkEnd w:id="892"/>
    </w:p>
    <w:p>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884"/>
    <w:bookmarkEnd w:id="885"/>
    <w:p>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893" w:name="_Toc102860427"/>
      <w:bookmarkStart w:id="894" w:name="_Toc533708132"/>
      <w:bookmarkStart w:id="895" w:name="_Toc4168"/>
      <w:bookmarkStart w:id="896" w:name="_Toc140596938"/>
      <w:bookmarkStart w:id="897" w:name="_Toc1977737"/>
      <w:bookmarkStart w:id="898" w:name="_Toc104991885"/>
      <w:bookmarkStart w:id="899" w:name="_Toc9649"/>
      <w:bookmarkStart w:id="900" w:name="_Toc486167719"/>
      <w:bookmarkStart w:id="901" w:name="_Toc94107220"/>
      <w:bookmarkStart w:id="902" w:name="_Toc142508378"/>
      <w:bookmarkStart w:id="903" w:name="_Toc18175_WPSOffice_Level2"/>
      <w:bookmarkStart w:id="904" w:name="_Toc1258"/>
      <w:bookmarkStart w:id="905" w:name="_Toc102860083"/>
      <w:bookmarkStart w:id="906" w:name="_Toc13822"/>
      <w:bookmarkStart w:id="907" w:name="_Toc9853"/>
      <w:bookmarkStart w:id="908" w:name="_Toc11745"/>
      <w:r>
        <w:rPr>
          <w:rFonts w:hint="eastAsia" w:ascii="宋体" w:hAnsi="宋体" w:eastAsia="宋体" w:cs="宋体"/>
          <w:b/>
          <w:bCs/>
          <w:color w:val="auto"/>
          <w:kern w:val="0"/>
          <w:sz w:val="32"/>
          <w:szCs w:val="32"/>
          <w:highlight w:val="none"/>
          <w:lang w:val="zh-CN"/>
        </w:rPr>
        <w:t>十、投标保证金汇入情况说明</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pPr>
        <w:autoSpaceDE w:val="0"/>
        <w:autoSpaceDN w:val="0"/>
        <w:adjustRightInd w:val="0"/>
        <w:spacing w:line="360" w:lineRule="auto"/>
        <w:jc w:val="left"/>
        <w:rPr>
          <w:rFonts w:ascii="宋体" w:hAnsi="宋体" w:eastAsia="宋体" w:cs="宋体"/>
          <w:color w:val="auto"/>
          <w:szCs w:val="24"/>
          <w:highlight w:val="none"/>
        </w:rPr>
      </w:pPr>
    </w:p>
    <w:p>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909" w:name="_Toc31832_WPSOffice_Level3"/>
      <w:r>
        <w:rPr>
          <w:rFonts w:hint="eastAsia" w:ascii="宋体" w:hAnsi="宋体" w:eastAsia="宋体" w:cs="宋体"/>
          <w:b/>
          <w:bCs/>
          <w:color w:val="auto"/>
          <w:kern w:val="0"/>
          <w:sz w:val="24"/>
          <w:szCs w:val="24"/>
          <w:highlight w:val="none"/>
        </w:rPr>
        <w:t>投标保证金汇入情况说明</w:t>
      </w:r>
      <w:bookmarkEnd w:id="909"/>
    </w:p>
    <w:p>
      <w:pPr>
        <w:autoSpaceDE w:val="0"/>
        <w:autoSpaceDN w:val="0"/>
        <w:adjustRightInd w:val="0"/>
        <w:spacing w:line="360" w:lineRule="auto"/>
        <w:jc w:val="center"/>
        <w:rPr>
          <w:rFonts w:ascii="宋体" w:hAnsi="宋体" w:eastAsia="宋体" w:cs="宋体"/>
          <w:b/>
          <w:bCs/>
          <w:color w:val="auto"/>
          <w:kern w:val="0"/>
          <w:szCs w:val="24"/>
          <w:highlight w:val="none"/>
        </w:rPr>
      </w:pP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东莞市水务集团供水有限公司</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东莞市水务集团供水有限公司抢修器采购项目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0832-SFCX25DG010A</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rPr>
          <w:rFonts w:ascii="宋体" w:hAnsi="宋体" w:eastAsia="宋体" w:cs="宋体"/>
          <w:b/>
          <w:bCs/>
          <w:color w:val="auto"/>
          <w:szCs w:val="21"/>
          <w:highlight w:val="none"/>
        </w:rPr>
      </w:pPr>
      <w:bookmarkStart w:id="910" w:name="_Toc26208_WPSOffice_Level3"/>
      <w:r>
        <w:rPr>
          <w:rFonts w:hint="eastAsia" w:ascii="宋体" w:hAnsi="宋体" w:eastAsia="宋体" w:cs="宋体"/>
          <w:b/>
          <w:bCs/>
          <w:color w:val="auto"/>
          <w:szCs w:val="21"/>
          <w:highlight w:val="none"/>
        </w:rPr>
        <w:t>附：1、我方投标保证金汇款凭证（复印件）</w:t>
      </w:r>
      <w:bookmarkEnd w:id="910"/>
    </w:p>
    <w:p>
      <w:pPr>
        <w:spacing w:line="360" w:lineRule="auto"/>
        <w:ind w:left="340" w:leftChars="162" w:firstLine="839" w:firstLineChars="398"/>
        <w:rPr>
          <w:rFonts w:ascii="宋体" w:hAnsi="宋体" w:eastAsia="宋体" w:cs="宋体"/>
          <w:b/>
          <w:bCs/>
          <w:color w:val="auto"/>
          <w:szCs w:val="21"/>
          <w:highlight w:val="none"/>
        </w:rPr>
      </w:pPr>
      <w:bookmarkStart w:id="911" w:name="_Toc12992_WPSOffice_Level3"/>
      <w:r>
        <w:rPr>
          <w:rFonts w:hint="eastAsia" w:ascii="宋体" w:hAnsi="宋体" w:eastAsia="宋体" w:cs="宋体"/>
          <w:b/>
          <w:bCs/>
          <w:color w:val="auto"/>
          <w:szCs w:val="21"/>
          <w:highlight w:val="none"/>
        </w:rPr>
        <w:t>2、我方基本账户开户许可证（复印件）</w:t>
      </w:r>
      <w:bookmarkEnd w:id="911"/>
    </w:p>
    <w:p>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pPr>
        <w:spacing w:line="360" w:lineRule="auto"/>
        <w:ind w:firstLine="424" w:firstLineChars="202"/>
        <w:rPr>
          <w:rFonts w:ascii="宋体" w:hAnsi="宋体" w:eastAsia="宋体" w:cs="宋体"/>
          <w:color w:val="auto"/>
          <w:szCs w:val="24"/>
          <w:highlight w:val="none"/>
        </w:rPr>
      </w:pPr>
      <w:bookmarkStart w:id="912" w:name="_Toc486167721"/>
    </w:p>
    <w:p>
      <w:pPr>
        <w:spacing w:line="360" w:lineRule="auto"/>
        <w:ind w:firstLine="424" w:firstLineChars="202"/>
        <w:rPr>
          <w:rFonts w:ascii="宋体" w:hAnsi="宋体" w:eastAsia="宋体" w:cs="宋体"/>
          <w:color w:val="auto"/>
          <w:szCs w:val="24"/>
          <w:highlight w:val="none"/>
        </w:rPr>
      </w:pPr>
      <w:bookmarkStart w:id="913" w:name="_Toc533708134"/>
    </w:p>
    <w:p>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pgNumType w:fmt="decimal"/>
          <w:cols w:space="720" w:num="1"/>
          <w:titlePg/>
          <w:docGrid w:linePitch="326" w:charSpace="0"/>
        </w:sectPr>
      </w:pPr>
      <w:bookmarkStart w:id="914" w:name="_Toc102860428"/>
      <w:bookmarkStart w:id="915" w:name="_Toc142508379"/>
      <w:bookmarkStart w:id="916" w:name="_Toc24135"/>
      <w:bookmarkStart w:id="917" w:name="_Toc104991886"/>
      <w:bookmarkStart w:id="918" w:name="_Toc140596939"/>
      <w:bookmarkStart w:id="919" w:name="_Toc28983"/>
      <w:bookmarkStart w:id="920" w:name="_Toc94107221"/>
      <w:bookmarkStart w:id="921" w:name="_Toc18032"/>
      <w:bookmarkStart w:id="922" w:name="_Toc102860084"/>
      <w:bookmarkStart w:id="923" w:name="_Toc30738"/>
      <w:bookmarkStart w:id="924" w:name="_Toc16292"/>
      <w:bookmarkStart w:id="925" w:name="_Toc1977738"/>
      <w:bookmarkStart w:id="926" w:name="_Toc30874"/>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lang w:val="en-US" w:eastAsia="zh-CN"/>
        </w:rPr>
        <w:t>及有关</w:t>
      </w:r>
      <w:r>
        <w:rPr>
          <w:rFonts w:hint="eastAsia" w:ascii="宋体" w:hAnsi="宋体" w:eastAsia="宋体" w:cs="宋体"/>
          <w:b/>
          <w:bCs/>
          <w:color w:val="auto"/>
          <w:kern w:val="0"/>
          <w:sz w:val="32"/>
          <w:szCs w:val="32"/>
          <w:highlight w:val="none"/>
          <w:lang w:val="zh-CN"/>
        </w:rPr>
        <w:t>服务能力的有关其它商务文件（不</w:t>
      </w:r>
      <w:r>
        <w:rPr>
          <w:rFonts w:hint="eastAsia" w:ascii="宋体" w:hAnsi="宋体" w:eastAsia="宋体" w:cs="宋体"/>
          <w:b/>
          <w:bCs/>
          <w:color w:val="auto"/>
          <w:kern w:val="0"/>
          <w:sz w:val="32"/>
          <w:szCs w:val="32"/>
          <w:highlight w:val="none"/>
          <w:lang w:val="en-US" w:eastAsia="zh-CN"/>
        </w:rPr>
        <w:t>作</w:t>
      </w:r>
      <w:r>
        <w:rPr>
          <w:rFonts w:hint="eastAsia" w:ascii="宋体" w:hAnsi="宋体" w:eastAsia="宋体" w:cs="宋体"/>
          <w:b/>
          <w:bCs/>
          <w:color w:val="auto"/>
          <w:kern w:val="0"/>
          <w:sz w:val="32"/>
          <w:szCs w:val="32"/>
          <w:highlight w:val="none"/>
          <w:lang w:val="zh-CN"/>
        </w:rPr>
        <w:t>强制要求）</w:t>
      </w:r>
      <w:bookmarkEnd w:id="914"/>
      <w:bookmarkEnd w:id="915"/>
      <w:bookmarkEnd w:id="916"/>
      <w:bookmarkEnd w:id="917"/>
      <w:bookmarkEnd w:id="918"/>
      <w:bookmarkEnd w:id="919"/>
      <w:bookmarkEnd w:id="920"/>
      <w:bookmarkEnd w:id="921"/>
      <w:bookmarkEnd w:id="922"/>
      <w:bookmarkEnd w:id="923"/>
      <w:bookmarkEnd w:id="924"/>
      <w:bookmarkEnd w:id="925"/>
      <w:bookmarkEnd w:id="926"/>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927" w:name="_Toc14341"/>
      <w:bookmarkStart w:id="928" w:name="_Toc104991887"/>
      <w:bookmarkStart w:id="929" w:name="_Toc140596940"/>
      <w:bookmarkStart w:id="930" w:name="_Toc9447"/>
      <w:bookmarkStart w:id="931" w:name="_Toc102860085"/>
      <w:bookmarkStart w:id="932" w:name="_Toc102860429"/>
      <w:bookmarkStart w:id="933" w:name="_Toc32518"/>
      <w:bookmarkStart w:id="934" w:name="_Toc15051"/>
      <w:bookmarkStart w:id="935" w:name="_Toc10137"/>
      <w:bookmarkStart w:id="936" w:name="_Toc94107222"/>
      <w:bookmarkStart w:id="937" w:name="_Toc1977739"/>
      <w:bookmarkStart w:id="938" w:name="_Toc2276"/>
      <w:bookmarkStart w:id="939" w:name="_Toc142508380"/>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913"/>
      <w:bookmarkEnd w:id="927"/>
      <w:bookmarkEnd w:id="928"/>
      <w:bookmarkEnd w:id="929"/>
      <w:bookmarkEnd w:id="930"/>
      <w:bookmarkEnd w:id="931"/>
      <w:bookmarkEnd w:id="932"/>
      <w:bookmarkEnd w:id="933"/>
      <w:bookmarkEnd w:id="934"/>
      <w:bookmarkEnd w:id="935"/>
      <w:bookmarkEnd w:id="936"/>
      <w:bookmarkEnd w:id="937"/>
      <w:bookmarkEnd w:id="938"/>
      <w:bookmarkEnd w:id="939"/>
    </w:p>
    <w:p>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供货货物清单表；</w:t>
      </w:r>
    </w:p>
    <w:p>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3、所投货物性能质量；</w:t>
      </w:r>
    </w:p>
    <w:p>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4、货物质量保障能力；</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售后服务响应、紧急供货时间承诺</w:t>
      </w:r>
      <w:r>
        <w:rPr>
          <w:rFonts w:hint="eastAsia" w:ascii="宋体" w:hAnsi="宋体" w:eastAsia="宋体" w:cs="宋体"/>
          <w:color w:val="auto"/>
          <w:kern w:val="0"/>
          <w:szCs w:val="21"/>
          <w:highlight w:val="none"/>
        </w:rPr>
        <w:t>；</w:t>
      </w:r>
    </w:p>
    <w:p>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6、投标人所供抢修器(别称：哈夫节)具有有效的省级以上(含省级)卫生行政主管部门颁发的《涉及饮用水卫生安全产品卫生许可批件》复印件</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w:t>
      </w:r>
      <w:r>
        <w:rPr>
          <w:rFonts w:hint="default" w:ascii="宋体" w:hAnsi="宋体" w:eastAsia="宋体" w:cs="宋体"/>
          <w:color w:val="auto"/>
          <w:kern w:val="0"/>
          <w:szCs w:val="21"/>
          <w:highlight w:val="none"/>
          <w:lang w:val="en-US"/>
        </w:rPr>
        <w:t>其它</w:t>
      </w:r>
      <w:r>
        <w:rPr>
          <w:rFonts w:hint="eastAsia" w:ascii="宋体" w:hAnsi="宋体" w:eastAsia="宋体" w:cs="宋体"/>
          <w:color w:val="auto"/>
          <w:kern w:val="0"/>
          <w:szCs w:val="21"/>
          <w:highlight w:val="none"/>
        </w:rPr>
        <w:t>材料（不</w:t>
      </w:r>
      <w:r>
        <w:rPr>
          <w:rFonts w:hint="eastAsia" w:ascii="宋体" w:hAnsi="宋体" w:eastAsia="宋体" w:cs="宋体"/>
          <w:color w:val="auto"/>
          <w:kern w:val="0"/>
          <w:szCs w:val="21"/>
          <w:highlight w:val="none"/>
          <w:lang w:val="en-US" w:eastAsia="zh-CN"/>
        </w:rPr>
        <w:t>作</w:t>
      </w:r>
      <w:r>
        <w:rPr>
          <w:rFonts w:hint="eastAsia" w:ascii="宋体" w:hAnsi="宋体" w:eastAsia="宋体" w:cs="宋体"/>
          <w:color w:val="auto"/>
          <w:kern w:val="0"/>
          <w:szCs w:val="21"/>
          <w:highlight w:val="none"/>
        </w:rPr>
        <w:t>强制要求）。</w:t>
      </w:r>
    </w:p>
    <w:p>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pPr>
        <w:pStyle w:val="21"/>
        <w:spacing w:line="360" w:lineRule="auto"/>
        <w:jc w:val="center"/>
        <w:rPr>
          <w:rFonts w:hint="eastAsia" w:ascii="宋体" w:hAnsi="宋体" w:eastAsia="宋体" w:cs="宋体"/>
          <w:color w:val="auto"/>
          <w:sz w:val="84"/>
          <w:highlight w:val="none"/>
        </w:rPr>
      </w:pPr>
    </w:p>
    <w:p>
      <w:pPr>
        <w:pStyle w:val="21"/>
        <w:spacing w:line="360" w:lineRule="auto"/>
        <w:jc w:val="center"/>
        <w:rPr>
          <w:rFonts w:hint="eastAsia" w:ascii="宋体" w:hAnsi="宋体" w:eastAsia="宋体" w:cs="宋体"/>
          <w:color w:val="auto"/>
          <w:sz w:val="84"/>
          <w:highlight w:val="none"/>
        </w:rPr>
      </w:pPr>
    </w:p>
    <w:p>
      <w:pPr>
        <w:pStyle w:val="21"/>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1"/>
        <w:spacing w:line="360" w:lineRule="auto"/>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rPr>
      </w:pPr>
    </w:p>
    <w:p>
      <w:pPr>
        <w:pStyle w:val="21"/>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1"/>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1"/>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pPr>
        <w:pStyle w:val="21"/>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1"/>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1"/>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1"/>
        <w:spacing w:line="360" w:lineRule="auto"/>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1"/>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861" w:type="pct"/>
            <w:vAlign w:val="center"/>
          </w:tcPr>
          <w:p>
            <w:pP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912"/>
      <w:bookmarkStart w:id="940" w:name="_Toc30209"/>
      <w:bookmarkStart w:id="941" w:name="_Toc94107223"/>
      <w:bookmarkStart w:id="942" w:name="_Toc1977740"/>
      <w:bookmarkStart w:id="943" w:name="_Toc12047"/>
      <w:bookmarkStart w:id="944" w:name="_Toc104991888"/>
      <w:bookmarkStart w:id="945" w:name="_Toc102860430"/>
      <w:bookmarkStart w:id="946" w:name="_Toc1558"/>
      <w:bookmarkStart w:id="947" w:name="_Toc21035"/>
      <w:bookmarkStart w:id="948" w:name="_Toc102860086"/>
      <w:bookmarkStart w:id="949" w:name="_Toc142508381"/>
      <w:bookmarkStart w:id="950" w:name="_Toc8397"/>
      <w:bookmarkStart w:id="951" w:name="_Toc533708135"/>
      <w:bookmarkStart w:id="952" w:name="_Toc140596941"/>
      <w:bookmarkStart w:id="953" w:name="_Toc20630"/>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pPr>
        <w:spacing w:before="120" w:after="120" w:line="360" w:lineRule="auto"/>
        <w:jc w:val="center"/>
        <w:rPr>
          <w:rFonts w:ascii="宋体" w:hAnsi="宋体" w:eastAsia="宋体" w:cs="Times New Roman"/>
          <w:color w:val="auto"/>
          <w:kern w:val="0"/>
          <w:szCs w:val="21"/>
          <w:highlight w:val="none"/>
        </w:rPr>
      </w:pPr>
      <w:bookmarkStart w:id="954" w:name="_Toc17449_WPSOffice_Level3"/>
      <w:r>
        <w:rPr>
          <w:rFonts w:hint="eastAsia" w:ascii="宋体" w:hAnsi="宋体" w:eastAsia="宋体" w:cs="宋体"/>
          <w:b/>
          <w:color w:val="auto"/>
          <w:kern w:val="0"/>
          <w:sz w:val="30"/>
          <w:szCs w:val="30"/>
          <w:highlight w:val="none"/>
          <w:lang w:val="zh-CN"/>
        </w:rPr>
        <w:t>用户需求偏离表</w:t>
      </w:r>
      <w:bookmarkEnd w:id="954"/>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
        <w:gridCol w:w="388"/>
        <w:gridCol w:w="7362"/>
        <w:gridCol w:w="760"/>
        <w:gridCol w:w="77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3" w:type="pct"/>
            <w:vMerge w:val="restar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736" w:type="pct"/>
            <w:gridSpan w:val="2"/>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09" w:type="pct"/>
            <w:gridSpan w:val="3"/>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3" w:type="pct"/>
            <w:vMerge w:val="continue"/>
            <w:vAlign w:val="center"/>
          </w:tcPr>
          <w:p>
            <w:pPr>
              <w:keepNext/>
              <w:keepLines/>
              <w:spacing w:line="400" w:lineRule="exact"/>
              <w:jc w:val="center"/>
              <w:outlineLvl w:val="0"/>
              <w:rPr>
                <w:rFonts w:ascii="宋体" w:hAnsi="宋体" w:eastAsia="宋体" w:cs="宋体"/>
                <w:color w:val="auto"/>
                <w:kern w:val="0"/>
                <w:sz w:val="18"/>
                <w:szCs w:val="18"/>
                <w:highlight w:val="none"/>
              </w:rPr>
            </w:pPr>
          </w:p>
        </w:tc>
        <w:tc>
          <w:tcPr>
            <w:tcW w:w="187"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549"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66"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371"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71"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jc w:val="center"/>
        </w:trPr>
        <w:tc>
          <w:tcPr>
            <w:tcW w:w="15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187"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二</w:t>
            </w:r>
          </w:p>
        </w:tc>
        <w:tc>
          <w:tcPr>
            <w:tcW w:w="3549" w:type="pct"/>
            <w:vAlign w:val="center"/>
          </w:tcPr>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二、采购服务的范围</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（一）服务内容</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中标人负责按招标人要求，按时按质提供合格且符合要求的供水管网维护维修材料，以及负责因材料质量问题导致的损失。</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（二）服务期：自合同签订生效之日起一年。</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（三）供货类型及数量</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1.暂定采购数量：供水管道维护维修抢修器以及相应必须的辅材配件材料用量约 9912件（共239类）。</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2.本次采购数量为暂定数量，仅为便于计算暂定合同价使用，不作为招标人最终采购数量的保证。实际需求数量以招标人具体供货通知为准，按实结算。综合单价不随数量的变化而增减。</w:t>
            </w:r>
            <w:r>
              <w:rPr>
                <w:rFonts w:hint="eastAsia" w:ascii="宋体" w:hAnsi="宋体" w:eastAsia="宋体" w:cs="Times New Roman"/>
                <w:b w:val="0"/>
                <w:bCs/>
                <w:color w:val="auto"/>
                <w:sz w:val="18"/>
                <w:szCs w:val="18"/>
                <w:highlight w:val="none"/>
                <w:lang w:val="en-US" w:eastAsia="zh-CN"/>
              </w:rPr>
              <w:t>中标人</w:t>
            </w:r>
            <w:r>
              <w:rPr>
                <w:rFonts w:hint="default" w:ascii="宋体" w:hAnsi="宋体" w:eastAsia="宋体" w:cs="Times New Roman"/>
                <w:b w:val="0"/>
                <w:bCs/>
                <w:color w:val="auto"/>
                <w:sz w:val="18"/>
                <w:szCs w:val="18"/>
                <w:highlight w:val="none"/>
                <w:lang w:val="en-US" w:eastAsia="zh-CN"/>
              </w:rPr>
              <w:t>不得因招标人实际采购数量的减少或增加而要求提供任何形式的补偿或赔偿，或者要求招标人按暂定数量采购相应货物。合同履约过程中，如招标人在本项目货物清单范围内有新增需要供货的，按不含税中标综合单价按实结算。</w:t>
            </w:r>
          </w:p>
        </w:tc>
        <w:tc>
          <w:tcPr>
            <w:tcW w:w="366"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71"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71"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187"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三</w:t>
            </w:r>
          </w:p>
        </w:tc>
        <w:tc>
          <w:tcPr>
            <w:tcW w:w="3549" w:type="pct"/>
            <w:vAlign w:val="center"/>
          </w:tcPr>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三、货物技术要求</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中标人提供的抢修器以及相应必须的辅材配件等产品，应满足或高于以下技术要求的规定。</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★1.投标人所供抢修器（别称：哈夫节）具有有效的</w:t>
            </w:r>
            <w:r>
              <w:rPr>
                <w:rFonts w:hint="eastAsia" w:ascii="宋体" w:hAnsi="宋体" w:eastAsia="宋体" w:cs="Times New Roman"/>
                <w:b w:val="0"/>
                <w:bCs/>
                <w:color w:val="auto"/>
                <w:sz w:val="18"/>
                <w:szCs w:val="18"/>
                <w:highlight w:val="none"/>
                <w:lang w:val="en-US" w:eastAsia="zh-CN"/>
              </w:rPr>
              <w:t>省</w:t>
            </w:r>
            <w:r>
              <w:rPr>
                <w:rFonts w:hint="default" w:ascii="宋体" w:hAnsi="宋体" w:eastAsia="宋体" w:cs="Times New Roman"/>
                <w:b w:val="0"/>
                <w:bCs/>
                <w:color w:val="auto"/>
                <w:sz w:val="18"/>
                <w:szCs w:val="18"/>
                <w:highlight w:val="none"/>
                <w:lang w:val="en-US" w:eastAsia="zh-CN"/>
              </w:rPr>
              <w:t>级以上(含</w:t>
            </w:r>
            <w:r>
              <w:rPr>
                <w:rFonts w:hint="eastAsia" w:ascii="宋体" w:hAnsi="宋体" w:eastAsia="宋体" w:cs="Times New Roman"/>
                <w:b w:val="0"/>
                <w:bCs/>
                <w:color w:val="auto"/>
                <w:sz w:val="18"/>
                <w:szCs w:val="18"/>
                <w:highlight w:val="none"/>
                <w:lang w:val="en-US" w:eastAsia="zh-CN"/>
              </w:rPr>
              <w:t>省</w:t>
            </w:r>
            <w:r>
              <w:rPr>
                <w:rFonts w:hint="default" w:ascii="宋体" w:hAnsi="宋体" w:eastAsia="宋体" w:cs="Times New Roman"/>
                <w:b w:val="0"/>
                <w:bCs/>
                <w:color w:val="auto"/>
                <w:sz w:val="18"/>
                <w:szCs w:val="18"/>
                <w:highlight w:val="none"/>
                <w:lang w:val="en-US" w:eastAsia="zh-CN"/>
              </w:rPr>
              <w:t>级)卫生行政主管部门颁发的《涉及饮用水卫生安全产品卫生许可批件》</w:t>
            </w:r>
            <w:r>
              <w:rPr>
                <w:rFonts w:hint="eastAsia" w:ascii="宋体" w:hAnsi="宋体" w:eastAsia="宋体" w:cs="Times New Roman"/>
                <w:b w:val="0"/>
                <w:bCs/>
                <w:color w:val="auto"/>
                <w:sz w:val="18"/>
                <w:szCs w:val="18"/>
                <w:highlight w:val="none"/>
                <w:lang w:val="en-US" w:eastAsia="zh-CN"/>
              </w:rPr>
              <w:t>复印件</w:t>
            </w:r>
            <w:r>
              <w:rPr>
                <w:rFonts w:hint="default" w:ascii="宋体" w:hAnsi="宋体" w:eastAsia="宋体" w:cs="Times New Roman"/>
                <w:b w:val="0"/>
                <w:bCs/>
                <w:color w:val="auto"/>
                <w:sz w:val="18"/>
                <w:szCs w:val="18"/>
                <w:highlight w:val="none"/>
                <w:lang w:val="en-US" w:eastAsia="zh-CN"/>
              </w:rPr>
              <w:t>。</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2.执行标准</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（1）YB∕T 4652 管道用球墨铸铁修补器</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（2）GB/T 1348 球墨铸铁件</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（3）GB/T 3098.1 紧固件机械性能 螺栓、螺钉和螺柱</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（4）GB/T 3098.2 紧固件机械性能 螺母</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（5）GB/T 6414 铸件尺寸公差与机械加工余量</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（6）GB/T 9941 球墨铸铁金相检验</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（7）GB/T 16938 紧固件螺栓、螺钉、螺柱和螺母 通用技术条件</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（8）GB/T 17219 生活饮用水输配水设备及防护材料的安全性评价标准</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（9）GB/T 21873 橡胶密封件给、排水管及污水管道用接口封圈材料规范</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3.材质及技术性能要求</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3.1 工作介质、温度、公称压力及安装要求</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本次采购要求的管件用于温度 0℃~60℃的自来水，要求公称压力 1.6MPa，螺栓紧固连接。为易于安装，抢修器应存在较长紧固件。橡胶密封件和壳体之间的连接方式采用无粘胶技术。</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3.2 各部件要求</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（1）壳体</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壳体材料为球墨铸铁QT450-10或以上等级，性能应符合或不低于表1的规定。</w:t>
            </w:r>
          </w:p>
          <w:p>
            <w:pPr>
              <w:pageBreakBefore w:val="0"/>
              <w:widowControl w:val="0"/>
              <w:kinsoku/>
              <w:wordWrap/>
              <w:overflowPunct/>
              <w:topLinePunct w:val="0"/>
              <w:bidi w:val="0"/>
              <w:adjustRightInd w:val="0"/>
              <w:snapToGrid/>
              <w:spacing w:line="240" w:lineRule="auto"/>
              <w:ind w:firstLine="180" w:firstLineChars="1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表1壳体材料性能要</w:t>
            </w:r>
          </w:p>
          <w:tbl>
            <w:tblPr>
              <w:tblStyle w:val="207"/>
              <w:tblW w:w="66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3160"/>
              <w:gridCol w:w="26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802"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序号</w:t>
                  </w:r>
                </w:p>
              </w:tc>
              <w:tc>
                <w:tcPr>
                  <w:tcW w:w="3160"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项   目</w:t>
                  </w:r>
                </w:p>
              </w:tc>
              <w:tc>
                <w:tcPr>
                  <w:tcW w:w="2688"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802" w:type="dxa"/>
                  <w:vAlign w:val="top"/>
                </w:tcPr>
                <w:p>
                  <w:pPr>
                    <w:spacing w:line="360" w:lineRule="auto"/>
                    <w:ind w:firstLine="420" w:firstLineChars="20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3160"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抗拉强度（Rm/ MPa)</w:t>
                  </w:r>
                </w:p>
              </w:tc>
              <w:tc>
                <w:tcPr>
                  <w:tcW w:w="2688"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802" w:type="dxa"/>
                  <w:vAlign w:val="top"/>
                </w:tcPr>
                <w:p>
                  <w:pPr>
                    <w:spacing w:line="360" w:lineRule="auto"/>
                    <w:ind w:firstLine="420" w:firstLineChars="20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3160"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断后伸长率</w:t>
                  </w:r>
                  <w:r>
                    <w:rPr>
                      <w:rFonts w:hint="eastAsia" w:ascii="宋体" w:hAnsi="宋体" w:eastAsia="宋体" w:cs="Times New Roman"/>
                      <w:color w:val="auto"/>
                      <w:spacing w:val="0"/>
                      <w:w w:val="100"/>
                      <w:szCs w:val="21"/>
                      <w:highlight w:val="none"/>
                    </w:rPr>
                    <w:t xml:space="preserve"> </w:t>
                  </w:r>
                  <w:r>
                    <w:rPr>
                      <w:rFonts w:hint="eastAsia" w:ascii="宋体" w:hAnsi="宋体" w:eastAsia="宋体" w:cs="Times New Roman"/>
                      <w:color w:val="auto"/>
                      <w:spacing w:val="0"/>
                      <w:szCs w:val="21"/>
                      <w:highlight w:val="none"/>
                    </w:rPr>
                    <w:t>(A/%)</w:t>
                  </w:r>
                </w:p>
              </w:tc>
              <w:tc>
                <w:tcPr>
                  <w:tcW w:w="2688"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802" w:type="dxa"/>
                  <w:vAlign w:val="top"/>
                </w:tcPr>
                <w:p>
                  <w:pPr>
                    <w:spacing w:line="360" w:lineRule="auto"/>
                    <w:ind w:firstLine="420" w:firstLineChars="20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3160"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硬度（HBW）</w:t>
                  </w:r>
                </w:p>
              </w:tc>
              <w:tc>
                <w:tcPr>
                  <w:tcW w:w="2688" w:type="dxa"/>
                  <w:vAlign w:val="top"/>
                </w:tcPr>
                <w:p>
                  <w:pPr>
                    <w:spacing w:line="360" w:lineRule="auto"/>
                    <w:ind w:firstLine="420" w:firstLineChars="200"/>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pacing w:val="0"/>
                      <w:szCs w:val="21"/>
                      <w:highlight w:val="none"/>
                    </w:rPr>
                    <w:t>160</w:t>
                  </w:r>
                  <w:r>
                    <w:rPr>
                      <w:rFonts w:hint="eastAsia" w:ascii="宋体" w:hAnsi="宋体" w:eastAsia="宋体" w:cs="Times New Roman"/>
                      <w:color w:val="auto"/>
                      <w:spacing w:val="0"/>
                      <w:szCs w:val="21"/>
                      <w:highlight w:val="none"/>
                      <w:lang w:val="en-US" w:eastAsia="zh-CN"/>
                    </w:rPr>
                    <w:t>～</w:t>
                  </w:r>
                  <w:r>
                    <w:rPr>
                      <w:rFonts w:hint="eastAsia" w:ascii="宋体" w:hAnsi="宋体" w:eastAsia="宋体" w:cs="Times New Roman"/>
                      <w:color w:val="auto"/>
                      <w:spacing w:val="0"/>
                      <w:szCs w:val="21"/>
                      <w:highlight w:val="none"/>
                    </w:rPr>
                    <w:t>210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802" w:type="dxa"/>
                  <w:vAlign w:val="top"/>
                </w:tcPr>
                <w:p>
                  <w:pPr>
                    <w:spacing w:line="360" w:lineRule="auto"/>
                    <w:ind w:firstLine="420" w:firstLineChars="20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3160"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金相（球化等级）</w:t>
                  </w:r>
                </w:p>
              </w:tc>
              <w:tc>
                <w:tcPr>
                  <w:tcW w:w="2688" w:type="dxa"/>
                  <w:vAlign w:val="top"/>
                </w:tcPr>
                <w:p>
                  <w:pPr>
                    <w:spacing w:line="360" w:lineRule="auto"/>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3级及以上</w:t>
                  </w:r>
                </w:p>
              </w:tc>
            </w:tr>
          </w:tbl>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壳体长度及壁厚应满足《YB∕T 4652 管道用球墨铸铁修补器》中附录A的要求，长度公差应符合GB/T 6414-1999中公差等级CT11的要求。</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泄压孔螺纹应符合GB/T 7306.1中圆柱内螺纹的要求，尺寸代号应符合《YB∕T4652-2018 管道用球墨铸铁修补器》中附录A的要求。</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（2）橡胶垫圈：采用三元乙丙橡胶或硅橡胶或以上等级材料，性能应符合表2的规定。</w:t>
            </w:r>
          </w:p>
          <w:p>
            <w:pPr>
              <w:pageBreakBefore w:val="0"/>
              <w:widowControl w:val="0"/>
              <w:kinsoku/>
              <w:wordWrap/>
              <w:overflowPunct/>
              <w:topLinePunct w:val="0"/>
              <w:bidi w:val="0"/>
              <w:adjustRightInd w:val="0"/>
              <w:snapToGrid/>
              <w:spacing w:line="240" w:lineRule="auto"/>
              <w:ind w:firstLine="180" w:firstLineChars="1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表2</w:t>
            </w:r>
          </w:p>
          <w:tbl>
            <w:tblPr>
              <w:tblStyle w:val="207"/>
              <w:tblW w:w="67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2550"/>
              <w:gridCol w:w="2060"/>
              <w:gridCol w:w="1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851"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序号</w:t>
                  </w:r>
                </w:p>
              </w:tc>
              <w:tc>
                <w:tcPr>
                  <w:tcW w:w="4610" w:type="dxa"/>
                  <w:gridSpan w:val="2"/>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项   目</w:t>
                  </w:r>
                </w:p>
              </w:tc>
              <w:tc>
                <w:tcPr>
                  <w:tcW w:w="132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851"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4610" w:type="dxa"/>
                  <w:gridSpan w:val="2"/>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硬度( IRHD)</w:t>
                  </w:r>
                </w:p>
              </w:tc>
              <w:tc>
                <w:tcPr>
                  <w:tcW w:w="132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50</w:t>
                  </w:r>
                  <w:r>
                    <w:rPr>
                      <w:rFonts w:hint="eastAsia" w:ascii="宋体" w:hAnsi="宋体" w:eastAsia="宋体" w:cs="Times New Roman"/>
                      <w:color w:val="auto"/>
                      <w:spacing w:val="0"/>
                      <w:szCs w:val="21"/>
                      <w:highlight w:val="none"/>
                      <w:lang w:val="en-US" w:eastAsia="zh-CN"/>
                    </w:rPr>
                    <w:t>～</w:t>
                  </w:r>
                  <w:r>
                    <w:rPr>
                      <w:rFonts w:hint="eastAsia" w:ascii="宋体" w:hAnsi="宋体" w:eastAsia="宋体" w:cs="Times New Roman"/>
                      <w:color w:val="auto"/>
                      <w:spacing w:val="0"/>
                      <w:szCs w:val="21"/>
                      <w:highlight w:val="none"/>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851"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4610" w:type="dxa"/>
                  <w:gridSpan w:val="2"/>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扯断强度/MPa</w:t>
                  </w:r>
                </w:p>
              </w:tc>
              <w:tc>
                <w:tcPr>
                  <w:tcW w:w="132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51"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4610" w:type="dxa"/>
                  <w:gridSpan w:val="2"/>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扯断伸长率</w:t>
                  </w:r>
                </w:p>
              </w:tc>
              <w:tc>
                <w:tcPr>
                  <w:tcW w:w="132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851"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4610" w:type="dxa"/>
                  <w:gridSpan w:val="2"/>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压缩永久变形 (23 °C，72 h)</w:t>
                  </w:r>
                </w:p>
              </w:tc>
              <w:tc>
                <w:tcPr>
                  <w:tcW w:w="132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851"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w:t>
                  </w:r>
                </w:p>
              </w:tc>
              <w:tc>
                <w:tcPr>
                  <w:tcW w:w="2550" w:type="dxa"/>
                  <w:vMerge w:val="restart"/>
                  <w:tcBorders>
                    <w:bottom w:val="nil"/>
                  </w:tcBorders>
                  <w:vAlign w:val="top"/>
                </w:tcPr>
                <w:p>
                  <w:pPr>
                    <w:spacing w:line="360" w:lineRule="auto"/>
                    <w:ind w:firstLine="0" w:firstLineChars="0"/>
                    <w:rPr>
                      <w:rFonts w:hint="eastAsia" w:ascii="宋体" w:hAnsi="宋体" w:eastAsia="宋体" w:cs="Times New Roman"/>
                      <w:color w:val="auto"/>
                      <w:sz w:val="21"/>
                      <w:szCs w:val="21"/>
                      <w:highlight w:val="none"/>
                    </w:rPr>
                  </w:pP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position w:val="0"/>
                      <w:szCs w:val="21"/>
                      <w:highlight w:val="none"/>
                    </w:rPr>
                    <w:t>耐老化性能</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(70°C</w:t>
                  </w:r>
                  <w:r>
                    <w:rPr>
                      <w:rFonts w:hint="eastAsia" w:ascii="宋体" w:hAnsi="宋体" w:eastAsia="宋体" w:cs="Times New Roman"/>
                      <w:color w:val="auto"/>
                      <w:spacing w:val="0"/>
                      <w:szCs w:val="21"/>
                      <w:highlight w:val="none"/>
                      <w:lang w:eastAsia="zh-CN"/>
                    </w:rPr>
                    <w:t>，</w:t>
                  </w:r>
                  <w:r>
                    <w:rPr>
                      <w:rFonts w:hint="eastAsia" w:ascii="宋体" w:hAnsi="宋体" w:eastAsia="宋体" w:cs="Times New Roman"/>
                      <w:color w:val="auto"/>
                      <w:spacing w:val="0"/>
                      <w:szCs w:val="21"/>
                      <w:highlight w:val="none"/>
                    </w:rPr>
                    <w:t>7d)</w:t>
                  </w:r>
                </w:p>
              </w:tc>
              <w:tc>
                <w:tcPr>
                  <w:tcW w:w="2060" w:type="dxa"/>
                  <w:vAlign w:val="top"/>
                </w:tcPr>
                <w:p>
                  <w:pPr>
                    <w:adjustRightInd w:val="0"/>
                    <w:snapToGrid w:val="0"/>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压缩永久变形</w:t>
                  </w:r>
                </w:p>
              </w:tc>
              <w:tc>
                <w:tcPr>
                  <w:tcW w:w="132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51"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w:t>
                  </w:r>
                </w:p>
              </w:tc>
              <w:tc>
                <w:tcPr>
                  <w:tcW w:w="2550" w:type="dxa"/>
                  <w:vMerge w:val="continue"/>
                  <w:tcBorders>
                    <w:top w:val="nil"/>
                    <w:bottom w:val="nil"/>
                  </w:tcBorders>
                  <w:vAlign w:val="top"/>
                </w:tcPr>
                <w:p>
                  <w:pPr>
                    <w:spacing w:line="360" w:lineRule="auto"/>
                    <w:ind w:firstLine="420" w:firstLineChars="200"/>
                    <w:rPr>
                      <w:rFonts w:hint="eastAsia" w:ascii="宋体" w:hAnsi="宋体" w:eastAsia="宋体" w:cs="Times New Roman"/>
                      <w:color w:val="auto"/>
                      <w:sz w:val="21"/>
                      <w:szCs w:val="21"/>
                      <w:highlight w:val="none"/>
                    </w:rPr>
                  </w:pPr>
                </w:p>
              </w:tc>
              <w:tc>
                <w:tcPr>
                  <w:tcW w:w="2060" w:type="dxa"/>
                  <w:vAlign w:val="top"/>
                </w:tcPr>
                <w:p>
                  <w:pPr>
                    <w:adjustRightInd w:val="0"/>
                    <w:snapToGrid w:val="0"/>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扯断强度下降</w:t>
                  </w:r>
                </w:p>
              </w:tc>
              <w:tc>
                <w:tcPr>
                  <w:tcW w:w="132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851"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w:t>
                  </w:r>
                </w:p>
              </w:tc>
              <w:tc>
                <w:tcPr>
                  <w:tcW w:w="2550" w:type="dxa"/>
                  <w:vMerge w:val="continue"/>
                  <w:tcBorders>
                    <w:top w:val="nil"/>
                    <w:bottom w:val="nil"/>
                  </w:tcBorders>
                  <w:vAlign w:val="top"/>
                </w:tcPr>
                <w:p>
                  <w:pPr>
                    <w:spacing w:line="360" w:lineRule="auto"/>
                    <w:ind w:firstLine="420" w:firstLineChars="200"/>
                    <w:rPr>
                      <w:rFonts w:hint="eastAsia" w:ascii="宋体" w:hAnsi="宋体" w:eastAsia="宋体" w:cs="Times New Roman"/>
                      <w:color w:val="auto"/>
                      <w:sz w:val="21"/>
                      <w:szCs w:val="21"/>
                      <w:highlight w:val="none"/>
                    </w:rPr>
                  </w:pPr>
                </w:p>
              </w:tc>
              <w:tc>
                <w:tcPr>
                  <w:tcW w:w="2060" w:type="dxa"/>
                  <w:vAlign w:val="top"/>
                </w:tcPr>
                <w:p>
                  <w:pPr>
                    <w:adjustRightInd w:val="0"/>
                    <w:snapToGrid w:val="0"/>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扯断伸长率下降</w:t>
                  </w:r>
                </w:p>
              </w:tc>
              <w:tc>
                <w:tcPr>
                  <w:tcW w:w="132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851" w:type="dxa"/>
                  <w:vAlign w:val="top"/>
                </w:tcPr>
                <w:p>
                  <w:pPr>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w:t>
                  </w:r>
                </w:p>
              </w:tc>
              <w:tc>
                <w:tcPr>
                  <w:tcW w:w="2550" w:type="dxa"/>
                  <w:vMerge w:val="continue"/>
                  <w:tcBorders>
                    <w:top w:val="nil"/>
                  </w:tcBorders>
                  <w:vAlign w:val="top"/>
                </w:tcPr>
                <w:p>
                  <w:pPr>
                    <w:spacing w:line="360" w:lineRule="auto"/>
                    <w:ind w:firstLine="420" w:firstLineChars="200"/>
                    <w:rPr>
                      <w:rFonts w:hint="eastAsia" w:ascii="宋体" w:hAnsi="宋体" w:eastAsia="宋体" w:cs="Times New Roman"/>
                      <w:color w:val="auto"/>
                      <w:sz w:val="21"/>
                      <w:szCs w:val="21"/>
                      <w:highlight w:val="none"/>
                    </w:rPr>
                  </w:pPr>
                </w:p>
              </w:tc>
              <w:tc>
                <w:tcPr>
                  <w:tcW w:w="2060" w:type="dxa"/>
                  <w:vAlign w:val="top"/>
                </w:tcPr>
                <w:p>
                  <w:pPr>
                    <w:adjustRightInd w:val="0"/>
                    <w:snapToGrid w:val="0"/>
                    <w:spacing w:line="360" w:lineRule="auto"/>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硬度变化(IRHD)</w:t>
                  </w:r>
                </w:p>
              </w:tc>
              <w:tc>
                <w:tcPr>
                  <w:tcW w:w="1321" w:type="dxa"/>
                  <w:vAlign w:val="top"/>
                </w:tcPr>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pacing w:val="0"/>
                      <w:szCs w:val="21"/>
                      <w:highlight w:val="none"/>
                    </w:rPr>
                    <w:t>- 5</w:t>
                  </w:r>
                  <w:r>
                    <w:rPr>
                      <w:rFonts w:hint="eastAsia" w:ascii="宋体" w:hAnsi="宋体" w:eastAsia="宋体" w:cs="Times New Roman"/>
                      <w:color w:val="auto"/>
                      <w:spacing w:val="0"/>
                      <w:szCs w:val="21"/>
                      <w:highlight w:val="none"/>
                      <w:lang w:val="en-US" w:eastAsia="zh-CN"/>
                    </w:rPr>
                    <w:t>～</w:t>
                  </w:r>
                  <w:r>
                    <w:rPr>
                      <w:rFonts w:hint="eastAsia" w:ascii="宋体" w:hAnsi="宋体" w:eastAsia="宋体" w:cs="Times New Roman"/>
                      <w:color w:val="auto"/>
                      <w:spacing w:val="0"/>
                      <w:szCs w:val="21"/>
                      <w:highlight w:val="none"/>
                    </w:rPr>
                    <w:t>+8</w:t>
                  </w:r>
                </w:p>
              </w:tc>
            </w:tr>
          </w:tbl>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（3）连接螺栓：8.8级碳钢螺栓或不锈钢螺栓。碳钢螺母性能等级应达到GB/T3098.2-2015中规定的8及以上，奥氏体不锈钢螺栓性能等级应达到GB/T 3098.6中规定的70及以上，奥氏体不锈钢螺母性能等级应达到GB/T 3098.15中规定的70及以上。</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4.涂层</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抢修</w:t>
            </w:r>
            <w:r>
              <w:rPr>
                <w:rFonts w:hint="eastAsia" w:ascii="宋体" w:hAnsi="宋体" w:eastAsia="宋体" w:cs="Times New Roman"/>
                <w:b w:val="0"/>
                <w:bCs/>
                <w:color w:val="auto"/>
                <w:sz w:val="18"/>
                <w:szCs w:val="18"/>
                <w:highlight w:val="none"/>
                <w:lang w:val="en-US" w:eastAsia="zh-CN"/>
              </w:rPr>
              <w:t>器</w:t>
            </w:r>
            <w:r>
              <w:rPr>
                <w:rFonts w:hint="default" w:ascii="宋体" w:hAnsi="宋体" w:eastAsia="宋体" w:cs="Times New Roman"/>
                <w:b w:val="0"/>
                <w:bCs/>
                <w:color w:val="auto"/>
                <w:sz w:val="18"/>
                <w:szCs w:val="18"/>
                <w:highlight w:val="none"/>
                <w:lang w:val="en-US" w:eastAsia="zh-CN"/>
              </w:rPr>
              <w:t>本体为铸铁时，表面应使用涂层。产品内外涂覆采用环氧树脂粉末静电喷涂，涂层厚度分布应均匀（包括内层和外层），低于 150 微米的数值为不合格（边缘除外）。附着力应良好，且用附着力拉开法试验时（ISO 16276-1:2007），测量值应高于 8 MPa。在用针孔电火花检测仪检验（检测电压 1.2kV）时，不能有任何空隙或小孔。</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5.标志</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每套抢修器必须具有清晰永久性标志：制造厂名或商标、公称尺寸、原材料名称。</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6.外观要求</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（1）抢修器出炉后要求退火消除应力，外表面应光洁，花纹、标记及字标清晰无缺损， 无多余部分、无毛刺、无锋利边缘、无曲翘变形、无缩瘪、无龟裂，不得有裂纹或影响产品性能的冷隔、鼓包、砂眼等缺陷，不得补焊。</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（2）外表面必须经过喷涂防锈环氧树脂防锈处理。内表面必须喷涂无毒性环氧树脂。</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6.参考样式</w:t>
            </w:r>
          </w:p>
          <w:p>
            <w:pPr>
              <w:pageBreakBefore w:val="0"/>
              <w:widowControl w:val="0"/>
              <w:kinsoku/>
              <w:wordWrap/>
              <w:overflowPunct/>
              <w:topLinePunct w:val="0"/>
              <w:bidi w:val="0"/>
              <w:adjustRightInd w:val="0"/>
              <w:snapToGrid/>
              <w:spacing w:line="240" w:lineRule="auto"/>
              <w:ind w:firstLine="420" w:firstLineChars="200"/>
              <w:jc w:val="left"/>
              <w:textAlignment w:val="auto"/>
              <w:rPr>
                <w:rFonts w:hint="default" w:ascii="宋体" w:hAnsi="宋体" w:eastAsia="宋体" w:cs="Times New Roman"/>
                <w:b w:val="0"/>
                <w:bCs/>
                <w:color w:val="auto"/>
                <w:sz w:val="18"/>
                <w:szCs w:val="18"/>
                <w:highlight w:val="none"/>
                <w:lang w:val="en-US" w:eastAsia="zh-CN"/>
              </w:rPr>
            </w:pPr>
            <w:r>
              <w:rPr>
                <w:color w:val="auto"/>
                <w:highlight w:val="none"/>
              </w:rPr>
              <w:drawing>
                <wp:anchor distT="0" distB="0" distL="0" distR="0" simplePos="0" relativeHeight="251670528" behindDoc="0" locked="0" layoutInCell="1" allowOverlap="1">
                  <wp:simplePos x="0" y="0"/>
                  <wp:positionH relativeFrom="column">
                    <wp:posOffset>481330</wp:posOffset>
                  </wp:positionH>
                  <wp:positionV relativeFrom="paragraph">
                    <wp:posOffset>91440</wp:posOffset>
                  </wp:positionV>
                  <wp:extent cx="1398270" cy="957580"/>
                  <wp:effectExtent l="0" t="0" r="11430" b="13970"/>
                  <wp:wrapNone/>
                  <wp:docPr id="21" name="IM 2"/>
                  <wp:cNvGraphicFramePr/>
                  <a:graphic xmlns:a="http://schemas.openxmlformats.org/drawingml/2006/main">
                    <a:graphicData uri="http://schemas.openxmlformats.org/drawingml/2006/picture">
                      <pic:pic xmlns:pic="http://schemas.openxmlformats.org/drawingml/2006/picture">
                        <pic:nvPicPr>
                          <pic:cNvPr id="21" name="IM 2"/>
                          <pic:cNvPicPr/>
                        </pic:nvPicPr>
                        <pic:blipFill>
                          <a:blip r:embed="rId10"/>
                          <a:stretch>
                            <a:fillRect/>
                          </a:stretch>
                        </pic:blipFill>
                        <pic:spPr>
                          <a:xfrm>
                            <a:off x="0" y="0"/>
                            <a:ext cx="1398270" cy="957580"/>
                          </a:xfrm>
                          <a:prstGeom prst="rect">
                            <a:avLst/>
                          </a:prstGeom>
                        </pic:spPr>
                      </pic:pic>
                    </a:graphicData>
                  </a:graphic>
                </wp:anchor>
              </w:drawing>
            </w:r>
            <w:r>
              <w:rPr>
                <w:color w:val="auto"/>
                <w:position w:val="-57"/>
                <w:highlight w:val="none"/>
              </w:rPr>
              <w:drawing>
                <wp:anchor distT="0" distB="0" distL="0" distR="0" simplePos="0" relativeHeight="251671552" behindDoc="0" locked="0" layoutInCell="1" allowOverlap="1">
                  <wp:simplePos x="0" y="0"/>
                  <wp:positionH relativeFrom="column">
                    <wp:posOffset>2900680</wp:posOffset>
                  </wp:positionH>
                  <wp:positionV relativeFrom="paragraph">
                    <wp:posOffset>93345</wp:posOffset>
                  </wp:positionV>
                  <wp:extent cx="1151890" cy="887095"/>
                  <wp:effectExtent l="0" t="0" r="10160" b="8255"/>
                  <wp:wrapNone/>
                  <wp:docPr id="22" name="IM 4"/>
                  <wp:cNvGraphicFramePr/>
                  <a:graphic xmlns:a="http://schemas.openxmlformats.org/drawingml/2006/main">
                    <a:graphicData uri="http://schemas.openxmlformats.org/drawingml/2006/picture">
                      <pic:pic xmlns:pic="http://schemas.openxmlformats.org/drawingml/2006/picture">
                        <pic:nvPicPr>
                          <pic:cNvPr id="22" name="IM 4"/>
                          <pic:cNvPicPr/>
                        </pic:nvPicPr>
                        <pic:blipFill>
                          <a:blip r:embed="rId9"/>
                          <a:stretch>
                            <a:fillRect/>
                          </a:stretch>
                        </pic:blipFill>
                        <pic:spPr>
                          <a:xfrm>
                            <a:off x="0" y="0"/>
                            <a:ext cx="1151890" cy="887095"/>
                          </a:xfrm>
                          <a:prstGeom prst="rect">
                            <a:avLst/>
                          </a:prstGeom>
                        </pic:spPr>
                      </pic:pic>
                    </a:graphicData>
                  </a:graphic>
                </wp:anchor>
              </w:drawing>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0" w:firstLineChars="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（1）承插(大头)修补器（承插(大头)抢修器）（2）直管(直身)修补器（直管(直身)抢修器）</w:t>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420" w:firstLineChars="200"/>
              <w:jc w:val="left"/>
              <w:textAlignment w:val="auto"/>
              <w:rPr>
                <w:rFonts w:hint="default" w:ascii="宋体" w:hAnsi="宋体" w:eastAsia="宋体" w:cs="Times New Roman"/>
                <w:b w:val="0"/>
                <w:bCs/>
                <w:color w:val="auto"/>
                <w:sz w:val="18"/>
                <w:szCs w:val="18"/>
                <w:highlight w:val="none"/>
                <w:lang w:val="en-US" w:eastAsia="zh-CN"/>
              </w:rPr>
            </w:pPr>
            <w:r>
              <w:rPr>
                <w:color w:val="auto"/>
                <w:highlight w:val="none"/>
              </w:rPr>
              <w:drawing>
                <wp:anchor distT="0" distB="0" distL="0" distR="0" simplePos="0" relativeHeight="251673600" behindDoc="0" locked="0" layoutInCell="1" allowOverlap="1">
                  <wp:simplePos x="0" y="0"/>
                  <wp:positionH relativeFrom="column">
                    <wp:posOffset>3119755</wp:posOffset>
                  </wp:positionH>
                  <wp:positionV relativeFrom="paragraph">
                    <wp:posOffset>59690</wp:posOffset>
                  </wp:positionV>
                  <wp:extent cx="988695" cy="896620"/>
                  <wp:effectExtent l="0" t="0" r="1905" b="17780"/>
                  <wp:wrapNone/>
                  <wp:docPr id="27" name="IM 6"/>
                  <wp:cNvGraphicFramePr/>
                  <a:graphic xmlns:a="http://schemas.openxmlformats.org/drawingml/2006/main">
                    <a:graphicData uri="http://schemas.openxmlformats.org/drawingml/2006/picture">
                      <pic:pic xmlns:pic="http://schemas.openxmlformats.org/drawingml/2006/picture">
                        <pic:nvPicPr>
                          <pic:cNvPr id="27" name="IM 6"/>
                          <pic:cNvPicPr/>
                        </pic:nvPicPr>
                        <pic:blipFill>
                          <a:blip r:embed="rId12"/>
                          <a:stretch>
                            <a:fillRect/>
                          </a:stretch>
                        </pic:blipFill>
                        <pic:spPr>
                          <a:xfrm>
                            <a:off x="0" y="0"/>
                            <a:ext cx="988695" cy="896620"/>
                          </a:xfrm>
                          <a:prstGeom prst="rect">
                            <a:avLst/>
                          </a:prstGeom>
                        </pic:spPr>
                      </pic:pic>
                    </a:graphicData>
                  </a:graphic>
                </wp:anchor>
              </w:drawing>
            </w:r>
            <w:r>
              <w:rPr>
                <w:color w:val="auto"/>
                <w:position w:val="-63"/>
                <w:highlight w:val="none"/>
              </w:rPr>
              <w:drawing>
                <wp:anchor distT="0" distB="0" distL="0" distR="0" simplePos="0" relativeHeight="251672576" behindDoc="0" locked="0" layoutInCell="1" allowOverlap="1">
                  <wp:simplePos x="0" y="0"/>
                  <wp:positionH relativeFrom="column">
                    <wp:posOffset>275590</wp:posOffset>
                  </wp:positionH>
                  <wp:positionV relativeFrom="paragraph">
                    <wp:posOffset>110490</wp:posOffset>
                  </wp:positionV>
                  <wp:extent cx="1312545" cy="791845"/>
                  <wp:effectExtent l="0" t="0" r="1905" b="8255"/>
                  <wp:wrapNone/>
                  <wp:docPr id="26" name="IM 8"/>
                  <wp:cNvGraphicFramePr/>
                  <a:graphic xmlns:a="http://schemas.openxmlformats.org/drawingml/2006/main">
                    <a:graphicData uri="http://schemas.openxmlformats.org/drawingml/2006/picture">
                      <pic:pic xmlns:pic="http://schemas.openxmlformats.org/drawingml/2006/picture">
                        <pic:nvPicPr>
                          <pic:cNvPr id="26" name="IM 8"/>
                          <pic:cNvPicPr/>
                        </pic:nvPicPr>
                        <pic:blipFill>
                          <a:blip r:embed="rId11"/>
                          <a:stretch>
                            <a:fillRect/>
                          </a:stretch>
                        </pic:blipFill>
                        <pic:spPr>
                          <a:xfrm>
                            <a:off x="0" y="0"/>
                            <a:ext cx="1312545" cy="791845"/>
                          </a:xfrm>
                          <a:prstGeom prst="rect">
                            <a:avLst/>
                          </a:prstGeom>
                        </pic:spPr>
                      </pic:pic>
                    </a:graphicData>
                  </a:graphic>
                </wp:anchor>
              </w:drawing>
            </w: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0" w:firstLineChars="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 xml:space="preserve">（3）三通修补器（三通抢修器）                  （4）弯头修补器（弯头抢修器） </w:t>
            </w:r>
          </w:p>
          <w:p>
            <w:pPr>
              <w:pageBreakBefore w:val="0"/>
              <w:widowControl w:val="0"/>
              <w:kinsoku/>
              <w:wordWrap/>
              <w:overflowPunct/>
              <w:topLinePunct w:val="0"/>
              <w:bidi w:val="0"/>
              <w:adjustRightInd w:val="0"/>
              <w:snapToGrid/>
              <w:spacing w:line="240" w:lineRule="auto"/>
              <w:ind w:firstLine="0" w:firstLineChars="0"/>
              <w:jc w:val="left"/>
              <w:textAlignment w:val="auto"/>
              <w:rPr>
                <w:rFonts w:hint="default" w:ascii="宋体" w:hAnsi="宋体" w:eastAsia="宋体" w:cs="Times New Roman"/>
                <w:b w:val="0"/>
                <w:bCs/>
                <w:color w:val="auto"/>
                <w:sz w:val="18"/>
                <w:szCs w:val="18"/>
                <w:highlight w:val="none"/>
                <w:lang w:val="en-US" w:eastAsia="zh-CN"/>
              </w:rPr>
            </w:pPr>
          </w:p>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tc>
        <w:tc>
          <w:tcPr>
            <w:tcW w:w="366" w:type="pct"/>
            <w:vAlign w:val="center"/>
          </w:tcPr>
          <w:p>
            <w:pPr>
              <w:pageBreakBefore w:val="0"/>
              <w:widowControl w:val="0"/>
              <w:kinsoku/>
              <w:wordWrap/>
              <w:overflowPunct/>
              <w:topLinePunct w:val="0"/>
              <w:bidi w:val="0"/>
              <w:adjustRightInd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p>
        </w:tc>
        <w:tc>
          <w:tcPr>
            <w:tcW w:w="371"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71"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jc w:val="center"/>
        </w:trPr>
        <w:tc>
          <w:tcPr>
            <w:tcW w:w="153" w:type="pct"/>
            <w:vAlign w:val="center"/>
          </w:tcPr>
          <w:p>
            <w:pPr>
              <w:pageBreakBefore w:val="0"/>
              <w:widowControl w:val="0"/>
              <w:kinsoku/>
              <w:wordWrap/>
              <w:overflowPunct/>
              <w:topLinePunct w:val="0"/>
              <w:bidi w:val="0"/>
              <w:snapToGrid/>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w:t>
            </w:r>
          </w:p>
        </w:tc>
        <w:tc>
          <w:tcPr>
            <w:tcW w:w="187"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四</w:t>
            </w:r>
          </w:p>
        </w:tc>
        <w:tc>
          <w:tcPr>
            <w:tcW w:w="3549" w:type="pct"/>
            <w:vAlign w:val="center"/>
          </w:tcPr>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r>
              <w:rPr>
                <w:rFonts w:hint="default" w:ascii="宋体" w:hAnsi="宋体" w:eastAsia="宋体" w:cs="Times New Roman"/>
                <w:b w:val="0"/>
                <w:bCs/>
                <w:color w:val="auto"/>
                <w:sz w:val="18"/>
                <w:szCs w:val="18"/>
                <w:highlight w:val="none"/>
              </w:rPr>
              <w:t>四、其他要求</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r>
              <w:rPr>
                <w:rFonts w:hint="default" w:ascii="宋体" w:hAnsi="宋体" w:eastAsia="宋体" w:cs="Times New Roman"/>
                <w:b w:val="0"/>
                <w:bCs/>
                <w:color w:val="auto"/>
                <w:sz w:val="18"/>
                <w:szCs w:val="18"/>
                <w:highlight w:val="none"/>
              </w:rPr>
              <w:t>1.标志和产品质量证明书</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r>
              <w:rPr>
                <w:rFonts w:hint="default" w:ascii="宋体" w:hAnsi="宋体" w:eastAsia="宋体" w:cs="Times New Roman"/>
                <w:b w:val="0"/>
                <w:bCs/>
                <w:color w:val="auto"/>
                <w:sz w:val="18"/>
                <w:szCs w:val="18"/>
                <w:highlight w:val="none"/>
              </w:rPr>
              <w:t>出厂前厂家应提交抢修器成品的合格证书，合格证书内容包括但不限于：制造厂名及生产日期；产品规格、产品编号；</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r>
              <w:rPr>
                <w:rFonts w:hint="default" w:ascii="宋体" w:hAnsi="宋体" w:eastAsia="宋体" w:cs="Times New Roman"/>
                <w:b w:val="0"/>
                <w:bCs/>
                <w:color w:val="auto"/>
                <w:sz w:val="18"/>
                <w:szCs w:val="18"/>
                <w:highlight w:val="none"/>
              </w:rPr>
              <w:t>2.运输、包装</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r>
              <w:rPr>
                <w:rFonts w:hint="default" w:ascii="宋体" w:hAnsi="宋体" w:eastAsia="宋体" w:cs="Times New Roman"/>
                <w:b w:val="0"/>
                <w:bCs/>
                <w:color w:val="auto"/>
                <w:sz w:val="18"/>
                <w:szCs w:val="18"/>
                <w:highlight w:val="none"/>
              </w:rPr>
              <w:t>抢修器包装、运输过程应做好保护措施，并保证按质、按量、按时安全送达</w:t>
            </w:r>
            <w:r>
              <w:rPr>
                <w:rFonts w:hint="eastAsia" w:ascii="宋体" w:hAnsi="宋体" w:eastAsia="宋体" w:cs="Times New Roman"/>
                <w:b w:val="0"/>
                <w:bCs/>
                <w:color w:val="auto"/>
                <w:sz w:val="18"/>
                <w:szCs w:val="18"/>
                <w:highlight w:val="none"/>
                <w:lang w:val="en-US" w:eastAsia="zh-CN"/>
              </w:rPr>
              <w:t>东莞市范围内</w:t>
            </w:r>
            <w:r>
              <w:rPr>
                <w:rFonts w:hint="default" w:ascii="宋体" w:hAnsi="宋体" w:eastAsia="宋体" w:cs="Times New Roman"/>
                <w:b w:val="0"/>
                <w:bCs/>
                <w:color w:val="auto"/>
                <w:sz w:val="18"/>
                <w:szCs w:val="18"/>
                <w:highlight w:val="none"/>
                <w:lang w:val="en-US" w:eastAsia="zh-CN"/>
              </w:rPr>
              <w:t>招标人指定</w:t>
            </w:r>
            <w:r>
              <w:rPr>
                <w:rFonts w:hint="default" w:ascii="宋体" w:hAnsi="宋体" w:eastAsia="宋体" w:cs="Times New Roman"/>
                <w:b w:val="0"/>
                <w:bCs/>
                <w:color w:val="auto"/>
                <w:sz w:val="18"/>
                <w:szCs w:val="18"/>
                <w:highlight w:val="none"/>
              </w:rPr>
              <w:t>地点。</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r>
              <w:rPr>
                <w:rFonts w:hint="default" w:ascii="宋体" w:hAnsi="宋体" w:eastAsia="宋体" w:cs="Times New Roman"/>
                <w:b w:val="0"/>
                <w:bCs/>
                <w:color w:val="auto"/>
                <w:sz w:val="18"/>
                <w:szCs w:val="18"/>
                <w:highlight w:val="none"/>
              </w:rPr>
              <w:t>3.质量保证及承诺</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r>
              <w:rPr>
                <w:rFonts w:hint="default" w:ascii="宋体" w:hAnsi="宋体" w:eastAsia="宋体" w:cs="Times New Roman"/>
                <w:b w:val="0"/>
                <w:bCs/>
                <w:color w:val="auto"/>
                <w:sz w:val="18"/>
                <w:szCs w:val="18"/>
                <w:highlight w:val="none"/>
              </w:rPr>
              <w:t>3.1 质量保证期：货物质量自验收合格之日起计质量保证期为 2年。</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r>
              <w:rPr>
                <w:rFonts w:hint="default" w:ascii="宋体" w:hAnsi="宋体" w:eastAsia="宋体" w:cs="Times New Roman"/>
                <w:b w:val="0"/>
                <w:bCs/>
                <w:color w:val="auto"/>
                <w:sz w:val="18"/>
                <w:szCs w:val="18"/>
                <w:highlight w:val="none"/>
              </w:rPr>
              <w:t>3.2 供货商应保证所供货物是全新的、未使用过的，并完全符合合同规定的质量、规格型号和技术性能的要求。供货商应保证其货物在正常使用和保养条件下，在其使用寿命期内具有满意的性能。在货物验收合格后的质量保证期内，供货商应对由于货物工艺材质的缺陷而产生的事故负责。</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r>
              <w:rPr>
                <w:rFonts w:hint="default" w:ascii="宋体" w:hAnsi="宋体" w:eastAsia="宋体" w:cs="Times New Roman"/>
                <w:b w:val="0"/>
                <w:bCs/>
                <w:color w:val="auto"/>
                <w:sz w:val="18"/>
                <w:szCs w:val="18"/>
                <w:highlight w:val="none"/>
              </w:rPr>
              <w:t>3.3 质量保证期内供货商在收到采购人发出的抢修、维修通知后 24 小时内无偿提供技术指导。若因货物质量造成的一切损失由供货商负责。</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r>
              <w:rPr>
                <w:rFonts w:hint="default" w:ascii="宋体" w:hAnsi="宋体" w:eastAsia="宋体" w:cs="Times New Roman"/>
                <w:b w:val="0"/>
                <w:bCs/>
                <w:color w:val="auto"/>
                <w:sz w:val="18"/>
                <w:szCs w:val="18"/>
                <w:highlight w:val="none"/>
              </w:rPr>
              <w:t>3.</w:t>
            </w:r>
            <w:r>
              <w:rPr>
                <w:rFonts w:hint="default" w:ascii="宋体" w:hAnsi="宋体" w:eastAsia="宋体" w:cs="Times New Roman"/>
                <w:b w:val="0"/>
                <w:bCs/>
                <w:color w:val="auto"/>
                <w:sz w:val="18"/>
                <w:szCs w:val="18"/>
                <w:highlight w:val="none"/>
                <w:lang w:val="en-US" w:eastAsia="zh-CN"/>
              </w:rPr>
              <w:t>4</w:t>
            </w:r>
            <w:r>
              <w:rPr>
                <w:rFonts w:hint="default" w:ascii="宋体" w:hAnsi="宋体" w:eastAsia="宋体" w:cs="Times New Roman"/>
                <w:b w:val="0"/>
                <w:bCs/>
                <w:color w:val="auto"/>
                <w:sz w:val="18"/>
                <w:szCs w:val="18"/>
                <w:highlight w:val="none"/>
              </w:rPr>
              <w:t xml:space="preserve"> 供货商所供货物在抵达货物现场时，必须是满足使用条件的。</w:t>
            </w:r>
          </w:p>
        </w:tc>
        <w:tc>
          <w:tcPr>
            <w:tcW w:w="366" w:type="pct"/>
            <w:vAlign w:val="center"/>
          </w:tcPr>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p>
        </w:tc>
        <w:tc>
          <w:tcPr>
            <w:tcW w:w="371" w:type="pct"/>
            <w:vAlign w:val="center"/>
          </w:tcPr>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b w:val="0"/>
                <w:bCs/>
                <w:color w:val="auto"/>
                <w:sz w:val="18"/>
                <w:szCs w:val="18"/>
                <w:highlight w:val="none"/>
                <w:lang w:val="en-US" w:eastAsia="zh-CN"/>
              </w:rPr>
            </w:pPr>
          </w:p>
        </w:tc>
        <w:tc>
          <w:tcPr>
            <w:tcW w:w="371"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3" w:hRule="atLeast"/>
          <w:jc w:val="center"/>
        </w:trPr>
        <w:tc>
          <w:tcPr>
            <w:tcW w:w="15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187"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五</w:t>
            </w:r>
          </w:p>
        </w:tc>
        <w:tc>
          <w:tcPr>
            <w:tcW w:w="3549" w:type="pct"/>
            <w:vAlign w:val="center"/>
          </w:tcPr>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r>
              <w:rPr>
                <w:rFonts w:hint="default" w:ascii="宋体" w:hAnsi="宋体" w:eastAsia="宋体" w:cs="Times New Roman"/>
                <w:b w:val="0"/>
                <w:bCs/>
                <w:color w:val="auto"/>
                <w:sz w:val="18"/>
                <w:szCs w:val="18"/>
                <w:highlight w:val="none"/>
              </w:rPr>
              <w:t>五、包装、标记、运输和交付</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1.包装</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1.1 中标人负责货物的运输、卸货并承担相关的费用和责任，货物的包装应采取相应的保护措施。凡由于包装不良造成的损失和由此产生的费用均由中标人承担，且原则上应在1个日历天内无条件进行更换。</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1.2 中标人提供的包装应足以承受整个过程中的运输、转运、装卸、储存等，充分考虑到运输途中的各种情况(如暴露于恶劣气候等)和交货地的气候特点，以及露天存放的需要。</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2.运输</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2.1 中标人负责办理运输过程中的装、卸的一切手续，承担装卸、运输的全部工作和责任。</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 xml:space="preserve">2.2 装卸费、运费等相关费用已包含在合同价款内。 </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3.交付</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3.1 中标人应指派己方固定的工作人员，按招标人每批次提供的品种、数量、质量、时间等(具体以合同及采购订单的要求为准)原则上需于 24 小时内将所需货物送到招标人指定的地点，急需的材料原则上应在 2 个小时内送达。中标人每次随货送上一式两份的送货清单，中标人、招标人双方验货后签字确认，双方各持一份，作为送、收货的凭证。</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3.2 中标人应随货附送同批货物的质量合格证书、检测报告和其他相关技术文件。如货物缺少质量合格证书和检测报告，招标人有权拒收货物，由此产生的责任全部由中标人承担。</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r>
              <w:rPr>
                <w:rFonts w:hint="default" w:ascii="宋体" w:hAnsi="宋体" w:eastAsia="宋体" w:cs="Times New Roman"/>
                <w:b w:val="0"/>
                <w:bCs/>
                <w:color w:val="auto"/>
                <w:sz w:val="18"/>
                <w:szCs w:val="18"/>
                <w:highlight w:val="none"/>
                <w:lang w:val="en-US" w:eastAsia="zh-CN"/>
              </w:rPr>
              <w:t>3.3 由中标人负责将货物运送至招标人指定地点，并负责卸货及搬运至招标人指定的货物停放区。运输及装卸费用已包含在合同价款中，不再另行支付。</w:t>
            </w:r>
          </w:p>
        </w:tc>
        <w:tc>
          <w:tcPr>
            <w:tcW w:w="366" w:type="pct"/>
            <w:vAlign w:val="center"/>
          </w:tcPr>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p>
        </w:tc>
        <w:tc>
          <w:tcPr>
            <w:tcW w:w="371" w:type="pct"/>
            <w:vAlign w:val="center"/>
          </w:tcPr>
          <w:p>
            <w:pPr>
              <w:pageBreakBefore w:val="0"/>
              <w:widowControl w:val="0"/>
              <w:kinsoku/>
              <w:wordWrap/>
              <w:overflowPunct/>
              <w:topLinePunct w:val="0"/>
              <w:bidi w:val="0"/>
              <w:snapToGrid/>
              <w:spacing w:line="240" w:lineRule="auto"/>
              <w:ind w:firstLine="360" w:firstLineChars="200"/>
              <w:jc w:val="left"/>
              <w:textAlignment w:val="auto"/>
              <w:rPr>
                <w:rFonts w:hint="eastAsia" w:ascii="宋体" w:hAnsi="宋体" w:eastAsia="宋体"/>
                <w:b w:val="0"/>
                <w:bCs/>
                <w:color w:val="auto"/>
                <w:sz w:val="18"/>
                <w:szCs w:val="18"/>
                <w:highlight w:val="none"/>
              </w:rPr>
            </w:pPr>
          </w:p>
        </w:tc>
        <w:tc>
          <w:tcPr>
            <w:tcW w:w="371" w:type="pct"/>
            <w:vAlign w:val="center"/>
          </w:tcPr>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b w:val="0"/>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5</w:t>
            </w:r>
          </w:p>
        </w:tc>
        <w:tc>
          <w:tcPr>
            <w:tcW w:w="187"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六</w:t>
            </w:r>
          </w:p>
        </w:tc>
        <w:tc>
          <w:tcPr>
            <w:tcW w:w="3549" w:type="pct"/>
            <w:vAlign w:val="center"/>
          </w:tcPr>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r>
              <w:rPr>
                <w:rFonts w:hint="default" w:ascii="宋体" w:hAnsi="宋体" w:eastAsia="宋体" w:cs="Times New Roman"/>
                <w:b w:val="0"/>
                <w:bCs/>
                <w:color w:val="auto"/>
                <w:sz w:val="18"/>
                <w:szCs w:val="18"/>
                <w:highlight w:val="none"/>
              </w:rPr>
              <w:t>六、检验和验收</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1.货物的验收</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1.1 由招标人、中标人共同进行货物的验收，验收合格后交付招标人。在招标人现场验收所发生的一切费用由中标人承担。验收按国家有关的规定、规范进行。货物质控要求符合用户需求的质量控制标准或有效试验判断标准要求。</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1.2 验收时如发现所交付的货物有短装、次品、损坏或其它不符合本合同规定之情形者，由招标人和中标人双方签署详细的验收记录。此现场记录可用作补充、缺失和更换损坏部件的有效证据。由此产生的有关费用由中标人承担。招标人有权要求中标人在 4 小时内补充、更换货物，如中标人拒不履行，招标人可按照合同约定的违约条款进行索赔。</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1.3 国内产品或合资厂产品必须具备出厂合格证。</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 xml:space="preserve">1.4 进口产品必须具有《进口产品注册证书》及相关商检证明。 </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2.质量保证及售后服务</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2.1 中标人应将其提供的合同货物运抵现场，并经验收合格方可交付招标人。</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2.2 定期抽检：在履约期间，招标人有权每半年一次委托有资质的第三方检测机构进行检测，货物质量应满足《管道用球墨铸铁修补器(YB/T 4652)》等相关标准的要求，检测费用由中标人负责。</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2.3 不定期检测：在履约期间，招标人有权委托有资质的第三方检测机构按相关规定对货物进行检测，检测地点根据检测项目需求可为材料生产基地或招标人指定的材料送货地点，中标人应予以配合，如检测结果合格，费用由招标人负责；如检测结果不合格，费用由中标人负责，并承担对不合格批次产品的更换。</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2.4 中标人按合同交付货物给招标人时，质保期内正常使用下，因非人为因素损坏的，中标人应在收到有关通知后，按招标人要求时间予以更换，质保期内全部服务费和更换货物的费用由中标人承担。</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2.5 中标人除不可抗力外，不得因其他任何理由延迟送货。招标人如遇特殊情况需推迟送货，应提前通知中标人。因中标人原因延误交货日期的(招标人要求推迟的除外),招标人有权自行采购，并由中标人承担由此产生的一切损失和费用。</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2.6 如货物不能达到合同约定的质量标准和厂家的质量标准，招标人有权退货，并依法追究中标人的违约责任。达到三次或以上退货的，招标人有权解除合同，并另外委托其他中标人供应，由此产生的招标人的经济损失由中标人负责。</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2.7 如果合同货物运输过程中因事故造成货物短缺、损坏，中标人应及时安排换货，以保证合同货物验收的成功完成。换货的相关费用由中标人承担。</w:t>
            </w:r>
          </w:p>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r>
              <w:rPr>
                <w:rFonts w:hint="default" w:ascii="宋体" w:hAnsi="宋体" w:eastAsia="宋体" w:cs="Times New Roman"/>
                <w:b w:val="0"/>
                <w:bCs/>
                <w:color w:val="auto"/>
                <w:sz w:val="18"/>
                <w:szCs w:val="18"/>
                <w:highlight w:val="none"/>
                <w:lang w:val="en-US" w:eastAsia="zh-CN"/>
              </w:rPr>
              <w:t>2.8 供货期内，</w:t>
            </w:r>
            <w:r>
              <w:rPr>
                <w:rFonts w:hint="eastAsia" w:ascii="宋体" w:hAnsi="宋体" w:eastAsia="宋体" w:cs="Times New Roman"/>
                <w:b w:val="0"/>
                <w:bCs/>
                <w:color w:val="auto"/>
                <w:sz w:val="18"/>
                <w:szCs w:val="18"/>
                <w:highlight w:val="none"/>
                <w:lang w:val="en-US" w:eastAsia="zh-CN"/>
              </w:rPr>
              <w:t>中标人</w:t>
            </w:r>
            <w:r>
              <w:rPr>
                <w:rFonts w:hint="default" w:ascii="宋体" w:hAnsi="宋体" w:eastAsia="宋体" w:cs="Times New Roman"/>
                <w:b w:val="0"/>
                <w:bCs/>
                <w:color w:val="auto"/>
                <w:sz w:val="18"/>
                <w:szCs w:val="18"/>
                <w:highlight w:val="none"/>
                <w:lang w:val="en-US" w:eastAsia="zh-CN"/>
              </w:rPr>
              <w:t>如接到招标人的售后服务通知的，需在4小时内响应。</w:t>
            </w:r>
          </w:p>
        </w:tc>
        <w:tc>
          <w:tcPr>
            <w:tcW w:w="366" w:type="pct"/>
            <w:vAlign w:val="center"/>
          </w:tcPr>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p>
        </w:tc>
        <w:tc>
          <w:tcPr>
            <w:tcW w:w="371" w:type="pct"/>
            <w:vAlign w:val="center"/>
          </w:tcPr>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b w:val="0"/>
                <w:bCs/>
                <w:color w:val="auto"/>
                <w:sz w:val="18"/>
                <w:szCs w:val="18"/>
                <w:highlight w:val="none"/>
                <w:lang w:val="en-US" w:eastAsia="zh-CN"/>
              </w:rPr>
            </w:pPr>
          </w:p>
        </w:tc>
        <w:tc>
          <w:tcPr>
            <w:tcW w:w="371"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15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187"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七</w:t>
            </w:r>
          </w:p>
        </w:tc>
        <w:tc>
          <w:tcPr>
            <w:tcW w:w="3549" w:type="pct"/>
            <w:vAlign w:val="top"/>
          </w:tcPr>
          <w:p>
            <w:pPr>
              <w:pageBreakBefore w:val="0"/>
              <w:widowControl w:val="0"/>
              <w:kinsoku/>
              <w:wordWrap/>
              <w:overflowPunct/>
              <w:topLinePunct w:val="0"/>
              <w:bidi w:val="0"/>
              <w:snapToGrid/>
              <w:spacing w:line="240" w:lineRule="auto"/>
              <w:ind w:firstLine="360" w:firstLineChars="200"/>
              <w:jc w:val="both"/>
              <w:textAlignment w:val="auto"/>
              <w:rPr>
                <w:rFonts w:hint="default" w:ascii="宋体" w:hAnsi="宋体" w:eastAsia="宋体" w:cs="Times New Roman"/>
                <w:b w:val="0"/>
                <w:bCs/>
                <w:color w:val="auto"/>
                <w:sz w:val="18"/>
                <w:szCs w:val="18"/>
                <w:highlight w:val="none"/>
              </w:rPr>
            </w:pPr>
            <w:r>
              <w:rPr>
                <w:rFonts w:hint="default" w:ascii="宋体" w:hAnsi="宋体" w:eastAsia="宋体" w:cs="Times New Roman"/>
                <w:b w:val="0"/>
                <w:bCs/>
                <w:color w:val="auto"/>
                <w:sz w:val="18"/>
                <w:szCs w:val="18"/>
                <w:highlight w:val="none"/>
              </w:rPr>
              <w:t>七、付款方式</w:t>
            </w:r>
          </w:p>
          <w:p>
            <w:pPr>
              <w:pageBreakBefore w:val="0"/>
              <w:widowControl w:val="0"/>
              <w:kinsoku/>
              <w:wordWrap/>
              <w:overflowPunct/>
              <w:topLinePunct w:val="0"/>
              <w:bidi w:val="0"/>
              <w:snapToGrid/>
              <w:spacing w:line="240" w:lineRule="auto"/>
              <w:ind w:firstLine="360" w:firstLineChars="200"/>
              <w:jc w:val="both"/>
              <w:textAlignment w:val="auto"/>
              <w:rPr>
                <w:rFonts w:hint="default" w:ascii="宋体" w:hAnsi="宋体" w:eastAsia="宋体" w:cs="Times New Roman"/>
                <w:b w:val="0"/>
                <w:bCs/>
                <w:color w:val="auto"/>
                <w:sz w:val="18"/>
                <w:szCs w:val="18"/>
                <w:highlight w:val="none"/>
                <w:lang w:val="en-US" w:eastAsia="zh-CN"/>
              </w:rPr>
            </w:pPr>
            <w:r>
              <w:rPr>
                <w:rFonts w:hint="default" w:ascii="宋体" w:hAnsi="宋体" w:eastAsia="宋体" w:cs="Times New Roman"/>
                <w:b w:val="0"/>
                <w:bCs/>
                <w:color w:val="auto"/>
                <w:sz w:val="18"/>
                <w:szCs w:val="18"/>
                <w:highlight w:val="none"/>
                <w:lang w:val="en-US" w:eastAsia="zh-CN"/>
              </w:rPr>
              <w:t>1.本项目不设预付款。本项目的投标报价采用统一折扣系数报价，合同履约过程中，采购清单中的不含税中标综合单价按以下方式计算：不含税中标综合单价=不含税固定综合单价×中标折扣系数，以实际供货数量进行结算。不含税中标综合单价出现小数点，保留小数点后两位，从小数点后第3位四舍五入。本项目的价格为不含税价，即为《中华人民共和国增值税暂行条例》（国务院令第691号修订版）规定的销售额。本招标文件所称的不含税价和暂定合同价是指不含本采购项目</w:t>
            </w:r>
            <w:r>
              <w:rPr>
                <w:rFonts w:hint="eastAsia" w:ascii="宋体" w:hAnsi="宋体" w:eastAsia="宋体" w:cs="Times New Roman"/>
                <w:b w:val="0"/>
                <w:bCs/>
                <w:color w:val="auto"/>
                <w:sz w:val="18"/>
                <w:szCs w:val="18"/>
                <w:highlight w:val="none"/>
                <w:lang w:val="en-US" w:eastAsia="zh-CN"/>
              </w:rPr>
              <w:t>中标人</w:t>
            </w:r>
            <w:r>
              <w:rPr>
                <w:rFonts w:hint="default" w:ascii="宋体" w:hAnsi="宋体" w:eastAsia="宋体" w:cs="Times New Roman"/>
                <w:b w:val="0"/>
                <w:bCs/>
                <w:color w:val="auto"/>
                <w:sz w:val="18"/>
                <w:szCs w:val="18"/>
                <w:highlight w:val="none"/>
                <w:lang w:val="en-US" w:eastAsia="zh-CN"/>
              </w:rPr>
              <w:t>的销项税额，包含了中标人完成合同义务（含</w:t>
            </w:r>
            <w:r>
              <w:rPr>
                <w:rFonts w:hint="eastAsia" w:ascii="宋体" w:hAnsi="宋体" w:eastAsia="宋体" w:cs="Times New Roman"/>
                <w:b w:val="0"/>
                <w:bCs/>
                <w:color w:val="auto"/>
                <w:sz w:val="18"/>
                <w:szCs w:val="18"/>
                <w:highlight w:val="none"/>
                <w:lang w:val="en-US" w:eastAsia="zh-CN"/>
              </w:rPr>
              <w:t>中标人</w:t>
            </w:r>
            <w:r>
              <w:rPr>
                <w:rFonts w:hint="default" w:ascii="宋体" w:hAnsi="宋体" w:eastAsia="宋体" w:cs="Times New Roman"/>
                <w:b w:val="0"/>
                <w:bCs/>
                <w:color w:val="auto"/>
                <w:sz w:val="18"/>
                <w:szCs w:val="18"/>
                <w:highlight w:val="none"/>
                <w:lang w:val="en-US" w:eastAsia="zh-CN"/>
              </w:rPr>
              <w:t>代缴代扣、分包及委外服务、采购货物等所产生的价税）的其他全部费用。</w:t>
            </w:r>
          </w:p>
          <w:p>
            <w:pPr>
              <w:pageBreakBefore w:val="0"/>
              <w:widowControl w:val="0"/>
              <w:kinsoku/>
              <w:wordWrap/>
              <w:overflowPunct/>
              <w:topLinePunct w:val="0"/>
              <w:bidi w:val="0"/>
              <w:snapToGrid/>
              <w:spacing w:line="240" w:lineRule="auto"/>
              <w:ind w:firstLine="360" w:firstLineChars="200"/>
              <w:jc w:val="both"/>
              <w:textAlignment w:val="auto"/>
              <w:rPr>
                <w:rFonts w:hint="default" w:ascii="宋体" w:hAnsi="宋体" w:eastAsia="宋体" w:cs="Times New Roman"/>
                <w:b w:val="0"/>
                <w:bCs/>
                <w:color w:val="auto"/>
                <w:sz w:val="18"/>
                <w:szCs w:val="18"/>
                <w:highlight w:val="none"/>
              </w:rPr>
            </w:pPr>
            <w:r>
              <w:rPr>
                <w:rFonts w:hint="default" w:ascii="宋体" w:hAnsi="宋体" w:eastAsia="宋体" w:cs="Times New Roman"/>
                <w:b w:val="0"/>
                <w:bCs/>
                <w:color w:val="auto"/>
                <w:sz w:val="18"/>
                <w:szCs w:val="18"/>
                <w:highlight w:val="none"/>
                <w:lang w:val="en-US" w:eastAsia="zh-CN"/>
              </w:rPr>
              <w:t>2.招标人收到每批货物经招标人书面确认验收合格后，招标人按供货进度向中标人支付上月实际验收合格供货量的款项。中标人应向招标人提供请款报告和等额的合法、有效的增值税普通发票，招标人在收到前述材料并确认无误后 20 个工作日内，采购人支付结算上月实际验收合格供货量总价【100%】的货款及对应税额。</w:t>
            </w:r>
          </w:p>
        </w:tc>
        <w:tc>
          <w:tcPr>
            <w:tcW w:w="366" w:type="pct"/>
            <w:vAlign w:val="center"/>
          </w:tcPr>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cs="Times New Roman"/>
                <w:b w:val="0"/>
                <w:bCs/>
                <w:color w:val="auto"/>
                <w:sz w:val="18"/>
                <w:szCs w:val="18"/>
                <w:highlight w:val="none"/>
              </w:rPr>
            </w:pPr>
          </w:p>
        </w:tc>
        <w:tc>
          <w:tcPr>
            <w:tcW w:w="371" w:type="pct"/>
            <w:vAlign w:val="center"/>
          </w:tcPr>
          <w:p>
            <w:pPr>
              <w:pageBreakBefore w:val="0"/>
              <w:widowControl w:val="0"/>
              <w:kinsoku/>
              <w:wordWrap/>
              <w:overflowPunct/>
              <w:topLinePunct w:val="0"/>
              <w:bidi w:val="0"/>
              <w:snapToGrid/>
              <w:spacing w:line="240" w:lineRule="auto"/>
              <w:ind w:firstLine="360" w:firstLineChars="200"/>
              <w:jc w:val="left"/>
              <w:textAlignment w:val="auto"/>
              <w:rPr>
                <w:rFonts w:hint="default" w:ascii="宋体" w:hAnsi="宋体" w:eastAsia="宋体"/>
                <w:b w:val="0"/>
                <w:bCs/>
                <w:color w:val="auto"/>
                <w:sz w:val="18"/>
                <w:szCs w:val="18"/>
                <w:highlight w:val="none"/>
                <w:lang w:val="en-US" w:eastAsia="zh-CN"/>
              </w:rPr>
            </w:pPr>
          </w:p>
        </w:tc>
        <w:tc>
          <w:tcPr>
            <w:tcW w:w="371"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187"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附件一</w:t>
            </w:r>
          </w:p>
        </w:tc>
        <w:tc>
          <w:tcPr>
            <w:tcW w:w="3549"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b w:val="0"/>
                <w:bCs/>
                <w:color w:val="auto"/>
                <w:sz w:val="18"/>
                <w:szCs w:val="18"/>
                <w:highlight w:val="none"/>
              </w:rPr>
            </w:pPr>
            <w:r>
              <w:rPr>
                <w:rFonts w:hint="eastAsia" w:ascii="宋体" w:hAnsi="宋体" w:eastAsia="宋体"/>
                <w:b w:val="0"/>
                <w:bCs/>
                <w:color w:val="auto"/>
                <w:sz w:val="18"/>
                <w:szCs w:val="18"/>
                <w:highlight w:val="none"/>
              </w:rPr>
              <w:t>采购货物清单</w:t>
            </w:r>
          </w:p>
        </w:tc>
        <w:tc>
          <w:tcPr>
            <w:tcW w:w="366"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71"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71"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 w:type="pct"/>
            <w:vAlign w:val="center"/>
          </w:tcPr>
          <w:p>
            <w:pPr>
              <w:pageBreakBefore w:val="0"/>
              <w:widowControl w:val="0"/>
              <w:kinsoku/>
              <w:wordWrap/>
              <w:overflowPunct/>
              <w:topLinePunct w:val="0"/>
              <w:bidi w:val="0"/>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8</w:t>
            </w:r>
          </w:p>
        </w:tc>
        <w:tc>
          <w:tcPr>
            <w:tcW w:w="187"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附件二</w:t>
            </w:r>
          </w:p>
        </w:tc>
        <w:tc>
          <w:tcPr>
            <w:tcW w:w="3549" w:type="pct"/>
            <w:vAlign w:val="center"/>
          </w:tcPr>
          <w:p>
            <w:pPr>
              <w:pageBreakBefore w:val="0"/>
              <w:widowControl w:val="0"/>
              <w:kinsoku/>
              <w:wordWrap/>
              <w:overflowPunct/>
              <w:topLinePunct w:val="0"/>
              <w:bidi w:val="0"/>
              <w:snapToGrid/>
              <w:spacing w:line="240" w:lineRule="auto"/>
              <w:jc w:val="center"/>
              <w:textAlignment w:val="auto"/>
              <w:rPr>
                <w:rFonts w:ascii="宋体" w:hAnsi="宋体" w:eastAsia="宋体"/>
                <w:b w:val="0"/>
                <w:bCs/>
                <w:color w:val="auto"/>
                <w:sz w:val="18"/>
                <w:szCs w:val="18"/>
                <w:highlight w:val="none"/>
              </w:rPr>
            </w:pPr>
            <w:r>
              <w:rPr>
                <w:rFonts w:hint="eastAsia" w:ascii="宋体" w:hAnsi="宋体" w:eastAsia="宋体"/>
                <w:b w:val="0"/>
                <w:bCs/>
                <w:color w:val="auto"/>
                <w:sz w:val="18"/>
                <w:szCs w:val="18"/>
                <w:highlight w:val="none"/>
              </w:rPr>
              <w:t>东莞市水务集团供水有限公司及下属分公司供水管网维护维修材料送货单</w:t>
            </w:r>
          </w:p>
        </w:tc>
        <w:tc>
          <w:tcPr>
            <w:tcW w:w="366"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71"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71"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vAlign w:val="center"/>
          </w:tcPr>
          <w:p>
            <w:pPr>
              <w:keepNext/>
              <w:keepLines/>
              <w:pageBreakBefore w:val="0"/>
              <w:widowControl w:val="0"/>
              <w:kinsoku/>
              <w:wordWrap/>
              <w:overflowPunct/>
              <w:topLinePunct w:val="0"/>
              <w:bidi w:val="0"/>
              <w:snapToGrid/>
              <w:spacing w:line="240" w:lineRule="auto"/>
              <w:jc w:val="left"/>
              <w:textAlignment w:val="auto"/>
              <w:outlineLvl w:val="2"/>
              <w:rPr>
                <w:rFonts w:ascii="宋体" w:hAnsi="宋体" w:eastAsia="宋体" w:cs="宋体"/>
                <w:b w:val="0"/>
                <w:bCs/>
                <w:color w:val="auto"/>
                <w:kern w:val="0"/>
                <w:sz w:val="18"/>
                <w:szCs w:val="18"/>
                <w:highlight w:val="none"/>
              </w:rPr>
            </w:pPr>
            <w:r>
              <w:rPr>
                <w:rFonts w:hint="eastAsia" w:ascii="宋体" w:hAnsi="宋体" w:eastAsia="宋体" w:cs="宋体"/>
                <w:color w:val="auto"/>
                <w:kern w:val="0"/>
                <w:sz w:val="18"/>
                <w:szCs w:val="18"/>
                <w:highlight w:val="none"/>
              </w:rPr>
              <w:t>用户需求书“★”条款汇总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53"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187" w:type="pct"/>
            <w:vAlign w:val="center"/>
          </w:tcPr>
          <w:p>
            <w:pPr>
              <w:pageBreakBefore w:val="0"/>
              <w:widowControl w:val="0"/>
              <w:kinsoku/>
              <w:wordWrap/>
              <w:overflowPunct/>
              <w:topLinePunct w:val="0"/>
              <w:bidi w:val="0"/>
              <w:snapToGrid/>
              <w:spacing w:line="240" w:lineRule="auto"/>
              <w:jc w:val="center"/>
              <w:textAlignment w:val="auto"/>
              <w:rPr>
                <w:rFonts w:hint="default"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三</w:t>
            </w:r>
          </w:p>
        </w:tc>
        <w:tc>
          <w:tcPr>
            <w:tcW w:w="3549" w:type="pct"/>
            <w:vAlign w:val="center"/>
          </w:tcPr>
          <w:p>
            <w:pPr>
              <w:pageBreakBefore w:val="0"/>
              <w:widowControl w:val="0"/>
              <w:kinsoku/>
              <w:wordWrap/>
              <w:overflowPunct/>
              <w:topLinePunct w:val="0"/>
              <w:bidi w:val="0"/>
              <w:adjustRightInd w:val="0"/>
              <w:snapToGrid w:val="0"/>
              <w:spacing w:line="240" w:lineRule="auto"/>
              <w:ind w:firstLine="360" w:firstLineChars="200"/>
              <w:jc w:val="left"/>
              <w:textAlignment w:val="auto"/>
              <w:rPr>
                <w:rFonts w:hint="eastAsia" w:ascii="宋体" w:hAnsi="宋体" w:eastAsia="宋体"/>
                <w:b w:val="0"/>
                <w:bCs/>
                <w:color w:val="auto"/>
                <w:sz w:val="18"/>
                <w:szCs w:val="18"/>
                <w:highlight w:val="none"/>
              </w:rPr>
            </w:pPr>
            <w:r>
              <w:rPr>
                <w:rFonts w:hint="eastAsia" w:ascii="宋体" w:hAnsi="宋体" w:eastAsia="宋体"/>
                <w:b w:val="0"/>
                <w:bCs/>
                <w:color w:val="auto"/>
                <w:sz w:val="18"/>
                <w:szCs w:val="18"/>
                <w:highlight w:val="none"/>
              </w:rPr>
              <w:t>三、货物技术要求</w:t>
            </w:r>
          </w:p>
          <w:p>
            <w:pPr>
              <w:pageBreakBefore w:val="0"/>
              <w:widowControl w:val="0"/>
              <w:kinsoku/>
              <w:wordWrap/>
              <w:overflowPunct/>
              <w:topLinePunct w:val="0"/>
              <w:bidi w:val="0"/>
              <w:adjustRightInd w:val="0"/>
              <w:snapToGrid w:val="0"/>
              <w:spacing w:line="240" w:lineRule="auto"/>
              <w:ind w:firstLine="360" w:firstLineChars="200"/>
              <w:jc w:val="left"/>
              <w:textAlignment w:val="auto"/>
              <w:rPr>
                <w:rFonts w:hint="eastAsia" w:ascii="宋体" w:hAnsi="宋体" w:eastAsia="宋体"/>
                <w:b w:val="0"/>
                <w:bCs/>
                <w:color w:val="auto"/>
                <w:sz w:val="18"/>
                <w:szCs w:val="18"/>
                <w:highlight w:val="none"/>
              </w:rPr>
            </w:pPr>
            <w:r>
              <w:rPr>
                <w:rFonts w:hint="eastAsia" w:ascii="宋体" w:hAnsi="宋体" w:eastAsia="宋体"/>
                <w:b w:val="0"/>
                <w:bCs/>
                <w:color w:val="auto"/>
                <w:sz w:val="18"/>
                <w:szCs w:val="18"/>
                <w:highlight w:val="none"/>
              </w:rPr>
              <w:t>★1.投标人所供抢修器（</w:t>
            </w:r>
            <w:r>
              <w:rPr>
                <w:rFonts w:hint="eastAsia" w:ascii="宋体" w:hAnsi="宋体" w:eastAsia="宋体"/>
                <w:b w:val="0"/>
                <w:bCs/>
                <w:color w:val="auto"/>
                <w:sz w:val="18"/>
                <w:szCs w:val="18"/>
                <w:highlight w:val="none"/>
                <w:lang w:val="en-US" w:eastAsia="zh-CN"/>
              </w:rPr>
              <w:t>别称：</w:t>
            </w:r>
            <w:r>
              <w:rPr>
                <w:rFonts w:hint="eastAsia" w:ascii="宋体" w:hAnsi="宋体" w:eastAsia="宋体"/>
                <w:b w:val="0"/>
                <w:bCs/>
                <w:color w:val="auto"/>
                <w:sz w:val="18"/>
                <w:szCs w:val="18"/>
                <w:highlight w:val="none"/>
              </w:rPr>
              <w:t>哈夫节）具有有效的</w:t>
            </w:r>
            <w:r>
              <w:rPr>
                <w:rFonts w:hint="eastAsia" w:ascii="宋体" w:hAnsi="宋体" w:eastAsia="宋体"/>
                <w:b w:val="0"/>
                <w:bCs/>
                <w:color w:val="auto"/>
                <w:sz w:val="18"/>
                <w:szCs w:val="18"/>
                <w:highlight w:val="none"/>
                <w:lang w:val="en-US" w:eastAsia="zh-CN"/>
              </w:rPr>
              <w:t>省</w:t>
            </w:r>
            <w:r>
              <w:rPr>
                <w:rFonts w:hint="eastAsia" w:ascii="宋体" w:hAnsi="宋体" w:eastAsia="宋体"/>
                <w:b w:val="0"/>
                <w:bCs/>
                <w:color w:val="auto"/>
                <w:sz w:val="18"/>
                <w:szCs w:val="18"/>
                <w:highlight w:val="none"/>
              </w:rPr>
              <w:t>级以上(含</w:t>
            </w:r>
            <w:r>
              <w:rPr>
                <w:rFonts w:hint="eastAsia" w:ascii="宋体" w:hAnsi="宋体" w:eastAsia="宋体"/>
                <w:b w:val="0"/>
                <w:bCs/>
                <w:color w:val="auto"/>
                <w:sz w:val="18"/>
                <w:szCs w:val="18"/>
                <w:highlight w:val="none"/>
                <w:lang w:val="en-US" w:eastAsia="zh-CN"/>
              </w:rPr>
              <w:t>省</w:t>
            </w:r>
            <w:r>
              <w:rPr>
                <w:rFonts w:hint="eastAsia" w:ascii="宋体" w:hAnsi="宋体" w:eastAsia="宋体"/>
                <w:b w:val="0"/>
                <w:bCs/>
                <w:color w:val="auto"/>
                <w:sz w:val="18"/>
                <w:szCs w:val="18"/>
                <w:highlight w:val="none"/>
              </w:rPr>
              <w:t>级)卫生行政主管部门颁发的《涉及饮用水卫生安全产品卫生许可批件》</w:t>
            </w:r>
            <w:r>
              <w:rPr>
                <w:rFonts w:hint="eastAsia" w:ascii="宋体" w:hAnsi="宋体" w:eastAsia="宋体"/>
                <w:b w:val="0"/>
                <w:bCs/>
                <w:color w:val="auto"/>
                <w:sz w:val="18"/>
                <w:szCs w:val="18"/>
                <w:highlight w:val="none"/>
                <w:lang w:val="en-US" w:eastAsia="zh-CN"/>
              </w:rPr>
              <w:t>复印件</w:t>
            </w:r>
            <w:r>
              <w:rPr>
                <w:rFonts w:hint="eastAsia" w:ascii="宋体" w:hAnsi="宋体" w:eastAsia="宋体"/>
                <w:b w:val="0"/>
                <w:bCs/>
                <w:color w:val="auto"/>
                <w:sz w:val="18"/>
                <w:szCs w:val="18"/>
                <w:highlight w:val="none"/>
              </w:rPr>
              <w:t>。</w:t>
            </w:r>
          </w:p>
        </w:tc>
        <w:tc>
          <w:tcPr>
            <w:tcW w:w="366"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71"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71" w:type="pct"/>
            <w:vAlign w:val="center"/>
          </w:tcPr>
          <w:p>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bl>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w:t>
      </w:r>
      <w:r>
        <w:rPr>
          <w:rFonts w:hint="eastAsia" w:ascii="宋体" w:hAnsi="宋体" w:eastAsia="宋体" w:cs="宋体"/>
          <w:b/>
          <w:color w:val="auto"/>
          <w:szCs w:val="21"/>
          <w:highlight w:val="none"/>
          <w:u w:val="single"/>
          <w:lang w:val="en-US" w:eastAsia="zh-CN"/>
        </w:rPr>
        <w:t xml:space="preserve">1. </w:t>
      </w:r>
      <w:r>
        <w:rPr>
          <w:rFonts w:hint="eastAsia" w:ascii="宋体" w:hAnsi="宋体" w:eastAsia="宋体" w:cs="宋体"/>
          <w:b/>
          <w:color w:val="auto"/>
          <w:szCs w:val="21"/>
          <w:highlight w:val="none"/>
          <w:u w:val="single"/>
          <w:lang w:eastAsia="zh-CN"/>
        </w:rPr>
        <w:t>项目信息”除外）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w:t>
      </w:r>
      <w:r>
        <w:rPr>
          <w:rFonts w:hint="eastAsia" w:ascii="宋体" w:hAnsi="宋体" w:eastAsia="宋体" w:cs="宋体"/>
          <w:b/>
          <w:color w:val="auto"/>
          <w:szCs w:val="21"/>
          <w:highlight w:val="none"/>
          <w:u w:val="single"/>
          <w:lang w:val="en-US" w:eastAsia="zh-CN"/>
        </w:rPr>
        <w:t>，</w:t>
      </w:r>
      <w:r>
        <w:rPr>
          <w:rFonts w:hint="eastAsia" w:ascii="宋体" w:hAnsi="宋体" w:eastAsia="宋体" w:cs="宋体"/>
          <w:b/>
          <w:color w:val="auto"/>
          <w:szCs w:val="21"/>
          <w:highlight w:val="none"/>
          <w:u w:val="single"/>
        </w:rPr>
        <w:t>须逐条逐项、如实地填写“偏离情况”，未填写“★”条款以外的条款的，视为完全满足招标文件要求。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pPr>
        <w:spacing w:line="360" w:lineRule="auto"/>
        <w:ind w:left="607" w:leftChars="18" w:hanging="569" w:hangingChars="270"/>
        <w:rPr>
          <w:rFonts w:ascii="宋体" w:hAnsi="宋体" w:eastAsia="宋体" w:cs="Times New Roman"/>
          <w:b/>
          <w:color w:val="auto"/>
          <w:kern w:val="0"/>
          <w:sz w:val="24"/>
          <w:szCs w:val="21"/>
          <w:highlight w:val="none"/>
          <w:u w:val="single"/>
          <w:lang w:val="zh-CN"/>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spacing w:line="240" w:lineRule="auto"/>
        <w:ind w:left="15" w:leftChars="-50" w:hanging="120"/>
        <w:jc w:val="left"/>
        <w:outlineLvl w:val="9"/>
        <w:rPr>
          <w:rFonts w:hint="eastAsia" w:ascii="宋体" w:hAnsi="宋体" w:eastAsia="宋体" w:cs="宋体"/>
          <w:b/>
          <w:color w:val="auto"/>
          <w:kern w:val="0"/>
          <w:sz w:val="30"/>
          <w:szCs w:val="30"/>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r>
        <w:rPr>
          <w:rFonts w:hint="eastAsia" w:ascii="宋体" w:hAnsi="宋体" w:eastAsia="宋体" w:cs="宋体"/>
          <w:b/>
          <w:color w:val="auto"/>
          <w:kern w:val="0"/>
          <w:sz w:val="30"/>
          <w:szCs w:val="30"/>
          <w:highlight w:val="none"/>
        </w:rPr>
        <w:br w:type="page"/>
      </w:r>
      <w:bookmarkStart w:id="955" w:name="_Toc102860431"/>
      <w:bookmarkStart w:id="956" w:name="_Toc102860087"/>
      <w:bookmarkStart w:id="957" w:name="_Toc104991889"/>
      <w:bookmarkStart w:id="958" w:name="_Toc94107224"/>
      <w:bookmarkStart w:id="959" w:name="_Toc140596942"/>
      <w:bookmarkStart w:id="960" w:name="_Toc142508382"/>
      <w:bookmarkStart w:id="961" w:name="_Toc20665"/>
      <w:bookmarkStart w:id="962" w:name="_Toc28623"/>
    </w:p>
    <w:bookmarkEnd w:id="955"/>
    <w:bookmarkEnd w:id="956"/>
    <w:bookmarkEnd w:id="957"/>
    <w:bookmarkEnd w:id="958"/>
    <w:bookmarkEnd w:id="959"/>
    <w:bookmarkEnd w:id="960"/>
    <w:bookmarkEnd w:id="961"/>
    <w:bookmarkEnd w:id="962"/>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firstLine="0"/>
        <w:jc w:val="left"/>
        <w:textAlignment w:val="auto"/>
        <w:outlineLvl w:val="1"/>
        <w:rPr>
          <w:rFonts w:hint="eastAsia" w:ascii="宋体" w:hAnsi="宋体" w:eastAsia="宋体" w:cs="宋体"/>
          <w:b/>
          <w:color w:val="auto"/>
          <w:kern w:val="0"/>
          <w:sz w:val="30"/>
          <w:szCs w:val="30"/>
          <w:highlight w:val="none"/>
        </w:rPr>
      </w:pPr>
      <w:bookmarkStart w:id="963" w:name="_Toc28875"/>
      <w:bookmarkStart w:id="964" w:name="_Toc17811"/>
      <w:bookmarkStart w:id="965" w:name="_Toc30876"/>
      <w:bookmarkStart w:id="966" w:name="_Toc6926"/>
      <w:bookmarkStart w:id="967" w:name="_Toc102860438"/>
      <w:bookmarkStart w:id="968" w:name="_Toc104991896"/>
      <w:bookmarkStart w:id="969" w:name="_Toc102860094"/>
      <w:bookmarkStart w:id="970" w:name="_Toc142508389"/>
      <w:bookmarkStart w:id="971" w:name="_Toc140596949"/>
      <w:bookmarkStart w:id="972" w:name="_Toc533708139"/>
      <w:r>
        <w:rPr>
          <w:rFonts w:hint="eastAsia" w:ascii="宋体" w:hAnsi="宋体" w:eastAsia="宋体" w:cs="宋体"/>
          <w:b/>
          <w:color w:val="auto"/>
          <w:kern w:val="0"/>
          <w:sz w:val="30"/>
          <w:szCs w:val="30"/>
          <w:highlight w:val="none"/>
          <w:lang w:val="en-US" w:eastAsia="zh-CN"/>
        </w:rPr>
        <w:t xml:space="preserve">12.2 </w:t>
      </w:r>
      <w:r>
        <w:rPr>
          <w:rFonts w:hint="eastAsia" w:ascii="宋体" w:hAnsi="宋体" w:eastAsia="宋体" w:cs="宋体"/>
          <w:b/>
          <w:color w:val="auto"/>
          <w:kern w:val="0"/>
          <w:sz w:val="30"/>
          <w:szCs w:val="30"/>
          <w:highlight w:val="none"/>
        </w:rPr>
        <w:t>供货货物清单表格式</w:t>
      </w:r>
      <w:bookmarkEnd w:id="963"/>
      <w:bookmarkEnd w:id="964"/>
      <w:bookmarkEnd w:id="965"/>
    </w:p>
    <w:p>
      <w:pPr>
        <w:keepNext w:val="0"/>
        <w:keepLines w:val="0"/>
        <w:pageBreakBefore w:val="0"/>
        <w:widowControl w:val="0"/>
        <w:kinsoku/>
        <w:wordWrap/>
        <w:overflowPunct/>
        <w:topLinePunct w:val="0"/>
        <w:autoSpaceDE w:val="0"/>
        <w:autoSpaceDN w:val="0"/>
        <w:bidi w:val="0"/>
        <w:adjustRightInd w:val="0"/>
        <w:snapToGrid/>
        <w:ind w:right="-23" w:rightChars="-11" w:firstLine="0"/>
        <w:jc w:val="center"/>
        <w:textAlignment w:val="auto"/>
        <w:outlineLvl w:val="9"/>
        <w:rPr>
          <w:rFonts w:hint="eastAsia"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供货货物清单表</w:t>
      </w:r>
    </w:p>
    <w:p>
      <w:pPr>
        <w:autoSpaceDE w:val="0"/>
        <w:autoSpaceDN w:val="0"/>
        <w:adjustRightInd w:val="0"/>
        <w:snapToGrid w:val="0"/>
        <w:spacing w:line="360" w:lineRule="auto"/>
        <w:jc w:val="left"/>
        <w:outlineLvl w:val="9"/>
        <w:rPr>
          <w:rFonts w:hint="eastAsia" w:ascii="宋体" w:hAnsi="宋体" w:eastAsia="宋体" w:cs="宋体"/>
          <w:color w:val="auto"/>
          <w:kern w:val="0"/>
          <w:szCs w:val="21"/>
          <w:highlight w:val="none"/>
        </w:rPr>
      </w:pP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472"/>
        <w:gridCol w:w="1064"/>
        <w:gridCol w:w="1000"/>
        <w:gridCol w:w="1476"/>
        <w:gridCol w:w="1064"/>
        <w:gridCol w:w="1064"/>
        <w:gridCol w:w="1064"/>
        <w:gridCol w:w="964"/>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22"/>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货物明细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8" w:hRule="atLeast"/>
        </w:trPr>
        <w:tc>
          <w:tcPr>
            <w:tcW w:w="318"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710"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货物名称</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品牌</w:t>
            </w: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产地</w:t>
            </w:r>
          </w:p>
        </w:tc>
        <w:tc>
          <w:tcPr>
            <w:tcW w:w="711"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规格、型号</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预计用量</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生产厂家</w:t>
            </w:r>
          </w:p>
        </w:tc>
        <w:tc>
          <w:tcPr>
            <w:tcW w:w="4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主要技术参数</w:t>
            </w:r>
          </w:p>
        </w:tc>
        <w:tc>
          <w:tcPr>
            <w:tcW w:w="25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DN20X100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52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3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DN25X100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995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DN32X130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128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DN40X130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691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DN50X150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1612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118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DN65X150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105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DN65X300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23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DN80X200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621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DN80X250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132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DN80X350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82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DN80X500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35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705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332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87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DN125X300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15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DN150X200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259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DN150X300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109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DN150X500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39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DN150X1000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9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141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64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27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7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DN250X200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29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DN250X300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15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4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30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DN300X200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60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31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DN300X300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10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32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DN300X500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24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33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DN300X1000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4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34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DN350X200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35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DN350X500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36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DN350X1000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37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DN400X200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18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38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DN400X300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39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17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40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4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41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DN500X300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42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4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43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44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DN600X500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9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DN600X1000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DN800X500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47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DN800X1000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48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49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50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DN1200X500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51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DN1200X1000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52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DN1400X500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53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DN1400X1000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54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钢管用直身抢修器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DN125X200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55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钢管用直身抢修器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DN125X500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56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钢管用直身抢修器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DN800X500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57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钢管用直身抢修器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DN800X1000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58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钢管用直身抢修器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59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钢管用直身抢修器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60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钢管用直身抢修器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DN1200X500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61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钢管用直身抢修器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DN1200X1000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62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钢管用直身抢修器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DN1400X500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63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钢管用直身抢修器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DN1400X1000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64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铸铁管用承插式抢修器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60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65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铸铁管用承插式抢修器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39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66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铸铁管用承插式抢修器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16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67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铸铁管用承插式抢修器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16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68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铸铁管用承插式抢修器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69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铸铁管用承插式抢修器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5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70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铸铁管用承插式抢修器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DN800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71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铸铁管用承插式抢修器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72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铸铁管用承插式抢修器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73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铸铁管用承插式抢修器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DN1400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74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75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76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77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DN32</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78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24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79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38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80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81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DN80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23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82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31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83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84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85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86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DN32</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87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88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89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90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DN80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6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91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镀锌钢管用三通抢修器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3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dn50X160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53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93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dn63X200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382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94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dn63X300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6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95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dn63X500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96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dn75X200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17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97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dn75X300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98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dn75X500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99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dn90X200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59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100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dn90X300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85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101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dn90X500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102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dn110X200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43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103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dn110X300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290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104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dn110X500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118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105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dn110X1000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106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dn125X200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107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dn125X500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108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dn140X200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109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dn160X200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23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110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dn160X300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94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111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dn160X500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112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dn160X1000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113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dn180X200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18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114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6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115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59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116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14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117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118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dn225X200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119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dn225X300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10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120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dn225X500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121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dn225X1000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122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dn250X300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13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123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3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124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125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dn315X200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3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126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dn315X300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7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127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dn315X500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16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128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dn315X1000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129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dn355X500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130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dn355X1000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131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dn400X300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132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dn400X500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6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133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dn400X1000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134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135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136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dn32</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137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139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dn63</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596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140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dn75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34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141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dn90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293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142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dn110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294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143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dn125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144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dn160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118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145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57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146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dn225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23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147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5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148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dn315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12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149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5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150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151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152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dn32</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153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154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5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155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dn63</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24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156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dn75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157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dn90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25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158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dn110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40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159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dn160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5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160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161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dn225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162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163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dn315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164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塑料管用弯头抢修器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165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166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167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dn32</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168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169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170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dn63</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10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171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dn75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172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dn90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6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173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dn110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16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174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dn160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175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176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dn225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177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178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dn315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179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dn50X25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180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dn50X32</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181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dn50X40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182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dn63X25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183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dn63X32</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dn63X40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185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dn63X50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186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dn75X50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187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dn75X63</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188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dn90X50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189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dn90X63</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190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dn90X75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191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dn110X50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6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192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dn110X63</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193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dn110X75</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194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dn110X90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195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dn160X63</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196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dn160X90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197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dn160X110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198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dn200X63</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199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dn200X90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200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dn200X110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201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dn200X160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202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dn315X110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203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dn315X160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204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塑料管用异径三通抢修器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dn315X200</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205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DN100X300，一般适用外径150mm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206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DN100X500，一般适用外径150mm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207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DN100X1000，一般适用外径200mm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208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DN150X300，一般适用外径200mm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209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DN150X500，一般适用外径200mm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210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DN150X1000，一般适用外径200mm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211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DN200X300，一般适用外径260mm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212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DN200X500，一般适用外径260mm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2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213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DN200X1000，一般适用外径260mm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214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DN300X500，一般适</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用外径380mm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215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DN300X1000，一般</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适用外径260mm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216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DN400X500，一般适用外径490mm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217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DN400X1000，一般适用外径490mm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218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DN500X500，一般适用外径610mm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219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DN500X1000，一般适用外径610mm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220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DN600X500，一般适用外径720mm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221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水泥管用直身抢修器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DN600X1000，一般适用外径720mm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222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DN100，一般适用外径150mm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223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DN150，一般适用外径200mm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224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DN200，一般适用外径260mm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7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225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DN250，一般适用外径320mm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226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DN300，一般适用外径380mm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227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DN400，一般适用外径490mm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228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DN400（三阶），一</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般适用外径506mm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229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DN500，一般适用外径610mm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230</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DN500（三阶），一般适用外径610mm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231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DN600，一般适用外径720mm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3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232</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DN600（三阶），一般适用外径720mm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233</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DN800，一般适用外径920mm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234</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DN800（三阶），一般适用外径940mm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235</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DN1000，一般适用外径1140mm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236</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DN1000（三阶），一般适用外径1160mm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237</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DN1200，一般适用外径1380mm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238</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DN1400，一般适用外径1600mm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3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239</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水泥管用承插式抢修器</w:t>
            </w: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DN1600，一般适用外径1800mm</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 xml:space="preserve">1 </w:t>
            </w: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31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71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5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c>
          <w:tcPr>
            <w:tcW w:w="513"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465" w:type="pct"/>
            <w:tcBorders>
              <w:top w:val="single" w:color="auto" w:sz="4" w:space="0"/>
              <w:left w:val="single" w:color="auto" w:sz="4" w:space="0"/>
              <w:bottom w:val="single" w:color="auto" w:sz="4" w:space="0"/>
              <w:right w:val="single" w:color="auto" w:sz="4" w:space="0"/>
            </w:tcBorders>
          </w:tcPr>
          <w:p>
            <w:pPr>
              <w:spacing w:line="400" w:lineRule="exact"/>
              <w:jc w:val="center"/>
              <w:outlineLvl w:val="9"/>
              <w:rPr>
                <w:rFonts w:hint="eastAsia" w:ascii="宋体" w:hAnsi="宋体" w:eastAsia="宋体" w:cs="宋体"/>
                <w:color w:val="auto"/>
                <w:kern w:val="0"/>
                <w:szCs w:val="21"/>
                <w:highlight w:val="none"/>
              </w:rPr>
            </w:pPr>
          </w:p>
        </w:tc>
        <w:tc>
          <w:tcPr>
            <w:tcW w:w="2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hint="eastAsia" w:ascii="宋体" w:hAnsi="宋体" w:eastAsia="宋体" w:cs="宋体"/>
                <w:color w:val="auto"/>
                <w:kern w:val="0"/>
                <w:szCs w:val="21"/>
                <w:highlight w:val="none"/>
              </w:rPr>
            </w:pPr>
          </w:p>
        </w:tc>
      </w:tr>
    </w:tbl>
    <w:p>
      <w:pPr>
        <w:autoSpaceDE w:val="0"/>
        <w:autoSpaceDN w:val="0"/>
        <w:adjustRightInd w:val="0"/>
        <w:snapToGrid w:val="0"/>
        <w:spacing w:line="360" w:lineRule="auto"/>
        <w:ind w:firstLine="210" w:firstLineChars="100"/>
        <w:jc w:val="left"/>
        <w:outlineLvl w:val="9"/>
        <w:rPr>
          <w:rFonts w:hint="eastAsia" w:ascii="宋体" w:hAnsi="宋体" w:eastAsia="宋体" w:cs="宋体"/>
          <w:color w:val="auto"/>
          <w:kern w:val="0"/>
          <w:szCs w:val="21"/>
          <w:highlight w:val="none"/>
        </w:rPr>
      </w:pPr>
    </w:p>
    <w:p>
      <w:pPr>
        <w:autoSpaceDE w:val="0"/>
        <w:autoSpaceDN w:val="0"/>
        <w:adjustRightInd w:val="0"/>
        <w:snapToGrid w:val="0"/>
        <w:spacing w:line="360" w:lineRule="auto"/>
        <w:ind w:firstLine="210" w:firstLineChars="1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napToGrid w:val="0"/>
        <w:spacing w:line="360" w:lineRule="auto"/>
        <w:ind w:left="976" w:leftChars="195"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（1）投标人应列明按《用户需求书》所要求的全部货物及其服务的明细清单；</w:t>
      </w:r>
    </w:p>
    <w:p>
      <w:pPr>
        <w:autoSpaceDE w:val="0"/>
        <w:autoSpaceDN w:val="0"/>
        <w:adjustRightInd w:val="0"/>
        <w:snapToGrid w:val="0"/>
        <w:spacing w:line="360" w:lineRule="auto"/>
        <w:ind w:left="976" w:leftChars="195" w:hanging="567" w:hangingChars="27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val="zh-CN"/>
        </w:rPr>
        <w:t>）表格可根据实际货物种类自行扩展。</w:t>
      </w:r>
    </w:p>
    <w:p>
      <w:pPr>
        <w:autoSpaceDE w:val="0"/>
        <w:autoSpaceDN w:val="0"/>
        <w:adjustRightInd w:val="0"/>
        <w:spacing w:line="360" w:lineRule="auto"/>
        <w:ind w:firstLine="4200" w:firstLineChars="2000"/>
        <w:jc w:val="left"/>
        <w:outlineLvl w:val="9"/>
        <w:rPr>
          <w:rFonts w:hint="eastAsia" w:ascii="宋体" w:hAnsi="宋体" w:eastAsia="宋体" w:cs="宋体"/>
          <w:color w:val="auto"/>
          <w:kern w:val="3"/>
          <w:szCs w:val="21"/>
          <w:highlight w:val="none"/>
        </w:rPr>
      </w:pPr>
    </w:p>
    <w:p>
      <w:pPr>
        <w:autoSpaceDE w:val="0"/>
        <w:autoSpaceDN w:val="0"/>
        <w:adjustRightInd w:val="0"/>
        <w:spacing w:line="360" w:lineRule="auto"/>
        <w:ind w:firstLine="4200" w:firstLineChars="20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3"/>
          <w:szCs w:val="21"/>
          <w:highlight w:val="none"/>
        </w:rPr>
        <w:t xml:space="preserve">投 标 人（加盖投标人法人公章）：              </w:t>
      </w:r>
    </w:p>
    <w:p>
      <w:pPr>
        <w:ind w:firstLine="2940" w:firstLineChars="1400"/>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color w:val="auto"/>
          <w:kern w:val="0"/>
          <w:szCs w:val="21"/>
          <w:highlight w:val="none"/>
        </w:rPr>
        <w:t>日  期：        年     月     日</w:t>
      </w: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outlineLvl w:val="2"/>
        <w:rPr>
          <w:rFonts w:hint="eastAsia" w:ascii="宋体" w:hAnsi="宋体" w:eastAsia="宋体" w:cs="宋体"/>
          <w:b/>
          <w:color w:val="auto"/>
          <w:kern w:val="0"/>
          <w:sz w:val="30"/>
          <w:szCs w:val="30"/>
          <w:highlight w:val="none"/>
          <w:lang w:val="en-US" w:eastAsia="zh-CN"/>
        </w:rPr>
      </w:pPr>
      <w:bookmarkStart w:id="973" w:name="_Toc2575"/>
      <w:bookmarkStart w:id="974" w:name="_Toc11902"/>
      <w:bookmarkStart w:id="975" w:name="_Toc15749"/>
      <w:r>
        <w:rPr>
          <w:rFonts w:hint="eastAsia" w:ascii="宋体" w:hAnsi="宋体" w:eastAsia="宋体" w:cs="宋体"/>
          <w:b/>
          <w:color w:val="auto"/>
          <w:kern w:val="0"/>
          <w:sz w:val="30"/>
          <w:szCs w:val="30"/>
          <w:highlight w:val="none"/>
          <w:lang w:val="en-US" w:eastAsia="zh-CN"/>
        </w:rPr>
        <w:t>12.3 所投货物性能质量</w:t>
      </w:r>
    </w:p>
    <w:p>
      <w:pPr>
        <w:spacing w:line="360" w:lineRule="auto"/>
        <w:rPr>
          <w:rFonts w:hint="eastAsia" w:ascii="宋体" w:hAnsi="宋体" w:eastAsia="宋体" w:cs="宋体"/>
          <w:b w:val="0"/>
          <w:bCs/>
          <w:color w:val="auto"/>
          <w:szCs w:val="21"/>
          <w:highlight w:val="none"/>
          <w:lang w:val="en-US" w:eastAsia="zh-CN"/>
        </w:rPr>
      </w:pPr>
    </w:p>
    <w:bookmarkEnd w:id="973"/>
    <w:bookmarkEnd w:id="974"/>
    <w:bookmarkEnd w:id="975"/>
    <w:p>
      <w:pPr>
        <w:autoSpaceDE w:val="0"/>
        <w:autoSpaceDN w:val="0"/>
        <w:adjustRightInd w:val="0"/>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备注：</w:t>
      </w:r>
    </w:p>
    <w:p>
      <w:pPr>
        <w:autoSpaceDE w:val="0"/>
        <w:autoSpaceDN w:val="0"/>
        <w:adjustRightInd w:val="0"/>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①提供可反映直身抢修器（DN50X150、DN25X100、DN100X200）性能参数的由具有资质的第三方检测机构出具的加盖实验室资质认定（CMA）章的质量检测报告。报告日期为2022年1月1日以后；报告上需体现委托单位，委托单位需为所投货物的生产厂家或投标人，如为生产厂家的，应与《供货货物清单表》上填报的生产厂家一致；否则不得分。</w:t>
      </w:r>
    </w:p>
    <w:p>
      <w:pPr>
        <w:autoSpaceDE w:val="0"/>
        <w:autoSpaceDN w:val="0"/>
        <w:adjustRightInd w:val="0"/>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②当检测报告上技术指标检测结果为多个数值（或范围值）时，以最劣检测结果进行排名。</w:t>
      </w:r>
    </w:p>
    <w:p>
      <w:pPr>
        <w:autoSpaceDE w:val="0"/>
        <w:autoSpaceDN w:val="0"/>
        <w:adjustRightInd w:val="0"/>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③对于同一评分性能参数，如投标人提供了多份检测报告且检测结果不一的，以最劣检测结果进行排名。</w:t>
      </w:r>
    </w:p>
    <w:p>
      <w:pPr>
        <w:autoSpaceDE w:val="0"/>
        <w:autoSpaceDN w:val="0"/>
        <w:adjustRightInd w:val="0"/>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④当不同投标人所提供的同一规格管材的检测报告中同一项性能参数一致时，可并列同一名次且不占用后续名次名额（例：A=B＞C＞D，排名则是A、B并列第一名，C第二名，D第三名）。</w:t>
      </w:r>
    </w:p>
    <w:p>
      <w:pPr>
        <w:rPr>
          <w:rFonts w:hint="eastAsia" w:ascii="宋体" w:hAnsi="宋体" w:eastAsia="宋体" w:cs="宋体"/>
          <w:b/>
          <w:color w:val="auto"/>
          <w:kern w:val="0"/>
          <w:sz w:val="30"/>
          <w:szCs w:val="30"/>
          <w:highlight w:val="none"/>
          <w:lang w:val="en-US" w:eastAsia="zh-CN"/>
        </w:rPr>
      </w:pPr>
    </w:p>
    <w:p>
      <w:pPr>
        <w:rPr>
          <w:rFonts w:hint="eastAsia" w:ascii="宋体" w:hAnsi="宋体" w:eastAsia="宋体" w:cs="宋体"/>
          <w:b/>
          <w:color w:val="auto"/>
          <w:kern w:val="0"/>
          <w:sz w:val="30"/>
          <w:szCs w:val="30"/>
          <w:highlight w:val="none"/>
          <w:lang w:val="en-US" w:eastAsia="zh-CN"/>
        </w:rPr>
      </w:pPr>
    </w:p>
    <w:p>
      <w:pPr>
        <w:rPr>
          <w:rFonts w:hint="eastAsia" w:ascii="宋体" w:hAnsi="宋体" w:eastAsia="宋体" w:cs="宋体"/>
          <w:b w:val="0"/>
          <w:bCs/>
          <w:color w:val="auto"/>
          <w:kern w:val="2"/>
          <w:sz w:val="21"/>
          <w:szCs w:val="21"/>
          <w:highlight w:val="none"/>
          <w:lang w:val="en-US" w:eastAsia="zh-CN"/>
        </w:rPr>
      </w:pPr>
    </w:p>
    <w:p>
      <w:pPr>
        <w:autoSpaceDE w:val="0"/>
        <w:autoSpaceDN w:val="0"/>
        <w:adjustRightInd w:val="0"/>
        <w:spacing w:line="360" w:lineRule="auto"/>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outlineLvl w:val="2"/>
        <w:rPr>
          <w:rFonts w:hint="eastAsia" w:ascii="宋体" w:hAnsi="宋体" w:eastAsia="宋体" w:cs="宋体"/>
          <w:b/>
          <w:color w:val="auto"/>
          <w:kern w:val="0"/>
          <w:sz w:val="30"/>
          <w:szCs w:val="30"/>
          <w:highlight w:val="none"/>
        </w:rPr>
      </w:pPr>
      <w:bookmarkStart w:id="976" w:name="_Toc31899"/>
      <w:bookmarkStart w:id="977" w:name="_Toc4675"/>
      <w:bookmarkStart w:id="978" w:name="_Toc30429"/>
      <w:r>
        <w:rPr>
          <w:rFonts w:hint="eastAsia" w:ascii="宋体" w:hAnsi="宋体" w:eastAsia="宋体" w:cs="宋体"/>
          <w:b/>
          <w:color w:val="auto"/>
          <w:kern w:val="0"/>
          <w:sz w:val="30"/>
          <w:szCs w:val="30"/>
          <w:highlight w:val="none"/>
          <w:lang w:val="en-US" w:eastAsia="zh-CN"/>
        </w:rPr>
        <w:t>12.4 货物质量保障能力</w:t>
      </w:r>
      <w:r>
        <w:rPr>
          <w:rFonts w:hint="eastAsia" w:ascii="宋体" w:hAnsi="宋体" w:eastAsia="宋体" w:cs="宋体"/>
          <w:b/>
          <w:color w:val="auto"/>
          <w:kern w:val="0"/>
          <w:sz w:val="30"/>
          <w:szCs w:val="30"/>
          <w:highlight w:val="none"/>
        </w:rPr>
        <w:t>（投标人自行编写）</w:t>
      </w:r>
      <w:bookmarkEnd w:id="976"/>
      <w:bookmarkEnd w:id="977"/>
      <w:bookmarkEnd w:id="978"/>
    </w:p>
    <w:p>
      <w:pPr>
        <w:outlineLvl w:val="2"/>
        <w:rPr>
          <w:rFonts w:hint="eastAsia" w:ascii="宋体" w:hAnsi="宋体" w:eastAsia="宋体" w:cs="宋体"/>
          <w:b/>
          <w:color w:val="auto"/>
          <w:kern w:val="0"/>
          <w:sz w:val="30"/>
          <w:szCs w:val="30"/>
          <w:highlight w:val="none"/>
        </w:rPr>
      </w:pPr>
    </w:p>
    <w:p>
      <w:pPr>
        <w:outlineLvl w:val="2"/>
        <w:rPr>
          <w:rFonts w:hint="eastAsia" w:ascii="宋体" w:hAnsi="宋体" w:eastAsia="宋体" w:cs="宋体"/>
          <w:b/>
          <w:color w:val="auto"/>
          <w:kern w:val="0"/>
          <w:sz w:val="30"/>
          <w:szCs w:val="30"/>
          <w:highlight w:val="none"/>
        </w:rPr>
      </w:pPr>
    </w:p>
    <w:p>
      <w:pPr>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bookmarkEnd w:id="966"/>
    <w:p>
      <w:pPr>
        <w:autoSpaceDE/>
        <w:autoSpaceDN/>
        <w:adjustRightInd/>
        <w:spacing w:line="240" w:lineRule="auto"/>
        <w:jc w:val="left"/>
        <w:outlineLvl w:val="2"/>
        <w:rPr>
          <w:rFonts w:hint="eastAsia" w:ascii="宋体" w:hAnsi="宋体" w:eastAsia="宋体" w:cs="宋体"/>
          <w:b/>
          <w:color w:val="auto"/>
          <w:kern w:val="0"/>
          <w:sz w:val="30"/>
          <w:szCs w:val="30"/>
          <w:highlight w:val="none"/>
          <w:lang w:val="en-US" w:eastAsia="zh-CN"/>
        </w:rPr>
      </w:pPr>
      <w:bookmarkStart w:id="979" w:name="_Toc29744"/>
      <w:bookmarkStart w:id="980" w:name="_Toc15048"/>
      <w:bookmarkStart w:id="981" w:name="_Toc9532"/>
      <w:bookmarkStart w:id="982" w:name="_Toc11584"/>
      <w:bookmarkStart w:id="983" w:name="_Toc770"/>
      <w:bookmarkStart w:id="984" w:name="_Toc1222"/>
      <w:r>
        <w:rPr>
          <w:rFonts w:hint="eastAsia" w:ascii="宋体" w:hAnsi="宋体" w:eastAsia="宋体" w:cs="宋体"/>
          <w:b/>
          <w:color w:val="auto"/>
          <w:kern w:val="0"/>
          <w:sz w:val="30"/>
          <w:szCs w:val="30"/>
          <w:highlight w:val="none"/>
          <w:lang w:val="en-US" w:eastAsia="zh-CN"/>
        </w:rPr>
        <w:t xml:space="preserve">12.5 </w:t>
      </w:r>
      <w:bookmarkEnd w:id="979"/>
      <w:r>
        <w:rPr>
          <w:rFonts w:hint="eastAsia" w:ascii="宋体" w:hAnsi="宋体" w:eastAsia="宋体" w:cs="宋体"/>
          <w:b/>
          <w:color w:val="auto"/>
          <w:kern w:val="0"/>
          <w:sz w:val="30"/>
          <w:szCs w:val="30"/>
          <w:highlight w:val="none"/>
          <w:lang w:val="en-US" w:eastAsia="zh-CN"/>
        </w:rPr>
        <w:t>售后服务响应、紧急供货时间承诺</w:t>
      </w:r>
      <w:bookmarkEnd w:id="980"/>
      <w:bookmarkEnd w:id="981"/>
      <w:bookmarkEnd w:id="982"/>
    </w:p>
    <w:p>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center"/>
        <w:outlineLvl w:val="9"/>
        <w:rPr>
          <w:rFonts w:hint="eastAsia" w:ascii="宋体" w:hAnsi="宋体" w:eastAsia="宋体" w:cs="宋体"/>
          <w:b/>
          <w:color w:val="auto"/>
          <w:kern w:val="0"/>
          <w:sz w:val="24"/>
          <w:szCs w:val="24"/>
          <w:highlight w:val="none"/>
          <w:lang w:val="en-US" w:eastAsia="zh-CN"/>
        </w:rPr>
      </w:pPr>
    </w:p>
    <w:p>
      <w:pPr>
        <w:autoSpaceDE w:val="0"/>
        <w:autoSpaceDN w:val="0"/>
        <w:adjustRightInd w:val="0"/>
        <w:spacing w:line="360" w:lineRule="auto"/>
        <w:jc w:val="center"/>
        <w:outlineLvl w:val="9"/>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24"/>
          <w:szCs w:val="24"/>
          <w:highlight w:val="none"/>
          <w:lang w:val="en-US" w:eastAsia="zh-CN"/>
        </w:rPr>
        <w:t>售后服务响应、紧急供货时间承诺表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bidi="ar"/>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bidi="ar"/>
              </w:rPr>
              <w:t>我司</w:t>
            </w:r>
            <w:r>
              <w:rPr>
                <w:rFonts w:hint="eastAsia" w:ascii="宋体" w:hAnsi="宋体" w:eastAsia="宋体" w:cs="宋体"/>
                <w:color w:val="auto"/>
                <w:szCs w:val="21"/>
                <w:highlight w:val="none"/>
              </w:rPr>
              <w:t>承诺在接到招标人的售后服务通知后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小时内响应</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u w:val="single"/>
                <w:lang w:val="en-US" w:eastAsia="zh-CN"/>
              </w:rPr>
            </w:pPr>
            <w:bookmarkStart w:id="985" w:name="OLE_LINK60"/>
            <w:r>
              <w:rPr>
                <w:rFonts w:hint="eastAsia" w:ascii="宋体" w:hAnsi="宋体" w:eastAsia="宋体" w:cs="宋体"/>
                <w:color w:val="auto"/>
                <w:sz w:val="21"/>
                <w:szCs w:val="21"/>
                <w:highlight w:val="none"/>
                <w:shd w:val="clear" w:color="auto" w:fill="FFFFFF"/>
                <w:lang w:val="en-US" w:eastAsia="zh-CN" w:bidi="ar"/>
              </w:rPr>
              <w:t>我司</w:t>
            </w:r>
            <w:r>
              <w:rPr>
                <w:rFonts w:hint="eastAsia" w:ascii="宋体" w:hAnsi="宋体" w:eastAsia="宋体" w:cs="宋体"/>
                <w:color w:val="auto"/>
                <w:sz w:val="21"/>
                <w:szCs w:val="21"/>
                <w:highlight w:val="none"/>
                <w:shd w:val="clear" w:color="auto" w:fill="FFFFFF"/>
                <w:lang w:bidi="ar"/>
              </w:rPr>
              <w:t>承诺</w:t>
            </w:r>
            <w:bookmarkEnd w:id="985"/>
            <w:r>
              <w:rPr>
                <w:rFonts w:hint="eastAsia" w:ascii="宋体" w:hAnsi="宋体" w:eastAsia="宋体" w:cs="宋体"/>
                <w:color w:val="auto"/>
                <w:sz w:val="21"/>
                <w:szCs w:val="21"/>
                <w:highlight w:val="none"/>
                <w:shd w:val="clear" w:color="auto" w:fill="FFFFFF"/>
                <w:lang w:bidi="ar"/>
              </w:rPr>
              <w:t>接到招标人紧急送货通知后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 w:val="21"/>
                <w:szCs w:val="21"/>
                <w:highlight w:val="none"/>
                <w:shd w:val="clear" w:color="auto" w:fill="FFFFFF"/>
                <w:lang w:bidi="ar"/>
              </w:rPr>
              <w:t>小时内将货物送达指定地点</w:t>
            </w:r>
            <w:r>
              <w:rPr>
                <w:rFonts w:hint="eastAsia" w:ascii="宋体" w:hAnsi="宋体" w:eastAsia="宋体" w:cs="宋体"/>
                <w:color w:val="auto"/>
                <w:sz w:val="21"/>
                <w:szCs w:val="21"/>
                <w:highlight w:val="none"/>
                <w:shd w:val="clear" w:color="auto" w:fill="FFFFFF"/>
                <w:lang w:eastAsia="zh-CN" w:bidi="ar"/>
              </w:rPr>
              <w:t>。</w:t>
            </w:r>
          </w:p>
        </w:tc>
      </w:tr>
    </w:tbl>
    <w:p>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986" w:name="_Toc28906"/>
      <w:bookmarkStart w:id="987" w:name="_Toc21098"/>
      <w:bookmarkStart w:id="988" w:name="_Toc25017"/>
      <w:bookmarkStart w:id="989" w:name="_Toc29719"/>
      <w:r>
        <w:rPr>
          <w:rFonts w:hint="eastAsia" w:ascii="宋体" w:hAnsi="宋体" w:eastAsia="宋体" w:cs="宋体"/>
          <w:b/>
          <w:color w:val="auto"/>
          <w:kern w:val="0"/>
          <w:sz w:val="30"/>
          <w:szCs w:val="30"/>
          <w:highlight w:val="none"/>
          <w:lang w:val="en-US" w:eastAsia="zh-CN"/>
        </w:rPr>
        <w:t>12.6 投标人所供抢修器(别称：哈夫节)具有有效的省级以上(含省级)卫生行政主管部门颁发的《涉及饮用水卫生安全产品卫生许可批件》复印件</w:t>
      </w: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12.7</w:t>
      </w:r>
      <w:r>
        <w:rPr>
          <w:rFonts w:hint="eastAsia" w:ascii="宋体" w:hAnsi="宋体" w:eastAsia="宋体" w:cs="宋体"/>
          <w:b/>
          <w:color w:val="auto"/>
          <w:kern w:val="0"/>
          <w:sz w:val="30"/>
          <w:szCs w:val="30"/>
          <w:highlight w:val="none"/>
        </w:rPr>
        <w:t>投标人认为有必要提供的其</w:t>
      </w:r>
      <w:r>
        <w:rPr>
          <w:rFonts w:hint="eastAsia" w:ascii="宋体" w:hAnsi="宋体" w:eastAsia="宋体" w:cs="宋体"/>
          <w:b/>
          <w:color w:val="auto"/>
          <w:kern w:val="0"/>
          <w:sz w:val="30"/>
          <w:szCs w:val="30"/>
          <w:highlight w:val="none"/>
          <w:lang w:val="en-US" w:eastAsia="zh-CN"/>
        </w:rPr>
        <w:t>他</w:t>
      </w:r>
      <w:r>
        <w:rPr>
          <w:rFonts w:hint="eastAsia" w:ascii="宋体" w:hAnsi="宋体" w:eastAsia="宋体" w:cs="宋体"/>
          <w:b/>
          <w:color w:val="auto"/>
          <w:kern w:val="0"/>
          <w:sz w:val="30"/>
          <w:szCs w:val="30"/>
          <w:highlight w:val="none"/>
        </w:rPr>
        <w:t>材料（不</w:t>
      </w:r>
      <w:r>
        <w:rPr>
          <w:rFonts w:hint="eastAsia" w:ascii="宋体" w:hAnsi="宋体" w:eastAsia="宋体" w:cs="宋体"/>
          <w:b/>
          <w:color w:val="auto"/>
          <w:kern w:val="0"/>
          <w:sz w:val="30"/>
          <w:szCs w:val="30"/>
          <w:highlight w:val="none"/>
          <w:lang w:val="en-US" w:eastAsia="zh-CN"/>
        </w:rPr>
        <w:t>作</w:t>
      </w:r>
      <w:r>
        <w:rPr>
          <w:rFonts w:hint="eastAsia" w:ascii="宋体" w:hAnsi="宋体" w:eastAsia="宋体" w:cs="宋体"/>
          <w:b/>
          <w:color w:val="auto"/>
          <w:kern w:val="0"/>
          <w:sz w:val="30"/>
          <w:szCs w:val="30"/>
          <w:highlight w:val="none"/>
        </w:rPr>
        <w:t>强制要求）</w:t>
      </w:r>
      <w:bookmarkEnd w:id="967"/>
      <w:bookmarkEnd w:id="968"/>
      <w:bookmarkEnd w:id="969"/>
      <w:bookmarkEnd w:id="970"/>
      <w:bookmarkEnd w:id="971"/>
      <w:bookmarkEnd w:id="983"/>
      <w:bookmarkEnd w:id="984"/>
      <w:bookmarkEnd w:id="986"/>
      <w:bookmarkEnd w:id="987"/>
      <w:bookmarkEnd w:id="988"/>
      <w:bookmarkEnd w:id="989"/>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990" w:name="_Toc31468"/>
      <w:bookmarkStart w:id="991" w:name="_Toc24027"/>
      <w:bookmarkStart w:id="992" w:name="_Toc24913"/>
      <w:bookmarkStart w:id="993" w:name="_Toc28845"/>
      <w:bookmarkStart w:id="994" w:name="_Toc12020"/>
      <w:bookmarkStart w:id="995" w:name="_Toc142508390"/>
      <w:bookmarkStart w:id="996" w:name="_Toc25469"/>
      <w:bookmarkStart w:id="997" w:name="_Toc521918141"/>
      <w:bookmarkStart w:id="998" w:name="_Toc522047402"/>
      <w:bookmarkStart w:id="999" w:name="_Toc22601_WPSOffice_Level1"/>
      <w:r>
        <w:rPr>
          <w:rFonts w:hint="eastAsia" w:ascii="宋体" w:hAnsi="宋体" w:eastAsia="宋体" w:cs="宋体"/>
          <w:b/>
          <w:bCs/>
          <w:color w:val="auto"/>
          <w:kern w:val="44"/>
          <w:sz w:val="32"/>
          <w:szCs w:val="32"/>
          <w:highlight w:val="none"/>
          <w:lang w:val="zh-CN"/>
        </w:rPr>
        <w:t>附件一：评标工作大纲</w:t>
      </w:r>
      <w:bookmarkEnd w:id="990"/>
      <w:bookmarkEnd w:id="991"/>
      <w:bookmarkEnd w:id="992"/>
      <w:bookmarkEnd w:id="993"/>
      <w:bookmarkEnd w:id="994"/>
      <w:bookmarkEnd w:id="995"/>
      <w:bookmarkEnd w:id="996"/>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东莞市水务集团供水有限公司抢修器采购项目</w:t>
      </w:r>
    </w:p>
    <w:p>
      <w:pPr>
        <w:autoSpaceDE w:val="0"/>
        <w:autoSpaceDN w:val="0"/>
        <w:adjustRightInd w:val="0"/>
        <w:spacing w:line="360" w:lineRule="auto"/>
        <w:jc w:val="center"/>
        <w:rPr>
          <w:rFonts w:ascii="宋体" w:hAnsi="宋体" w:eastAsia="宋体" w:cs="宋体"/>
          <w:b/>
          <w:bCs/>
          <w:color w:val="auto"/>
          <w:sz w:val="36"/>
          <w:szCs w:val="36"/>
          <w:highlight w:val="none"/>
        </w:rPr>
      </w:pPr>
      <w:bookmarkStart w:id="1000" w:name="_Toc14752_WPSOffice_Level1"/>
      <w:r>
        <w:rPr>
          <w:rFonts w:hint="eastAsia" w:ascii="宋体" w:hAnsi="宋体" w:eastAsia="宋体" w:cs="宋体"/>
          <w:b/>
          <w:bCs/>
          <w:color w:val="auto"/>
          <w:sz w:val="36"/>
          <w:szCs w:val="36"/>
          <w:highlight w:val="none"/>
          <w:lang w:val="zh-CN"/>
        </w:rPr>
        <w:t>（招标编号：0832-SFCX25DG010A）</w:t>
      </w:r>
      <w:bookmarkEnd w:id="1000"/>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1001" w:name="_Toc18947_WPSOffice_Level2"/>
      <w:r>
        <w:rPr>
          <w:rFonts w:hint="eastAsia" w:ascii="宋体" w:hAnsi="宋体" w:eastAsia="宋体" w:cs="宋体"/>
          <w:b/>
          <w:bCs/>
          <w:color w:val="auto"/>
          <w:sz w:val="72"/>
          <w:szCs w:val="72"/>
          <w:highlight w:val="none"/>
          <w:lang w:val="zh-CN"/>
        </w:rPr>
        <w:t>评标工作大纲</w:t>
      </w:r>
      <w:bookmarkEnd w:id="1001"/>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1002" w:name="_Toc32395_WPSOffice_Level1"/>
      <w:r>
        <w:rPr>
          <w:rFonts w:hint="eastAsia" w:ascii="宋体" w:hAnsi="宋体" w:eastAsia="宋体" w:cs="宋体"/>
          <w:b/>
          <w:bCs/>
          <w:color w:val="auto"/>
          <w:sz w:val="36"/>
          <w:szCs w:val="36"/>
          <w:highlight w:val="none"/>
          <w:lang w:val="zh-CN"/>
        </w:rPr>
        <w:t>目录</w:t>
      </w:r>
      <w:bookmarkEnd w:id="1002"/>
    </w:p>
    <w:p>
      <w:pPr>
        <w:autoSpaceDE w:val="0"/>
        <w:autoSpaceDN w:val="0"/>
        <w:adjustRightInd w:val="0"/>
        <w:spacing w:line="400" w:lineRule="atLeast"/>
        <w:jc w:val="center"/>
        <w:rPr>
          <w:rFonts w:ascii="宋体" w:hAnsi="宋体" w:eastAsia="宋体" w:cs="宋体"/>
          <w:color w:val="auto"/>
          <w:sz w:val="44"/>
          <w:szCs w:val="44"/>
          <w:highlight w:val="none"/>
        </w:rPr>
      </w:pPr>
    </w:p>
    <w:p>
      <w:pPr>
        <w:autoSpaceDE w:val="0"/>
        <w:autoSpaceDN w:val="0"/>
        <w:adjustRightInd w:val="0"/>
        <w:spacing w:line="360" w:lineRule="auto"/>
        <w:ind w:left="567" w:hanging="567"/>
        <w:rPr>
          <w:rFonts w:ascii="宋体" w:hAnsi="宋体" w:eastAsia="宋体" w:cs="宋体"/>
          <w:color w:val="auto"/>
          <w:szCs w:val="30"/>
          <w:highlight w:val="none"/>
        </w:rPr>
      </w:pPr>
      <w:bookmarkStart w:id="1003"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1003"/>
    </w:p>
    <w:p>
      <w:pPr>
        <w:autoSpaceDE w:val="0"/>
        <w:autoSpaceDN w:val="0"/>
        <w:adjustRightInd w:val="0"/>
        <w:spacing w:line="360" w:lineRule="auto"/>
        <w:ind w:left="567" w:hanging="567"/>
        <w:rPr>
          <w:rFonts w:ascii="宋体" w:hAnsi="宋体" w:eastAsia="宋体" w:cs="宋体"/>
          <w:color w:val="auto"/>
          <w:szCs w:val="30"/>
          <w:highlight w:val="none"/>
        </w:rPr>
      </w:pPr>
      <w:bookmarkStart w:id="1004"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1004"/>
    </w:p>
    <w:p>
      <w:pPr>
        <w:autoSpaceDE w:val="0"/>
        <w:autoSpaceDN w:val="0"/>
        <w:adjustRightInd w:val="0"/>
        <w:spacing w:line="360" w:lineRule="auto"/>
        <w:ind w:left="567" w:hanging="567"/>
        <w:rPr>
          <w:rFonts w:ascii="宋体" w:hAnsi="宋体" w:eastAsia="宋体" w:cs="宋体"/>
          <w:color w:val="auto"/>
          <w:szCs w:val="30"/>
          <w:highlight w:val="none"/>
        </w:rPr>
      </w:pPr>
      <w:bookmarkStart w:id="1005"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1005"/>
    </w:p>
    <w:p>
      <w:pPr>
        <w:autoSpaceDE w:val="0"/>
        <w:autoSpaceDN w:val="0"/>
        <w:adjustRightInd w:val="0"/>
        <w:spacing w:line="360" w:lineRule="auto"/>
        <w:ind w:left="567" w:hanging="567"/>
        <w:rPr>
          <w:rFonts w:ascii="宋体" w:hAnsi="宋体" w:eastAsia="宋体" w:cs="宋体"/>
          <w:color w:val="auto"/>
          <w:szCs w:val="30"/>
          <w:highlight w:val="none"/>
        </w:rPr>
      </w:pPr>
      <w:bookmarkStart w:id="1006" w:name="_Toc1206_WPSOffice_Level1"/>
      <w:r>
        <w:rPr>
          <w:rFonts w:hint="eastAsia" w:ascii="宋体" w:hAnsi="宋体" w:eastAsia="宋体" w:cs="宋体"/>
          <w:color w:val="auto"/>
          <w:szCs w:val="30"/>
          <w:highlight w:val="none"/>
        </w:rPr>
        <w:t>四、 比较和评价</w:t>
      </w:r>
      <w:bookmarkEnd w:id="1006"/>
    </w:p>
    <w:p>
      <w:pPr>
        <w:autoSpaceDE w:val="0"/>
        <w:autoSpaceDN w:val="0"/>
        <w:adjustRightInd w:val="0"/>
        <w:spacing w:line="360" w:lineRule="auto"/>
        <w:ind w:left="567" w:hanging="567"/>
        <w:rPr>
          <w:rFonts w:ascii="宋体" w:hAnsi="宋体" w:eastAsia="宋体" w:cs="宋体"/>
          <w:color w:val="auto"/>
          <w:szCs w:val="30"/>
          <w:highlight w:val="none"/>
        </w:rPr>
      </w:pPr>
      <w:bookmarkStart w:id="1007"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1007"/>
    </w:p>
    <w:p>
      <w:pPr>
        <w:autoSpaceDE w:val="0"/>
        <w:autoSpaceDN w:val="0"/>
        <w:adjustRightInd w:val="0"/>
        <w:spacing w:line="360" w:lineRule="auto"/>
        <w:ind w:left="567" w:hanging="567"/>
        <w:rPr>
          <w:rFonts w:ascii="宋体" w:hAnsi="宋体" w:eastAsia="宋体" w:cs="宋体"/>
          <w:color w:val="auto"/>
          <w:szCs w:val="30"/>
          <w:highlight w:val="none"/>
        </w:rPr>
      </w:pPr>
      <w:bookmarkStart w:id="1008"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1008"/>
    </w:p>
    <w:p>
      <w:pPr>
        <w:autoSpaceDE w:val="0"/>
        <w:autoSpaceDN w:val="0"/>
        <w:adjustRightInd w:val="0"/>
        <w:spacing w:line="360" w:lineRule="auto"/>
        <w:ind w:left="567" w:hanging="567"/>
        <w:rPr>
          <w:rFonts w:ascii="宋体" w:hAnsi="宋体" w:eastAsia="宋体" w:cs="宋体"/>
          <w:color w:val="auto"/>
          <w:szCs w:val="30"/>
          <w:highlight w:val="none"/>
        </w:rPr>
      </w:pPr>
      <w:bookmarkStart w:id="1009"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1009"/>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1010"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1010"/>
    </w:p>
    <w:p>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东莞市水务集团供水有限公司抢修器采购项目</w:t>
      </w:r>
      <w:r>
        <w:rPr>
          <w:rFonts w:hint="eastAsia" w:ascii="宋体" w:hAnsi="宋体" w:eastAsia="宋体" w:cs="宋体"/>
          <w:color w:val="auto"/>
          <w:szCs w:val="21"/>
          <w:highlight w:val="none"/>
          <w:lang w:val="zh-CN"/>
        </w:rPr>
        <w:t>(招标编号：0832-SFCX25DG010A</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3"/>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ascii="宋体" w:hAnsi="宋体" w:eastAsia="宋体" w:cs="宋体"/>
          <w:color w:val="auto"/>
          <w:sz w:val="24"/>
          <w:szCs w:val="24"/>
          <w:highlight w:val="none"/>
          <w:lang w:val="zh-CN"/>
        </w:rPr>
      </w:pPr>
    </w:p>
    <w:p>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1011" w:name="_Toc19435_WPSOffice_Level1"/>
      <w:r>
        <w:rPr>
          <w:rFonts w:hint="eastAsia" w:ascii="宋体" w:hAnsi="宋体" w:eastAsia="宋体" w:cs="宋体"/>
          <w:b/>
          <w:bCs/>
          <w:color w:val="auto"/>
          <w:sz w:val="28"/>
          <w:szCs w:val="28"/>
          <w:highlight w:val="none"/>
          <w:lang w:val="zh-CN"/>
        </w:rPr>
        <w:t>二、投标文件的初审</w:t>
      </w:r>
      <w:bookmarkEnd w:id="1011"/>
    </w:p>
    <w:p>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7.2  投标文件中的投标报价未按照招标文件要求进行折扣系数报价的；</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1012" w:name="_Toc4109_WPSOffice_Level1"/>
      <w:r>
        <w:rPr>
          <w:rFonts w:hint="eastAsia" w:ascii="宋体" w:hAnsi="宋体" w:eastAsia="宋体" w:cs="宋体"/>
          <w:b/>
          <w:bCs/>
          <w:color w:val="auto"/>
          <w:sz w:val="28"/>
          <w:szCs w:val="28"/>
          <w:highlight w:val="none"/>
          <w:lang w:val="zh-CN"/>
        </w:rPr>
        <w:t>三、澄清有关问题</w:t>
      </w:r>
      <w:bookmarkEnd w:id="1012"/>
    </w:p>
    <w:p>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pPr>
        <w:autoSpaceDE/>
        <w:autoSpaceDN/>
        <w:adjustRightInd/>
        <w:spacing w:line="360" w:lineRule="auto"/>
        <w:ind w:left="420" w:leftChars="20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当以数字表示的报价系数与以文字表示的报价系数不一致时，以文字表示的报价系数为准。</w:t>
      </w:r>
      <w:r>
        <w:rPr>
          <w:rFonts w:hint="eastAsia" w:ascii="宋体" w:hAnsi="宋体" w:eastAsia="宋体" w:cs="Times New Roman"/>
          <w:color w:val="auto"/>
          <w:kern w:val="0"/>
          <w:sz w:val="21"/>
          <w:szCs w:val="21"/>
          <w:highlight w:val="none"/>
        </w:rPr>
        <w:t>经双方确认后，作为投标人的投标报价。</w:t>
      </w:r>
    </w:p>
    <w:p>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的原则及方法调整或修正投标文件的，调整后的对投标人起约束作用。如果投标人不接受修正后的，则其投标将被拒绝，作为无效投标处理</w:t>
      </w:r>
      <w:r>
        <w:rPr>
          <w:rFonts w:hint="eastAsia" w:ascii="宋体" w:hAnsi="宋体" w:eastAsia="宋体" w:cs="宋体"/>
          <w:b/>
          <w:color w:val="auto"/>
          <w:kern w:val="0"/>
          <w:szCs w:val="21"/>
          <w:highlight w:val="none"/>
          <w:lang w:val="zh-CN"/>
        </w:rPr>
        <w:t>。</w:t>
      </w:r>
    </w:p>
    <w:p>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1013" w:name="_Toc8518_WPSOffice_Level1"/>
    </w:p>
    <w:p>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1013"/>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w:t>
      </w:r>
      <w:r>
        <w:rPr>
          <w:rFonts w:hint="eastAsia" w:ascii="宋体" w:hAnsi="宋体" w:eastAsia="宋体" w:cs="宋体"/>
          <w:color w:val="auto"/>
          <w:szCs w:val="24"/>
          <w:highlight w:val="none"/>
          <w:lang w:val="en-US" w:eastAsia="zh-CN"/>
        </w:rPr>
        <w:t>照</w:t>
      </w:r>
      <w:r>
        <w:rPr>
          <w:rFonts w:hint="eastAsia" w:ascii="宋体" w:hAnsi="宋体" w:eastAsia="宋体" w:cs="宋体"/>
          <w:color w:val="auto"/>
          <w:szCs w:val="24"/>
          <w:highlight w:val="none"/>
          <w:lang w:val="zh-CN"/>
        </w:rPr>
        <w:t>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w:t>
      </w:r>
      <w:r>
        <w:rPr>
          <w:rFonts w:hint="eastAsia" w:ascii="宋体" w:hAnsi="宋体" w:eastAsia="宋体" w:cs="宋体"/>
          <w:color w:val="auto"/>
          <w:sz w:val="21"/>
          <w:szCs w:val="21"/>
          <w:highlight w:val="none"/>
          <w:lang w:val="en-US" w:eastAsia="zh-CN"/>
        </w:rPr>
        <w:t>区间</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pPr>
        <w:autoSpaceDE w:val="0"/>
        <w:autoSpaceDN w:val="0"/>
        <w:adjustRightInd w:val="0"/>
        <w:spacing w:line="360" w:lineRule="auto"/>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p>
        </w:tc>
      </w:tr>
    </w:tbl>
    <w:p>
      <w:pPr>
        <w:tabs>
          <w:tab w:val="left" w:pos="585"/>
        </w:tabs>
        <w:autoSpaceDE w:val="0"/>
        <w:autoSpaceDN w:val="0"/>
        <w:adjustRightInd w:val="0"/>
        <w:spacing w:line="360" w:lineRule="auto"/>
        <w:rPr>
          <w:rFonts w:ascii="宋体" w:hAnsi="宋体" w:eastAsia="宋体" w:cs="宋体"/>
          <w:b/>
          <w:color w:val="auto"/>
          <w:szCs w:val="21"/>
          <w:highlight w:val="none"/>
        </w:rPr>
      </w:pPr>
      <w:bookmarkStart w:id="1014" w:name="_Toc1834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1014"/>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064"/>
        <w:gridCol w:w="7731"/>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评审内容</w:t>
            </w:r>
          </w:p>
        </w:tc>
        <w:tc>
          <w:tcPr>
            <w:tcW w:w="37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Times New Roman"/>
                <w:bCs/>
                <w:color w:val="auto"/>
                <w:kern w:val="0"/>
                <w:sz w:val="21"/>
                <w:szCs w:val="21"/>
                <w:highlight w:val="none"/>
                <w:lang w:val="en-US" w:eastAsia="zh-CN"/>
              </w:rPr>
            </w:pPr>
            <w:r>
              <w:rPr>
                <w:rFonts w:hint="eastAsia" w:ascii="宋体" w:hAnsi="宋体" w:eastAsia="宋体" w:cs="Times New Roman"/>
                <w:bCs/>
                <w:color w:val="auto"/>
                <w:kern w:val="0"/>
                <w:sz w:val="21"/>
                <w:szCs w:val="21"/>
                <w:highlight w:val="none"/>
                <w:lang w:val="en-US" w:eastAsia="zh-CN"/>
              </w:rPr>
              <w:t>财务状况</w:t>
            </w:r>
          </w:p>
        </w:tc>
        <w:tc>
          <w:tcPr>
            <w:tcW w:w="37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年-20</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年三个年度，每具有1个年度</w:t>
            </w:r>
            <w:r>
              <w:rPr>
                <w:rFonts w:hint="eastAsia" w:ascii="宋体" w:hAnsi="宋体" w:eastAsia="宋体" w:cs="宋体"/>
                <w:color w:val="auto"/>
                <w:sz w:val="21"/>
                <w:szCs w:val="21"/>
                <w:highlight w:val="none"/>
                <w:lang w:val="en-US" w:eastAsia="zh-CN"/>
              </w:rPr>
              <w:t>盈利</w:t>
            </w:r>
            <w:r>
              <w:rPr>
                <w:rFonts w:hint="eastAsia" w:ascii="宋体" w:hAnsi="宋体" w:eastAsia="宋体" w:cs="宋体"/>
                <w:color w:val="auto"/>
                <w:sz w:val="21"/>
                <w:szCs w:val="21"/>
                <w:highlight w:val="none"/>
              </w:rPr>
              <w:t>的得1分，满分3分。</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宋体" w:hAnsi="宋体" w:eastAsia="宋体" w:cs="Times New Roman"/>
                <w:b/>
                <w:color w:val="auto"/>
                <w:kern w:val="0"/>
                <w:sz w:val="21"/>
                <w:szCs w:val="21"/>
                <w:highlight w:val="none"/>
                <w:lang w:val="zh-CN"/>
              </w:rPr>
            </w:pPr>
            <w:r>
              <w:rPr>
                <w:rFonts w:hint="eastAsia" w:ascii="宋体" w:hAnsi="宋体" w:eastAsia="宋体" w:cs="宋体"/>
                <w:b/>
                <w:color w:val="auto"/>
                <w:sz w:val="21"/>
                <w:szCs w:val="21"/>
                <w:highlight w:val="none"/>
                <w:lang w:val="zh-CN"/>
              </w:rPr>
              <w:t>备注：盈利指净利润为正数（非零、非负数），投标人应提供20</w:t>
            </w:r>
            <w:r>
              <w:rPr>
                <w:rFonts w:hint="eastAsia" w:ascii="宋体" w:hAnsi="宋体" w:eastAsia="宋体" w:cs="宋体"/>
                <w:b/>
                <w:color w:val="auto"/>
                <w:sz w:val="21"/>
                <w:szCs w:val="21"/>
                <w:highlight w:val="none"/>
                <w:lang w:val="en-US" w:eastAsia="zh-CN"/>
              </w:rPr>
              <w:t>22</w:t>
            </w:r>
            <w:r>
              <w:rPr>
                <w:rFonts w:hint="eastAsia" w:ascii="宋体" w:hAnsi="宋体" w:eastAsia="宋体" w:cs="宋体"/>
                <w:b/>
                <w:color w:val="auto"/>
                <w:sz w:val="21"/>
                <w:szCs w:val="21"/>
                <w:highlight w:val="none"/>
                <w:lang w:val="zh-CN"/>
              </w:rPr>
              <w:t>年、20</w:t>
            </w:r>
            <w:r>
              <w:rPr>
                <w:rFonts w:hint="eastAsia" w:ascii="宋体" w:hAnsi="宋体" w:eastAsia="宋体" w:cs="宋体"/>
                <w:b/>
                <w:color w:val="auto"/>
                <w:sz w:val="21"/>
                <w:szCs w:val="21"/>
                <w:highlight w:val="none"/>
                <w:lang w:val="en-US" w:eastAsia="zh-CN"/>
              </w:rPr>
              <w:t>23</w:t>
            </w:r>
            <w:r>
              <w:rPr>
                <w:rFonts w:hint="eastAsia" w:ascii="宋体" w:hAnsi="宋体" w:eastAsia="宋体" w:cs="宋体"/>
                <w:b/>
                <w:color w:val="auto"/>
                <w:sz w:val="21"/>
                <w:szCs w:val="21"/>
                <w:highlight w:val="none"/>
                <w:lang w:val="zh-CN"/>
              </w:rPr>
              <w:t>年、20</w:t>
            </w:r>
            <w:r>
              <w:rPr>
                <w:rFonts w:hint="eastAsia" w:ascii="宋体" w:hAnsi="宋体" w:eastAsia="宋体" w:cs="宋体"/>
                <w:b/>
                <w:color w:val="auto"/>
                <w:sz w:val="21"/>
                <w:szCs w:val="21"/>
                <w:highlight w:val="none"/>
                <w:lang w:val="en-US" w:eastAsia="zh-CN"/>
              </w:rPr>
              <w:t>24</w:t>
            </w:r>
            <w:r>
              <w:rPr>
                <w:rFonts w:hint="eastAsia" w:ascii="宋体" w:hAnsi="宋体" w:eastAsia="宋体" w:cs="宋体"/>
                <w:b/>
                <w:color w:val="auto"/>
                <w:sz w:val="21"/>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r>
              <w:rPr>
                <w:rFonts w:hint="eastAsia" w:ascii="宋体" w:hAnsi="宋体" w:eastAsia="宋体" w:cs="宋体"/>
                <w:color w:val="auto"/>
                <w:sz w:val="21"/>
                <w:szCs w:val="21"/>
                <w:highlight w:val="none"/>
                <w:lang w:val="zh-CN"/>
              </w:rPr>
              <w:t>。</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bookmarkStart w:id="1015" w:name="_Hlk104987354"/>
            <w:r>
              <w:rPr>
                <w:rFonts w:hint="eastAsia" w:ascii="宋体" w:hAnsi="宋体" w:eastAsia="宋体" w:cs="宋体"/>
                <w:color w:val="auto"/>
                <w:kern w:val="0"/>
                <w:sz w:val="21"/>
                <w:szCs w:val="21"/>
                <w:highlight w:val="none"/>
                <w:lang w:val="en-US" w:eastAsia="zh-CN"/>
              </w:rPr>
              <w:t>2</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业绩</w:t>
            </w:r>
          </w:p>
        </w:tc>
        <w:tc>
          <w:tcPr>
            <w:tcW w:w="37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年1月1日以来（业绩的时间以合同签订的日期为准）承接的</w:t>
            </w:r>
            <w:r>
              <w:rPr>
                <w:rFonts w:hint="eastAsia" w:ascii="宋体" w:hAnsi="宋体" w:eastAsia="宋体" w:cs="宋体"/>
                <w:color w:val="auto"/>
                <w:sz w:val="21"/>
                <w:szCs w:val="21"/>
                <w:highlight w:val="none"/>
                <w:lang w:val="en-US" w:eastAsia="zh-CN"/>
              </w:rPr>
              <w:t>抢修器(别称：哈夫节)在国内的销售</w:t>
            </w:r>
            <w:r>
              <w:rPr>
                <w:rFonts w:hint="eastAsia" w:ascii="宋体" w:hAnsi="宋体" w:eastAsia="宋体" w:cs="宋体"/>
                <w:color w:val="auto"/>
                <w:sz w:val="21"/>
                <w:szCs w:val="21"/>
                <w:highlight w:val="none"/>
              </w:rPr>
              <w:t>业绩，按下列情况评分，</w:t>
            </w:r>
            <w:r>
              <w:rPr>
                <w:rFonts w:hint="eastAsia" w:ascii="宋体" w:hAnsi="宋体" w:eastAsia="宋体" w:cs="宋体"/>
                <w:b/>
                <w:color w:val="auto"/>
                <w:sz w:val="21"/>
                <w:szCs w:val="21"/>
                <w:highlight w:val="none"/>
              </w:rPr>
              <w:t>本项业绩评审满分</w:t>
            </w:r>
            <w:r>
              <w:rPr>
                <w:rFonts w:hint="eastAsia" w:ascii="宋体" w:hAnsi="宋体" w:eastAsia="宋体" w:cs="宋体"/>
                <w:b/>
                <w:color w:val="auto"/>
                <w:sz w:val="21"/>
                <w:szCs w:val="21"/>
                <w:highlight w:val="none"/>
                <w:lang w:val="en-US" w:eastAsia="zh-CN"/>
              </w:rPr>
              <w:t>17</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分，本子项满分</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万元的前述业绩，每项得1分，本子项满分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业绩须同时提供</w:t>
            </w:r>
            <w:r>
              <w:rPr>
                <w:rFonts w:hint="eastAsia" w:ascii="宋体" w:hAnsi="宋体" w:eastAsia="宋体" w:cs="宋体"/>
                <w:b/>
                <w:color w:val="auto"/>
                <w:sz w:val="21"/>
                <w:szCs w:val="21"/>
                <w:highlight w:val="none"/>
                <w:lang w:eastAsia="zh-CN"/>
              </w:rPr>
              <w:t>①</w:t>
            </w:r>
            <w:r>
              <w:rPr>
                <w:rFonts w:hint="eastAsia" w:ascii="宋体" w:hAnsi="宋体" w:eastAsia="宋体" w:cs="宋体"/>
                <w:b/>
                <w:color w:val="auto"/>
                <w:sz w:val="21"/>
                <w:szCs w:val="21"/>
                <w:highlight w:val="none"/>
                <w:lang w:val="en-US" w:eastAsia="zh-CN"/>
              </w:rPr>
              <w:t>抢修器（别称：哈夫节）</w:t>
            </w:r>
            <w:r>
              <w:rPr>
                <w:rFonts w:hint="eastAsia" w:ascii="宋体" w:hAnsi="宋体" w:eastAsia="宋体" w:cs="宋体"/>
                <w:b/>
                <w:color w:val="auto"/>
                <w:sz w:val="21"/>
                <w:szCs w:val="21"/>
                <w:highlight w:val="none"/>
              </w:rPr>
              <w:t>销售合同复印件（合同卖方为投标人</w:t>
            </w:r>
            <w:r>
              <w:rPr>
                <w:rFonts w:hint="eastAsia" w:ascii="宋体" w:hAnsi="宋体" w:eastAsia="宋体" w:cs="宋体"/>
                <w:b/>
                <w:color w:val="auto"/>
                <w:sz w:val="21"/>
                <w:szCs w:val="21"/>
                <w:highlight w:val="none"/>
                <w:lang w:val="en-US" w:eastAsia="zh-CN"/>
              </w:rPr>
              <w:t>,</w:t>
            </w:r>
            <w:r>
              <w:rPr>
                <w:rFonts w:hint="eastAsia" w:ascii="宋体" w:hAnsi="宋体" w:eastAsia="宋体" w:cs="宋体"/>
                <w:b/>
                <w:bCs w:val="0"/>
                <w:color w:val="auto"/>
                <w:kern w:val="0"/>
                <w:sz w:val="21"/>
                <w:szCs w:val="21"/>
                <w:highlight w:val="none"/>
                <w:lang w:val="en-US" w:eastAsia="zh-CN" w:bidi="ar"/>
              </w:rPr>
              <w:t>需显示合同买方公章</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②已供货产品任意一张发票复印件（发票开具日期须在本项目招标公告发布之日前），</w:t>
            </w:r>
            <w:r>
              <w:rPr>
                <w:rFonts w:hint="eastAsia" w:ascii="宋体" w:hAnsi="宋体" w:eastAsia="宋体" w:cs="宋体"/>
                <w:b/>
                <w:color w:val="auto"/>
                <w:sz w:val="21"/>
                <w:szCs w:val="21"/>
                <w:highlight w:val="none"/>
              </w:rPr>
              <w:t>否则不得分；</w:t>
            </w: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若合同无法反映评分条件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合同签订日期为20</w:t>
            </w:r>
            <w:r>
              <w:rPr>
                <w:rFonts w:hint="eastAsia" w:ascii="宋体" w:hAnsi="宋体" w:eastAsia="宋体" w:cs="宋体"/>
                <w:b/>
                <w:color w:val="auto"/>
                <w:sz w:val="21"/>
                <w:szCs w:val="21"/>
                <w:highlight w:val="none"/>
                <w:lang w:val="en-US" w:eastAsia="zh-CN"/>
              </w:rPr>
              <w:t>22</w:t>
            </w:r>
            <w:r>
              <w:rPr>
                <w:rFonts w:hint="eastAsia" w:ascii="宋体" w:hAnsi="宋体" w:eastAsia="宋体" w:cs="宋体"/>
                <w:b/>
                <w:color w:val="auto"/>
                <w:sz w:val="21"/>
                <w:szCs w:val="21"/>
                <w:highlight w:val="none"/>
              </w:rPr>
              <w:t>年1月1日或以后，合同标的必须包含</w:t>
            </w:r>
            <w:r>
              <w:rPr>
                <w:rFonts w:hint="eastAsia" w:ascii="宋体" w:hAnsi="宋体" w:eastAsia="宋体" w:cs="宋体"/>
                <w:b/>
                <w:color w:val="auto"/>
                <w:sz w:val="21"/>
                <w:szCs w:val="21"/>
                <w:highlight w:val="none"/>
                <w:lang w:val="en-US" w:eastAsia="zh-CN"/>
              </w:rPr>
              <w:t>抢修器（别称：哈夫节）</w:t>
            </w:r>
            <w:r>
              <w:rPr>
                <w:rFonts w:hint="eastAsia" w:ascii="宋体" w:hAnsi="宋体" w:eastAsia="宋体" w:cs="宋体"/>
                <w:b/>
                <w:color w:val="auto"/>
                <w:sz w:val="21"/>
                <w:szCs w:val="21"/>
                <w:highlight w:val="none"/>
              </w:rPr>
              <w:t>、合同金额</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的，还需提供产品购买方出具的书面补充说明文件复印件作为辅助证明（需</w:t>
            </w:r>
            <w:r>
              <w:rPr>
                <w:rFonts w:hint="eastAsia" w:ascii="宋体" w:hAnsi="宋体" w:eastAsia="宋体" w:cs="宋体"/>
                <w:b/>
                <w:color w:val="auto"/>
                <w:sz w:val="21"/>
                <w:szCs w:val="21"/>
                <w:highlight w:val="none"/>
                <w:lang w:val="en-US" w:eastAsia="zh-CN"/>
              </w:rPr>
              <w:t>显示</w:t>
            </w:r>
            <w:r>
              <w:rPr>
                <w:rFonts w:hint="eastAsia" w:ascii="宋体" w:hAnsi="宋体" w:eastAsia="宋体" w:cs="宋体"/>
                <w:b/>
                <w:color w:val="auto"/>
                <w:sz w:val="21"/>
                <w:szCs w:val="21"/>
                <w:highlight w:val="none"/>
              </w:rPr>
              <w:t>购买方公章），否则不得分；</w:t>
            </w:r>
          </w:p>
          <w:p>
            <w:pPr>
              <w:keepNext w:val="0"/>
              <w:keepLines w:val="0"/>
              <w:pageBreakBefore w:val="0"/>
              <w:widowControl w:val="0"/>
              <w:tabs>
                <w:tab w:val="left" w:pos="134"/>
              </w:tabs>
              <w:kinsoku/>
              <w:wordWrap/>
              <w:overflowPunct/>
              <w:topLinePunct w:val="0"/>
              <w:autoSpaceDE w:val="0"/>
              <w:autoSpaceDN w:val="0"/>
              <w:bidi w:val="0"/>
              <w:adjustRightInd/>
              <w:snapToGrid/>
              <w:spacing w:line="360" w:lineRule="auto"/>
              <w:textAlignment w:val="auto"/>
              <w:rPr>
                <w:rFonts w:ascii="宋体" w:hAnsi="宋体" w:eastAsia="宋体" w:cs="Times New Roman"/>
                <w:b/>
                <w:color w:val="auto"/>
                <w:kern w:val="0"/>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若业绩为框架式协议或资格入围无明确金额的合同，必须同时提供合同期限内已供货发票金额统计表和发票复印件</w:t>
            </w:r>
            <w:r>
              <w:rPr>
                <w:rFonts w:hint="eastAsia" w:ascii="宋体" w:hAnsi="宋体" w:eastAsia="宋体" w:cs="宋体"/>
                <w:b/>
                <w:color w:val="auto"/>
                <w:sz w:val="21"/>
                <w:szCs w:val="21"/>
                <w:highlight w:val="none"/>
                <w:lang w:eastAsia="zh-CN"/>
              </w:rPr>
              <w:t>。</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56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34"/>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color w:val="auto"/>
                <w:sz w:val="21"/>
                <w:szCs w:val="21"/>
                <w:highlight w:val="none"/>
                <w:lang w:val="en-US" w:eastAsia="zh-CN"/>
              </w:rPr>
            </w:pPr>
            <w:bookmarkStart w:id="1016" w:name="_Toc11639_WPSOffice_Level2"/>
            <w:r>
              <w:rPr>
                <w:rFonts w:hint="eastAsia" w:ascii="宋体" w:hAnsi="宋体" w:eastAsia="宋体" w:cs="宋体"/>
                <w:b/>
                <w:color w:val="auto"/>
                <w:sz w:val="21"/>
                <w:szCs w:val="21"/>
                <w:highlight w:val="none"/>
                <w:lang w:val="en-US" w:eastAsia="zh-CN"/>
              </w:rPr>
              <w:t>商务总分</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r>
      <w:bookmarkEnd w:id="1015"/>
    </w:tbl>
    <w:p>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1016"/>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133"/>
        <w:gridCol w:w="767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
                <w:color w:val="auto"/>
                <w:kern w:val="0"/>
                <w:szCs w:val="21"/>
                <w:highlight w:val="none"/>
              </w:rPr>
            </w:pPr>
            <w:bookmarkStart w:id="1017"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用户需求响应程度</w:t>
            </w:r>
          </w:p>
        </w:tc>
        <w:tc>
          <w:tcPr>
            <w:tcW w:w="3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根据用户需求偏离表的偏离情况进行评审计分，完全满足用户需求的要求得满分，每一处负偏离，扣</w:t>
            </w:r>
            <w:r>
              <w:rPr>
                <w:rFonts w:hint="default"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分；同时参照其投标文件中产品技术性能说明等技术资料的内容进行对比，每发现一处投标人填写为无偏离或正偏离，但评标委员会评审认定其为负偏离的，每处扣</w:t>
            </w:r>
            <w:r>
              <w:rPr>
                <w:rFonts w:hint="default"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315"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所投</w:t>
            </w:r>
            <w:r>
              <w:rPr>
                <w:rFonts w:hint="eastAsia" w:ascii="宋体" w:hAnsi="宋体" w:eastAsia="宋体" w:cs="宋体"/>
                <w:color w:val="auto"/>
                <w:kern w:val="0"/>
                <w:szCs w:val="21"/>
                <w:highlight w:val="none"/>
                <w:lang w:val="en-US" w:eastAsia="zh-CN"/>
              </w:rPr>
              <w:t>货物性能质量</w:t>
            </w:r>
          </w:p>
        </w:tc>
        <w:tc>
          <w:tcPr>
            <w:tcW w:w="3700" w:type="pct"/>
            <w:tcBorders>
              <w:top w:val="single" w:color="auto" w:sz="4" w:space="0"/>
              <w:left w:val="single" w:color="auto" w:sz="4" w:space="0"/>
              <w:right w:val="single" w:color="auto" w:sz="4" w:space="0"/>
            </w:tcBorders>
            <w:shd w:val="clear" w:color="auto" w:fill="auto"/>
            <w:vAlign w:val="center"/>
          </w:tcPr>
          <w:p>
            <w:pPr>
              <w:pStyle w:val="4"/>
              <w:autoSpaceDE/>
              <w:autoSpaceDN/>
              <w:spacing w:line="360" w:lineRule="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1、评标委员会对投标人所投直身抢修器（DN50X150、DN25X100、DN100X200）的以下</w:t>
            </w:r>
            <w:r>
              <w:rPr>
                <w:rFonts w:hint="eastAsia" w:hAnsi="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lang w:val="en-US" w:eastAsia="zh-CN"/>
              </w:rPr>
              <w:t>项性能参数进行评审，在符合用户需求书要求的前提下对每项性能参数进行排名并打分：</w:t>
            </w:r>
          </w:p>
          <w:p>
            <w:pPr>
              <w:pStyle w:val="4"/>
              <w:widowControl w:val="0"/>
              <w:autoSpaceDE/>
              <w:autoSpaceDN/>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（1）壳体抗拉强度（Rm/ MPa)（排名规则：数值越大排名越前，不在性能参数范围内的不得分）：</w:t>
            </w:r>
          </w:p>
          <w:p>
            <w:pPr>
              <w:pStyle w:val="4"/>
              <w:widowControl/>
              <w:autoSpaceDE/>
              <w:autoSpaceDN/>
              <w:spacing w:line="360" w:lineRule="auto"/>
              <w:rPr>
                <w:rFonts w:hint="default" w:ascii="宋体" w:hAnsi="Calibri" w:eastAsia="宋体" w:cs="Times New Roman"/>
                <w:color w:val="auto"/>
                <w:sz w:val="21"/>
                <w:szCs w:val="21"/>
                <w:highlight w:val="none"/>
                <w:lang w:eastAsia="zh-CN"/>
              </w:rPr>
            </w:pPr>
            <w:r>
              <w:rPr>
                <w:rFonts w:hint="eastAsia" w:cs="Times New Roman"/>
                <w:color w:val="auto"/>
                <w:kern w:val="0"/>
                <w:sz w:val="21"/>
                <w:szCs w:val="21"/>
                <w:highlight w:val="none"/>
                <w:lang w:val="en-US" w:eastAsia="zh-CN"/>
              </w:rPr>
              <w:t>（3分）对性能参数≥</w:t>
            </w:r>
            <w:r>
              <w:rPr>
                <w:rFonts w:hint="default" w:ascii="宋体" w:hAnsi="Calibri" w:eastAsia="宋体" w:cs="Times New Roman"/>
                <w:color w:val="auto"/>
                <w:spacing w:val="0"/>
                <w:sz w:val="21"/>
                <w:szCs w:val="21"/>
                <w:highlight w:val="none"/>
                <w:lang w:val="en-US" w:eastAsia="zh-CN"/>
              </w:rPr>
              <w:t>450</w:t>
            </w:r>
            <w:r>
              <w:rPr>
                <w:rFonts w:hint="eastAsia" w:cs="Times New Roman"/>
                <w:color w:val="auto"/>
                <w:spacing w:val="0"/>
                <w:sz w:val="21"/>
                <w:szCs w:val="21"/>
                <w:highlight w:val="none"/>
                <w:lang w:val="en-US" w:eastAsia="zh-CN"/>
              </w:rPr>
              <w:t>（</w:t>
            </w:r>
            <w:r>
              <w:rPr>
                <w:rFonts w:hint="default" w:ascii="宋体" w:hAnsi="Calibri" w:eastAsia="宋体" w:cs="Times New Roman"/>
                <w:color w:val="auto"/>
                <w:spacing w:val="0"/>
                <w:sz w:val="21"/>
                <w:szCs w:val="21"/>
                <w:highlight w:val="none"/>
                <w:lang w:val="en-US" w:eastAsia="zh-CN"/>
              </w:rPr>
              <w:t>Rm/ MPa)</w:t>
            </w:r>
            <w:r>
              <w:rPr>
                <w:rFonts w:hint="eastAsia" w:cs="Times New Roman"/>
                <w:color w:val="auto"/>
                <w:spacing w:val="0"/>
                <w:sz w:val="21"/>
                <w:szCs w:val="21"/>
                <w:highlight w:val="none"/>
                <w:lang w:val="en-US" w:eastAsia="zh-CN"/>
              </w:rPr>
              <w:t>的抢修器进行排名，排名第一得3分，排名第二得2分，排名第三得1分，其他名次不得分。</w:t>
            </w:r>
          </w:p>
          <w:p>
            <w:pPr>
              <w:pStyle w:val="4"/>
              <w:widowControl/>
              <w:autoSpaceDE/>
              <w:autoSpaceDN/>
              <w:spacing w:line="360" w:lineRule="auto"/>
              <w:rPr>
                <w:rFonts w:hint="default" w:ascii="宋体" w:hAnsi="Calibri" w:eastAsia="宋体" w:cs="Times New Roman"/>
                <w:b/>
                <w:bCs/>
                <w:color w:val="auto"/>
                <w:sz w:val="21"/>
                <w:szCs w:val="21"/>
                <w:highlight w:val="none"/>
                <w:lang w:eastAsia="zh-CN"/>
              </w:rPr>
            </w:pPr>
            <w:r>
              <w:rPr>
                <w:rFonts w:hint="eastAsia" w:cs="Times New Roman"/>
                <w:b/>
                <w:bCs/>
                <w:color w:val="auto"/>
                <w:kern w:val="0"/>
                <w:sz w:val="21"/>
                <w:szCs w:val="21"/>
                <w:highlight w:val="none"/>
                <w:lang w:val="en-US" w:eastAsia="zh-CN"/>
              </w:rPr>
              <w:t>（2）</w:t>
            </w:r>
            <w:r>
              <w:rPr>
                <w:rFonts w:hint="default" w:ascii="宋体" w:hAnsi="Calibri" w:eastAsia="宋体" w:cs="Times New Roman"/>
                <w:b/>
                <w:bCs/>
                <w:color w:val="auto"/>
                <w:kern w:val="0"/>
                <w:sz w:val="21"/>
                <w:szCs w:val="21"/>
                <w:highlight w:val="none"/>
                <w:lang w:val="en-US" w:eastAsia="zh-CN"/>
              </w:rPr>
              <w:t>壳体断后伸长率(A/%)（排名规则：数值越大排名越前，不在性能参数范围内的不得分）</w:t>
            </w:r>
            <w:r>
              <w:rPr>
                <w:rFonts w:hint="eastAsia" w:cs="Times New Roman"/>
                <w:b/>
                <w:bCs/>
                <w:color w:val="auto"/>
                <w:kern w:val="0"/>
                <w:sz w:val="21"/>
                <w:szCs w:val="21"/>
                <w:highlight w:val="none"/>
                <w:lang w:val="en-US" w:eastAsia="zh-CN"/>
              </w:rPr>
              <w:t>：</w:t>
            </w:r>
          </w:p>
          <w:p>
            <w:pPr>
              <w:pStyle w:val="4"/>
              <w:widowControl/>
              <w:autoSpaceDE/>
              <w:autoSpaceDN/>
              <w:spacing w:line="360" w:lineRule="auto"/>
              <w:rPr>
                <w:rFonts w:hint="eastAsia" w:ascii="宋体"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（3分）对性能参数</w:t>
            </w:r>
            <w:r>
              <w:rPr>
                <w:rFonts w:hint="eastAsia" w:cs="Times New Roman"/>
                <w:color w:val="auto"/>
                <w:sz w:val="21"/>
                <w:szCs w:val="21"/>
                <w:highlight w:val="none"/>
                <w:lang w:val="en-US" w:eastAsia="zh-CN"/>
              </w:rPr>
              <w:t>≥</w:t>
            </w:r>
            <w:r>
              <w:rPr>
                <w:rFonts w:hint="default" w:ascii="宋体" w:hAnsi="Calibri" w:eastAsia="宋体" w:cs="Times New Roman"/>
                <w:color w:val="auto"/>
                <w:kern w:val="0"/>
                <w:sz w:val="21"/>
                <w:szCs w:val="21"/>
                <w:highlight w:val="none"/>
                <w:lang w:val="en-US" w:eastAsia="zh-CN"/>
              </w:rPr>
              <w:t>10(A/%)</w:t>
            </w:r>
            <w:r>
              <w:rPr>
                <w:rFonts w:hint="eastAsia" w:cs="Times New Roman"/>
                <w:color w:val="auto"/>
                <w:kern w:val="0"/>
                <w:sz w:val="21"/>
                <w:szCs w:val="21"/>
                <w:highlight w:val="none"/>
                <w:lang w:val="en-US" w:eastAsia="zh-CN"/>
              </w:rPr>
              <w:t>的</w:t>
            </w:r>
            <w:r>
              <w:rPr>
                <w:rFonts w:hint="default" w:ascii="宋体" w:hAnsi="Calibri" w:eastAsia="宋体" w:cs="Times New Roman"/>
                <w:color w:val="auto"/>
                <w:kern w:val="0"/>
                <w:sz w:val="21"/>
                <w:szCs w:val="21"/>
                <w:highlight w:val="none"/>
                <w:lang w:val="en-US" w:eastAsia="zh-CN"/>
              </w:rPr>
              <w:t>抢修器进行排名，排名第一得3分，排名第二得2分，排名第三得1分，其他名次不得分</w:t>
            </w:r>
            <w:r>
              <w:rPr>
                <w:rFonts w:hint="eastAsia" w:cs="Times New Roman"/>
                <w:color w:val="auto"/>
                <w:kern w:val="0"/>
                <w:sz w:val="21"/>
                <w:szCs w:val="21"/>
                <w:highlight w:val="none"/>
                <w:lang w:val="en-US" w:eastAsia="zh-CN"/>
              </w:rPr>
              <w:t>。</w:t>
            </w:r>
          </w:p>
          <w:p>
            <w:pPr>
              <w:pStyle w:val="4"/>
              <w:widowControl/>
              <w:autoSpaceDE/>
              <w:autoSpaceDN/>
              <w:spacing w:line="360" w:lineRule="auto"/>
              <w:rPr>
                <w:rFonts w:hint="eastAsia" w:ascii="宋体"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w:t>
            </w:r>
            <w:r>
              <w:rPr>
                <w:rFonts w:hint="eastAsia" w:ascii="宋体" w:eastAsia="宋体" w:cs="Times New Roman"/>
                <w:b/>
                <w:bCs/>
                <w:color w:val="auto"/>
                <w:kern w:val="0"/>
                <w:sz w:val="21"/>
                <w:szCs w:val="21"/>
                <w:highlight w:val="none"/>
                <w:lang w:val="en-US" w:eastAsia="zh-CN"/>
              </w:rPr>
              <w:t>3</w:t>
            </w:r>
            <w:r>
              <w:rPr>
                <w:rFonts w:hint="eastAsia" w:cs="Times New Roman"/>
                <w:b/>
                <w:bCs/>
                <w:color w:val="auto"/>
                <w:kern w:val="0"/>
                <w:sz w:val="21"/>
                <w:szCs w:val="21"/>
                <w:highlight w:val="none"/>
                <w:lang w:val="en-US" w:eastAsia="zh-CN"/>
              </w:rPr>
              <w:t>）橡胶密封垫的扯断强度（MPa）（排名规则：数值越大排名越前，不在性能参数范围内的不得分）：</w:t>
            </w:r>
          </w:p>
          <w:p>
            <w:pPr>
              <w:pStyle w:val="4"/>
              <w:widowControl/>
              <w:autoSpaceDE/>
              <w:autoSpaceDN/>
              <w:spacing w:line="360" w:lineRule="auto"/>
              <w:rPr>
                <w:rFonts w:hint="default" w:ascii="宋体" w:hAnsi="Calibri"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（3分）对性能参数</w:t>
            </w:r>
            <w:r>
              <w:rPr>
                <w:rFonts w:hint="eastAsia" w:cs="Times New Roman"/>
                <w:color w:val="auto"/>
                <w:sz w:val="21"/>
                <w:szCs w:val="21"/>
                <w:highlight w:val="none"/>
                <w:lang w:val="en-US" w:eastAsia="zh-CN"/>
              </w:rPr>
              <w:t>≥</w:t>
            </w:r>
            <w:r>
              <w:rPr>
                <w:rFonts w:hint="default" w:ascii="宋体" w:hAnsi="Calibri" w:eastAsia="宋体" w:cs="Times New Roman"/>
                <w:color w:val="auto"/>
                <w:kern w:val="0"/>
                <w:sz w:val="21"/>
                <w:szCs w:val="21"/>
                <w:highlight w:val="none"/>
                <w:lang w:val="en-US" w:eastAsia="zh-CN"/>
              </w:rPr>
              <w:t>9（MPa）的抢修器进行排名</w:t>
            </w:r>
            <w:r>
              <w:rPr>
                <w:rFonts w:hint="eastAsia" w:cs="Times New Roman"/>
                <w:color w:val="auto"/>
                <w:kern w:val="0"/>
                <w:sz w:val="21"/>
                <w:szCs w:val="21"/>
                <w:highlight w:val="none"/>
                <w:lang w:val="en-US" w:eastAsia="zh-CN"/>
              </w:rPr>
              <w:t>，</w:t>
            </w:r>
            <w:r>
              <w:rPr>
                <w:rFonts w:hint="default" w:ascii="宋体" w:hAnsi="Calibri" w:eastAsia="宋体" w:cs="Times New Roman"/>
                <w:color w:val="auto"/>
                <w:kern w:val="0"/>
                <w:sz w:val="21"/>
                <w:szCs w:val="21"/>
                <w:highlight w:val="none"/>
                <w:lang w:val="en-US" w:eastAsia="zh-CN"/>
              </w:rPr>
              <w:t>排名第一得3分，排名第二得2分，排名第三得1分，其他名次不得分。</w:t>
            </w:r>
          </w:p>
          <w:p>
            <w:pPr>
              <w:pStyle w:val="4"/>
              <w:widowControl/>
              <w:autoSpaceDE/>
              <w:autoSpaceDN/>
              <w:spacing w:line="360" w:lineRule="auto"/>
              <w:rPr>
                <w:rFonts w:hint="eastAsia" w:cs="Times New Roman"/>
                <w:b/>
                <w:bCs/>
                <w:color w:val="auto"/>
                <w:sz w:val="21"/>
                <w:szCs w:val="21"/>
                <w:highlight w:val="none"/>
                <w:lang w:val="en-US" w:eastAsia="zh-CN"/>
              </w:rPr>
            </w:pPr>
            <w:r>
              <w:rPr>
                <w:rFonts w:hint="eastAsia" w:cs="Times New Roman"/>
                <w:b/>
                <w:bCs/>
                <w:color w:val="auto"/>
                <w:sz w:val="21"/>
                <w:szCs w:val="21"/>
                <w:highlight w:val="none"/>
                <w:lang w:eastAsia="zh-CN"/>
              </w:rPr>
              <w:t>（</w:t>
            </w:r>
            <w:r>
              <w:rPr>
                <w:rFonts w:hint="eastAsia" w:cs="Times New Roman"/>
                <w:b/>
                <w:bCs/>
                <w:color w:val="auto"/>
                <w:sz w:val="21"/>
                <w:szCs w:val="21"/>
                <w:highlight w:val="none"/>
                <w:lang w:val="en-US" w:eastAsia="zh-CN"/>
              </w:rPr>
              <w:t>4</w:t>
            </w:r>
            <w:r>
              <w:rPr>
                <w:rFonts w:hint="eastAsia" w:cs="Times New Roman"/>
                <w:b/>
                <w:bCs/>
                <w:color w:val="auto"/>
                <w:sz w:val="21"/>
                <w:szCs w:val="21"/>
                <w:highlight w:val="none"/>
                <w:lang w:eastAsia="zh-CN"/>
              </w:rPr>
              <w:t>）</w:t>
            </w:r>
            <w:r>
              <w:rPr>
                <w:rFonts w:hint="eastAsia" w:cs="Times New Roman"/>
                <w:b/>
                <w:bCs/>
                <w:color w:val="auto"/>
                <w:sz w:val="21"/>
                <w:szCs w:val="21"/>
                <w:highlight w:val="none"/>
                <w:lang w:val="en-US" w:eastAsia="zh-CN"/>
              </w:rPr>
              <w:t>橡胶密封垫的拉断伸长率（排名规则：数值越大排名越前，不在性能参数范围内的不得分）：</w:t>
            </w:r>
          </w:p>
          <w:p>
            <w:pPr>
              <w:pStyle w:val="4"/>
              <w:widowControl/>
              <w:autoSpaceDE/>
              <w:autoSpaceDN/>
              <w:spacing w:line="360" w:lineRule="auto"/>
              <w:rPr>
                <w:rFonts w:hint="default" w:ascii="宋体" w:hAnsi="Calibri" w:eastAsia="宋体" w:cs="Times New Roman"/>
                <w:color w:val="auto"/>
                <w:sz w:val="21"/>
                <w:szCs w:val="21"/>
                <w:highlight w:val="none"/>
                <w:lang w:eastAsia="zh-CN"/>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3分</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对性能参数≥300%的抢修器进行排名，排名第一得3分，排名第二得2分，排名第三得1分，其他名次不得分。</w:t>
            </w:r>
          </w:p>
          <w:p>
            <w:pPr>
              <w:pStyle w:val="4"/>
              <w:widowControl/>
              <w:autoSpaceDE/>
              <w:autoSpaceDN/>
              <w:spacing w:line="360" w:lineRule="auto"/>
              <w:rPr>
                <w:rFonts w:hint="eastAsia" w:ascii="宋体"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（5）橡胶密封垫的压缩永久变形(23℃,72h)（排名规则：数值越小排名越前，不在性能参数范围内的不得分）：</w:t>
            </w:r>
          </w:p>
          <w:p>
            <w:pPr>
              <w:pStyle w:val="4"/>
              <w:widowControl/>
              <w:autoSpaceDE/>
              <w:autoSpaceDN/>
              <w:spacing w:line="360" w:lineRule="auto"/>
              <w:rPr>
                <w:rFonts w:hint="eastAsia" w:ascii="宋体" w:eastAsia="宋体" w:cs="Times New Roman"/>
                <w:color w:val="auto"/>
                <w:kern w:val="0"/>
                <w:sz w:val="21"/>
                <w:szCs w:val="21"/>
                <w:highlight w:val="none"/>
                <w:lang w:val="en-US" w:eastAsia="zh-CN"/>
              </w:rPr>
            </w:pPr>
            <w:r>
              <w:rPr>
                <w:rFonts w:hint="eastAsia" w:ascii="宋体" w:eastAsia="宋体" w:cs="Times New Roman"/>
                <w:color w:val="auto"/>
                <w:kern w:val="0"/>
                <w:sz w:val="21"/>
                <w:szCs w:val="21"/>
                <w:highlight w:val="none"/>
                <w:lang w:val="en-US" w:eastAsia="zh-CN"/>
              </w:rPr>
              <w:t>（3分）对性能参数</w:t>
            </w:r>
            <w:r>
              <w:rPr>
                <w:rFonts w:hint="eastAsia" w:cs="Times New Roman"/>
                <w:color w:val="auto"/>
                <w:kern w:val="0"/>
                <w:sz w:val="21"/>
                <w:szCs w:val="21"/>
                <w:highlight w:val="none"/>
                <w:lang w:val="en-US" w:eastAsia="zh-CN"/>
              </w:rPr>
              <w:t>≤</w:t>
            </w:r>
            <w:r>
              <w:rPr>
                <w:rFonts w:hint="eastAsia" w:ascii="宋体" w:eastAsia="宋体" w:cs="Times New Roman"/>
                <w:color w:val="auto"/>
                <w:kern w:val="0"/>
                <w:sz w:val="21"/>
                <w:szCs w:val="21"/>
                <w:highlight w:val="none"/>
                <w:lang w:val="en-US" w:eastAsia="zh-CN"/>
              </w:rPr>
              <w:t>12%的抢修器进行排名，排名第一得3分，排名第二得2分，排名第三得1分，其他名次不得分。</w:t>
            </w:r>
          </w:p>
          <w:p>
            <w:pPr>
              <w:pStyle w:val="4"/>
              <w:widowControl/>
              <w:autoSpaceDE/>
              <w:autoSpaceDN/>
              <w:spacing w:line="360" w:lineRule="auto"/>
              <w:rPr>
                <w:rFonts w:hint="eastAsia" w:ascii="宋体"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（6）耐老化性能(70°C，7d）扯断伸长率下降（排名规则：数值越小排名越前，不在性能参数范围内的不得分）：</w:t>
            </w:r>
          </w:p>
          <w:p>
            <w:pPr>
              <w:spacing w:line="360" w:lineRule="auto"/>
              <w:rPr>
                <w:rFonts w:hint="eastAsia" w:ascii="宋体" w:hAnsi="Calibri" w:eastAsia="宋体" w:cs="Times New Roman"/>
                <w:color w:val="auto"/>
                <w:kern w:val="0"/>
                <w:szCs w:val="21"/>
                <w:highlight w:val="none"/>
                <w:lang w:val="en-US" w:eastAsia="zh-CN"/>
              </w:rPr>
            </w:pPr>
            <w:r>
              <w:rPr>
                <w:rFonts w:hint="eastAsia" w:ascii="宋体" w:hAnsi="Calibri" w:eastAsia="宋体" w:cs="Times New Roman"/>
                <w:color w:val="auto"/>
                <w:kern w:val="0"/>
                <w:szCs w:val="21"/>
                <w:highlight w:val="none"/>
                <w:lang w:val="en-US" w:eastAsia="zh-CN"/>
              </w:rPr>
              <w:t>（3分）对性能参数≤30%的抢修器进行排名，排名第一得3分，排名第二得2分，排名第三得1分，其他名次不得分。</w:t>
            </w:r>
          </w:p>
          <w:p>
            <w:pPr>
              <w:pStyle w:val="4"/>
              <w:autoSpaceDE/>
              <w:autoSpaceDN/>
              <w:spacing w:line="360" w:lineRule="auto"/>
              <w:rPr>
                <w:rFonts w:hint="default" w:ascii="宋体" w:hAnsi="Calibri" w:eastAsia="宋体" w:cs="Times New Roman"/>
                <w:b/>
                <w:bCs/>
                <w:color w:val="auto"/>
                <w:kern w:val="0"/>
                <w:sz w:val="21"/>
                <w:szCs w:val="21"/>
                <w:highlight w:val="none"/>
                <w:lang w:val="en-US" w:eastAsia="zh-CN"/>
              </w:rPr>
            </w:pPr>
            <w:r>
              <w:rPr>
                <w:rFonts w:hint="eastAsia" w:hAnsi="宋体" w:cs="宋体"/>
                <w:b/>
                <w:bCs/>
                <w:color w:val="auto"/>
                <w:sz w:val="21"/>
                <w:szCs w:val="21"/>
                <w:highlight w:val="none"/>
                <w:lang w:val="en-US" w:eastAsia="zh-CN"/>
              </w:rPr>
              <w:t>备注：</w:t>
            </w:r>
            <w:r>
              <w:rPr>
                <w:rFonts w:hint="eastAsia" w:ascii="宋体" w:hAnsi="宋体" w:eastAsia="宋体" w:cs="宋体"/>
                <w:b/>
                <w:bCs/>
                <w:color w:val="auto"/>
                <w:sz w:val="21"/>
                <w:szCs w:val="21"/>
                <w:highlight w:val="none"/>
                <w:lang w:val="en-US" w:eastAsia="zh-CN"/>
              </w:rPr>
              <w:t>①</w:t>
            </w:r>
            <w:r>
              <w:rPr>
                <w:rFonts w:hint="default" w:ascii="宋体" w:hAnsi="Calibri" w:eastAsia="宋体" w:cs="Times New Roman"/>
                <w:b/>
                <w:bCs/>
                <w:color w:val="auto"/>
                <w:sz w:val="21"/>
                <w:szCs w:val="21"/>
                <w:highlight w:val="none"/>
                <w:lang w:val="en-US" w:eastAsia="zh-CN"/>
              </w:rPr>
              <w:t>提供可反映直身抢修器（DN50X150、DN25X100、DN100X200）</w:t>
            </w:r>
            <w:r>
              <w:rPr>
                <w:rFonts w:hint="default" w:ascii="宋体" w:hAnsi="Calibri" w:eastAsia="宋体" w:cs="Times New Roman"/>
                <w:b/>
                <w:bCs/>
                <w:color w:val="auto"/>
                <w:kern w:val="0"/>
                <w:sz w:val="21"/>
                <w:szCs w:val="21"/>
                <w:highlight w:val="none"/>
                <w:lang w:val="en-US" w:eastAsia="zh-CN"/>
              </w:rPr>
              <w:t>性能参数的由具有资质的第三方检测机构出具的加盖实验室资质认定（CMA）章的质量检测报告。报告日期为2022年1月1日以后；报告上需体现委托单位，委托单位需为所投货物的生产厂家或投标人，如为生产厂家的，应与《供货货物清单表》上填报的生产厂家一致；否则不得分。</w:t>
            </w:r>
          </w:p>
          <w:p>
            <w:pPr>
              <w:pStyle w:val="4"/>
              <w:autoSpaceDE/>
              <w:autoSpaceDN/>
              <w:spacing w:line="360" w:lineRule="auto"/>
              <w:rPr>
                <w:rFonts w:hint="eastAsia" w:ascii="宋体" w:hAnsi="Calibri" w:eastAsia="宋体" w:cs="Times New Roman"/>
                <w:b/>
                <w:bCs/>
                <w:color w:val="auto"/>
                <w:sz w:val="21"/>
                <w:szCs w:val="21"/>
                <w:highlight w:val="none"/>
                <w:lang w:val="en-US" w:eastAsia="zh-CN"/>
              </w:rPr>
            </w:pPr>
            <w:r>
              <w:rPr>
                <w:rFonts w:hint="eastAsia" w:ascii="宋体" w:hAnsi="Calibri" w:eastAsia="宋体" w:cs="Times New Roman"/>
                <w:b/>
                <w:bCs/>
                <w:color w:val="auto"/>
                <w:sz w:val="21"/>
                <w:szCs w:val="21"/>
                <w:highlight w:val="none"/>
                <w:lang w:val="en-US" w:eastAsia="zh-CN"/>
              </w:rPr>
              <w:t>②当检测报告上技术指标检测结果为多个数值（或范围值）时，以最劣检测结果进行排名。</w:t>
            </w:r>
          </w:p>
          <w:p>
            <w:pPr>
              <w:pStyle w:val="4"/>
              <w:autoSpaceDE/>
              <w:autoSpaceDN/>
              <w:spacing w:line="360" w:lineRule="auto"/>
              <w:rPr>
                <w:rFonts w:hint="eastAsia" w:ascii="宋体" w:hAnsi="Calibri" w:eastAsia="宋体" w:cs="Times New Roman"/>
                <w:b/>
                <w:bCs/>
                <w:color w:val="auto"/>
                <w:sz w:val="21"/>
                <w:szCs w:val="21"/>
                <w:highlight w:val="none"/>
                <w:lang w:val="en-US" w:eastAsia="zh-CN"/>
              </w:rPr>
            </w:pPr>
            <w:r>
              <w:rPr>
                <w:rFonts w:hint="eastAsia" w:ascii="宋体" w:hAnsi="Calibri" w:eastAsia="宋体" w:cs="Times New Roman"/>
                <w:b/>
                <w:bCs/>
                <w:color w:val="auto"/>
                <w:sz w:val="21"/>
                <w:szCs w:val="21"/>
                <w:highlight w:val="none"/>
                <w:lang w:val="en-US" w:eastAsia="zh-CN"/>
              </w:rPr>
              <w:t>③对于同一评分性能参数，如投标人提供了多份检测报告且检测结果不一的，以最劣检测结果进行排名。</w:t>
            </w:r>
          </w:p>
          <w:p>
            <w:pPr>
              <w:pStyle w:val="4"/>
              <w:spacing w:line="360" w:lineRule="auto"/>
              <w:rPr>
                <w:rFonts w:hint="default" w:ascii="宋体" w:hAnsi="宋体" w:eastAsia="宋体" w:cs="宋体"/>
                <w:b/>
                <w:color w:val="auto"/>
                <w:szCs w:val="21"/>
                <w:highlight w:val="none"/>
                <w:lang w:val="en-US" w:eastAsia="zh-CN"/>
              </w:rPr>
            </w:pPr>
            <w:r>
              <w:rPr>
                <w:rFonts w:hint="eastAsia" w:ascii="宋体" w:hAnsi="Calibri" w:eastAsia="宋体" w:cs="Times New Roman"/>
                <w:b/>
                <w:bCs/>
                <w:color w:val="auto"/>
                <w:kern w:val="0"/>
                <w:sz w:val="21"/>
                <w:szCs w:val="21"/>
                <w:highlight w:val="none"/>
                <w:lang w:val="en-US" w:eastAsia="zh-CN"/>
              </w:rPr>
              <w:t>④当不同投标人所提供的同一规格管材的检测报告中同一项性能参数一致时，可并列同一名次且不占用后续名次名额（例：A=B＞C＞D，排名则是A、B并列第一名，C第二名，D第三名）。</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货物质量保障能力</w:t>
            </w:r>
          </w:p>
        </w:tc>
        <w:tc>
          <w:tcPr>
            <w:tcW w:w="3700" w:type="pct"/>
            <w:tcBorders>
              <w:top w:val="single" w:color="auto" w:sz="4" w:space="0"/>
              <w:left w:val="single" w:color="auto" w:sz="4" w:space="0"/>
              <w:bottom w:val="single" w:color="auto" w:sz="4" w:space="0"/>
              <w:right w:val="single" w:color="auto" w:sz="4" w:space="0"/>
            </w:tcBorders>
            <w:vAlign w:val="center"/>
          </w:tcPr>
          <w:p>
            <w:pPr>
              <w:autoSpaceDE/>
              <w:autoSpaceDN/>
              <w:adjustRightInd/>
              <w:spacing w:line="360" w:lineRule="auto"/>
              <w:ind w:right="-28"/>
              <w:jc w:val="left"/>
              <w:rPr>
                <w:rFonts w:hint="eastAsia" w:ascii="宋体" w:hAnsi="宋体" w:eastAsia="宋体" w:cs="宋体"/>
                <w:bCs/>
                <w:color w:val="auto"/>
                <w:kern w:val="2"/>
                <w:szCs w:val="21"/>
                <w:highlight w:val="none"/>
                <w:lang w:val="zh-CN" w:eastAsia="zh-CN"/>
              </w:rPr>
            </w:pPr>
            <w:r>
              <w:rPr>
                <w:rFonts w:hint="eastAsia" w:ascii="宋体" w:hAnsi="宋体" w:eastAsia="宋体" w:cs="宋体"/>
                <w:bCs/>
                <w:color w:val="auto"/>
                <w:kern w:val="2"/>
                <w:szCs w:val="21"/>
                <w:highlight w:val="none"/>
                <w:lang w:val="zh-CN" w:eastAsia="zh-CN"/>
              </w:rPr>
              <w:t>根据投标人的货物质量保障能力（包括但不限于投标人对所投产品质量的检验、检测能力、货物质量控制措施、货物渠道及保证措施、供应商的资质证书及获奖情况）等情况：</w:t>
            </w:r>
          </w:p>
          <w:p>
            <w:pPr>
              <w:autoSpaceDE/>
              <w:autoSpaceDN/>
              <w:adjustRightInd/>
              <w:spacing w:line="360" w:lineRule="auto"/>
              <w:ind w:right="-28"/>
              <w:jc w:val="left"/>
              <w:rPr>
                <w:rFonts w:hint="eastAsia" w:ascii="宋体" w:hAnsi="宋体" w:eastAsia="宋体" w:cs="宋体"/>
                <w:bCs/>
                <w:color w:val="auto"/>
                <w:kern w:val="2"/>
                <w:szCs w:val="21"/>
                <w:highlight w:val="none"/>
                <w:lang w:val="zh-CN" w:eastAsia="zh-CN"/>
              </w:rPr>
            </w:pPr>
            <w:bookmarkStart w:id="1018" w:name="_Toc190272641"/>
            <w:r>
              <w:rPr>
                <w:rFonts w:hint="eastAsia" w:ascii="宋体" w:hAnsi="宋体" w:eastAsia="宋体" w:cs="宋体"/>
                <w:bCs/>
                <w:color w:val="auto"/>
                <w:kern w:val="2"/>
                <w:szCs w:val="21"/>
                <w:highlight w:val="none"/>
                <w:lang w:val="zh-CN" w:eastAsia="zh-CN"/>
              </w:rPr>
              <w:t>优：投标人的检验、检测能力强，质量控制措施及保证措施具体完善，企业资质能力强，获奖丰富的，得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r>
              <w:rPr>
                <w:rFonts w:hint="eastAsia" w:ascii="宋体" w:hAnsi="宋体" w:eastAsia="宋体" w:cs="宋体"/>
                <w:bCs/>
                <w:color w:val="auto"/>
                <w:kern w:val="2"/>
                <w:szCs w:val="21"/>
                <w:highlight w:val="none"/>
                <w:lang w:val="zh-CN" w:eastAsia="zh-CN"/>
              </w:rPr>
              <w:t>；</w:t>
            </w:r>
            <w:bookmarkEnd w:id="1018"/>
            <w:bookmarkStart w:id="1019" w:name="_Toc190272642"/>
          </w:p>
          <w:p>
            <w:pPr>
              <w:autoSpaceDE/>
              <w:autoSpaceDN/>
              <w:adjustRightInd/>
              <w:spacing w:line="360" w:lineRule="auto"/>
              <w:ind w:right="-28"/>
              <w:jc w:val="left"/>
              <w:rPr>
                <w:rFonts w:hint="eastAsia" w:ascii="宋体" w:hAnsi="宋体" w:eastAsia="宋体" w:cs="宋体"/>
                <w:bCs/>
                <w:color w:val="auto"/>
                <w:kern w:val="2"/>
                <w:szCs w:val="21"/>
                <w:highlight w:val="none"/>
                <w:lang w:val="zh-CN" w:eastAsia="zh-CN"/>
              </w:rPr>
            </w:pPr>
            <w:r>
              <w:rPr>
                <w:rFonts w:hint="eastAsia" w:ascii="宋体" w:hAnsi="宋体" w:eastAsia="宋体" w:cs="宋体"/>
                <w:bCs/>
                <w:color w:val="auto"/>
                <w:kern w:val="2"/>
                <w:szCs w:val="21"/>
                <w:highlight w:val="none"/>
                <w:lang w:val="zh-CN" w:eastAsia="zh-CN"/>
              </w:rPr>
              <w:t>良：投标人的检验、检测能力较强，质量控制措施及保证措施较具体，企业资质能力较强，获奖较丰富的，得</w:t>
            </w:r>
            <w:r>
              <w:rPr>
                <w:rFonts w:hint="eastAsia" w:ascii="宋体" w:hAnsi="宋体" w:eastAsia="宋体" w:cs="宋体"/>
                <w:bCs/>
                <w:color w:val="auto"/>
                <w:kern w:val="2"/>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kern w:val="2"/>
                <w:szCs w:val="21"/>
                <w:highlight w:val="none"/>
                <w:lang w:val="zh-CN" w:eastAsia="zh-CN"/>
              </w:rPr>
              <w:t>；</w:t>
            </w:r>
          </w:p>
          <w:p>
            <w:pPr>
              <w:autoSpaceDE/>
              <w:autoSpaceDN/>
              <w:adjustRightInd/>
              <w:spacing w:line="360" w:lineRule="auto"/>
              <w:ind w:right="-28"/>
              <w:jc w:val="left"/>
              <w:rPr>
                <w:rFonts w:hint="eastAsia" w:ascii="宋体" w:hAnsi="宋体" w:eastAsia="宋体" w:cs="宋体"/>
                <w:bCs/>
                <w:color w:val="auto"/>
                <w:kern w:val="2"/>
                <w:szCs w:val="21"/>
                <w:highlight w:val="none"/>
                <w:lang w:val="zh-CN" w:eastAsia="zh-CN"/>
              </w:rPr>
            </w:pPr>
            <w:r>
              <w:rPr>
                <w:rFonts w:hint="eastAsia" w:ascii="宋体" w:hAnsi="宋体" w:eastAsia="宋体" w:cs="宋体"/>
                <w:bCs/>
                <w:color w:val="auto"/>
                <w:kern w:val="2"/>
                <w:szCs w:val="21"/>
                <w:highlight w:val="none"/>
                <w:lang w:val="zh-CN" w:eastAsia="zh-CN"/>
              </w:rPr>
              <w:t>中：投标人的检验、检测能力一般，质量控制措施及保证措施简单，企业资质能力一般，获奖较少的，得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kern w:val="2"/>
                <w:szCs w:val="21"/>
                <w:highlight w:val="none"/>
                <w:lang w:val="zh-CN" w:eastAsia="zh-CN"/>
              </w:rPr>
              <w:t>；</w:t>
            </w:r>
            <w:bookmarkEnd w:id="1019"/>
          </w:p>
          <w:p>
            <w:pPr>
              <w:autoSpaceDE/>
              <w:autoSpaceDN/>
              <w:adjustRightInd/>
              <w:spacing w:line="360" w:lineRule="auto"/>
              <w:ind w:right="-28"/>
              <w:jc w:val="left"/>
              <w:rPr>
                <w:rFonts w:hint="eastAsia" w:ascii="宋体" w:hAnsi="宋体" w:eastAsia="宋体" w:cs="宋体"/>
                <w:bCs/>
                <w:color w:val="auto"/>
                <w:kern w:val="2"/>
                <w:szCs w:val="21"/>
                <w:highlight w:val="none"/>
                <w:lang w:val="zh-CN" w:eastAsia="zh-CN"/>
              </w:rPr>
            </w:pPr>
            <w:bookmarkStart w:id="1020" w:name="_Toc190272643"/>
            <w:r>
              <w:rPr>
                <w:rFonts w:hint="eastAsia" w:ascii="宋体" w:hAnsi="宋体" w:eastAsia="宋体" w:cs="宋体"/>
                <w:bCs/>
                <w:color w:val="auto"/>
                <w:kern w:val="2"/>
                <w:szCs w:val="21"/>
                <w:highlight w:val="none"/>
                <w:lang w:val="zh-CN" w:eastAsia="zh-CN"/>
              </w:rPr>
              <w:t>差：投标人的检验、检测能力差，质量控制措施及保证措施不足，企业资质能力弱，获奖甚少的，得</w:t>
            </w:r>
            <w:r>
              <w:rPr>
                <w:rFonts w:hint="eastAsia" w:ascii="宋体" w:hAnsi="宋体" w:eastAsia="宋体" w:cs="宋体"/>
                <w:bCs/>
                <w:color w:val="auto"/>
                <w:kern w:val="2"/>
                <w:szCs w:val="21"/>
                <w:highlight w:val="none"/>
                <w:lang w:val="en-US" w:eastAsia="zh-CN"/>
              </w:rPr>
              <w:t>[0</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kern w:val="2"/>
                <w:szCs w:val="21"/>
                <w:highlight w:val="none"/>
                <w:lang w:val="zh-CN" w:eastAsia="zh-CN"/>
              </w:rPr>
              <w:t>。</w:t>
            </w:r>
            <w:bookmarkEnd w:id="1020"/>
          </w:p>
          <w:p>
            <w:pPr>
              <w:autoSpaceDE/>
              <w:autoSpaceDN/>
              <w:adjustRightInd/>
              <w:spacing w:line="360" w:lineRule="auto"/>
              <w:ind w:right="-28"/>
              <w:jc w:val="left"/>
              <w:rPr>
                <w:rFonts w:hint="default"/>
                <w:color w:val="auto"/>
                <w:highlight w:val="none"/>
                <w:lang w:val="en-US" w:eastAsia="zh-CN"/>
              </w:rPr>
            </w:pPr>
            <w:r>
              <w:rPr>
                <w:rFonts w:hint="eastAsia" w:ascii="宋体" w:hAnsi="宋体" w:eastAsia="宋体" w:cs="宋体"/>
                <w:bCs/>
                <w:color w:val="auto"/>
                <w:kern w:val="2"/>
                <w:szCs w:val="21"/>
                <w:highlight w:val="none"/>
                <w:lang w:val="zh-CN" w:eastAsia="zh-CN"/>
              </w:rPr>
              <w:t>未提供货物质量保障能力方案及相关证明材料的，不得分。</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eastAsia="zh-CN"/>
              </w:rPr>
              <w:t>售后服务响应、紧急供货时间承诺</w:t>
            </w:r>
          </w:p>
        </w:tc>
        <w:tc>
          <w:tcPr>
            <w:tcW w:w="3700" w:type="pct"/>
            <w:tcBorders>
              <w:top w:val="single" w:color="auto" w:sz="4" w:space="0"/>
              <w:left w:val="single" w:color="auto" w:sz="4" w:space="0"/>
              <w:bottom w:val="single" w:color="auto" w:sz="4" w:space="0"/>
              <w:right w:val="single" w:color="auto" w:sz="4" w:space="0"/>
            </w:tcBorders>
            <w:vAlign w:val="center"/>
          </w:tcPr>
          <w:p>
            <w:pPr>
              <w:spacing w:line="360" w:lineRule="auto"/>
              <w:ind w:right="-28"/>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根据投标人承诺的售后服务响应时间及应急供货时间进行评审:</w:t>
            </w:r>
          </w:p>
          <w:p>
            <w:pPr>
              <w:spacing w:line="360" w:lineRule="auto"/>
              <w:ind w:right="-28"/>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①承诺接到招标人的售后服务通知后响应时间为：2小时</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val="zh-CN" w:eastAsia="zh-CN"/>
              </w:rPr>
              <w:t>响应时间</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val="zh-CN" w:eastAsia="zh-CN"/>
              </w:rPr>
              <w:t>4小时的，承诺接到招标人紧急送货通知后将货物送达指定地点的送达时间为：1小时</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val="zh-CN" w:eastAsia="zh-CN"/>
              </w:rPr>
              <w:t>送达时间</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val="zh-CN" w:eastAsia="zh-CN"/>
              </w:rPr>
              <w:t>2小时的，得1分；</w:t>
            </w:r>
          </w:p>
          <w:p>
            <w:pPr>
              <w:spacing w:line="360" w:lineRule="auto"/>
              <w:ind w:right="-28"/>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②承诺接到招标人的售后服务通知后响应时间为：响应时间</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val="zh-CN" w:eastAsia="zh-CN"/>
              </w:rPr>
              <w:t>2小时的，承诺接到招标人紧急送货通知后将货物送达指定地点的送达时间为：送达时间</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val="zh-CN" w:eastAsia="zh-CN"/>
              </w:rPr>
              <w:t>1小时的，得2分。</w:t>
            </w:r>
          </w:p>
          <w:p>
            <w:pPr>
              <w:pStyle w:val="4"/>
              <w:keepNext w:val="0"/>
              <w:keepLines w:val="0"/>
              <w:pageBreakBefore w:val="0"/>
              <w:widowControl w:val="0"/>
              <w:kinsoku/>
              <w:wordWrap/>
              <w:overflowPunct/>
              <w:topLinePunct w:val="0"/>
              <w:bidi w:val="0"/>
              <w:snapToGrid/>
              <w:spacing w:line="360" w:lineRule="auto"/>
              <w:textAlignment w:val="auto"/>
              <w:rPr>
                <w:rFonts w:hint="default"/>
                <w:color w:val="auto"/>
                <w:highlight w:val="none"/>
                <w:lang w:val="en-US" w:eastAsia="zh-CN"/>
              </w:rPr>
            </w:pPr>
            <w:r>
              <w:rPr>
                <w:rFonts w:hint="eastAsia" w:ascii="宋体" w:hAnsi="宋体" w:eastAsia="宋体" w:cs="宋体"/>
                <w:b/>
                <w:bCs/>
                <w:color w:val="auto"/>
                <w:sz w:val="21"/>
                <w:szCs w:val="21"/>
                <w:highlight w:val="none"/>
                <w:lang w:val="en-US" w:eastAsia="zh-CN"/>
              </w:rPr>
              <w:t>备注</w:t>
            </w:r>
            <w:r>
              <w:rPr>
                <w:rFonts w:hint="eastAsia" w:hAnsi="宋体" w:cs="宋体"/>
                <w:b/>
                <w:bCs/>
                <w:color w:val="auto"/>
                <w:kern w:val="0"/>
                <w:sz w:val="21"/>
                <w:szCs w:val="21"/>
                <w:highlight w:val="none"/>
                <w:lang w:val="en-US" w:eastAsia="zh-CN"/>
              </w:rPr>
              <w:t>：</w:t>
            </w:r>
            <w:r>
              <w:rPr>
                <w:rFonts w:hint="eastAsia" w:ascii="宋体" w:hAnsi="宋体" w:eastAsia="宋体" w:cs="宋体"/>
                <w:b/>
                <w:bCs/>
                <w:color w:val="auto"/>
                <w:sz w:val="21"/>
                <w:szCs w:val="21"/>
                <w:highlight w:val="none"/>
                <w:lang w:val="en-US" w:eastAsia="zh-CN"/>
              </w:rPr>
              <w:t>根据《售后服务响应、紧急供货时间承诺表》进行评审。</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562" w:type="pct"/>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技术总分</w:t>
            </w:r>
          </w:p>
        </w:tc>
        <w:tc>
          <w:tcPr>
            <w:tcW w:w="43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30分</w:t>
            </w:r>
          </w:p>
        </w:tc>
      </w:tr>
      <w:bookmarkEnd w:id="1017"/>
    </w:tbl>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①表中“[”代表闭区间，“]”代表闭区间，如[0，1]代表该分数段范围为大于等于0且小于等于1。表中“（”代表开区间，“]”代表闭区间，如（1，2]代表该分数段范围为大于1且小于等于2。</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b w:val="0"/>
          <w:bCs/>
          <w:color w:val="auto"/>
          <w:szCs w:val="24"/>
          <w:highlight w:val="none"/>
          <w:lang w:val="en-US" w:eastAsia="zh-CN"/>
        </w:rPr>
        <w:t>②</w:t>
      </w:r>
      <w:r>
        <w:rPr>
          <w:rFonts w:ascii="宋体" w:hAnsi="宋体" w:eastAsia="宋体" w:cs="宋体"/>
          <w:color w:val="auto"/>
          <w:szCs w:val="24"/>
          <w:highlight w:val="none"/>
          <w:lang w:val="zh-CN"/>
        </w:rPr>
        <w:t>分数出现小数点，保留小数点后2位，从小数点后第3位四</w:t>
      </w:r>
      <w:r>
        <w:rPr>
          <w:rFonts w:hint="eastAsia" w:ascii="宋体" w:hAnsi="宋体" w:eastAsia="宋体" w:cs="宋体"/>
          <w:color w:val="auto"/>
          <w:szCs w:val="24"/>
          <w:highlight w:val="none"/>
          <w:lang w:val="zh-CN"/>
        </w:rPr>
        <w:t>舍五入。</w:t>
      </w:r>
    </w:p>
    <w:p>
      <w:pPr>
        <w:autoSpaceDE w:val="0"/>
        <w:autoSpaceDN w:val="0"/>
        <w:adjustRightInd w:val="0"/>
        <w:spacing w:line="360" w:lineRule="auto"/>
        <w:ind w:left="420" w:leftChars="200" w:firstLine="420" w:firstLineChars="200"/>
        <w:rPr>
          <w:rFonts w:ascii="宋体" w:hAnsi="宋体" w:eastAsia="宋体" w:cs="宋体"/>
          <w:b/>
          <w:color w:val="auto"/>
          <w:szCs w:val="24"/>
          <w:highlight w:val="none"/>
          <w:lang w:val="zh-CN"/>
        </w:rPr>
      </w:pPr>
      <w:r>
        <w:rPr>
          <w:rFonts w:hint="eastAsia" w:ascii="宋体" w:hAnsi="宋体" w:cs="宋体"/>
          <w:b/>
          <w:color w:val="auto"/>
          <w:szCs w:val="24"/>
          <w:highlight w:val="none"/>
          <w:lang w:val="zh-CN"/>
        </w:rPr>
        <w:t>③</w:t>
      </w:r>
      <w:r>
        <w:rPr>
          <w:rFonts w:hint="eastAsia" w:ascii="宋体" w:hAnsi="宋体" w:eastAsia="宋体" w:cs="宋体"/>
          <w:b/>
          <w:color w:val="auto"/>
          <w:szCs w:val="24"/>
          <w:highlight w:val="none"/>
          <w:lang w:val="zh-CN"/>
        </w:rPr>
        <w:t>上述“评分项目”中按“优、良、中、差”</w:t>
      </w:r>
      <w:r>
        <w:rPr>
          <w:rFonts w:hint="eastAsia" w:ascii="宋体" w:hAnsi="宋体" w:eastAsia="宋体" w:cs="宋体"/>
          <w:b/>
          <w:color w:val="auto"/>
          <w:szCs w:val="24"/>
          <w:highlight w:val="none"/>
          <w:lang w:val="en-US" w:eastAsia="zh-CN"/>
        </w:rPr>
        <w:t>区间</w:t>
      </w:r>
      <w:r>
        <w:rPr>
          <w:rFonts w:hint="eastAsia" w:ascii="宋体" w:hAnsi="宋体" w:eastAsia="宋体" w:cs="宋体"/>
          <w:b/>
          <w:color w:val="auto"/>
          <w:szCs w:val="24"/>
          <w:highlight w:val="none"/>
          <w:lang w:val="zh-CN"/>
        </w:rPr>
        <w:t>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lang w:val="en-US" w:eastAsia="zh-CN"/>
        </w:rPr>
      </w:pPr>
      <w:r>
        <w:rPr>
          <w:rFonts w:hint="eastAsia" w:ascii="宋体" w:hAnsi="宋体" w:cs="宋体"/>
          <w:b/>
          <w:color w:val="auto"/>
          <w:szCs w:val="24"/>
          <w:highlight w:val="none"/>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pPr>
        <w:spacing w:line="360" w:lineRule="auto"/>
        <w:ind w:left="420" w:leftChars="200" w:firstLine="420" w:firstLineChars="200"/>
        <w:rPr>
          <w:rFonts w:ascii="宋体" w:hAnsi="宋体" w:eastAsia="宋体" w:cs="宋体"/>
          <w:color w:val="auto"/>
          <w:kern w:val="0"/>
          <w:szCs w:val="21"/>
          <w:highlight w:val="none"/>
          <w:lang w:val="zh-CN"/>
        </w:rPr>
      </w:pPr>
    </w:p>
    <w:p>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pPr>
        <w:autoSpaceDN w:val="0"/>
        <w:adjustRightInd w:val="0"/>
        <w:snapToGrid w:val="0"/>
        <w:spacing w:line="360" w:lineRule="auto"/>
        <w:ind w:left="420" w:leftChars="10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50</w:t>
      </w:r>
    </w:p>
    <w:p>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pPr>
        <w:spacing w:line="400" w:lineRule="exact"/>
        <w:ind w:firstLine="848" w:firstLineChars="404"/>
        <w:rPr>
          <w:rFonts w:ascii="宋体" w:hAnsi="宋体" w:eastAsia="宋体" w:cs="宋体"/>
          <w:color w:val="auto"/>
          <w:kern w:val="0"/>
          <w:szCs w:val="28"/>
          <w:highlight w:val="none"/>
          <w:lang w:val="zh-CN"/>
        </w:rPr>
      </w:pPr>
      <w:bookmarkStart w:id="1021" w:name="_Toc31624_WPSOffice_Level2"/>
      <w:r>
        <w:rPr>
          <w:rFonts w:hint="eastAsia" w:ascii="宋体" w:hAnsi="宋体" w:eastAsia="宋体" w:cs="宋体"/>
          <w:color w:val="auto"/>
          <w:kern w:val="0"/>
          <w:szCs w:val="28"/>
          <w:highlight w:val="none"/>
          <w:lang w:val="zh-CN"/>
        </w:rPr>
        <w:t>评标总得分=F1＋F2＋……+Fn</w:t>
      </w:r>
      <w:bookmarkEnd w:id="1021"/>
    </w:p>
    <w:p>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1022" w:name="_Toc13236_WPSOffice_Level2"/>
      <w:r>
        <w:rPr>
          <w:rFonts w:hint="eastAsia" w:ascii="宋体" w:hAnsi="宋体" w:eastAsia="宋体" w:cs="宋体"/>
          <w:color w:val="auto"/>
          <w:kern w:val="0"/>
          <w:szCs w:val="21"/>
          <w:highlight w:val="none"/>
        </w:rPr>
        <w:t>F1、F2、……Fn分别为各项评分因素的得分</w:t>
      </w:r>
      <w:bookmarkEnd w:id="1022"/>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pPr>
        <w:autoSpaceDE w:val="0"/>
        <w:autoSpaceDN w:val="0"/>
        <w:adjustRightInd w:val="0"/>
        <w:spacing w:line="360" w:lineRule="auto"/>
        <w:jc w:val="center"/>
        <w:rPr>
          <w:rFonts w:ascii="宋体" w:hAnsi="宋体" w:eastAsia="宋体" w:cs="宋体"/>
          <w:b/>
          <w:bCs/>
          <w:color w:val="auto"/>
          <w:sz w:val="28"/>
          <w:szCs w:val="28"/>
          <w:highlight w:val="none"/>
        </w:rPr>
      </w:pPr>
      <w:bookmarkStart w:id="1023" w:name="_Toc518_WPSOffice_Level1"/>
      <w:r>
        <w:rPr>
          <w:rFonts w:hint="eastAsia" w:ascii="宋体" w:hAnsi="宋体" w:eastAsia="宋体" w:cs="宋体"/>
          <w:b/>
          <w:bCs/>
          <w:color w:val="auto"/>
          <w:sz w:val="28"/>
          <w:szCs w:val="28"/>
          <w:highlight w:val="none"/>
          <w:lang w:val="zh-CN"/>
        </w:rPr>
        <w:t>五、推荐中标人</w:t>
      </w:r>
      <w:bookmarkEnd w:id="1023"/>
    </w:p>
    <w:p>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1024" w:name="_Toc22724_WPSOffice_Level1"/>
      <w:r>
        <w:rPr>
          <w:rFonts w:hint="eastAsia" w:ascii="宋体" w:hAnsi="宋体" w:eastAsia="宋体" w:cs="宋体"/>
          <w:b/>
          <w:bCs/>
          <w:color w:val="auto"/>
          <w:sz w:val="28"/>
          <w:szCs w:val="28"/>
          <w:highlight w:val="none"/>
          <w:lang w:val="zh-CN"/>
        </w:rPr>
        <w:t>六、编写评标报告</w:t>
      </w:r>
      <w:bookmarkEnd w:id="1024"/>
    </w:p>
    <w:p>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1025" w:name="_Toc23773_WPSOffice_Level1"/>
      <w:r>
        <w:rPr>
          <w:rFonts w:hint="eastAsia" w:ascii="宋体" w:hAnsi="宋体" w:eastAsia="宋体" w:cs="宋体"/>
          <w:b/>
          <w:bCs/>
          <w:color w:val="auto"/>
          <w:sz w:val="28"/>
          <w:szCs w:val="28"/>
          <w:highlight w:val="none"/>
          <w:lang w:val="zh-CN"/>
        </w:rPr>
        <w:t>七、注意事项</w:t>
      </w:r>
      <w:bookmarkEnd w:id="1025"/>
    </w:p>
    <w:p>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w:t>
      </w:r>
      <w:r>
        <w:rPr>
          <w:rFonts w:hint="eastAsia" w:ascii="宋体" w:hAnsi="宋体" w:eastAsia="宋体" w:cs="宋体"/>
          <w:color w:val="auto"/>
          <w:szCs w:val="24"/>
          <w:highlight w:val="none"/>
          <w:lang w:val="en-US" w:eastAsia="zh-CN"/>
        </w:rPr>
        <w:t>其他</w:t>
      </w:r>
      <w:r>
        <w:rPr>
          <w:rFonts w:hint="eastAsia" w:ascii="宋体" w:hAnsi="宋体" w:eastAsia="宋体" w:cs="宋体"/>
          <w:color w:val="auto"/>
          <w:szCs w:val="24"/>
          <w:highlight w:val="none"/>
          <w:lang w:val="zh-CN"/>
        </w:rPr>
        <w:t>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w:t>
      </w:r>
      <w:r>
        <w:rPr>
          <w:rFonts w:hint="eastAsia" w:ascii="宋体" w:hAnsi="宋体" w:eastAsia="宋体" w:cs="宋体"/>
          <w:color w:val="auto"/>
          <w:szCs w:val="24"/>
          <w:highlight w:val="none"/>
          <w:lang w:val="en-US" w:eastAsia="zh-CN"/>
        </w:rPr>
        <w:t>其他</w:t>
      </w:r>
      <w:r>
        <w:rPr>
          <w:rFonts w:hint="eastAsia" w:ascii="宋体" w:hAnsi="宋体" w:eastAsia="宋体" w:cs="宋体"/>
          <w:color w:val="auto"/>
          <w:szCs w:val="24"/>
          <w:highlight w:val="none"/>
          <w:lang w:val="zh-CN"/>
        </w:rPr>
        <w:t>地方，所有的招标文件、投标文件、资料等一律编号登记；</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bookmarkEnd w:id="972"/>
      <w:bookmarkEnd w:id="997"/>
      <w:bookmarkEnd w:id="998"/>
      <w:bookmarkEnd w:id="999"/>
    </w:p>
    <w:sectPr>
      <w:pgSz w:w="12240" w:h="15840"/>
      <w:pgMar w:top="1191" w:right="1043" w:bottom="1191" w:left="1043" w:header="720" w:footer="720" w:gutter="0"/>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A043898-FCC2-4280-9EB5-7908DA4344E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5ACE4377-E3A8-4A18-91EB-3DE16B90117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621FD6D-EF87-45BF-8D8A-2506F4097EB6}"/>
  </w:font>
  <w:font w:name="等线">
    <w:panose1 w:val="02010600030101010101"/>
    <w:charset w:val="86"/>
    <w:family w:val="auto"/>
    <w:pitch w:val="default"/>
    <w:sig w:usb0="A00002BF" w:usb1="38CF7CFA" w:usb2="00000016" w:usb3="00000000" w:csb0="0004000F" w:csb1="00000000"/>
    <w:embedRegular r:id="rId4" w:fontKey="{43FD0421-8223-47E5-AA5E-64636C821757}"/>
  </w:font>
  <w:font w:name="仿宋">
    <w:panose1 w:val="02010609060101010101"/>
    <w:charset w:val="86"/>
    <w:family w:val="modern"/>
    <w:pitch w:val="default"/>
    <w:sig w:usb0="800002BF" w:usb1="38CF7CFA" w:usb2="00000016" w:usb3="00000000" w:csb0="00040001" w:csb1="00000000"/>
    <w:embedRegular r:id="rId5" w:fontKey="{FD8ABB94-3F0A-4148-B419-88760D34FA06}"/>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6" w:fontKey="{79BFBB9E-AA1D-490B-8C4F-05450F0D0BBA}"/>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embedRegular r:id="rId7" w:fontKey="{ED3F4546-1CD2-4989-942E-E54B178A6712}"/>
  </w:font>
  <w:font w:name="Wingdings 2">
    <w:panose1 w:val="05020102010507070707"/>
    <w:charset w:val="02"/>
    <w:family w:val="auto"/>
    <w:pitch w:val="default"/>
    <w:sig w:usb0="00000000" w:usb1="00000000" w:usb2="00000000" w:usb3="00000000" w:csb0="80000000" w:csb1="00000000"/>
    <w:embedRegular r:id="rId8" w:fontKey="{F5E414AE-0E21-4AE1-B891-1DF9839DC0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ABA7A"/>
    <w:multiLevelType w:val="singleLevel"/>
    <w:tmpl w:val="BEBABA7A"/>
    <w:lvl w:ilvl="0" w:tentative="0">
      <w:start w:val="1"/>
      <w:numFmt w:val="chineseCounting"/>
      <w:suff w:val="nothing"/>
      <w:lvlText w:val="%1、"/>
      <w:lvlJc w:val="left"/>
      <w:rPr>
        <w:rFonts w:hint="eastAsia"/>
      </w:rPr>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DFiYWJlOTYyYjBkNzE3NzhjZWZjNmJhMzliMDMifQ=="/>
    <w:docVar w:name="KSO_WPS_MARK_KEY" w:val="c6cf72a9-7132-4ee2-81cd-5b224281c37a"/>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0F68CD"/>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65AF0"/>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72BA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395070"/>
    <w:rsid w:val="01504AF1"/>
    <w:rsid w:val="028642E4"/>
    <w:rsid w:val="02EA191A"/>
    <w:rsid w:val="02F94AB6"/>
    <w:rsid w:val="02FE5AC7"/>
    <w:rsid w:val="036A7762"/>
    <w:rsid w:val="04CE3D21"/>
    <w:rsid w:val="04F41588"/>
    <w:rsid w:val="058F7720"/>
    <w:rsid w:val="05AD424C"/>
    <w:rsid w:val="06007065"/>
    <w:rsid w:val="06447858"/>
    <w:rsid w:val="06A64D55"/>
    <w:rsid w:val="06A75D00"/>
    <w:rsid w:val="06CD24E2"/>
    <w:rsid w:val="070A6432"/>
    <w:rsid w:val="07751C03"/>
    <w:rsid w:val="07DB167E"/>
    <w:rsid w:val="08030185"/>
    <w:rsid w:val="092C7C22"/>
    <w:rsid w:val="0984150C"/>
    <w:rsid w:val="09C52729"/>
    <w:rsid w:val="09FC6C3A"/>
    <w:rsid w:val="0A073F5D"/>
    <w:rsid w:val="0A7D3253"/>
    <w:rsid w:val="0B93537C"/>
    <w:rsid w:val="0C4C20FB"/>
    <w:rsid w:val="0C8728DF"/>
    <w:rsid w:val="0CF103CF"/>
    <w:rsid w:val="0D205E42"/>
    <w:rsid w:val="0D6450F7"/>
    <w:rsid w:val="0DC46B9F"/>
    <w:rsid w:val="0DDC55E4"/>
    <w:rsid w:val="0E445406"/>
    <w:rsid w:val="0E7B0F90"/>
    <w:rsid w:val="0F0D4272"/>
    <w:rsid w:val="0F241091"/>
    <w:rsid w:val="0F490B74"/>
    <w:rsid w:val="0F8D71DB"/>
    <w:rsid w:val="10254626"/>
    <w:rsid w:val="1053674F"/>
    <w:rsid w:val="106F0166"/>
    <w:rsid w:val="112D2D43"/>
    <w:rsid w:val="1150704C"/>
    <w:rsid w:val="115B35A0"/>
    <w:rsid w:val="11E23E4F"/>
    <w:rsid w:val="126B7053"/>
    <w:rsid w:val="13086CF4"/>
    <w:rsid w:val="130F4A87"/>
    <w:rsid w:val="131F1072"/>
    <w:rsid w:val="135E13CF"/>
    <w:rsid w:val="13833F28"/>
    <w:rsid w:val="13F721DF"/>
    <w:rsid w:val="143A745A"/>
    <w:rsid w:val="144C6C3A"/>
    <w:rsid w:val="14951983"/>
    <w:rsid w:val="14CF4595"/>
    <w:rsid w:val="15347BD0"/>
    <w:rsid w:val="156133DF"/>
    <w:rsid w:val="15AE7093"/>
    <w:rsid w:val="160844ED"/>
    <w:rsid w:val="1615385B"/>
    <w:rsid w:val="16B256D8"/>
    <w:rsid w:val="174C664A"/>
    <w:rsid w:val="17C973B3"/>
    <w:rsid w:val="17CC1DA1"/>
    <w:rsid w:val="18183237"/>
    <w:rsid w:val="18A75415"/>
    <w:rsid w:val="193D1BD6"/>
    <w:rsid w:val="193E0BDB"/>
    <w:rsid w:val="1A4948E7"/>
    <w:rsid w:val="1A730089"/>
    <w:rsid w:val="1B0940FF"/>
    <w:rsid w:val="1C1B5646"/>
    <w:rsid w:val="1C7C5803"/>
    <w:rsid w:val="1DAD5142"/>
    <w:rsid w:val="1E2471AC"/>
    <w:rsid w:val="1E533470"/>
    <w:rsid w:val="1E9B0CC0"/>
    <w:rsid w:val="1EF73F77"/>
    <w:rsid w:val="1F4C6359"/>
    <w:rsid w:val="207A1985"/>
    <w:rsid w:val="20CD5987"/>
    <w:rsid w:val="2105188D"/>
    <w:rsid w:val="216B6728"/>
    <w:rsid w:val="21F81275"/>
    <w:rsid w:val="22106322"/>
    <w:rsid w:val="23235919"/>
    <w:rsid w:val="23353491"/>
    <w:rsid w:val="23B05BD9"/>
    <w:rsid w:val="24C7636B"/>
    <w:rsid w:val="24C95A44"/>
    <w:rsid w:val="24F45147"/>
    <w:rsid w:val="26613E8D"/>
    <w:rsid w:val="26C10153"/>
    <w:rsid w:val="26E63D21"/>
    <w:rsid w:val="270E7193"/>
    <w:rsid w:val="276947E2"/>
    <w:rsid w:val="276A2443"/>
    <w:rsid w:val="27C41BFF"/>
    <w:rsid w:val="27D4045B"/>
    <w:rsid w:val="281B356C"/>
    <w:rsid w:val="281C69CE"/>
    <w:rsid w:val="286E02B3"/>
    <w:rsid w:val="28946A03"/>
    <w:rsid w:val="28BA3A02"/>
    <w:rsid w:val="28CD7B64"/>
    <w:rsid w:val="28DA73F5"/>
    <w:rsid w:val="292D6948"/>
    <w:rsid w:val="2996630C"/>
    <w:rsid w:val="29D27171"/>
    <w:rsid w:val="2A490C09"/>
    <w:rsid w:val="2A9B2449"/>
    <w:rsid w:val="2AD0640E"/>
    <w:rsid w:val="2B483250"/>
    <w:rsid w:val="2B805EFF"/>
    <w:rsid w:val="2C0A08AE"/>
    <w:rsid w:val="2C264469"/>
    <w:rsid w:val="2C3E08E6"/>
    <w:rsid w:val="2C6F395B"/>
    <w:rsid w:val="2C782831"/>
    <w:rsid w:val="2C85114F"/>
    <w:rsid w:val="2CA67D76"/>
    <w:rsid w:val="2CFC2BFE"/>
    <w:rsid w:val="2D2A56E9"/>
    <w:rsid w:val="2D8155E9"/>
    <w:rsid w:val="2DAA4A7C"/>
    <w:rsid w:val="2DB11966"/>
    <w:rsid w:val="2DC0362C"/>
    <w:rsid w:val="2F5E2A08"/>
    <w:rsid w:val="311D305A"/>
    <w:rsid w:val="314A4B2D"/>
    <w:rsid w:val="314D028A"/>
    <w:rsid w:val="31536333"/>
    <w:rsid w:val="31A172EA"/>
    <w:rsid w:val="32033A6F"/>
    <w:rsid w:val="320B573D"/>
    <w:rsid w:val="326A4ADF"/>
    <w:rsid w:val="328D3FC8"/>
    <w:rsid w:val="32A41A58"/>
    <w:rsid w:val="32AD6D69"/>
    <w:rsid w:val="33340306"/>
    <w:rsid w:val="334E7C57"/>
    <w:rsid w:val="335A65FC"/>
    <w:rsid w:val="3425709A"/>
    <w:rsid w:val="34853B4C"/>
    <w:rsid w:val="34AF0A1F"/>
    <w:rsid w:val="355530AA"/>
    <w:rsid w:val="357A120C"/>
    <w:rsid w:val="35AD5109"/>
    <w:rsid w:val="35C83CF1"/>
    <w:rsid w:val="35F5477D"/>
    <w:rsid w:val="35FF2092"/>
    <w:rsid w:val="36115ED3"/>
    <w:rsid w:val="361A06C2"/>
    <w:rsid w:val="364631D7"/>
    <w:rsid w:val="368928C2"/>
    <w:rsid w:val="36A52284"/>
    <w:rsid w:val="38233130"/>
    <w:rsid w:val="38C20A83"/>
    <w:rsid w:val="38E43446"/>
    <w:rsid w:val="39774323"/>
    <w:rsid w:val="397A6507"/>
    <w:rsid w:val="39A607ED"/>
    <w:rsid w:val="39EA4BD6"/>
    <w:rsid w:val="3A0E6D34"/>
    <w:rsid w:val="3A887EF3"/>
    <w:rsid w:val="3ADA6A91"/>
    <w:rsid w:val="3AF33BF2"/>
    <w:rsid w:val="3B1F29B6"/>
    <w:rsid w:val="3B8E088C"/>
    <w:rsid w:val="3B9971A7"/>
    <w:rsid w:val="3BB70A8F"/>
    <w:rsid w:val="3BD74C8E"/>
    <w:rsid w:val="3BDA10C7"/>
    <w:rsid w:val="3C106A21"/>
    <w:rsid w:val="3C37361D"/>
    <w:rsid w:val="3C5F1237"/>
    <w:rsid w:val="3CC11A94"/>
    <w:rsid w:val="3CEF47B5"/>
    <w:rsid w:val="3D022F30"/>
    <w:rsid w:val="3D2A17AE"/>
    <w:rsid w:val="3EE12295"/>
    <w:rsid w:val="3F5B255F"/>
    <w:rsid w:val="3F7444C2"/>
    <w:rsid w:val="3FED5CC5"/>
    <w:rsid w:val="40380B94"/>
    <w:rsid w:val="40574F6E"/>
    <w:rsid w:val="40583504"/>
    <w:rsid w:val="40770734"/>
    <w:rsid w:val="40FE6BAA"/>
    <w:rsid w:val="412A6B6B"/>
    <w:rsid w:val="41727A7C"/>
    <w:rsid w:val="4178464C"/>
    <w:rsid w:val="418363AA"/>
    <w:rsid w:val="41D27847"/>
    <w:rsid w:val="42507FAC"/>
    <w:rsid w:val="432B1D63"/>
    <w:rsid w:val="434D5A5B"/>
    <w:rsid w:val="437A57A5"/>
    <w:rsid w:val="43B50E83"/>
    <w:rsid w:val="43C24475"/>
    <w:rsid w:val="43FB34E3"/>
    <w:rsid w:val="44280BC4"/>
    <w:rsid w:val="444805A0"/>
    <w:rsid w:val="44532E70"/>
    <w:rsid w:val="44A02DC8"/>
    <w:rsid w:val="45282CB4"/>
    <w:rsid w:val="459C0CF6"/>
    <w:rsid w:val="45C25F6B"/>
    <w:rsid w:val="46E75FA1"/>
    <w:rsid w:val="4809208A"/>
    <w:rsid w:val="483D49AD"/>
    <w:rsid w:val="487E4959"/>
    <w:rsid w:val="48F93AF8"/>
    <w:rsid w:val="4908675A"/>
    <w:rsid w:val="4942380E"/>
    <w:rsid w:val="49E64FC1"/>
    <w:rsid w:val="49F000F8"/>
    <w:rsid w:val="4A5670F8"/>
    <w:rsid w:val="4BB86E3D"/>
    <w:rsid w:val="4C2732B3"/>
    <w:rsid w:val="4C407A6A"/>
    <w:rsid w:val="4C5E41EC"/>
    <w:rsid w:val="4C627BDE"/>
    <w:rsid w:val="4D53613E"/>
    <w:rsid w:val="4D7A2631"/>
    <w:rsid w:val="4DA22C22"/>
    <w:rsid w:val="4DA91F5E"/>
    <w:rsid w:val="4DA927E6"/>
    <w:rsid w:val="4DFD42C0"/>
    <w:rsid w:val="4E235B10"/>
    <w:rsid w:val="4EEF53B5"/>
    <w:rsid w:val="4F0A4599"/>
    <w:rsid w:val="4F5A1578"/>
    <w:rsid w:val="4FCD1AFA"/>
    <w:rsid w:val="5004668F"/>
    <w:rsid w:val="505428F9"/>
    <w:rsid w:val="508C2093"/>
    <w:rsid w:val="50DE1655"/>
    <w:rsid w:val="528374C6"/>
    <w:rsid w:val="52F80915"/>
    <w:rsid w:val="53AE421A"/>
    <w:rsid w:val="53E607EA"/>
    <w:rsid w:val="54086C74"/>
    <w:rsid w:val="542211EE"/>
    <w:rsid w:val="54706A50"/>
    <w:rsid w:val="54C47921"/>
    <w:rsid w:val="55050666"/>
    <w:rsid w:val="550B593E"/>
    <w:rsid w:val="55CA0090"/>
    <w:rsid w:val="56092222"/>
    <w:rsid w:val="56693CD0"/>
    <w:rsid w:val="56722ED9"/>
    <w:rsid w:val="568802DB"/>
    <w:rsid w:val="56AD17A8"/>
    <w:rsid w:val="56B37004"/>
    <w:rsid w:val="56B446F3"/>
    <w:rsid w:val="56F75BBB"/>
    <w:rsid w:val="574B52A5"/>
    <w:rsid w:val="59633BAD"/>
    <w:rsid w:val="59770EA2"/>
    <w:rsid w:val="599B1EA9"/>
    <w:rsid w:val="59A541C5"/>
    <w:rsid w:val="59CA7788"/>
    <w:rsid w:val="5A1522A3"/>
    <w:rsid w:val="5A5534F6"/>
    <w:rsid w:val="5A8C31BD"/>
    <w:rsid w:val="5BAD7361"/>
    <w:rsid w:val="5BE12FA3"/>
    <w:rsid w:val="5CAD0448"/>
    <w:rsid w:val="5CDA7118"/>
    <w:rsid w:val="5CDD0D57"/>
    <w:rsid w:val="5D6C42D2"/>
    <w:rsid w:val="5D8866EC"/>
    <w:rsid w:val="5D8F3893"/>
    <w:rsid w:val="5DDD2412"/>
    <w:rsid w:val="5E1054C5"/>
    <w:rsid w:val="5E671A49"/>
    <w:rsid w:val="5EAC3900"/>
    <w:rsid w:val="5EAC56AE"/>
    <w:rsid w:val="5EBF421E"/>
    <w:rsid w:val="5EC4703C"/>
    <w:rsid w:val="5EF160DC"/>
    <w:rsid w:val="5F2B31CE"/>
    <w:rsid w:val="5F531564"/>
    <w:rsid w:val="5F8426BD"/>
    <w:rsid w:val="5FF26C90"/>
    <w:rsid w:val="60A305BA"/>
    <w:rsid w:val="60D81813"/>
    <w:rsid w:val="60DD7CDF"/>
    <w:rsid w:val="60F1402D"/>
    <w:rsid w:val="6127362B"/>
    <w:rsid w:val="61354081"/>
    <w:rsid w:val="614D5BA7"/>
    <w:rsid w:val="62313A28"/>
    <w:rsid w:val="628F4730"/>
    <w:rsid w:val="62B13874"/>
    <w:rsid w:val="62CC194E"/>
    <w:rsid w:val="63672753"/>
    <w:rsid w:val="63872A76"/>
    <w:rsid w:val="645779AB"/>
    <w:rsid w:val="64EC0EFA"/>
    <w:rsid w:val="653A13F2"/>
    <w:rsid w:val="653F3042"/>
    <w:rsid w:val="65E62E7A"/>
    <w:rsid w:val="66845A35"/>
    <w:rsid w:val="67167698"/>
    <w:rsid w:val="676B07E4"/>
    <w:rsid w:val="67BB5990"/>
    <w:rsid w:val="67E358B8"/>
    <w:rsid w:val="68822DC9"/>
    <w:rsid w:val="68D043BB"/>
    <w:rsid w:val="690A5CED"/>
    <w:rsid w:val="697C3B7E"/>
    <w:rsid w:val="69A00868"/>
    <w:rsid w:val="69AB24D9"/>
    <w:rsid w:val="6A3D595D"/>
    <w:rsid w:val="6A9E60FE"/>
    <w:rsid w:val="6AAD178D"/>
    <w:rsid w:val="6AE606B8"/>
    <w:rsid w:val="6B7A5469"/>
    <w:rsid w:val="6C823A3B"/>
    <w:rsid w:val="6CC649E7"/>
    <w:rsid w:val="6CE7171D"/>
    <w:rsid w:val="6D6B4986"/>
    <w:rsid w:val="6E920296"/>
    <w:rsid w:val="6EAA0F0E"/>
    <w:rsid w:val="6ECB7CED"/>
    <w:rsid w:val="6F31365A"/>
    <w:rsid w:val="6F5136FA"/>
    <w:rsid w:val="6F5F71DE"/>
    <w:rsid w:val="6F6F261D"/>
    <w:rsid w:val="7062116E"/>
    <w:rsid w:val="70826EAE"/>
    <w:rsid w:val="709C24CA"/>
    <w:rsid w:val="70F52EE5"/>
    <w:rsid w:val="717D348F"/>
    <w:rsid w:val="71916959"/>
    <w:rsid w:val="722112D9"/>
    <w:rsid w:val="72A03F09"/>
    <w:rsid w:val="738D44E1"/>
    <w:rsid w:val="73943209"/>
    <w:rsid w:val="740C6EC3"/>
    <w:rsid w:val="743D7CF2"/>
    <w:rsid w:val="74547006"/>
    <w:rsid w:val="74A35F05"/>
    <w:rsid w:val="74D252CE"/>
    <w:rsid w:val="7503531D"/>
    <w:rsid w:val="759A6923"/>
    <w:rsid w:val="76597B73"/>
    <w:rsid w:val="76697AE9"/>
    <w:rsid w:val="76B26054"/>
    <w:rsid w:val="776226AB"/>
    <w:rsid w:val="77B372D6"/>
    <w:rsid w:val="784F02B4"/>
    <w:rsid w:val="787D7CA5"/>
    <w:rsid w:val="78D30E4D"/>
    <w:rsid w:val="790E5D3C"/>
    <w:rsid w:val="7AB576F6"/>
    <w:rsid w:val="7AEC6109"/>
    <w:rsid w:val="7B0C1557"/>
    <w:rsid w:val="7B267F70"/>
    <w:rsid w:val="7B3945C0"/>
    <w:rsid w:val="7B5D2314"/>
    <w:rsid w:val="7CFB393B"/>
    <w:rsid w:val="7D6457E7"/>
    <w:rsid w:val="7D6667D0"/>
    <w:rsid w:val="7DD76711"/>
    <w:rsid w:val="7E477794"/>
    <w:rsid w:val="7EA567C4"/>
    <w:rsid w:val="7F87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0"/>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2">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2"/>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4"/>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5"/>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4"/>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3"/>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6"/>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3"/>
    <w:unhideWhenUsed/>
    <w:qFormat/>
    <w:uiPriority w:val="99"/>
    <w:pPr>
      <w:jc w:val="left"/>
    </w:pPr>
  </w:style>
  <w:style w:type="paragraph" w:styleId="17">
    <w:name w:val="Body Text 3"/>
    <w:basedOn w:val="1"/>
    <w:link w:val="156"/>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8"/>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next w:val="20"/>
    <w:link w:val="201"/>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First Indent 2"/>
    <w:basedOn w:val="21"/>
    <w:next w:val="12"/>
    <w:qFormat/>
    <w:uiPriority w:val="0"/>
    <w:pPr>
      <w:ind w:firstLine="420" w:firstLineChars="200"/>
    </w:pPr>
    <w:rPr>
      <w:szCs w:val="24"/>
    </w:rPr>
  </w:style>
  <w:style w:type="paragraph" w:styleId="21">
    <w:name w:val="Body Text Indent"/>
    <w:basedOn w:val="1"/>
    <w:next w:val="1"/>
    <w:link w:val="92"/>
    <w:qFormat/>
    <w:uiPriority w:val="0"/>
    <w:pPr>
      <w:ind w:left="567" w:leftChars="270"/>
    </w:pPr>
    <w:rPr>
      <w:rFonts w:ascii="Times New Roman" w:hAnsi="Times New Roman" w:eastAsia="宋体" w:cs="Times New Roman"/>
      <w:szCs w:val="20"/>
    </w:rPr>
  </w:style>
  <w:style w:type="paragraph" w:styleId="22">
    <w:name w:val="toc 3"/>
    <w:basedOn w:val="1"/>
    <w:next w:val="1"/>
    <w:unhideWhenUsed/>
    <w:qFormat/>
    <w:uiPriority w:val="39"/>
    <w:pPr>
      <w:tabs>
        <w:tab w:val="right" w:leader="dot" w:pos="10144"/>
      </w:tabs>
      <w:ind w:left="840" w:leftChars="400"/>
    </w:pPr>
  </w:style>
  <w:style w:type="paragraph" w:styleId="23">
    <w:name w:val="Plain Text"/>
    <w:basedOn w:val="1"/>
    <w:link w:val="100"/>
    <w:qFormat/>
    <w:uiPriority w:val="0"/>
    <w:rPr>
      <w:rFonts w:ascii="宋体" w:hAnsi="Courier New" w:eastAsia="宋体"/>
    </w:rPr>
  </w:style>
  <w:style w:type="paragraph" w:styleId="24">
    <w:name w:val="Date"/>
    <w:basedOn w:val="1"/>
    <w:next w:val="1"/>
    <w:link w:val="10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5">
    <w:name w:val="Body Text Indent 2"/>
    <w:basedOn w:val="1"/>
    <w:link w:val="101"/>
    <w:qFormat/>
    <w:uiPriority w:val="0"/>
    <w:pPr>
      <w:tabs>
        <w:tab w:val="left" w:pos="8640"/>
      </w:tabs>
      <w:ind w:left="1260"/>
    </w:pPr>
    <w:rPr>
      <w:rFonts w:ascii="宋体" w:hAnsi="Times New Roman" w:eastAsia="宋体" w:cs="Times New Roman"/>
      <w:szCs w:val="20"/>
    </w:rPr>
  </w:style>
  <w:style w:type="paragraph" w:styleId="26">
    <w:name w:val="Balloon Text"/>
    <w:basedOn w:val="1"/>
    <w:link w:val="74"/>
    <w:qFormat/>
    <w:uiPriority w:val="0"/>
    <w:rPr>
      <w:rFonts w:ascii="Times New Roman" w:hAnsi="Times New Roman" w:eastAsia="宋体" w:cs="Times New Roman"/>
      <w:sz w:val="18"/>
      <w:szCs w:val="18"/>
    </w:rPr>
  </w:style>
  <w:style w:type="paragraph" w:styleId="27">
    <w:name w:val="footer"/>
    <w:basedOn w:val="1"/>
    <w:link w:val="78"/>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8">
    <w:name w:val="header"/>
    <w:basedOn w:val="1"/>
    <w:link w:val="120"/>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9">
    <w:name w:val="toc 1"/>
    <w:basedOn w:val="1"/>
    <w:next w:val="1"/>
    <w:unhideWhenUsed/>
    <w:qFormat/>
    <w:uiPriority w:val="39"/>
  </w:style>
  <w:style w:type="paragraph" w:styleId="30">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1">
    <w:name w:val="Body Text Indent 3"/>
    <w:basedOn w:val="1"/>
    <w:link w:val="154"/>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2">
    <w:name w:val="toc 2"/>
    <w:basedOn w:val="1"/>
    <w:next w:val="1"/>
    <w:semiHidden/>
    <w:unhideWhenUsed/>
    <w:qFormat/>
    <w:uiPriority w:val="39"/>
    <w:pPr>
      <w:ind w:left="420" w:leftChars="200"/>
    </w:pPr>
  </w:style>
  <w:style w:type="paragraph" w:styleId="33">
    <w:name w:val="Body Text 2"/>
    <w:basedOn w:val="1"/>
    <w:link w:val="143"/>
    <w:qFormat/>
    <w:uiPriority w:val="0"/>
    <w:pPr>
      <w:tabs>
        <w:tab w:val="left" w:pos="0"/>
      </w:tabs>
      <w:spacing w:line="400" w:lineRule="atLeast"/>
    </w:pPr>
    <w:rPr>
      <w:rFonts w:ascii="Arial" w:hAnsi="Arial" w:eastAsia="宋体" w:cs="Times New Roman"/>
      <w:color w:val="000000"/>
      <w:szCs w:val="24"/>
    </w:rPr>
  </w:style>
  <w:style w:type="paragraph" w:styleId="34">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5">
    <w:name w:val="Normal (Web)"/>
    <w:basedOn w:val="1"/>
    <w:link w:val="93"/>
    <w:qFormat/>
    <w:uiPriority w:val="0"/>
    <w:pPr>
      <w:widowControl/>
      <w:spacing w:before="100" w:beforeAutospacing="1" w:after="100" w:afterAutospacing="1"/>
      <w:jc w:val="left"/>
    </w:pPr>
    <w:rPr>
      <w:rFonts w:ascii="宋体" w:hAnsi="宋体"/>
      <w:sz w:val="15"/>
      <w:szCs w:val="15"/>
    </w:rPr>
  </w:style>
  <w:style w:type="paragraph" w:styleId="36">
    <w:name w:val="Title"/>
    <w:basedOn w:val="1"/>
    <w:next w:val="1"/>
    <w:link w:val="58"/>
    <w:qFormat/>
    <w:uiPriority w:val="10"/>
    <w:pPr>
      <w:spacing w:before="120" w:after="60" w:line="300" w:lineRule="auto"/>
      <w:jc w:val="left"/>
      <w:outlineLvl w:val="0"/>
    </w:pPr>
    <w:rPr>
      <w:rFonts w:ascii="等线 Light" w:hAnsi="等线 Light" w:eastAsia="仿宋"/>
      <w:b/>
      <w:bCs/>
      <w:sz w:val="28"/>
      <w:szCs w:val="32"/>
    </w:rPr>
  </w:style>
  <w:style w:type="paragraph" w:styleId="37">
    <w:name w:val="annotation subject"/>
    <w:basedOn w:val="16"/>
    <w:next w:val="16"/>
    <w:link w:val="110"/>
    <w:qFormat/>
    <w:uiPriority w:val="99"/>
    <w:pPr>
      <w:autoSpaceDE w:val="0"/>
      <w:autoSpaceDN w:val="0"/>
      <w:adjustRightInd w:val="0"/>
    </w:pPr>
    <w:rPr>
      <w:rFonts w:ascii="宋体" w:hAnsi="Times New Roman" w:eastAsia="宋体" w:cs="Times New Roman"/>
      <w:b/>
      <w:bCs/>
      <w:kern w:val="0"/>
      <w:sz w:val="24"/>
      <w:szCs w:val="24"/>
    </w:rPr>
  </w:style>
  <w:style w:type="table" w:styleId="39">
    <w:name w:val="Table Grid"/>
    <w:basedOn w:val="3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FollowedHyperlink"/>
    <w:unhideWhenUsed/>
    <w:qFormat/>
    <w:uiPriority w:val="99"/>
    <w:rPr>
      <w:color w:val="954F72"/>
      <w:u w:val="single"/>
    </w:rPr>
  </w:style>
  <w:style w:type="character" w:styleId="43">
    <w:name w:val="Emphasis"/>
    <w:qFormat/>
    <w:uiPriority w:val="0"/>
    <w:rPr>
      <w:i/>
      <w:iCs/>
    </w:rPr>
  </w:style>
  <w:style w:type="character" w:styleId="44">
    <w:name w:val="Hyperlink"/>
    <w:qFormat/>
    <w:uiPriority w:val="99"/>
    <w:rPr>
      <w:rFonts w:hint="default" w:ascii="Arial" w:hAnsi="Arial" w:cs="Arial"/>
      <w:color w:val="000000"/>
      <w:sz w:val="20"/>
      <w:szCs w:val="20"/>
      <w:u w:val="none"/>
    </w:rPr>
  </w:style>
  <w:style w:type="character" w:styleId="45">
    <w:name w:val="annotation reference"/>
    <w:qFormat/>
    <w:uiPriority w:val="99"/>
    <w:rPr>
      <w:sz w:val="21"/>
      <w:szCs w:val="21"/>
    </w:rPr>
  </w:style>
  <w:style w:type="paragraph" w:customStyle="1" w:styleId="46">
    <w:name w:val="首行缩进"/>
    <w:basedOn w:val="1"/>
    <w:qFormat/>
    <w:uiPriority w:val="0"/>
    <w:pPr>
      <w:ind w:firstLine="480" w:firstLineChars="200"/>
    </w:pPr>
    <w:rPr>
      <w:lang w:val="zh-CN"/>
    </w:rPr>
  </w:style>
  <w:style w:type="character" w:customStyle="1" w:styleId="47">
    <w:name w:val="标题 1 字符"/>
    <w:basedOn w:val="40"/>
    <w:qFormat/>
    <w:uiPriority w:val="0"/>
    <w:rPr>
      <w:b/>
      <w:bCs/>
      <w:kern w:val="44"/>
      <w:sz w:val="44"/>
      <w:szCs w:val="44"/>
    </w:rPr>
  </w:style>
  <w:style w:type="character" w:customStyle="1" w:styleId="48">
    <w:name w:val="标题 2 Char"/>
    <w:basedOn w:val="40"/>
    <w:link w:val="2"/>
    <w:qFormat/>
    <w:uiPriority w:val="0"/>
    <w:rPr>
      <w:rFonts w:ascii="宋体" w:hAnsi="Calibri" w:eastAsia="宋体" w:cs="Times New Roman"/>
      <w:kern w:val="0"/>
      <w:sz w:val="24"/>
      <w:szCs w:val="24"/>
    </w:rPr>
  </w:style>
  <w:style w:type="character" w:customStyle="1" w:styleId="49">
    <w:name w:val="标题 3 字符"/>
    <w:basedOn w:val="40"/>
    <w:qFormat/>
    <w:uiPriority w:val="0"/>
    <w:rPr>
      <w:b/>
      <w:bCs/>
      <w:sz w:val="32"/>
      <w:szCs w:val="32"/>
    </w:rPr>
  </w:style>
  <w:style w:type="character" w:customStyle="1" w:styleId="50">
    <w:name w:val="标题 4 Char1"/>
    <w:basedOn w:val="40"/>
    <w:link w:val="5"/>
    <w:qFormat/>
    <w:uiPriority w:val="9"/>
    <w:rPr>
      <w:rFonts w:ascii="Arial" w:hAnsi="Arial" w:eastAsia="黑体" w:cs="Times New Roman"/>
      <w:b/>
      <w:bCs/>
      <w:kern w:val="0"/>
      <w:sz w:val="28"/>
      <w:szCs w:val="28"/>
    </w:rPr>
  </w:style>
  <w:style w:type="character" w:customStyle="1" w:styleId="51">
    <w:name w:val="标题 5 字符"/>
    <w:basedOn w:val="40"/>
    <w:qFormat/>
    <w:uiPriority w:val="9"/>
    <w:rPr>
      <w:b/>
      <w:bCs/>
      <w:sz w:val="28"/>
      <w:szCs w:val="28"/>
    </w:rPr>
  </w:style>
  <w:style w:type="character" w:customStyle="1" w:styleId="52">
    <w:name w:val="标题 6 字符"/>
    <w:basedOn w:val="40"/>
    <w:qFormat/>
    <w:uiPriority w:val="0"/>
    <w:rPr>
      <w:rFonts w:asciiTheme="majorHAnsi" w:hAnsiTheme="majorHAnsi" w:eastAsiaTheme="majorEastAsia" w:cstheme="majorBidi"/>
      <w:b/>
      <w:bCs/>
      <w:sz w:val="24"/>
      <w:szCs w:val="24"/>
    </w:rPr>
  </w:style>
  <w:style w:type="character" w:customStyle="1" w:styleId="53">
    <w:name w:val="标题 7 Char"/>
    <w:basedOn w:val="40"/>
    <w:link w:val="9"/>
    <w:qFormat/>
    <w:uiPriority w:val="9"/>
    <w:rPr>
      <w:rFonts w:ascii="Times New Roman" w:hAnsi="Calibri" w:eastAsia="黑体" w:cs="Times New Roman"/>
      <w:b/>
      <w:bCs/>
      <w:kern w:val="0"/>
      <w:sz w:val="28"/>
      <w:szCs w:val="24"/>
    </w:rPr>
  </w:style>
  <w:style w:type="character" w:customStyle="1" w:styleId="54">
    <w:name w:val="标题 8 Char"/>
    <w:basedOn w:val="40"/>
    <w:link w:val="10"/>
    <w:qFormat/>
    <w:uiPriority w:val="9"/>
    <w:rPr>
      <w:rFonts w:ascii="Times New Roman" w:hAnsi="Calibri" w:eastAsia="黑体" w:cs="Times New Roman"/>
      <w:b/>
      <w:kern w:val="0"/>
      <w:sz w:val="28"/>
      <w:szCs w:val="24"/>
    </w:rPr>
  </w:style>
  <w:style w:type="character" w:customStyle="1" w:styleId="55">
    <w:name w:val="标题 9 Char"/>
    <w:basedOn w:val="40"/>
    <w:link w:val="11"/>
    <w:qFormat/>
    <w:uiPriority w:val="9"/>
    <w:rPr>
      <w:rFonts w:ascii="Times New Roman" w:hAnsi="Calibri" w:eastAsia="黑体" w:cs="Times New Roman"/>
      <w:b/>
      <w:kern w:val="0"/>
      <w:sz w:val="28"/>
      <w:szCs w:val="24"/>
    </w:rPr>
  </w:style>
  <w:style w:type="character" w:customStyle="1" w:styleId="56">
    <w:name w:val="正文文本缩进 字符"/>
    <w:qFormat/>
    <w:uiPriority w:val="0"/>
    <w:rPr>
      <w:rFonts w:ascii="Times New Roman" w:hAnsi="Times New Roman" w:eastAsia="宋体" w:cs="Times New Roman"/>
      <w:szCs w:val="20"/>
    </w:rPr>
  </w:style>
  <w:style w:type="character" w:customStyle="1" w:styleId="57">
    <w:name w:val="普通(网站) Char"/>
    <w:qFormat/>
    <w:locked/>
    <w:uiPriority w:val="0"/>
    <w:rPr>
      <w:rFonts w:ascii="宋体" w:hAnsi="宋体"/>
      <w:sz w:val="15"/>
      <w:szCs w:val="15"/>
    </w:rPr>
  </w:style>
  <w:style w:type="character" w:customStyle="1" w:styleId="58">
    <w:name w:val="标题 Char"/>
    <w:link w:val="36"/>
    <w:qFormat/>
    <w:uiPriority w:val="10"/>
    <w:rPr>
      <w:rFonts w:ascii="等线 Light" w:hAnsi="等线 Light" w:eastAsia="仿宋"/>
      <w:b/>
      <w:bCs/>
      <w:sz w:val="28"/>
      <w:szCs w:val="32"/>
    </w:rPr>
  </w:style>
  <w:style w:type="character" w:customStyle="1" w:styleId="59">
    <w:name w:val="日期 Char"/>
    <w:semiHidden/>
    <w:qFormat/>
    <w:uiPriority w:val="99"/>
    <w:rPr>
      <w:kern w:val="2"/>
      <w:sz w:val="21"/>
    </w:rPr>
  </w:style>
  <w:style w:type="character" w:customStyle="1" w:styleId="60">
    <w:name w:val="文档结构图 字符1"/>
    <w:semiHidden/>
    <w:qFormat/>
    <w:uiPriority w:val="99"/>
    <w:rPr>
      <w:rFonts w:ascii="Microsoft YaHei UI" w:hAnsi="Calibri" w:eastAsia="Microsoft YaHei UI" w:cs="Times New Roman"/>
      <w:kern w:val="0"/>
      <w:sz w:val="18"/>
      <w:szCs w:val="18"/>
    </w:rPr>
  </w:style>
  <w:style w:type="character" w:customStyle="1" w:styleId="61">
    <w:name w:val="批注文字 Char"/>
    <w:semiHidden/>
    <w:qFormat/>
    <w:uiPriority w:val="99"/>
    <w:rPr>
      <w:kern w:val="2"/>
      <w:sz w:val="21"/>
    </w:rPr>
  </w:style>
  <w:style w:type="character" w:customStyle="1" w:styleId="62">
    <w:name w:val="正文缩进2格 Char"/>
    <w:link w:val="63"/>
    <w:qFormat/>
    <w:uiPriority w:val="0"/>
    <w:rPr>
      <w:rFonts w:ascii="仿宋_GB2312" w:hAnsi="宋体" w:eastAsia="仿宋_GB231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semiHidden/>
    <w:qFormat/>
    <w:uiPriority w:val="99"/>
    <w:rPr>
      <w:rFonts w:ascii="宋体" w:hAnsi="Calibri" w:eastAsia="宋体" w:cs="Times New Roman"/>
      <w:kern w:val="0"/>
      <w:sz w:val="18"/>
      <w:szCs w:val="18"/>
    </w:rPr>
  </w:style>
  <w:style w:type="character" w:customStyle="1" w:styleId="67">
    <w:name w:val="List Paragraph Char"/>
    <w:link w:val="68"/>
    <w:qFormat/>
    <w:uiPriority w:val="34"/>
    <w:rPr>
      <w:rFonts w:ascii="Calibri" w:hAnsi="Calibri"/>
    </w:rPr>
  </w:style>
  <w:style w:type="paragraph" w:customStyle="1" w:styleId="68">
    <w:name w:val="列出段落1"/>
    <w:basedOn w:val="1"/>
    <w:link w:val="67"/>
    <w:qFormat/>
    <w:uiPriority w:val="34"/>
    <w:pPr>
      <w:ind w:firstLine="420" w:firstLineChars="200"/>
    </w:pPr>
    <w:rPr>
      <w:rFonts w:ascii="Calibri" w:hAnsi="Calibri"/>
    </w:rPr>
  </w:style>
  <w:style w:type="character" w:customStyle="1" w:styleId="69">
    <w:name w:val="标书正文 字符"/>
    <w:link w:val="70"/>
    <w:qFormat/>
    <w:uiPriority w:val="0"/>
    <w:rPr>
      <w:rFonts w:ascii="Calibri" w:hAnsi="Calibri" w:eastAsia="仿宋"/>
      <w:sz w:val="24"/>
      <w:szCs w:val="21"/>
    </w:rPr>
  </w:style>
  <w:style w:type="paragraph" w:customStyle="1" w:styleId="70">
    <w:name w:val="标书正文"/>
    <w:basedOn w:val="1"/>
    <w:link w:val="69"/>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semiHidden/>
    <w:qFormat/>
    <w:uiPriority w:val="99"/>
    <w:rPr>
      <w:rFonts w:ascii="Times New Roman" w:hAnsi="Times New Roman"/>
      <w:kern w:val="2"/>
      <w:sz w:val="24"/>
      <w:szCs w:val="24"/>
    </w:rPr>
  </w:style>
  <w:style w:type="character" w:customStyle="1" w:styleId="72">
    <w:name w:val="页脚 Char"/>
    <w:qFormat/>
    <w:uiPriority w:val="0"/>
    <w:rPr>
      <w:kern w:val="2"/>
      <w:sz w:val="18"/>
      <w:szCs w:val="18"/>
    </w:rPr>
  </w:style>
  <w:style w:type="character" w:customStyle="1" w:styleId="73">
    <w:name w:val="neir1"/>
    <w:qFormat/>
    <w:uiPriority w:val="0"/>
    <w:rPr>
      <w:rFonts w:hint="default" w:ascii="ˎ̥" w:hAnsi="ˎ̥"/>
      <w:color w:val="333333"/>
      <w:sz w:val="21"/>
      <w:szCs w:val="21"/>
      <w:u w:val="none"/>
    </w:rPr>
  </w:style>
  <w:style w:type="character" w:customStyle="1" w:styleId="74">
    <w:name w:val="批注框文本 Char1"/>
    <w:link w:val="26"/>
    <w:qFormat/>
    <w:uiPriority w:val="0"/>
    <w:rPr>
      <w:rFonts w:ascii="Times New Roman" w:hAnsi="Times New Roman" w:eastAsia="宋体" w:cs="Times New Roman"/>
      <w:sz w:val="18"/>
      <w:szCs w:val="18"/>
    </w:rPr>
  </w:style>
  <w:style w:type="character" w:customStyle="1" w:styleId="75">
    <w:name w:val="正文文本 3 字符1"/>
    <w:semiHidden/>
    <w:qFormat/>
    <w:uiPriority w:val="99"/>
    <w:rPr>
      <w:rFonts w:ascii="宋体" w:hAnsi="Calibri" w:eastAsia="宋体" w:cs="Times New Roman"/>
      <w:kern w:val="0"/>
      <w:sz w:val="16"/>
      <w:szCs w:val="16"/>
    </w:rPr>
  </w:style>
  <w:style w:type="character" w:customStyle="1" w:styleId="76">
    <w:name w:val="正文文本 字符3"/>
    <w:semiHidden/>
    <w:qFormat/>
    <w:uiPriority w:val="99"/>
    <w:rPr>
      <w:rFonts w:ascii="宋体" w:hAnsi="Calibri" w:eastAsia="宋体" w:cs="Times New Roman"/>
      <w:kern w:val="0"/>
      <w:sz w:val="24"/>
      <w:szCs w:val="24"/>
    </w:rPr>
  </w:style>
  <w:style w:type="character" w:customStyle="1" w:styleId="77">
    <w:name w:val="日期 字符1"/>
    <w:semiHidden/>
    <w:qFormat/>
    <w:uiPriority w:val="99"/>
    <w:rPr>
      <w:rFonts w:ascii="宋体" w:hAnsi="Calibri" w:eastAsia="宋体" w:cs="Times New Roman"/>
      <w:kern w:val="0"/>
      <w:sz w:val="24"/>
      <w:szCs w:val="24"/>
    </w:rPr>
  </w:style>
  <w:style w:type="character" w:customStyle="1" w:styleId="78">
    <w:name w:val="页脚 Char2"/>
    <w:link w:val="27"/>
    <w:qFormat/>
    <w:uiPriority w:val="99"/>
    <w:rPr>
      <w:rFonts w:ascii="宋体" w:eastAsia="宋体"/>
      <w:sz w:val="18"/>
      <w:szCs w:val="18"/>
    </w:rPr>
  </w:style>
  <w:style w:type="character" w:customStyle="1" w:styleId="79">
    <w:name w:val="吉奥正文 Char"/>
    <w:link w:val="80"/>
    <w:qFormat/>
    <w:locked/>
    <w:uiPriority w:val="0"/>
    <w:rPr>
      <w:rFonts w:eastAsia="仿宋_GB2312"/>
      <w:sz w:val="28"/>
    </w:rPr>
  </w:style>
  <w:style w:type="paragraph" w:customStyle="1" w:styleId="80">
    <w:name w:val="吉奥正文"/>
    <w:basedOn w:val="1"/>
    <w:link w:val="7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qFormat/>
    <w:uiPriority w:val="99"/>
    <w:rPr>
      <w:rFonts w:ascii="宋体" w:hAnsi="Times New Roman" w:eastAsia="宋体" w:cs="Times New Roman"/>
      <w:kern w:val="0"/>
      <w:sz w:val="18"/>
      <w:szCs w:val="18"/>
    </w:rPr>
  </w:style>
  <w:style w:type="character" w:customStyle="1" w:styleId="82">
    <w:name w:val="标题 字符"/>
    <w:qFormat/>
    <w:uiPriority w:val="10"/>
    <w:rPr>
      <w:rFonts w:ascii="Cambria" w:hAnsi="Cambria" w:eastAsia="宋体" w:cs="Times New Roman"/>
      <w:b/>
      <w:bCs/>
      <w:kern w:val="0"/>
      <w:sz w:val="32"/>
      <w:szCs w:val="32"/>
      <w:lang w:val="en-US" w:eastAsia="zh-CN"/>
    </w:rPr>
  </w:style>
  <w:style w:type="character" w:customStyle="1" w:styleId="83">
    <w:name w:val="题注 Char"/>
    <w:link w:val="13"/>
    <w:qFormat/>
    <w:uiPriority w:val="0"/>
    <w:rPr>
      <w:rFonts w:ascii="Arial" w:hAnsi="Arial" w:eastAsia="黑体" w:cs="Arial"/>
    </w:rPr>
  </w:style>
  <w:style w:type="character" w:customStyle="1" w:styleId="84">
    <w:name w:val="批注文字 字符2"/>
    <w:qFormat/>
    <w:uiPriority w:val="99"/>
    <w:rPr>
      <w:rFonts w:ascii="宋体" w:hAnsi="Times New Roman" w:eastAsia="宋体" w:cs="Times New Roman"/>
      <w:kern w:val="0"/>
      <w:sz w:val="24"/>
      <w:szCs w:val="24"/>
    </w:rPr>
  </w:style>
  <w:style w:type="character" w:customStyle="1" w:styleId="85">
    <w:name w:val="批注主题 字符1"/>
    <w:semiHidden/>
    <w:qFormat/>
    <w:uiPriority w:val="99"/>
    <w:rPr>
      <w:rFonts w:ascii="宋体" w:hAnsi="Calibri" w:eastAsia="宋体" w:cs="Times New Roman"/>
      <w:b/>
      <w:bCs/>
      <w:kern w:val="0"/>
      <w:sz w:val="24"/>
      <w:szCs w:val="24"/>
    </w:rPr>
  </w:style>
  <w:style w:type="character" w:customStyle="1" w:styleId="86">
    <w:name w:val="HTML 预设格式 Char"/>
    <w:link w:val="34"/>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4"/>
    <w:link w:val="87"/>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semiHidden/>
    <w:qFormat/>
    <w:uiPriority w:val="99"/>
    <w:rPr>
      <w:rFonts w:ascii="Courier New" w:hAnsi="Courier New" w:eastAsia="宋体" w:cs="Courier New"/>
      <w:kern w:val="0"/>
      <w:sz w:val="20"/>
      <w:szCs w:val="20"/>
    </w:rPr>
  </w:style>
  <w:style w:type="character" w:customStyle="1" w:styleId="90">
    <w:name w:val="批注文字 字符1"/>
    <w:qFormat/>
    <w:uiPriority w:val="0"/>
    <w:rPr>
      <w:rFonts w:eastAsia="宋体"/>
      <w:kern w:val="2"/>
      <w:sz w:val="24"/>
      <w:szCs w:val="24"/>
      <w:lang w:val="en-US" w:eastAsia="zh-CN" w:bidi="ar-SA"/>
    </w:rPr>
  </w:style>
  <w:style w:type="character" w:customStyle="1" w:styleId="91">
    <w:name w:val="正文文本缩进 字符2"/>
    <w:semiHidden/>
    <w:qFormat/>
    <w:uiPriority w:val="99"/>
    <w:rPr>
      <w:rFonts w:ascii="宋体" w:hAnsi="Calibri" w:eastAsia="宋体" w:cs="Times New Roman"/>
      <w:kern w:val="0"/>
      <w:sz w:val="24"/>
      <w:szCs w:val="24"/>
    </w:rPr>
  </w:style>
  <w:style w:type="character" w:customStyle="1" w:styleId="92">
    <w:name w:val="正文文本缩进 Char1"/>
    <w:link w:val="21"/>
    <w:qFormat/>
    <w:uiPriority w:val="0"/>
    <w:rPr>
      <w:rFonts w:ascii="Times New Roman" w:hAnsi="Times New Roman" w:eastAsia="宋体" w:cs="Times New Roman"/>
      <w:szCs w:val="20"/>
    </w:rPr>
  </w:style>
  <w:style w:type="character" w:customStyle="1" w:styleId="93">
    <w:name w:val="普通(网站) Char1"/>
    <w:link w:val="35"/>
    <w:qFormat/>
    <w:locked/>
    <w:uiPriority w:val="0"/>
    <w:rPr>
      <w:rFonts w:ascii="宋体" w:hAnsi="宋体"/>
      <w:sz w:val="15"/>
      <w:szCs w:val="15"/>
    </w:rPr>
  </w:style>
  <w:style w:type="character" w:customStyle="1" w:styleId="94">
    <w:name w:val="模板正文 Char"/>
    <w:link w:val="8"/>
    <w:qFormat/>
    <w:uiPriority w:val="0"/>
    <w:rPr>
      <w:rFonts w:ascii="宋体" w:eastAsia="仿宋"/>
      <w:sz w:val="24"/>
      <w:szCs w:val="21"/>
    </w:rPr>
  </w:style>
  <w:style w:type="character" w:customStyle="1" w:styleId="95">
    <w:name w:val="批注主题 Char"/>
    <w:semiHidden/>
    <w:qFormat/>
    <w:uiPriority w:val="99"/>
    <w:rPr>
      <w:b/>
      <w:bCs/>
      <w:kern w:val="2"/>
      <w:sz w:val="21"/>
    </w:rPr>
  </w:style>
  <w:style w:type="character" w:customStyle="1" w:styleId="96">
    <w:name w:val="正文文本 Char1"/>
    <w:qFormat/>
    <w:uiPriority w:val="0"/>
    <w:rPr>
      <w:rFonts w:ascii="宋体" w:hAnsi="Times New Roman" w:eastAsia="宋体" w:cs="Times New Roman"/>
      <w:kern w:val="0"/>
      <w:sz w:val="24"/>
      <w:szCs w:val="24"/>
    </w:rPr>
  </w:style>
  <w:style w:type="character" w:customStyle="1" w:styleId="97">
    <w:name w:val="正文文本 字符1"/>
    <w:qFormat/>
    <w:uiPriority w:val="99"/>
    <w:rPr>
      <w:rFonts w:ascii="宋体" w:eastAsia="宋体"/>
      <w:b/>
      <w:bCs/>
      <w:sz w:val="84"/>
      <w:szCs w:val="84"/>
      <w:lang w:val="zh-CN"/>
    </w:rPr>
  </w:style>
  <w:style w:type="character" w:customStyle="1" w:styleId="98">
    <w:name w:val="标题 1 Char"/>
    <w:qFormat/>
    <w:uiPriority w:val="9"/>
    <w:rPr>
      <w:rFonts w:ascii="宋体" w:hAnsi="Times New Roman" w:eastAsia="宋体" w:cs="Times New Roman"/>
      <w:kern w:val="0"/>
      <w:sz w:val="24"/>
      <w:szCs w:val="24"/>
    </w:rPr>
  </w:style>
  <w:style w:type="character" w:customStyle="1" w:styleId="99">
    <w:name w:val="正文文本 Char2"/>
    <w:qFormat/>
    <w:uiPriority w:val="99"/>
    <w:rPr>
      <w:rFonts w:ascii="宋体" w:eastAsia="宋体"/>
      <w:b/>
      <w:bCs/>
      <w:sz w:val="84"/>
      <w:szCs w:val="84"/>
      <w:lang w:val="zh-CN"/>
    </w:rPr>
  </w:style>
  <w:style w:type="character" w:customStyle="1" w:styleId="100">
    <w:name w:val="纯文本 Char2"/>
    <w:link w:val="23"/>
    <w:qFormat/>
    <w:uiPriority w:val="0"/>
    <w:rPr>
      <w:rFonts w:ascii="宋体" w:hAnsi="Courier New" w:eastAsia="宋体"/>
    </w:rPr>
  </w:style>
  <w:style w:type="character" w:customStyle="1" w:styleId="101">
    <w:name w:val="正文文本缩进 2 Char"/>
    <w:link w:val="25"/>
    <w:qFormat/>
    <w:uiPriority w:val="0"/>
    <w:rPr>
      <w:rFonts w:ascii="宋体" w:hAnsi="Times New Roman" w:eastAsia="宋体" w:cs="Times New Roman"/>
      <w:szCs w:val="20"/>
    </w:rPr>
  </w:style>
  <w:style w:type="character" w:customStyle="1" w:styleId="102">
    <w:name w:val="HTML Markup"/>
    <w:qFormat/>
    <w:uiPriority w:val="0"/>
    <w:rPr>
      <w:vanish/>
      <w:color w:val="FF0000"/>
    </w:rPr>
  </w:style>
  <w:style w:type="character" w:customStyle="1" w:styleId="103">
    <w:name w:val="页眉 Char1"/>
    <w:qFormat/>
    <w:uiPriority w:val="0"/>
    <w:rPr>
      <w:rFonts w:ascii="宋体" w:hAnsi="Times New Roman" w:eastAsia="宋体" w:cs="Times New Roman"/>
      <w:kern w:val="0"/>
      <w:sz w:val="18"/>
      <w:szCs w:val="18"/>
    </w:rPr>
  </w:style>
  <w:style w:type="character" w:customStyle="1" w:styleId="104">
    <w:name w:val="font11"/>
    <w:qFormat/>
    <w:uiPriority w:val="0"/>
    <w:rPr>
      <w:rFonts w:hint="eastAsia" w:ascii="宋体" w:hAnsi="宋体" w:eastAsia="宋体" w:cs="宋体"/>
      <w:color w:val="FF0000"/>
      <w:sz w:val="22"/>
      <w:szCs w:val="22"/>
      <w:u w:val="none"/>
    </w:rPr>
  </w:style>
  <w:style w:type="character" w:customStyle="1" w:styleId="105">
    <w:name w:val="style61"/>
    <w:qFormat/>
    <w:uiPriority w:val="0"/>
    <w:rPr>
      <w:b/>
      <w:bCs/>
    </w:rPr>
  </w:style>
  <w:style w:type="character" w:customStyle="1" w:styleId="106">
    <w:name w:val="表头文字 Char"/>
    <w:link w:val="107"/>
    <w:qFormat/>
    <w:uiPriority w:val="0"/>
    <w:rPr>
      <w:rFonts w:eastAsia="仿宋_GB2312"/>
      <w:b/>
      <w:sz w:val="28"/>
      <w:szCs w:val="21"/>
    </w:rPr>
  </w:style>
  <w:style w:type="paragraph" w:customStyle="1" w:styleId="107">
    <w:name w:val="表头文字"/>
    <w:basedOn w:val="1"/>
    <w:link w:val="106"/>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4"/>
    <w:qFormat/>
    <w:uiPriority w:val="99"/>
    <w:rPr>
      <w:rFonts w:ascii="宋体" w:hAnsi="Times New Roman" w:eastAsia="宋体" w:cs="Times New Roman"/>
      <w:b/>
      <w:bCs/>
      <w:szCs w:val="21"/>
      <w:lang w:val="zh-CN"/>
    </w:rPr>
  </w:style>
  <w:style w:type="character" w:customStyle="1" w:styleId="109">
    <w:name w:val="纯文本 Char1"/>
    <w:qFormat/>
    <w:uiPriority w:val="0"/>
    <w:rPr>
      <w:rFonts w:ascii="宋体" w:hAnsi="Courier New" w:eastAsia="宋体" w:cs="Courier New"/>
      <w:kern w:val="0"/>
      <w:szCs w:val="21"/>
    </w:rPr>
  </w:style>
  <w:style w:type="character" w:customStyle="1" w:styleId="110">
    <w:name w:val="批注主题 Char1"/>
    <w:link w:val="37"/>
    <w:qFormat/>
    <w:uiPriority w:val="99"/>
    <w:rPr>
      <w:rFonts w:ascii="宋体" w:hAnsi="Times New Roman" w:eastAsia="宋体" w:cs="Times New Roman"/>
      <w:b/>
      <w:bCs/>
      <w:kern w:val="0"/>
      <w:sz w:val="24"/>
      <w:szCs w:val="24"/>
    </w:rPr>
  </w:style>
  <w:style w:type="character" w:customStyle="1" w:styleId="111">
    <w:name w:val="纯文本 字符"/>
    <w:qFormat/>
    <w:uiPriority w:val="99"/>
    <w:rPr>
      <w:rFonts w:ascii="宋体" w:hAnsi="Courier New" w:eastAsia="宋体" w:cs="Times New Roman"/>
      <w:szCs w:val="20"/>
      <w:lang w:val="en-US" w:eastAsia="zh-CN"/>
    </w:rPr>
  </w:style>
  <w:style w:type="character" w:customStyle="1" w:styleId="112">
    <w:name w:val="font71"/>
    <w:qFormat/>
    <w:uiPriority w:val="0"/>
    <w:rPr>
      <w:rFonts w:hint="eastAsia" w:ascii="宋体" w:hAnsi="宋体" w:eastAsia="宋体" w:cs="宋体"/>
      <w:color w:val="FF0000"/>
      <w:sz w:val="18"/>
      <w:szCs w:val="18"/>
      <w:u w:val="none"/>
    </w:rPr>
  </w:style>
  <w:style w:type="character" w:customStyle="1" w:styleId="113">
    <w:name w:val="font21"/>
    <w:qFormat/>
    <w:uiPriority w:val="0"/>
    <w:rPr>
      <w:rFonts w:hint="eastAsia" w:ascii="宋体" w:hAnsi="宋体" w:eastAsia="宋体" w:cs="宋体"/>
      <w:b/>
      <w:color w:val="000000"/>
      <w:sz w:val="21"/>
      <w:szCs w:val="21"/>
      <w:u w:val="none"/>
    </w:rPr>
  </w:style>
  <w:style w:type="character" w:customStyle="1" w:styleId="114">
    <w:name w:val="纯文本 字符3"/>
    <w:semiHidden/>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Char3"/>
    <w:link w:val="18"/>
    <w:qFormat/>
    <w:uiPriority w:val="99"/>
    <w:rPr>
      <w:rFonts w:ascii="宋体" w:eastAsia="宋体"/>
      <w:b/>
      <w:bCs/>
      <w:sz w:val="84"/>
      <w:szCs w:val="84"/>
      <w:lang w:val="zh-CN"/>
    </w:rPr>
  </w:style>
  <w:style w:type="character" w:customStyle="1" w:styleId="119">
    <w:name w:val="标题 5 Char"/>
    <w:semiHidden/>
    <w:qFormat/>
    <w:uiPriority w:val="9"/>
    <w:rPr>
      <w:b/>
      <w:bCs/>
      <w:kern w:val="2"/>
      <w:sz w:val="28"/>
      <w:szCs w:val="28"/>
    </w:rPr>
  </w:style>
  <w:style w:type="character" w:customStyle="1" w:styleId="120">
    <w:name w:val="页眉 Char2"/>
    <w:link w:val="28"/>
    <w:qFormat/>
    <w:uiPriority w:val="99"/>
    <w:rPr>
      <w:rFonts w:ascii="宋体" w:eastAsia="宋体"/>
      <w:sz w:val="18"/>
      <w:szCs w:val="18"/>
    </w:rPr>
  </w:style>
  <w:style w:type="character" w:customStyle="1" w:styleId="121">
    <w:name w:val="表格文字 Char"/>
    <w:link w:val="122"/>
    <w:qFormat/>
    <w:uiPriority w:val="0"/>
    <w:rPr>
      <w:rFonts w:eastAsia="仿宋_GB2312"/>
      <w:sz w:val="28"/>
      <w:szCs w:val="24"/>
    </w:rPr>
  </w:style>
  <w:style w:type="paragraph" w:customStyle="1" w:styleId="122">
    <w:name w:val="表格文字"/>
    <w:basedOn w:val="1"/>
    <w:link w:val="121"/>
    <w:qFormat/>
    <w:uiPriority w:val="0"/>
    <w:rPr>
      <w:rFonts w:eastAsia="仿宋_GB2312"/>
      <w:sz w:val="28"/>
      <w:szCs w:val="24"/>
    </w:rPr>
  </w:style>
  <w:style w:type="character" w:customStyle="1" w:styleId="123">
    <w:name w:val="标题 字符2"/>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出段落 Char"/>
    <w:link w:val="129"/>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semiHidden/>
    <w:qFormat/>
    <w:uiPriority w:val="99"/>
    <w:rPr>
      <w:rFonts w:ascii="宋体" w:hAnsi="Calibri" w:eastAsia="宋体" w:cs="Times New Roman"/>
      <w:kern w:val="0"/>
      <w:sz w:val="18"/>
      <w:szCs w:val="18"/>
    </w:rPr>
  </w:style>
  <w:style w:type="character" w:customStyle="1" w:styleId="132">
    <w:name w:val="标题 5 Char1"/>
    <w:link w:val="6"/>
    <w:qFormat/>
    <w:uiPriority w:val="9"/>
    <w:rPr>
      <w:rFonts w:ascii="宋体" w:hAnsi="Calibri" w:eastAsia="宋体" w:cs="Times New Roman"/>
      <w:b/>
      <w:bCs/>
      <w:kern w:val="0"/>
      <w:sz w:val="28"/>
      <w:szCs w:val="28"/>
    </w:rPr>
  </w:style>
  <w:style w:type="character" w:customStyle="1" w:styleId="133">
    <w:name w:val="keyfeatures1"/>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qFormat/>
    <w:uiPriority w:val="0"/>
    <w:rPr>
      <w:rFonts w:ascii="宋体" w:hAnsi="宋体" w:eastAsia="宋体"/>
      <w:b/>
      <w:kern w:val="2"/>
      <w:sz w:val="21"/>
      <w:szCs w:val="24"/>
      <w:lang w:val="en-US" w:eastAsia="zh-CN" w:bidi="ar-SA"/>
    </w:rPr>
  </w:style>
  <w:style w:type="character" w:customStyle="1" w:styleId="136">
    <w:name w:val="批注文字 字符3"/>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qFormat/>
    <w:uiPriority w:val="0"/>
    <w:rPr>
      <w:rFonts w:ascii="宋体" w:hAnsi="Courier New" w:eastAsia="宋体" w:cs="Times New Roman"/>
      <w:szCs w:val="20"/>
    </w:rPr>
  </w:style>
  <w:style w:type="character" w:customStyle="1" w:styleId="142">
    <w:name w:val="标题 6 Char"/>
    <w:link w:val="7"/>
    <w:qFormat/>
    <w:uiPriority w:val="9"/>
    <w:rPr>
      <w:rFonts w:ascii="Times New Roman" w:hAnsi="Calibri" w:eastAsia="黑体" w:cs="Times New Roman"/>
      <w:b/>
      <w:bCs/>
      <w:kern w:val="0"/>
      <w:sz w:val="28"/>
      <w:szCs w:val="24"/>
    </w:rPr>
  </w:style>
  <w:style w:type="character" w:customStyle="1" w:styleId="143">
    <w:name w:val="正文文本 2 Char"/>
    <w:link w:val="33"/>
    <w:qFormat/>
    <w:uiPriority w:val="0"/>
    <w:rPr>
      <w:rFonts w:ascii="Arial" w:hAnsi="Arial" w:eastAsia="宋体" w:cs="Times New Roman"/>
      <w:color w:val="000000"/>
      <w:szCs w:val="24"/>
    </w:rPr>
  </w:style>
  <w:style w:type="character" w:customStyle="1" w:styleId="144">
    <w:name w:val="标题 3 Char"/>
    <w:link w:val="4"/>
    <w:qFormat/>
    <w:uiPriority w:val="0"/>
    <w:rPr>
      <w:rFonts w:ascii="宋体" w:hAnsi="Calibri" w:eastAsia="宋体" w:cs="Times New Roman"/>
      <w:kern w:val="0"/>
      <w:sz w:val="24"/>
      <w:szCs w:val="24"/>
    </w:rPr>
  </w:style>
  <w:style w:type="character" w:customStyle="1" w:styleId="145">
    <w:name w:val="正文文本缩进 2 字符1"/>
    <w:semiHidden/>
    <w:qFormat/>
    <w:uiPriority w:val="99"/>
    <w:rPr>
      <w:rFonts w:ascii="宋体" w:hAnsi="Calibri" w:eastAsia="宋体" w:cs="Times New Roman"/>
      <w:kern w:val="0"/>
      <w:sz w:val="24"/>
      <w:szCs w:val="24"/>
    </w:rPr>
  </w:style>
  <w:style w:type="character" w:customStyle="1" w:styleId="146">
    <w:name w:val="正文文本缩进 3 字符1"/>
    <w:semiHidden/>
    <w:qFormat/>
    <w:uiPriority w:val="99"/>
    <w:rPr>
      <w:rFonts w:ascii="宋体" w:hAnsi="Calibri" w:eastAsia="宋体" w:cs="Times New Roman"/>
      <w:kern w:val="0"/>
      <w:sz w:val="16"/>
      <w:szCs w:val="16"/>
    </w:rPr>
  </w:style>
  <w:style w:type="character" w:customStyle="1" w:styleId="147">
    <w:name w:val="正文文本 2 字符1"/>
    <w:semiHidden/>
    <w:qFormat/>
    <w:uiPriority w:val="99"/>
    <w:rPr>
      <w:rFonts w:ascii="宋体" w:hAnsi="Calibri" w:eastAsia="宋体" w:cs="Times New Roman"/>
      <w:kern w:val="0"/>
      <w:sz w:val="24"/>
      <w:szCs w:val="24"/>
    </w:rPr>
  </w:style>
  <w:style w:type="character" w:customStyle="1" w:styleId="148">
    <w:name w:val="eschoolnr"/>
    <w:qFormat/>
    <w:uiPriority w:val="0"/>
    <w:rPr>
      <w:sz w:val="23"/>
      <w:szCs w:val="23"/>
    </w:rPr>
  </w:style>
  <w:style w:type="character" w:customStyle="1" w:styleId="149">
    <w:name w:val="访问过的超链接1"/>
    <w:qFormat/>
    <w:uiPriority w:val="0"/>
    <w:rPr>
      <w:rFonts w:ascii="Arial" w:hAnsi="Arial" w:cs="Arial"/>
      <w:color w:val="000000"/>
      <w:sz w:val="20"/>
      <w:szCs w:val="20"/>
      <w:u w:val="none"/>
    </w:rPr>
  </w:style>
  <w:style w:type="character" w:customStyle="1" w:styleId="150">
    <w:name w:val="标题 1 Char1"/>
    <w:link w:val="3"/>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semiHidden/>
    <w:qFormat/>
    <w:uiPriority w:val="99"/>
    <w:rPr>
      <w:kern w:val="2"/>
      <w:sz w:val="18"/>
      <w:szCs w:val="18"/>
    </w:rPr>
  </w:style>
  <w:style w:type="character" w:customStyle="1" w:styleId="153">
    <w:name w:val="DAS正文 Char"/>
    <w:qFormat/>
    <w:uiPriority w:val="0"/>
    <w:rPr>
      <w:rFonts w:ascii="Verdana" w:hAnsi="Verdana" w:eastAsia="宋体"/>
      <w:kern w:val="2"/>
      <w:sz w:val="21"/>
      <w:szCs w:val="21"/>
      <w:lang w:val="en-US" w:eastAsia="zh-CN" w:bidi="ar-SA"/>
    </w:rPr>
  </w:style>
  <w:style w:type="character" w:customStyle="1" w:styleId="154">
    <w:name w:val="正文文本缩进 3 Char"/>
    <w:link w:val="31"/>
    <w:qFormat/>
    <w:uiPriority w:val="0"/>
    <w:rPr>
      <w:rFonts w:ascii="宋体" w:hAnsi="Times New Roman" w:eastAsia="宋体" w:cs="Times New Roman"/>
      <w:kern w:val="0"/>
      <w:sz w:val="24"/>
      <w:szCs w:val="24"/>
    </w:rPr>
  </w:style>
  <w:style w:type="character" w:customStyle="1" w:styleId="155">
    <w:name w:val="页眉 Char"/>
    <w:qFormat/>
    <w:uiPriority w:val="99"/>
    <w:rPr>
      <w:kern w:val="2"/>
      <w:sz w:val="18"/>
      <w:szCs w:val="18"/>
    </w:rPr>
  </w:style>
  <w:style w:type="character" w:customStyle="1" w:styleId="156">
    <w:name w:val="正文文本 3 Char"/>
    <w:link w:val="17"/>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qFormat/>
    <w:uiPriority w:val="0"/>
    <w:rPr>
      <w:rFonts w:ascii="宋体"/>
      <w:sz w:val="24"/>
      <w:szCs w:val="24"/>
    </w:rPr>
  </w:style>
  <w:style w:type="paragraph" w:customStyle="1" w:styleId="159">
    <w:name w:val="彩色列表 - 强调文字颜色 11"/>
    <w:basedOn w:val="1"/>
    <w:link w:val="158"/>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40"/>
    <w:semiHidden/>
    <w:qFormat/>
    <w:uiPriority w:val="99"/>
    <w:rPr>
      <w:rFonts w:hAnsi="Courier New" w:cs="Courier New" w:asciiTheme="minorEastAsia"/>
    </w:rPr>
  </w:style>
  <w:style w:type="character" w:customStyle="1" w:styleId="163">
    <w:name w:val="批注文字 Char2"/>
    <w:basedOn w:val="40"/>
    <w:link w:val="16"/>
    <w:semiHidden/>
    <w:qFormat/>
    <w:uiPriority w:val="99"/>
  </w:style>
  <w:style w:type="character" w:customStyle="1" w:styleId="164">
    <w:name w:val="批注主题 字符2"/>
    <w:basedOn w:val="163"/>
    <w:semiHidden/>
    <w:qFormat/>
    <w:uiPriority w:val="99"/>
    <w:rPr>
      <w:b/>
      <w:bCs/>
    </w:rPr>
  </w:style>
  <w:style w:type="character" w:customStyle="1" w:styleId="165">
    <w:name w:val="标题 字符3"/>
    <w:basedOn w:val="40"/>
    <w:qFormat/>
    <w:uiPriority w:val="10"/>
    <w:rPr>
      <w:rFonts w:asciiTheme="majorHAnsi" w:hAnsiTheme="majorHAnsi" w:eastAsiaTheme="majorEastAsia" w:cstheme="majorBidi"/>
      <w:b/>
      <w:bCs/>
      <w:sz w:val="32"/>
      <w:szCs w:val="32"/>
    </w:rPr>
  </w:style>
  <w:style w:type="character" w:customStyle="1" w:styleId="166">
    <w:name w:val="正文文本缩进 字符3"/>
    <w:basedOn w:val="40"/>
    <w:semiHidden/>
    <w:qFormat/>
    <w:uiPriority w:val="99"/>
  </w:style>
  <w:style w:type="character" w:customStyle="1" w:styleId="167">
    <w:name w:val="正文文本 字符4"/>
    <w:basedOn w:val="40"/>
    <w:semiHidden/>
    <w:qFormat/>
    <w:uiPriority w:val="99"/>
  </w:style>
  <w:style w:type="character" w:customStyle="1" w:styleId="168">
    <w:name w:val="正文文本缩进 3 字符2"/>
    <w:basedOn w:val="40"/>
    <w:semiHidden/>
    <w:qFormat/>
    <w:uiPriority w:val="99"/>
    <w:rPr>
      <w:sz w:val="16"/>
      <w:szCs w:val="16"/>
    </w:rPr>
  </w:style>
  <w:style w:type="character" w:customStyle="1" w:styleId="169">
    <w:name w:val="页眉 字符2"/>
    <w:basedOn w:val="40"/>
    <w:semiHidden/>
    <w:qFormat/>
    <w:uiPriority w:val="99"/>
    <w:rPr>
      <w:sz w:val="18"/>
      <w:szCs w:val="18"/>
    </w:rPr>
  </w:style>
  <w:style w:type="character" w:customStyle="1" w:styleId="170">
    <w:name w:val="批注框文本 字符2"/>
    <w:basedOn w:val="40"/>
    <w:semiHidden/>
    <w:qFormat/>
    <w:uiPriority w:val="99"/>
    <w:rPr>
      <w:sz w:val="18"/>
      <w:szCs w:val="18"/>
    </w:rPr>
  </w:style>
  <w:style w:type="character" w:customStyle="1" w:styleId="171">
    <w:name w:val="HTML 预设格式 字符2"/>
    <w:basedOn w:val="40"/>
    <w:semiHidden/>
    <w:qFormat/>
    <w:uiPriority w:val="99"/>
    <w:rPr>
      <w:rFonts w:ascii="Courier New" w:hAnsi="Courier New" w:cs="Courier New"/>
      <w:sz w:val="20"/>
      <w:szCs w:val="20"/>
    </w:rPr>
  </w:style>
  <w:style w:type="character" w:customStyle="1" w:styleId="172">
    <w:name w:val="页脚 字符2"/>
    <w:basedOn w:val="40"/>
    <w:semiHidden/>
    <w:qFormat/>
    <w:uiPriority w:val="99"/>
    <w:rPr>
      <w:sz w:val="18"/>
      <w:szCs w:val="18"/>
    </w:rPr>
  </w:style>
  <w:style w:type="character" w:customStyle="1" w:styleId="173">
    <w:name w:val="正文文本缩进 2 字符2"/>
    <w:basedOn w:val="40"/>
    <w:semiHidden/>
    <w:qFormat/>
    <w:uiPriority w:val="99"/>
  </w:style>
  <w:style w:type="character" w:customStyle="1" w:styleId="174">
    <w:name w:val="正文文本 3 字符2"/>
    <w:basedOn w:val="40"/>
    <w:semiHidden/>
    <w:qFormat/>
    <w:uiPriority w:val="99"/>
    <w:rPr>
      <w:sz w:val="16"/>
      <w:szCs w:val="16"/>
    </w:rPr>
  </w:style>
  <w:style w:type="character" w:customStyle="1" w:styleId="175">
    <w:name w:val="正文文本 2 字符2"/>
    <w:basedOn w:val="40"/>
    <w:semiHidden/>
    <w:qFormat/>
    <w:uiPriority w:val="99"/>
  </w:style>
  <w:style w:type="paragraph" w:customStyle="1" w:styleId="176">
    <w:name w:val="WPSOffice手动目录 3"/>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40"/>
    <w:semiHidden/>
    <w:qFormat/>
    <w:uiPriority w:val="99"/>
    <w:rPr>
      <w:rFonts w:ascii="Microsoft YaHei UI" w:eastAsia="Microsoft YaHei UI"/>
      <w:sz w:val="18"/>
      <w:szCs w:val="18"/>
    </w:rPr>
  </w:style>
  <w:style w:type="character" w:customStyle="1" w:styleId="179">
    <w:name w:val="日期 字符2"/>
    <w:basedOn w:val="40"/>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semiHidden/>
    <w:qFormat/>
    <w:uiPriority w:val="99"/>
    <w:rPr>
      <w:rFonts w:ascii="宋体" w:hAnsi="Calibri" w:eastAsia="宋体" w:cs="Times New Roman"/>
      <w:sz w:val="24"/>
      <w:szCs w:val="24"/>
      <w:lang w:val="en-US" w:eastAsia="zh-CN" w:bidi="ar-SA"/>
    </w:rPr>
  </w:style>
  <w:style w:type="paragraph" w:customStyle="1" w:styleId="183">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eastAsia="宋体"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qFormat/>
    <w:uiPriority w:val="0"/>
    <w:pPr>
      <w:jc w:val="center"/>
    </w:pPr>
    <w:rPr>
      <w:rFonts w:cs="宋体"/>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首行缩进 Char"/>
    <w:basedOn w:val="118"/>
    <w:link w:val="19"/>
    <w:semiHidden/>
    <w:qFormat/>
    <w:uiPriority w:val="99"/>
    <w:rPr>
      <w:rFonts w:ascii="宋体" w:eastAsia="宋体"/>
      <w:b w:val="0"/>
      <w:bCs w:val="0"/>
      <w:sz w:val="84"/>
      <w:szCs w:val="84"/>
      <w:lang w:val="zh-CN"/>
    </w:rPr>
  </w:style>
  <w:style w:type="paragraph" w:customStyle="1" w:styleId="20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3">
    <w:name w:val="Table Paragraph"/>
    <w:basedOn w:val="1"/>
    <w:qFormat/>
    <w:uiPriority w:val="1"/>
    <w:pPr>
      <w:jc w:val="center"/>
    </w:pPr>
    <w:rPr>
      <w:rFonts w:ascii="宋体" w:hAnsi="宋体" w:eastAsia="宋体" w:cs="宋体"/>
      <w:lang w:val="zh-CN" w:eastAsia="zh-CN" w:bidi="zh-CN"/>
    </w:rPr>
  </w:style>
  <w:style w:type="character" w:customStyle="1" w:styleId="204">
    <w:name w:val="font51"/>
    <w:basedOn w:val="40"/>
    <w:qFormat/>
    <w:uiPriority w:val="0"/>
    <w:rPr>
      <w:rFonts w:hint="eastAsia" w:ascii="宋体" w:hAnsi="宋体" w:eastAsia="宋体" w:cs="宋体"/>
      <w:color w:val="000000"/>
      <w:sz w:val="36"/>
      <w:szCs w:val="36"/>
      <w:u w:val="none"/>
    </w:rPr>
  </w:style>
  <w:style w:type="character" w:customStyle="1" w:styleId="205">
    <w:name w:val="font41"/>
    <w:basedOn w:val="40"/>
    <w:qFormat/>
    <w:uiPriority w:val="0"/>
    <w:rPr>
      <w:rFonts w:hint="eastAsia" w:ascii="宋体" w:hAnsi="宋体" w:eastAsia="宋体" w:cs="宋体"/>
      <w:color w:val="000000"/>
      <w:sz w:val="20"/>
      <w:szCs w:val="20"/>
      <w:u w:val="none"/>
    </w:rPr>
  </w:style>
  <w:style w:type="paragraph" w:customStyle="1" w:styleId="206">
    <w:name w:val="Table Text"/>
    <w:basedOn w:val="1"/>
    <w:semiHidden/>
    <w:qFormat/>
    <w:uiPriority w:val="0"/>
    <w:rPr>
      <w:rFonts w:ascii="宋体" w:hAnsi="宋体" w:eastAsia="宋体" w:cs="宋体"/>
      <w:sz w:val="16"/>
      <w:szCs w:val="16"/>
      <w:lang w:val="en-US" w:eastAsia="en-US" w:bidi="ar-SA"/>
    </w:rPr>
  </w:style>
  <w:style w:type="table" w:customStyle="1" w:styleId="20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64029</Words>
  <Characters>75778</Characters>
  <Lines>314</Lines>
  <Paragraphs>88</Paragraphs>
  <TotalTime>1</TotalTime>
  <ScaleCrop>false</ScaleCrop>
  <LinksUpToDate>false</LinksUpToDate>
  <CharactersWithSpaces>79657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三方诚信-陈工</cp:lastModifiedBy>
  <dcterms:modified xsi:type="dcterms:W3CDTF">2025-09-01T08:22:55Z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634F754883F14DA7AFAC7C02E2C32F32_13</vt:lpwstr>
  </property>
  <property fmtid="{D5CDD505-2E9C-101B-9397-08002B2CF9AE}" pid="4" name="KSOTemplateDocerSaveRecord">
    <vt:lpwstr>eyJoZGlkIjoiOTVhNjhhZTFiM2JhYjFhNmRkOWU4OGI5NTNkMWMxYmYiLCJ1c2VySWQiOiIxNjA4NzQ1ODczIn0=</vt:lpwstr>
  </property>
</Properties>
</file>