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0" w:name="_Toc22810"/>
      <w:bookmarkStart w:id="1" w:name="_Toc486167706"/>
      <w:bookmarkStart w:id="2" w:name="_Toc450662891"/>
      <w:bookmarkStart w:id="3" w:name="_Toc27939_WPSOffice_Level1"/>
      <w:bookmarkStart w:id="4" w:name="_Toc142508358"/>
      <w:bookmarkStart w:id="5" w:name="_Toc4217"/>
      <w:bookmarkStart w:id="6" w:name="_Toc29361"/>
      <w:bookmarkStart w:id="7" w:name="_Toc28218"/>
      <w:r>
        <w:rPr>
          <w:rFonts w:hint="eastAsia" w:ascii="宋体" w:hAnsi="宋体" w:eastAsia="宋体" w:cs="宋体"/>
          <w:b/>
          <w:bCs/>
          <w:color w:val="auto"/>
          <w:kern w:val="44"/>
          <w:sz w:val="32"/>
          <w:szCs w:val="32"/>
          <w:highlight w:val="none"/>
          <w:lang w:val="zh-CN"/>
        </w:rPr>
        <w:t>东莞市水务集团净水有限公司2026年</w:t>
      </w:r>
      <w:r>
        <w:rPr>
          <w:rFonts w:hint="eastAsia" w:ascii="宋体" w:hAnsi="宋体" w:eastAsia="宋体" w:cs="宋体"/>
          <w:b/>
          <w:bCs/>
          <w:color w:val="auto"/>
          <w:kern w:val="44"/>
          <w:sz w:val="32"/>
          <w:szCs w:val="32"/>
          <w:highlight w:val="none"/>
          <w:lang w:val="en-US" w:eastAsia="zh-CN"/>
        </w:rPr>
        <w:t>-2027年</w:t>
      </w:r>
      <w:r>
        <w:rPr>
          <w:rFonts w:hint="eastAsia" w:ascii="宋体" w:hAnsi="宋体" w:eastAsia="宋体" w:cs="宋体"/>
          <w:b/>
          <w:bCs/>
          <w:color w:val="auto"/>
          <w:kern w:val="44"/>
          <w:sz w:val="32"/>
          <w:szCs w:val="32"/>
          <w:highlight w:val="none"/>
          <w:lang w:val="zh-CN"/>
        </w:rPr>
        <w:t>生产药剂液体复合碳源采购项目用户需求书</w:t>
      </w:r>
      <w:bookmarkEnd w:id="0"/>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基本招标要求</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公司旗下运营项目所需生产药剂：液体复合碳源。根据实际运营中药剂使用情况，招标人目前有</w:t>
      </w:r>
      <w:r>
        <w:rPr>
          <w:rFonts w:hint="eastAsia" w:ascii="宋体" w:hAnsi="宋体" w:eastAsia="宋体" w:cs="宋体"/>
          <w:color w:val="auto"/>
          <w:sz w:val="21"/>
          <w:szCs w:val="21"/>
          <w:highlight w:val="none"/>
          <w:lang w:val="en-US" w:eastAsia="zh-CN"/>
        </w:rPr>
        <w:t>塘厦白泥湖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市区厂提标</w:t>
      </w:r>
      <w:r>
        <w:rPr>
          <w:rFonts w:hint="eastAsia" w:ascii="宋体" w:hAnsi="宋体" w:eastAsia="宋体" w:cs="宋体"/>
          <w:color w:val="auto"/>
          <w:sz w:val="21"/>
          <w:szCs w:val="21"/>
          <w:highlight w:val="none"/>
        </w:rPr>
        <w:t>等污水处理厂及污水处理厂提标项目（以下称作“运营项目”）使用液体复合碳源（以下简称“生产药剂”）作为外加碳源。具体供货项目和供货量根据实际运营需求，并结合招标人运营项目使用中标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提供的药剂样品所做的小试、项目实际使用效果确定。</w:t>
      </w:r>
    </w:p>
    <w:p>
      <w:pPr>
        <w:pStyle w:val="129"/>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8"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8"/>
    </w:p>
    <w:p>
      <w:pPr>
        <w:spacing w:line="360" w:lineRule="auto"/>
        <w:ind w:firstLine="420" w:firstLineChars="200"/>
        <w:rPr>
          <w:rFonts w:ascii="宋体" w:hAnsi="宋体" w:eastAsia="宋体" w:cs="宋体"/>
          <w:szCs w:val="21"/>
        </w:rPr>
      </w:pPr>
      <w:r>
        <w:rPr>
          <w:rFonts w:hint="eastAsia" w:ascii="宋体" w:hAnsi="宋体" w:eastAsia="宋体" w:cs="宋体"/>
          <w:szCs w:val="21"/>
        </w:rPr>
        <w:t>供货期自202</w:t>
      </w:r>
      <w:r>
        <w:rPr>
          <w:rFonts w:hint="eastAsia" w:ascii="宋体" w:hAnsi="宋体" w:eastAsia="宋体" w:cs="宋体"/>
          <w:szCs w:val="21"/>
          <w:lang w:val="en-US" w:eastAsia="zh-CN"/>
        </w:rPr>
        <w:t>6</w:t>
      </w:r>
      <w:r>
        <w:rPr>
          <w:rFonts w:hint="eastAsia" w:ascii="宋体" w:hAnsi="宋体" w:eastAsia="宋体" w:cs="宋体"/>
          <w:szCs w:val="21"/>
        </w:rPr>
        <w:t>年1月1日或合同签订之日起（以较晚时间为准）至202</w:t>
      </w:r>
      <w:r>
        <w:rPr>
          <w:rFonts w:hint="eastAsia" w:ascii="宋体" w:hAnsi="宋体" w:eastAsia="宋体" w:cs="宋体"/>
          <w:szCs w:val="21"/>
          <w:lang w:val="en-US" w:eastAsia="zh-CN"/>
        </w:rPr>
        <w:t>7</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日止</w:t>
      </w:r>
      <w:r>
        <w:rPr>
          <w:rFonts w:hint="eastAsia" w:ascii="宋体" w:hAnsi="宋体" w:eastAsia="宋体" w:cs="宋体"/>
          <w:color w:val="auto"/>
          <w:szCs w:val="21"/>
          <w:lang w:eastAsia="zh-CN"/>
        </w:rPr>
        <w:t>。</w:t>
      </w:r>
      <w:r>
        <w:rPr>
          <w:rFonts w:hint="eastAsia" w:ascii="宋体" w:hAnsi="宋体" w:eastAsia="宋体" w:cs="宋体"/>
          <w:szCs w:val="21"/>
          <w:lang w:val="en-US" w:eastAsia="zh-CN"/>
        </w:rPr>
        <w:t>中标人</w:t>
      </w:r>
      <w:r>
        <w:rPr>
          <w:rFonts w:hint="eastAsia" w:ascii="宋体" w:hAnsi="宋体" w:eastAsia="宋体" w:cs="宋体"/>
          <w:szCs w:val="21"/>
        </w:rPr>
        <w:t>收到招标人通知后必须无条件按照招标人的要求开始供货</w:t>
      </w:r>
      <w:r>
        <w:rPr>
          <w:rFonts w:ascii="宋体" w:hAnsi="宋体" w:eastAsia="宋体" w:cs="宋体"/>
          <w:szCs w:val="21"/>
        </w:rPr>
        <w:t>。</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w:t>
      </w:r>
    </w:p>
    <w:p>
      <w:pPr>
        <w:numPr>
          <w:ilvl w:val="0"/>
          <w:numId w:val="2"/>
        </w:num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产品名称：液体复合碳源</w:t>
      </w:r>
    </w:p>
    <w:p>
      <w:pPr>
        <w:numPr>
          <w:ilvl w:val="0"/>
          <w:numId w:val="2"/>
        </w:num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暂定采购数量：</w:t>
      </w:r>
      <w:r>
        <w:rPr>
          <w:rFonts w:hint="eastAsia" w:ascii="宋体" w:hAnsi="宋体" w:eastAsia="宋体" w:cs="宋体"/>
          <w:color w:val="auto"/>
          <w:szCs w:val="21"/>
          <w:highlight w:val="none"/>
        </w:rPr>
        <w:t>23366.693</w:t>
      </w:r>
      <w:r>
        <w:rPr>
          <w:rFonts w:hint="eastAsia" w:ascii="宋体" w:hAnsi="宋体" w:eastAsia="宋体" w:cs="宋体"/>
          <w:color w:val="auto"/>
          <w:sz w:val="21"/>
          <w:szCs w:val="21"/>
          <w:highlight w:val="none"/>
        </w:rPr>
        <w:t>吨</w:t>
      </w:r>
    </w:p>
    <w:p>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★3、本次采购涉及招标人运营项目及采购数量为暂定，仅为便于计算暂定总合同价使用，不作为招标人最终采购数量的保证</w:t>
      </w:r>
      <w:bookmarkStart w:id="9" w:name="OLE_LINK40"/>
      <w:bookmarkStart w:id="10" w:name="OLE_LINK24"/>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9"/>
      <w:bookmarkStart w:id="11" w:name="OLE_LINK38"/>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12" w:name="OLE_LINK33"/>
      <w:r>
        <w:rPr>
          <w:rFonts w:hint="eastAsia" w:ascii="宋体" w:hAnsi="宋体" w:eastAsia="宋体" w:cs="宋体"/>
          <w:b/>
          <w:color w:val="auto"/>
          <w:sz w:val="21"/>
          <w:szCs w:val="21"/>
          <w:highlight w:val="none"/>
        </w:rPr>
        <w:t>新增合同主体</w:t>
      </w:r>
      <w:bookmarkEnd w:id="12"/>
      <w:r>
        <w:rPr>
          <w:rFonts w:hint="eastAsia" w:ascii="宋体" w:hAnsi="宋体" w:eastAsia="宋体" w:cs="宋体"/>
          <w:b/>
          <w:color w:val="auto"/>
          <w:sz w:val="21"/>
          <w:szCs w:val="21"/>
          <w:highlight w:val="none"/>
        </w:rPr>
        <w:t>需要额外供货，</w:t>
      </w:r>
      <w:bookmarkStart w:id="13" w:name="OLE_LINK1"/>
      <w:r>
        <w:rPr>
          <w:rFonts w:hint="eastAsia" w:ascii="宋体" w:hAnsi="宋体" w:eastAsia="宋体" w:cs="宋体"/>
          <w:b/>
          <w:color w:val="auto"/>
          <w:sz w:val="21"/>
          <w:szCs w:val="21"/>
          <w:highlight w:val="none"/>
          <w:lang w:val="en-US" w:eastAsia="zh-CN"/>
        </w:rPr>
        <w:t>招标人权属子公司</w:t>
      </w:r>
      <w:bookmarkEnd w:id="13"/>
      <w:r>
        <w:rPr>
          <w:rFonts w:hint="eastAsia" w:ascii="宋体" w:hAnsi="宋体" w:eastAsia="宋体" w:cs="宋体"/>
          <w:b/>
          <w:color w:val="auto"/>
          <w:sz w:val="21"/>
          <w:szCs w:val="21"/>
          <w:highlight w:val="none"/>
          <w:lang w:val="en-US" w:eastAsia="zh-CN"/>
        </w:rPr>
        <w:t>、</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bookmarkEnd w:id="10"/>
      <w:r>
        <w:rPr>
          <w:rFonts w:hint="eastAsia" w:ascii="宋体" w:hAnsi="宋体" w:eastAsia="宋体" w:cs="宋体"/>
          <w:b/>
          <w:color w:val="auto"/>
          <w:sz w:val="21"/>
          <w:szCs w:val="21"/>
          <w:highlight w:val="none"/>
        </w:rPr>
        <w:t>。</w:t>
      </w:r>
      <w:bookmarkEnd w:id="11"/>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根据项目工艺及性质，结合小试及项目实际使用效果选用，招标人的实际需求数量以招标人运营项目每次的供货通知为准，在供货期内</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不得因招标人实际采购数量的减少或增加而要求提供任何形式的补偿或赔偿，或要求招标人按暂定采购数量采购相应货物。</w:t>
      </w:r>
    </w:p>
    <w:p>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★4、主要技术指标</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（1）液体复合碳源产品外观为无色至微黄色透明液体。</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（2）液体复合碳源产品必须符合《废（污）水处理用复合碳源》（HG/T 5960-2021）质量及检测标准，主要技术指标要求如下：</w:t>
      </w:r>
    </w:p>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表1  液体复合碳源主要技术指标</w:t>
      </w:r>
    </w:p>
    <w:tbl>
      <w:tblPr>
        <w:tblStyle w:val="37"/>
        <w:tblW w:w="97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化学需氧量（COD</w:t>
            </w:r>
            <w:r>
              <w:rPr>
                <w:rFonts w:hint="eastAsia" w:ascii="宋体" w:hAnsi="宋体" w:eastAsia="宋体" w:cs="宋体"/>
                <w:b/>
                <w:color w:val="auto"/>
                <w:sz w:val="21"/>
                <w:szCs w:val="21"/>
                <w:highlight w:val="none"/>
                <w:vertAlign w:val="subscript"/>
              </w:rPr>
              <w:t>Cr</w:t>
            </w:r>
            <w:r>
              <w:rPr>
                <w:rFonts w:hint="eastAsia" w:ascii="宋体" w:hAnsi="宋体" w:eastAsia="宋体" w:cs="宋体"/>
                <w:b/>
                <w:color w:val="auto"/>
                <w:sz w:val="21"/>
                <w:szCs w:val="21"/>
                <w:highlight w:val="none"/>
              </w:rPr>
              <w:t>），mg/L</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≥2.5×10</w:t>
            </w:r>
            <w:r>
              <w:rPr>
                <w:rFonts w:hint="eastAsia" w:ascii="宋体" w:hAnsi="宋体" w:eastAsia="宋体" w:cs="宋体"/>
                <w:b/>
                <w:color w:val="auto"/>
                <w:sz w:val="21"/>
                <w:szCs w:val="21"/>
                <w:highlight w:val="none"/>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BOD</w:t>
            </w:r>
            <w:r>
              <w:rPr>
                <w:rFonts w:hint="eastAsia" w:ascii="宋体" w:hAnsi="宋体" w:eastAsia="宋体" w:cs="宋体"/>
                <w:b/>
                <w:color w:val="auto"/>
                <w:sz w:val="21"/>
                <w:szCs w:val="21"/>
                <w:highlight w:val="none"/>
                <w:vertAlign w:val="subscript"/>
              </w:rPr>
              <w:t>5</w:t>
            </w:r>
            <w:r>
              <w:rPr>
                <w:rFonts w:hint="eastAsia" w:ascii="宋体" w:hAnsi="宋体" w:eastAsia="宋体" w:cs="宋体"/>
                <w:b/>
                <w:color w:val="auto"/>
                <w:sz w:val="21"/>
                <w:szCs w:val="21"/>
                <w:highlight w:val="none"/>
              </w:rPr>
              <w:t>/COD</w:t>
            </w:r>
            <w:r>
              <w:rPr>
                <w:rFonts w:hint="eastAsia" w:ascii="宋体" w:hAnsi="宋体" w:eastAsia="宋体" w:cs="宋体"/>
                <w:b/>
                <w:color w:val="auto"/>
                <w:sz w:val="21"/>
                <w:szCs w:val="21"/>
                <w:highlight w:val="none"/>
                <w:vertAlign w:val="subscript"/>
              </w:rPr>
              <w:t>Cr</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pH值</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水不溶物的质量分数，%</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氯化物（Cl）的质量分数，%</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硫酸盐（SO</w:t>
            </w:r>
            <w:r>
              <w:rPr>
                <w:rFonts w:hint="eastAsia" w:ascii="宋体" w:hAnsi="宋体" w:eastAsia="宋体" w:cs="宋体"/>
                <w:b/>
                <w:color w:val="auto"/>
                <w:sz w:val="21"/>
                <w:szCs w:val="21"/>
                <w:highlight w:val="none"/>
                <w:vertAlign w:val="subscript"/>
              </w:rPr>
              <w:t>4</w:t>
            </w:r>
            <w:r>
              <w:rPr>
                <w:rFonts w:hint="eastAsia" w:ascii="宋体" w:hAnsi="宋体" w:eastAsia="宋体" w:cs="宋体"/>
                <w:b/>
                <w:color w:val="auto"/>
                <w:sz w:val="21"/>
                <w:szCs w:val="21"/>
                <w:highlight w:val="none"/>
              </w:rPr>
              <w:t>）的质量分数，%</w:t>
            </w:r>
          </w:p>
        </w:tc>
        <w:tc>
          <w:tcPr>
            <w:tcW w:w="4281" w:type="dxa"/>
            <w:noWrap w:val="0"/>
            <w:vAlign w:val="center"/>
          </w:tcPr>
          <w:p>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≤0.025</w:t>
            </w:r>
          </w:p>
        </w:tc>
      </w:tr>
    </w:tbl>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（3）供货期间，如有发布最新的行业标准或国家标准，招标人有权根据招标人运营项目实际情况及有关行业标准或国家标准对合同的主要技术指标进行变更调整，投标人应无条件接受。</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）投标人的投标产品必须是无安全风险、稳定、各成分无化学反应的产品。</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）投标人的投标产品不得对招标人运营项目活性污泥微生物造成有毒有害影响，不得影响招标人运营项目出水总氮、总磷等指标。</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）投标人所供产品的真实质量，必须满足本用户需求书的所有技术指标。</w:t>
      </w:r>
    </w:p>
    <w:p>
      <w:pPr>
        <w:autoSpaceDE/>
        <w:autoSpaceDN/>
        <w:adjustRightInd/>
        <w:spacing w:line="360" w:lineRule="auto"/>
        <w:ind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）投标人须根据招标人运营项目的情况，提供满足各运营项目正常生产运营的投标产品。</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交货要求</w:t>
      </w:r>
    </w:p>
    <w:p>
      <w:pPr>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自行负责将生产药剂运送至招标人运营项目指定位置（生产药剂储存罐），未经招标人书面同意，</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不得私自将本合同项下的货物运输义务委托第三方个人或企业。</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承担相应的运输、装卸等费用，运输人员应配备足够防护器具。如在运输及装卸过程中，生产药剂发生泄漏，应由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负责清理收集，避免造成人员伤害或环境污染。</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4、每次送货，</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承担。实际供货数量以招标人运营项目和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rPr>
        <w:t>招标人电子地磅的称重服务不含税单价为1.51元/吨，称重服务相关条款由招标人或招标人权属子公司与中标人签订称重服务合同另行约定。</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生产厂家、出厂批号、化学需氧量（COD</w:t>
      </w:r>
      <w:r>
        <w:rPr>
          <w:rFonts w:hint="eastAsia" w:ascii="宋体" w:hAnsi="宋体" w:eastAsia="宋体" w:cs="宋体"/>
          <w:b/>
          <w:bCs/>
          <w:color w:val="auto"/>
          <w:kern w:val="2"/>
          <w:sz w:val="21"/>
          <w:szCs w:val="21"/>
          <w:highlight w:val="none"/>
          <w:vertAlign w:val="subscript"/>
        </w:rPr>
        <w:t>Cr</w:t>
      </w:r>
      <w:r>
        <w:rPr>
          <w:rFonts w:hint="eastAsia" w:ascii="宋体" w:hAnsi="宋体" w:eastAsia="宋体" w:cs="宋体"/>
          <w:b/>
          <w:bCs/>
          <w:color w:val="auto"/>
          <w:kern w:val="2"/>
          <w:sz w:val="21"/>
          <w:szCs w:val="21"/>
          <w:highlight w:val="none"/>
        </w:rPr>
        <w:t>）、pH值、水不溶物、氯化物等主要信息</w:t>
      </w:r>
      <w:r>
        <w:rPr>
          <w:rFonts w:hint="eastAsia" w:ascii="宋体" w:hAnsi="宋体" w:eastAsia="宋体" w:cs="宋体"/>
          <w:color w:val="auto"/>
          <w:kern w:val="2"/>
          <w:sz w:val="21"/>
          <w:szCs w:val="21"/>
          <w:highlight w:val="none"/>
        </w:rPr>
        <w:t>的</w:t>
      </w:r>
      <w:r>
        <w:rPr>
          <w:rFonts w:hint="eastAsia" w:ascii="宋体" w:hAnsi="宋体" w:eastAsia="宋体" w:cs="宋体"/>
          <w:color w:val="auto"/>
          <w:szCs w:val="21"/>
          <w:highlight w:val="none"/>
        </w:rPr>
        <w:t>符合表1《液体复合碳源主要技术指标》要求的</w:t>
      </w:r>
      <w:r>
        <w:rPr>
          <w:rFonts w:hint="eastAsia" w:ascii="宋体" w:hAnsi="宋体" w:eastAsia="宋体" w:cs="宋体"/>
          <w:color w:val="auto"/>
          <w:kern w:val="2"/>
          <w:sz w:val="21"/>
          <w:szCs w:val="21"/>
          <w:highlight w:val="none"/>
        </w:rPr>
        <w:t>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无需为合同履行做准备工作。招标人运营项目相关信息见附件，仅供投标人报价参考。</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7、关于生产药剂的贮存装置、贮存条件等要求，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生产药剂的运送及输送方式应符合国家或行业规范标准。液体药剂采用聚乙烯塑料桶或专用耐酸碱耐腐蚀贮罐等密闭容器装运,运输过程防止药剂泄漏并避免有毒物品的污染，不得与有腐蚀性及强氧化性的物品混装、混运，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或其委托的运输单位应当具备国家及行业规定的运输资质。</w:t>
      </w:r>
    </w:p>
    <w:p>
      <w:pPr>
        <w:numPr>
          <w:ilvl w:val="0"/>
          <w:numId w:val="1"/>
        </w:num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验收要求</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（1）初步验收：</w:t>
      </w:r>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共同验货。招标人运营项目按照本项目合同及招标文件，对货物的数量、品种、随车产品质量检验报告、供货单据等进行核对。</w:t>
      </w:r>
    </w:p>
    <w:p>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双方进行相关签收手续。</w:t>
      </w:r>
    </w:p>
    <w:p>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（2）最终验收</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液体复合碳源主要技术指标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中选择，其中化学需氧量、</w:t>
      </w:r>
      <w:r>
        <w:rPr>
          <w:rFonts w:hint="eastAsia" w:ascii="宋体" w:hAnsi="宋体" w:eastAsia="宋体" w:cs="宋体"/>
          <w:bCs/>
          <w:color w:val="auto"/>
          <w:sz w:val="21"/>
          <w:szCs w:val="21"/>
          <w:highlight w:val="none"/>
        </w:rPr>
        <w:t>BOD</w:t>
      </w:r>
      <w:r>
        <w:rPr>
          <w:rFonts w:hint="eastAsia" w:ascii="宋体" w:hAnsi="宋体" w:eastAsia="宋体" w:cs="宋体"/>
          <w:bCs/>
          <w:color w:val="auto"/>
          <w:sz w:val="21"/>
          <w:szCs w:val="21"/>
          <w:highlight w:val="none"/>
          <w:vertAlign w:val="subscript"/>
        </w:rPr>
        <w:t>5</w:t>
      </w:r>
      <w:r>
        <w:rPr>
          <w:rFonts w:hint="eastAsia" w:ascii="宋体" w:hAnsi="宋体" w:eastAsia="宋体" w:cs="宋体"/>
          <w:bCs/>
          <w:color w:val="auto"/>
          <w:sz w:val="21"/>
          <w:szCs w:val="21"/>
          <w:highlight w:val="none"/>
        </w:rPr>
        <w:t>/COD</w:t>
      </w:r>
      <w:r>
        <w:rPr>
          <w:rFonts w:hint="eastAsia" w:ascii="宋体" w:hAnsi="宋体" w:eastAsia="宋体" w:cs="宋体"/>
          <w:bCs/>
          <w:color w:val="auto"/>
          <w:sz w:val="21"/>
          <w:szCs w:val="21"/>
          <w:highlight w:val="none"/>
          <w:vertAlign w:val="subscript"/>
        </w:rPr>
        <w:t>Cr</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pH为每次供货货物的批检检验指标，其余指标为招标人根据需要抽检的按需检验指标，货物批检检验指标和按需检验指标由招标人根据招标人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实验室检验结果为准。招标人根据需要可委托具有CMA认证资质的第三方检测机构检测，招标人委托的具有CMA认证资质的第三方检测机构的检验结果与招标人运营项目实验室不一致的，该次的供货货物质量判定以招标人委托的具有CMA认证资质的第三方检测机构的检验结果为准。</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2）货物检验方法按《废（污）水处理用复合碳源》（HG/T 5960-2021）中的检测方法进行。供货期间，如有发布最新的行业标准或国家标准，货物检验方法按发布的最新行业标准或国家标准执行。</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3）如供货货物符合表1《液体复合碳源主要技术指标》要求则最终验收合格。</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p>
    <w:p>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仍应在质保期内对产品质量承担保证责任。</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所提供的货物不能通过招标人运营项目验收的，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应按招标人运营项目要求无条件予以退换货，给招标人造成损失的</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须承担全部的赔偿责任。</w:t>
      </w:r>
    </w:p>
    <w:p>
      <w:p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bookmarkStart w:id="14" w:name="OLE_LINK11"/>
      <w:r>
        <w:rPr>
          <w:rFonts w:hint="eastAsia" w:ascii="宋体" w:hAnsi="宋体" w:eastAsia="宋体" w:cs="宋体"/>
          <w:b/>
          <w:color w:val="auto"/>
          <w:sz w:val="21"/>
          <w:szCs w:val="21"/>
          <w:highlight w:val="none"/>
        </w:rPr>
        <w:t>资料要求</w:t>
      </w:r>
      <w:bookmarkEnd w:id="14"/>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需向招标人运营项目提供但不限于下述技术资料：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需将上述资料（若上述资料为复印件的，则须加盖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公章）在交货时交给招标人运营项目，有关资料的收集和整理由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负责，招标人运营项目予以配合。</w:t>
      </w:r>
    </w:p>
    <w:p>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bookmarkStart w:id="15" w:name="OLE_LINK29"/>
      <w:r>
        <w:rPr>
          <w:rFonts w:hint="eastAsia" w:ascii="宋体" w:hAnsi="宋体" w:eastAsia="宋体" w:cs="宋体"/>
          <w:color w:val="auto"/>
          <w:szCs w:val="21"/>
          <w:highlight w:val="none"/>
        </w:rPr>
        <w:t>符合表1《液体复合碳源主要技术指标》要求的</w:t>
      </w:r>
      <w:bookmarkEnd w:id="15"/>
      <w:r>
        <w:rPr>
          <w:rFonts w:hint="eastAsia" w:ascii="宋体" w:hAnsi="宋体" w:eastAsia="宋体" w:cs="宋体"/>
          <w:color w:val="auto"/>
          <w:kern w:val="2"/>
          <w:sz w:val="21"/>
          <w:szCs w:val="21"/>
          <w:highlight w:val="none"/>
        </w:rPr>
        <w:t>检验报告，检验报告上的标徽应包括但不限于CMA认证标徽，</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液体复合碳源主要技术指标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kern w:val="2"/>
          <w:sz w:val="21"/>
          <w:szCs w:val="21"/>
          <w:highlight w:val="none"/>
        </w:rPr>
        <w:t>使用的检测方法需符合《废（污）水处理用复合碳源》（HG/T 5960-2021）</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pPr>
        <w:autoSpaceDE/>
        <w:autoSpaceDN/>
        <w:adjustRightInd/>
        <w:snapToGrid w:val="0"/>
        <w:spacing w:line="360" w:lineRule="auto"/>
        <w:ind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提交的技术资料在出现遗漏或发现错误时，应及时补充或更正后提交招标人运营项目。</w:t>
      </w:r>
    </w:p>
    <w:p>
      <w:p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六、质量保证及售后要求</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1、药剂保质期：</w:t>
      </w:r>
      <w:r>
        <w:rPr>
          <w:rFonts w:hint="eastAsia" w:ascii="宋体" w:hAnsi="宋体" w:eastAsia="宋体" w:cs="宋体"/>
          <w:b/>
          <w:color w:val="auto"/>
          <w:sz w:val="21"/>
          <w:szCs w:val="21"/>
          <w:highlight w:val="none"/>
        </w:rPr>
        <w:t>以货到现场之日算起六个月</w:t>
      </w:r>
      <w:r>
        <w:rPr>
          <w:rFonts w:hint="eastAsia" w:ascii="宋体" w:hAnsi="宋体" w:eastAsia="宋体" w:cs="宋体"/>
          <w:color w:val="auto"/>
          <w:sz w:val="21"/>
          <w:szCs w:val="21"/>
          <w:highlight w:val="none"/>
        </w:rPr>
        <w:t>，保质期内产品质量须达到本用户需求书所有技术指标要求。</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在接到质量问题通知后 4 小时内自费派工程师到达现场对问题进行处理。</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6、在交货或合同履行过程中，若因所交货物（包括但不限于品种、型号、规格、质量）不符合招标人运营项目要求、或货物使用过程中出现质量问题，导致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提供的生产药剂如不能通过招标人运营项目验收的，招标人运营项目可拒绝收货或要求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承担退换货责任。原则上</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按照前述条款进行退换货之时起4小时之内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须承担招标人处置该次不合格货物所需的全部费用，以及给招标人造成的一切损失。</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p>
    <w:p>
      <w:p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七、货物的结算</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按规定提供了履约担保后，招标人通过以下方式以人民币支付合同款项给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1、合同的履约过程中，</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根据本项目合同书约定需向招标人</w:t>
      </w:r>
      <w:bookmarkStart w:id="16" w:name="OLE_LINK27"/>
      <w:r>
        <w:rPr>
          <w:rFonts w:hint="eastAsia" w:ascii="宋体" w:hAnsi="宋体" w:eastAsia="宋体" w:cs="Times New Roman"/>
          <w:b w:val="0"/>
          <w:bCs/>
          <w:color w:val="auto"/>
          <w:szCs w:val="21"/>
          <w:highlight w:val="none"/>
          <w:u w:val="none"/>
          <w:lang w:val="en-US" w:eastAsia="zh-CN"/>
        </w:rPr>
        <w:t>或招标人权属子公司</w:t>
      </w:r>
      <w:bookmarkEnd w:id="16"/>
      <w:r>
        <w:rPr>
          <w:rFonts w:hint="eastAsia" w:ascii="宋体" w:hAnsi="宋体" w:eastAsia="宋体" w:cs="宋体"/>
          <w:color w:val="auto"/>
          <w:sz w:val="21"/>
          <w:szCs w:val="21"/>
          <w:highlight w:val="none"/>
        </w:rPr>
        <w:t>支付违约金、赔偿金、或其他应付费用等款项的，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支付合同价和税额。若因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必须按照扣除前述费用前的合同价（销售额）开具增值税专用发票，保证增值税税额符合法律规定。</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w:t>
      </w:r>
      <w:r>
        <w:rPr>
          <w:rFonts w:hint="eastAsia" w:ascii="宋体" w:hAnsi="宋体" w:eastAsia="宋体" w:cs="宋体"/>
          <w:color w:val="auto"/>
          <w:sz w:val="21"/>
          <w:szCs w:val="21"/>
          <w:highlight w:val="none"/>
          <w:lang w:val="en-US" w:eastAsia="zh-CN"/>
        </w:rPr>
        <w:t>应付</w:t>
      </w:r>
      <w:r>
        <w:rPr>
          <w:rFonts w:hint="eastAsia" w:ascii="宋体" w:hAnsi="宋体" w:eastAsia="宋体" w:cs="宋体"/>
          <w:color w:val="auto"/>
          <w:sz w:val="21"/>
          <w:szCs w:val="21"/>
          <w:highlight w:val="none"/>
        </w:rPr>
        <w:t>货款和该货款对应的税额给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12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17"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17"/>
      <w:r>
        <w:rPr>
          <w:rFonts w:hint="eastAsia" w:ascii="宋体" w:hAnsi="宋体" w:eastAsia="宋体" w:cs="宋体"/>
          <w:color w:val="auto"/>
          <w:sz w:val="21"/>
          <w:szCs w:val="21"/>
          <w:highlight w:val="none"/>
          <w:lang w:val="en-US" w:eastAsia="zh-CN"/>
        </w:rPr>
        <w:t>决定。</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承担全部的赔偿责任。</w:t>
      </w:r>
    </w:p>
    <w:p>
      <w:pPr>
        <w:autoSpaceDE/>
        <w:autoSpaceDN/>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八、其它要求</w:t>
      </w:r>
    </w:p>
    <w:p>
      <w:pPr>
        <w:pStyle w:val="12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1、日常供货（非加急供货）时，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Times New Roman"/>
          <w:b w:val="0"/>
          <w:bCs/>
          <w:color w:val="auto"/>
          <w:szCs w:val="21"/>
          <w:highlight w:val="none"/>
          <w:u w:val="none"/>
          <w:lang w:val="en-US" w:eastAsia="zh-CN"/>
        </w:rPr>
        <w:t>含税应付</w:t>
      </w:r>
      <w:r>
        <w:rPr>
          <w:rFonts w:hint="eastAsia" w:ascii="宋体" w:hAnsi="宋体" w:eastAsia="宋体" w:cs="宋体"/>
          <w:color w:val="auto"/>
          <w:sz w:val="21"/>
          <w:szCs w:val="21"/>
          <w:highlight w:val="none"/>
        </w:rPr>
        <w:t>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2、加急供货时，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额外按该次货物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8" w:name="OLE_LINK6"/>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所交货物经招标人运营项目实验室或招标人委托的第三方检测机构检验累计出现3次（含）</w:t>
      </w:r>
      <w:bookmarkEnd w:id="18"/>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的供货资格，并根据对生产造成影响的严重程度，没收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应根据招标人运营项目工艺以及性质，配合招标人运营项目进行小试、中试，提供符合技术指标的药剂，保证供货的药剂在招标人运营项目良好的使用效果。</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按该次货物</w:t>
      </w:r>
      <w:r>
        <w:rPr>
          <w:rFonts w:hint="eastAsia" w:ascii="宋体" w:hAnsi="宋体" w:eastAsia="宋体" w:cs="宋体"/>
          <w:color w:val="auto"/>
          <w:sz w:val="21"/>
          <w:szCs w:val="21"/>
          <w:highlight w:val="none"/>
          <w:lang w:val="en-US" w:eastAsia="zh-CN"/>
        </w:rPr>
        <w:t>含税应付</w:t>
      </w:r>
      <w:r>
        <w:rPr>
          <w:rFonts w:hint="eastAsia" w:ascii="宋体" w:hAnsi="宋体" w:eastAsia="宋体" w:cs="宋体"/>
          <w:color w:val="auto"/>
          <w:sz w:val="21"/>
          <w:szCs w:val="21"/>
          <w:highlight w:val="none"/>
        </w:rPr>
        <w:t>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的部分或全部履约担保。</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p>
    <w:p>
      <w:pPr>
        <w:pStyle w:val="129"/>
        <w:autoSpaceDE/>
        <w:autoSpaceDN/>
        <w:adjustRightInd/>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检验结果24小时内，书面要求通过</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双方确认的具有检测产品CMA认证资质的第三方单位对留样货物进行检测，最终供货产品质量判定以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双方确认的具有检测产品CMA认证资质的第三方检测机构检验结果为准；因此产生的检测费、运输费等全部费用均由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pPr>
        <w:pStyle w:val="129"/>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应遵照执行。</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自行承担。凡由于货物包装不良、运输方式不当或非法运输造成的事故、损失、行政处罚和由此产生的其他全部费用均由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全部承担。</w:t>
      </w:r>
    </w:p>
    <w:p>
      <w:pPr>
        <w:pStyle w:val="129"/>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pPr>
        <w:pStyle w:val="129"/>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的履约情况进行评价，填写《</w:t>
      </w:r>
      <w:bookmarkStart w:id="19" w:name="OLE_LINK15"/>
      <w:r>
        <w:rPr>
          <w:rFonts w:hint="eastAsia" w:ascii="宋体" w:hAnsi="宋体" w:eastAsia="宋体" w:cs="宋体"/>
          <w:color w:val="auto"/>
          <w:sz w:val="21"/>
          <w:szCs w:val="21"/>
          <w:highlight w:val="none"/>
          <w:lang w:bidi="ar"/>
        </w:rPr>
        <w:t>供应商履约评价表</w:t>
      </w:r>
      <w:bookmarkEnd w:id="19"/>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20" w:name="OLE_LINK30"/>
      <w:r>
        <w:rPr>
          <w:rFonts w:hint="eastAsia" w:ascii="宋体" w:hAnsi="宋体" w:eastAsia="宋体" w:cs="宋体"/>
          <w:color w:val="auto"/>
          <w:sz w:val="21"/>
          <w:szCs w:val="21"/>
          <w:highlight w:val="none"/>
          <w:lang w:val="en-US" w:eastAsia="zh-CN" w:bidi="ar"/>
        </w:rPr>
        <w:t>含税</w:t>
      </w:r>
      <w:bookmarkEnd w:id="20"/>
      <w:r>
        <w:rPr>
          <w:rFonts w:hint="eastAsia" w:ascii="宋体" w:hAnsi="宋体" w:eastAsia="宋体" w:cs="宋体"/>
          <w:color w:val="auto"/>
          <w:sz w:val="21"/>
          <w:szCs w:val="21"/>
          <w:highlight w:val="none"/>
          <w:lang w:val="en-US" w:eastAsia="zh-CN" w:bidi="ar"/>
        </w:rPr>
        <w:t>应付</w:t>
      </w:r>
      <w:r>
        <w:rPr>
          <w:rFonts w:hint="eastAsia" w:ascii="宋体" w:hAnsi="宋体" w:eastAsia="宋体" w:cs="宋体"/>
          <w:color w:val="auto"/>
          <w:sz w:val="21"/>
          <w:szCs w:val="21"/>
          <w:highlight w:val="none"/>
          <w:lang w:bidi="ar"/>
        </w:rPr>
        <w:t>货款的20%向</w:t>
      </w:r>
      <w:bookmarkStart w:id="21"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21"/>
      <w:r>
        <w:rPr>
          <w:rFonts w:hint="eastAsia" w:ascii="宋体" w:hAnsi="宋体" w:eastAsia="宋体" w:cs="宋体"/>
          <w:color w:val="auto"/>
          <w:sz w:val="21"/>
          <w:szCs w:val="21"/>
          <w:highlight w:val="none"/>
          <w:lang w:bidi="ar"/>
        </w:rPr>
        <w:t>支付违约金；考核评分分数低于60分时，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含税应付</w:t>
      </w:r>
      <w:r>
        <w:rPr>
          <w:rFonts w:hint="eastAsia" w:ascii="宋体" w:hAnsi="宋体" w:eastAsia="宋体" w:cs="宋体"/>
          <w:color w:val="auto"/>
          <w:sz w:val="21"/>
          <w:szCs w:val="21"/>
          <w:highlight w:val="none"/>
          <w:lang w:bidi="ar"/>
        </w:rPr>
        <w:t>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的供货资格并单方解除合同、没收</w:t>
      </w:r>
      <w:r>
        <w:rPr>
          <w:rFonts w:hint="eastAsia" w:ascii="宋体" w:hAnsi="宋体" w:eastAsia="宋体" w:cs="宋体"/>
          <w:color w:val="auto"/>
          <w:sz w:val="21"/>
          <w:szCs w:val="21"/>
          <w:highlight w:val="none"/>
          <w:lang w:eastAsia="zh-CN" w:bidi="ar"/>
        </w:rPr>
        <w:t>中标人</w:t>
      </w:r>
      <w:r>
        <w:rPr>
          <w:rFonts w:hint="eastAsia" w:ascii="宋体" w:hAnsi="宋体" w:eastAsia="宋体" w:cs="宋体"/>
          <w:color w:val="auto"/>
          <w:sz w:val="21"/>
          <w:szCs w:val="21"/>
          <w:highlight w:val="none"/>
          <w:lang w:bidi="ar"/>
        </w:rPr>
        <w:t>部分或全部履约担保。</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pageBreakBefore/>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附件</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招标人</w:t>
      </w:r>
      <w:r>
        <w:rPr>
          <w:rFonts w:hint="eastAsia" w:ascii="宋体" w:hAnsi="宋体" w:eastAsia="宋体" w:cs="宋体"/>
          <w:b/>
          <w:color w:val="auto"/>
          <w:sz w:val="21"/>
          <w:szCs w:val="21"/>
          <w:highlight w:val="none"/>
          <w:lang w:val="zh-CN"/>
        </w:rPr>
        <w:t>运营项目</w:t>
      </w:r>
      <w:r>
        <w:rPr>
          <w:rFonts w:hint="eastAsia" w:ascii="宋体" w:hAnsi="宋体" w:eastAsia="宋体" w:cs="宋体"/>
          <w:b/>
          <w:color w:val="auto"/>
          <w:sz w:val="21"/>
          <w:szCs w:val="21"/>
          <w:highlight w:val="none"/>
        </w:rPr>
        <w:t>相关信息</w:t>
      </w:r>
    </w:p>
    <w:tbl>
      <w:tblPr>
        <w:tblStyle w:val="37"/>
        <w:tblW w:w="47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3637"/>
        <w:gridCol w:w="3436"/>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bookmarkStart w:id="29" w:name="_GoBack"/>
            <w:r>
              <w:rPr>
                <w:rFonts w:hint="eastAsia" w:ascii="宋体" w:hAnsi="宋体" w:eastAsia="宋体" w:cs="宋体"/>
                <w:b/>
                <w:bCs/>
                <w:i w:val="0"/>
                <w:iCs w:val="0"/>
                <w:color w:val="auto"/>
                <w:kern w:val="0"/>
                <w:sz w:val="21"/>
                <w:szCs w:val="21"/>
                <w:highlight w:val="none"/>
                <w:u w:val="none"/>
                <w:lang w:val="en-US" w:eastAsia="zh-CN" w:bidi="ar"/>
              </w:rPr>
              <w:t>序号</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bookmarkStart w:id="22" w:name="OLE_LINK2"/>
            <w:r>
              <w:rPr>
                <w:rFonts w:hint="eastAsia" w:ascii="宋体" w:hAnsi="宋体" w:eastAsia="宋体" w:cs="宋体"/>
                <w:b/>
                <w:bCs w:val="0"/>
                <w:color w:val="auto"/>
                <w:kern w:val="2"/>
                <w:sz w:val="21"/>
                <w:szCs w:val="21"/>
                <w:highlight w:val="none"/>
                <w:vertAlign w:val="baseline"/>
                <w:lang w:val="en-US" w:eastAsia="zh-CN"/>
              </w:rPr>
              <w:t>预计年送货量（吨</w:t>
            </w:r>
            <w:r>
              <w:rPr>
                <w:rFonts w:hint="eastAsia" w:ascii="宋体" w:hAnsi="宋体" w:eastAsia="宋体" w:cs="宋体"/>
                <w:b/>
                <w:bCs/>
                <w:color w:val="auto"/>
                <w:kern w:val="0"/>
                <w:sz w:val="21"/>
                <w:szCs w:val="21"/>
                <w:vertAlign w:val="baseline"/>
                <w:lang w:val="en-US" w:eastAsia="zh-CN" w:bidi="ar"/>
              </w:rPr>
              <w:t>）</w:t>
            </w:r>
            <w:bookmarkEnd w:id="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万江污水处理厂二期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东莞市万江区流涌尾村大兴工业路3号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258.967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中堂镇东向村滨河东路68号101室</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东莞市高埗镇高埗洲头路13号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1278.123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东莞市长安镇乌沙社区兴发南路尽头</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东莞市厚街镇沙塘村沙隆路39号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虎门镇南栅社区民昌路第六工业区九巷5号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342.039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沙田福禄沙污水处理厂二期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东莞市沙田镇洲仔路1号2栋101室</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大岭山连马污水处理厂二期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东莞市大岭山镇连马路159号102室</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1167.074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东城温塘污水处理厂</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东莞市东城街道创盈路东城段86号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东城温塘污水处理厂二期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东莞市东城街道创盈路东城段86号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黄江污水处理厂二期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东莞市黄江镇合路村创业一路一号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289.572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大朗松山湖南部污水处理厂二期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东莞市大朗镇沙步村杨沙路153号十三栋101室</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948.191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常平东污水处理厂二期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东莞市常平镇沙湖口村污水处理厂二期</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306.481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常平西污水处理厂二期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东莞市常平镇常平沿河东一路20号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横沥东坑污水处理厂二期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东莞市横沥镇石涌恒富路1号1号楼101室</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545.359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桥头污水处理厂二期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东莞市桥头镇东深路桥头段6号2号楼</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谢岗污水处理厂二期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东莞市谢岗镇禾尚岗路16号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塘厦林村污水处理厂二期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塘厦镇林村村委会鸡爪桥猪仔沥</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樟木头镇柏地社区柏峰路169号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387.667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樟木头裕丰</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东莞市樟木头镇裕丰社区莞樟东路西侧</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塘厦白泥湖水质净化厂改造工程</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东莞市塘厦镇塘厦南一横路21号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东莞市清溪镇江背路33号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535.205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Cs w:val="21"/>
                <w:highlight w:val="none"/>
                <w:u w:val="none"/>
                <w:lang w:bidi="ar"/>
              </w:rPr>
              <w:t>松山湖工业改造项目</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东莞市松山湖阿里山路12号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黄江梅塘污水处理厂</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广东省东莞市黄江镇星光村附件</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1064.402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石碣沙腰污水处理厂二期提标</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72.390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市区污水处理厂提标工程</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东莞市南城街道滨河路100号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9226.600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清溪厦坭污水处理厂一期提标工程</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东莞市清溪镇厦坭村江背路75号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2003.333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三、分散式及一体化项目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u w:val="none"/>
                <w:lang w:bidi="ar"/>
              </w:rPr>
              <w:t>东莞市中堂镇江南分散式污水处理站</w:t>
            </w:r>
          </w:p>
        </w:tc>
        <w:tc>
          <w:tcPr>
            <w:tcW w:w="17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397.142 </w:t>
            </w:r>
          </w:p>
        </w:tc>
      </w:tr>
      <w:bookmarkEnd w:id="29"/>
    </w:tbl>
    <w:p>
      <w:pPr>
        <w:widowControl/>
        <w:autoSpaceDE/>
        <w:autoSpaceDN/>
        <w:adjustRightInd/>
        <w:spacing w:line="360" w:lineRule="auto"/>
        <w:ind w:left="0" w:leftChars="0" w:firstLine="0" w:firstLineChars="0"/>
        <w:jc w:val="left"/>
        <w:rPr>
          <w:rFonts w:hint="eastAsia" w:ascii="宋体" w:hAnsi="宋体" w:eastAsia="宋体" w:cs="宋体"/>
          <w:b/>
          <w:bCs/>
          <w:color w:val="auto"/>
          <w:sz w:val="21"/>
          <w:szCs w:val="21"/>
          <w:highlight w:val="none"/>
        </w:rPr>
        <w:sectPr>
          <w:headerReference r:id="rId5" w:type="first"/>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bCs/>
          <w:color w:val="auto"/>
          <w:sz w:val="21"/>
          <w:szCs w:val="21"/>
          <w:highlight w:val="none"/>
        </w:rPr>
        <w:t>备注：</w:t>
      </w:r>
      <w:r>
        <w:rPr>
          <w:rFonts w:hint="eastAsia" w:ascii="宋体" w:hAnsi="宋体" w:eastAsia="宋体" w:cs="宋体"/>
          <w:b/>
          <w:color w:val="auto"/>
          <w:kern w:val="2"/>
          <w:sz w:val="21"/>
          <w:szCs w:val="21"/>
          <w:highlight w:val="none"/>
        </w:rPr>
        <w:t>以上</w:t>
      </w:r>
      <w:r>
        <w:rPr>
          <w:rFonts w:hint="eastAsia" w:ascii="宋体" w:hAnsi="宋体" w:eastAsia="宋体" w:cs="宋体"/>
          <w:b/>
          <w:color w:val="auto"/>
          <w:kern w:val="2"/>
          <w:sz w:val="21"/>
          <w:szCs w:val="21"/>
          <w:highlight w:val="none"/>
          <w:lang w:val="en-US" w:eastAsia="zh-CN"/>
        </w:rPr>
        <w:t>运营项目为暂定，</w:t>
      </w:r>
      <w:r>
        <w:rPr>
          <w:rFonts w:hint="eastAsia" w:ascii="宋体" w:hAnsi="宋体" w:eastAsia="宋体" w:cs="宋体"/>
          <w:b/>
          <w:bCs/>
          <w:color w:val="auto"/>
          <w:sz w:val="21"/>
          <w:szCs w:val="21"/>
          <w:highlight w:val="none"/>
        </w:rPr>
        <w:t>具体情况以实际为准，如有疑问可实地考察。</w:t>
      </w:r>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2"/>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37"/>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Cs/>
                <w:color w:val="000000"/>
                <w:sz w:val="24"/>
              </w:rPr>
            </w:pPr>
            <w:r>
              <w:rPr>
                <w:rFonts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jc w:val="center"/>
              <w:rPr>
                <w:b/>
                <w:bCs/>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验收单位：</w:t>
            </w:r>
          </w:p>
          <w:p>
            <w:pPr>
              <w:widowControl/>
              <w:ind w:firstLine="0" w:firstLineChars="0"/>
              <w:jc w:val="left"/>
              <w:textAlignment w:val="center"/>
              <w:rPr>
                <w:rFonts w:hint="eastAsia" w:ascii="宋体" w:hAnsi="宋体" w:eastAsia="宋体" w:cs="宋体"/>
                <w:b/>
                <w:bCs w:val="0"/>
                <w:color w:val="000000"/>
                <w:sz w:val="21"/>
                <w:szCs w:val="21"/>
              </w:rPr>
            </w:pPr>
          </w:p>
          <w:p>
            <w:pPr>
              <w:widowControl/>
              <w:ind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生产主管（签名）：</w:t>
            </w:r>
          </w:p>
          <w:p>
            <w:pPr>
              <w:widowControl/>
              <w:ind w:firstLine="0" w:firstLineChars="0"/>
              <w:jc w:val="left"/>
              <w:textAlignment w:val="center"/>
              <w:rPr>
                <w:rFonts w:hint="eastAsia" w:ascii="宋体" w:hAnsi="宋体" w:eastAsia="宋体" w:cs="宋体"/>
                <w:b/>
                <w:bCs w:val="0"/>
                <w:color w:val="000000"/>
                <w:sz w:val="21"/>
                <w:szCs w:val="21"/>
              </w:rPr>
            </w:pPr>
          </w:p>
          <w:p>
            <w:pPr>
              <w:widowControl/>
              <w:jc w:val="left"/>
              <w:textAlignment w:val="center"/>
              <w:rPr>
                <w:b/>
                <w:bCs/>
              </w:rPr>
            </w:pPr>
            <w:r>
              <w:rPr>
                <w:rFonts w:hint="eastAsia" w:ascii="宋体" w:hAnsi="宋体" w:eastAsia="宋体" w:cs="宋体"/>
                <w:b/>
                <w:color w:val="000000"/>
                <w:sz w:val="21"/>
                <w:szCs w:val="21"/>
              </w:rPr>
              <w:t xml:space="preserve">  </w:t>
            </w:r>
            <w:r>
              <w:rPr>
                <w:rFonts w:hint="eastAsia" w:ascii="宋体" w:hAnsi="宋体" w:eastAsia="宋体" w:cs="宋体"/>
                <w:b/>
                <w:bCs w:val="0"/>
                <w:color w:val="000000"/>
                <w:sz w:val="21"/>
                <w:szCs w:val="21"/>
              </w:rPr>
              <w:t xml:space="preserve">单位负责人（签名）： </w:t>
            </w:r>
          </w:p>
        </w:tc>
        <w:tc>
          <w:tcPr>
            <w:tcW w:w="4720" w:type="dxa"/>
            <w:gridSpan w:val="4"/>
            <w:shd w:val="clear" w:color="auto" w:fill="auto"/>
            <w:noWrap/>
            <w:tcMar>
              <w:top w:w="15" w:type="dxa"/>
              <w:left w:w="15" w:type="dxa"/>
              <w:right w:w="15" w:type="dxa"/>
            </w:tcMar>
          </w:tcPr>
          <w:p>
            <w:pPr>
              <w:jc w:val="center"/>
              <w:rPr>
                <w:b/>
                <w:bCs/>
              </w:rPr>
            </w:pPr>
          </w:p>
          <w:p>
            <w:pPr>
              <w:ind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pStyle w:val="2"/>
              <w:rPr>
                <w:rFonts w:hint="eastAsia" w:ascii="宋体" w:hAnsi="宋体" w:eastAsia="宋体" w:cs="宋体"/>
                <w:b/>
                <w:bCs w:val="0"/>
                <w:color w:val="000000"/>
                <w:szCs w:val="21"/>
              </w:rPr>
            </w:pPr>
          </w:p>
          <w:p>
            <w:pPr>
              <w:ind w:firstLine="211" w:firstLineChars="100"/>
            </w:pPr>
            <w:r>
              <w:rPr>
                <w:rFonts w:hint="eastAsia" w:ascii="宋体" w:hAnsi="宋体" w:eastAsia="宋体" w:cs="宋体"/>
                <w:b/>
                <w:bCs w:val="0"/>
                <w:color w:val="000000"/>
                <w:sz w:val="21"/>
                <w:szCs w:val="21"/>
                <w:lang w:val="en-US" w:eastAsia="zh-CN"/>
              </w:rPr>
              <w:t>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ind w:firstLine="422" w:firstLineChars="200"/>
              <w:rPr>
                <w:rFonts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836"/>
        <w:gridCol w:w="4"/>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widowControl/>
              <w:snapToGrid w:val="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widowControl/>
              <w:snapToGrid w:val="0"/>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widowControl/>
              <w:snapToGrid w:val="0"/>
              <w:jc w:val="center"/>
              <w:rPr>
                <w:rFonts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widowControl/>
              <w:snapToGrid w:val="0"/>
              <w:jc w:val="center"/>
              <w:rPr>
                <w:rFonts w:hint="eastAsia" w:ascii="宋体" w:hAnsi="宋体" w:eastAsia="宋体"/>
                <w:bCs/>
                <w:highlight w:val="none"/>
              </w:rPr>
            </w:pPr>
            <w:r>
              <w:rPr>
                <w:rFonts w:hint="eastAsia" w:ascii="宋体" w:hAnsi="宋体" w:eastAsia="宋体"/>
                <w:bCs/>
                <w:highlight w:val="none"/>
                <w:lang w:val="en-US" w:eastAsia="zh-CN"/>
              </w:rPr>
              <w:t>交货地点</w:t>
            </w:r>
          </w:p>
        </w:tc>
        <w:tc>
          <w:tcPr>
            <w:tcW w:w="7821" w:type="dxa"/>
            <w:gridSpan w:val="6"/>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序号</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履约评价项目</w:t>
            </w:r>
          </w:p>
        </w:tc>
        <w:tc>
          <w:tcPr>
            <w:tcW w:w="3836"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评价标准</w:t>
            </w:r>
          </w:p>
        </w:tc>
        <w:tc>
          <w:tcPr>
            <w:tcW w:w="1828"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评分说明</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分值</w:t>
            </w:r>
          </w:p>
        </w:tc>
        <w:tc>
          <w:tcPr>
            <w:tcW w:w="70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实得分</w:t>
            </w:r>
          </w:p>
        </w:tc>
        <w:tc>
          <w:tcPr>
            <w:tcW w:w="719" w:type="dxa"/>
            <w:vAlign w:val="center"/>
          </w:tcPr>
          <w:p>
            <w:pPr>
              <w:widowControl/>
              <w:rPr>
                <w:rFonts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质量</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（1）货物未出现全部拒收或换货等质量问题；</w:t>
            </w:r>
          </w:p>
          <w:p>
            <w:pPr>
              <w:widowControl/>
              <w:snapToGrid w:val="0"/>
              <w:rPr>
                <w:rFonts w:ascii="宋体" w:hAnsi="宋体" w:eastAsia="宋体"/>
                <w:bCs/>
                <w:highlight w:val="none"/>
              </w:rPr>
            </w:pPr>
            <w:r>
              <w:rPr>
                <w:rFonts w:hint="eastAsia" w:ascii="宋体" w:hAnsi="宋体" w:eastAsia="宋体"/>
                <w:bCs/>
                <w:highlight w:val="none"/>
              </w:rPr>
              <w:t>（2）货物主要技术指标符合合同规定；</w:t>
            </w:r>
          </w:p>
          <w:p>
            <w:pPr>
              <w:widowControl/>
              <w:snapToGrid w:val="0"/>
              <w:rPr>
                <w:rFonts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28"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2</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包装、运输</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widowControl/>
              <w:snapToGrid w:val="0"/>
              <w:rPr>
                <w:rFonts w:ascii="宋体" w:hAnsi="宋体" w:eastAsia="宋体"/>
                <w:bCs/>
                <w:highlight w:val="none"/>
              </w:rPr>
            </w:pPr>
            <w:r>
              <w:rPr>
                <w:rFonts w:hint="eastAsia" w:ascii="宋体" w:hAnsi="宋体" w:eastAsia="宋体"/>
                <w:bCs/>
                <w:highlight w:val="none"/>
              </w:rPr>
              <w:t>（1）影响货物输送或储存质量；</w:t>
            </w:r>
          </w:p>
          <w:p>
            <w:pPr>
              <w:widowControl/>
              <w:snapToGrid w:val="0"/>
              <w:rPr>
                <w:rFonts w:ascii="宋体" w:hAnsi="宋体" w:eastAsia="宋体"/>
                <w:bCs/>
                <w:highlight w:val="none"/>
              </w:rPr>
            </w:pPr>
            <w:r>
              <w:rPr>
                <w:rFonts w:hint="eastAsia" w:ascii="宋体" w:hAnsi="宋体" w:eastAsia="宋体"/>
                <w:bCs/>
                <w:highlight w:val="none"/>
              </w:rPr>
              <w:t>（2）货物质量下降；</w:t>
            </w:r>
          </w:p>
          <w:p>
            <w:pPr>
              <w:widowControl/>
              <w:snapToGrid w:val="0"/>
              <w:rPr>
                <w:rFonts w:ascii="宋体" w:hAnsi="宋体" w:eastAsia="宋体"/>
                <w:bCs/>
                <w:highlight w:val="none"/>
              </w:rPr>
            </w:pPr>
            <w:r>
              <w:rPr>
                <w:rFonts w:hint="eastAsia" w:ascii="宋体" w:hAnsi="宋体" w:eastAsia="宋体"/>
                <w:bCs/>
                <w:highlight w:val="none"/>
              </w:rPr>
              <w:t>（3）货物泄漏导致供货量不足；</w:t>
            </w:r>
          </w:p>
          <w:p>
            <w:pPr>
              <w:widowControl/>
              <w:snapToGrid w:val="0"/>
              <w:rPr>
                <w:rFonts w:ascii="宋体" w:hAnsi="宋体" w:eastAsia="宋体"/>
                <w:bCs/>
                <w:highlight w:val="none"/>
              </w:rPr>
            </w:pPr>
            <w:r>
              <w:rPr>
                <w:rFonts w:hint="eastAsia" w:ascii="宋体" w:hAnsi="宋体" w:eastAsia="宋体"/>
                <w:bCs/>
                <w:highlight w:val="none"/>
              </w:rPr>
              <w:t>（4）造成环境污染。</w:t>
            </w:r>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3</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货物交付</w:t>
            </w:r>
          </w:p>
        </w:tc>
        <w:tc>
          <w:tcPr>
            <w:tcW w:w="3836" w:type="dxa"/>
            <w:vAlign w:val="center"/>
          </w:tcPr>
          <w:p>
            <w:pPr>
              <w:widowControl/>
              <w:rPr>
                <w:rFonts w:ascii="宋体" w:hAnsi="宋体" w:eastAsia="宋体"/>
                <w:bCs/>
                <w:highlight w:val="none"/>
              </w:rPr>
            </w:pPr>
            <w:r>
              <w:rPr>
                <w:rFonts w:hint="eastAsia" w:ascii="宋体" w:hAnsi="宋体" w:eastAsia="宋体"/>
                <w:bCs/>
                <w:highlight w:val="none"/>
              </w:rPr>
              <w:t>（1）按合同要求的期限供货（包括加急供货）；</w:t>
            </w:r>
          </w:p>
          <w:p>
            <w:pPr>
              <w:widowControl/>
              <w:rPr>
                <w:rFonts w:ascii="宋体" w:hAnsi="宋体" w:eastAsia="宋体"/>
                <w:bCs/>
                <w:highlight w:val="none"/>
              </w:rPr>
            </w:pPr>
            <w:r>
              <w:rPr>
                <w:rFonts w:hint="eastAsia" w:ascii="宋体" w:hAnsi="宋体" w:eastAsia="宋体"/>
                <w:bCs/>
                <w:highlight w:val="none"/>
              </w:rPr>
              <w:t>（2）每次供货配合提供电子地磅称重单；</w:t>
            </w:r>
          </w:p>
          <w:p>
            <w:pPr>
              <w:rPr>
                <w:rFonts w:ascii="宋体" w:hAnsi="宋体" w:eastAsia="宋体"/>
                <w:bCs/>
                <w:highlight w:val="none"/>
              </w:rPr>
            </w:pPr>
            <w:r>
              <w:rPr>
                <w:rFonts w:hint="eastAsia" w:ascii="宋体" w:hAnsi="宋体" w:eastAsia="宋体"/>
                <w:bCs/>
                <w:highlight w:val="none"/>
              </w:rPr>
              <w:t>（3）每次供货配合提供出厂检验报告或质量合格证等技术资料；</w:t>
            </w:r>
          </w:p>
          <w:p>
            <w:pPr>
              <w:widowControl/>
              <w:rPr>
                <w:rFonts w:ascii="宋体" w:hAnsi="宋体" w:eastAsia="宋体"/>
                <w:bCs/>
                <w:highlight w:val="none"/>
              </w:rPr>
            </w:pPr>
            <w:r>
              <w:rPr>
                <w:rFonts w:hint="eastAsia" w:ascii="宋体" w:hAnsi="宋体" w:eastAsia="宋体"/>
                <w:bCs/>
                <w:highlight w:val="none"/>
              </w:rPr>
              <w:t>（4）交付人员专业性强，工作效率高，熟悉交付操作流程；</w:t>
            </w:r>
          </w:p>
          <w:p>
            <w:pPr>
              <w:widowControl/>
              <w:rPr>
                <w:rFonts w:ascii="宋体" w:hAnsi="宋体" w:eastAsia="宋体"/>
                <w:bCs/>
                <w:highlight w:val="none"/>
              </w:rPr>
            </w:pPr>
            <w:r>
              <w:rPr>
                <w:rFonts w:hint="eastAsia" w:ascii="宋体" w:hAnsi="宋体" w:eastAsia="宋体"/>
                <w:bCs/>
                <w:highlight w:val="none"/>
              </w:rPr>
              <w:t>（5）未出现因库存、运力不足等原因影响供货量的情况。</w:t>
            </w:r>
          </w:p>
        </w:tc>
        <w:tc>
          <w:tcPr>
            <w:tcW w:w="1828"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4</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验收</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（1）及时提供货物的各项技术资料，技术资料齐全、规范；</w:t>
            </w:r>
          </w:p>
          <w:p>
            <w:pPr>
              <w:widowControl/>
              <w:snapToGrid w:val="0"/>
              <w:rPr>
                <w:rFonts w:ascii="宋体" w:hAnsi="宋体" w:eastAsia="宋体"/>
                <w:bCs/>
                <w:highlight w:val="none"/>
              </w:rPr>
            </w:pPr>
            <w:r>
              <w:rPr>
                <w:rFonts w:hint="eastAsia" w:ascii="宋体" w:hAnsi="宋体" w:eastAsia="宋体"/>
                <w:bCs/>
                <w:highlight w:val="none"/>
              </w:rPr>
              <w:t>（2）未出现因对检测结果存在异议而影响供货的情况；</w:t>
            </w:r>
          </w:p>
          <w:p>
            <w:pPr>
              <w:widowControl/>
              <w:snapToGrid w:val="0"/>
              <w:rPr>
                <w:rFonts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widowControl/>
              <w:snapToGrid w:val="0"/>
              <w:jc w:val="center"/>
              <w:rPr>
                <w:rFonts w:ascii="宋体" w:hAnsi="宋体" w:eastAsia="宋体"/>
                <w:highlight w:val="none"/>
              </w:rPr>
            </w:pPr>
            <w:r>
              <w:rPr>
                <w:rFonts w:hint="eastAsia" w:ascii="宋体" w:hAnsi="宋体" w:eastAsia="宋体"/>
                <w:highlight w:val="none"/>
              </w:rPr>
              <w:t>20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5</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安全</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widowControl/>
              <w:snapToGrid w:val="0"/>
              <w:rPr>
                <w:rFonts w:ascii="宋体" w:hAnsi="宋体" w:eastAsia="宋体"/>
                <w:bCs/>
                <w:highlight w:val="none"/>
              </w:rPr>
            </w:pPr>
            <w:r>
              <w:rPr>
                <w:rFonts w:hint="eastAsia" w:ascii="宋体" w:hAnsi="宋体" w:eastAsia="宋体"/>
                <w:bCs/>
                <w:highlight w:val="none"/>
              </w:rPr>
              <w:t>（2）未出现超载或非法运输等情况；</w:t>
            </w:r>
          </w:p>
          <w:p>
            <w:pPr>
              <w:widowControl/>
              <w:snapToGrid w:val="0"/>
              <w:rPr>
                <w:rFonts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outlineLvl w:val="2"/>
              <w:rPr>
                <w:rFonts w:ascii="宋体" w:hAnsi="宋体" w:eastAsia="宋体"/>
                <w:highlight w:val="none"/>
              </w:rPr>
            </w:pPr>
            <w:bookmarkStart w:id="23" w:name="_Toc146625412"/>
            <w:bookmarkStart w:id="24" w:name="_Toc174612491"/>
            <w:bookmarkStart w:id="25" w:name="_Toc95729751"/>
            <w:r>
              <w:rPr>
                <w:rFonts w:hint="eastAsia" w:ascii="宋体" w:hAnsi="宋体" w:eastAsia="宋体"/>
                <w:bCs/>
                <w:highlight w:val="none"/>
              </w:rPr>
              <w:t>（4）未出现卸货安全事故。</w:t>
            </w:r>
            <w:bookmarkEnd w:id="23"/>
            <w:bookmarkEnd w:id="24"/>
            <w:bookmarkEnd w:id="25"/>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15</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6</w:t>
            </w:r>
          </w:p>
        </w:tc>
        <w:tc>
          <w:tcPr>
            <w:tcW w:w="1735"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售后服务</w:t>
            </w:r>
          </w:p>
        </w:tc>
        <w:tc>
          <w:tcPr>
            <w:tcW w:w="3836" w:type="dxa"/>
            <w:vAlign w:val="center"/>
          </w:tcPr>
          <w:p>
            <w:pPr>
              <w:widowControl/>
              <w:snapToGrid w:val="0"/>
              <w:rPr>
                <w:rFonts w:ascii="宋体" w:hAnsi="宋体" w:eastAsia="宋体"/>
                <w:bCs/>
                <w:highlight w:val="none"/>
              </w:rPr>
            </w:pPr>
            <w:r>
              <w:rPr>
                <w:rFonts w:hint="eastAsia" w:ascii="宋体" w:hAnsi="宋体" w:eastAsia="宋体"/>
                <w:bCs/>
                <w:highlight w:val="none"/>
              </w:rPr>
              <w:t>（1）人员：</w:t>
            </w:r>
          </w:p>
          <w:p>
            <w:pPr>
              <w:widowControl/>
              <w:snapToGrid w:val="0"/>
              <w:rPr>
                <w:rFonts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widowControl/>
              <w:snapToGrid w:val="0"/>
              <w:rPr>
                <w:rFonts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widowControl/>
              <w:snapToGrid w:val="0"/>
              <w:rPr>
                <w:rFonts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widowControl/>
              <w:snapToGrid w:val="0"/>
              <w:rPr>
                <w:rFonts w:ascii="宋体" w:hAnsi="宋体" w:eastAsia="宋体"/>
                <w:bCs/>
                <w:highlight w:val="none"/>
              </w:rPr>
            </w:pPr>
            <w:r>
              <w:rPr>
                <w:rFonts w:hint="eastAsia" w:ascii="宋体" w:hAnsi="宋体" w:eastAsia="宋体"/>
                <w:bCs/>
                <w:highlight w:val="none"/>
              </w:rPr>
              <w:t>（2）配合：</w:t>
            </w:r>
          </w:p>
          <w:p>
            <w:pPr>
              <w:widowControl/>
              <w:snapToGrid w:val="0"/>
              <w:rPr>
                <w:rFonts w:ascii="宋体" w:hAnsi="宋体" w:eastAsia="宋体"/>
                <w:bCs/>
                <w:highlight w:val="none"/>
              </w:rPr>
            </w:pPr>
            <w:r>
              <w:rPr>
                <w:rFonts w:hint="eastAsia" w:ascii="宋体" w:hAnsi="宋体" w:eastAsia="宋体"/>
                <w:bCs/>
                <w:highlight w:val="none"/>
              </w:rPr>
              <w:t>①售后服务流程完善，跟踪到位，响应速度快；</w:t>
            </w:r>
          </w:p>
          <w:p>
            <w:pPr>
              <w:widowControl/>
              <w:snapToGrid w:val="0"/>
              <w:rPr>
                <w:rFonts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widowControl/>
              <w:snapToGrid w:val="0"/>
              <w:rPr>
                <w:rFonts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widowControl/>
              <w:snapToGrid w:val="0"/>
              <w:rPr>
                <w:rFonts w:ascii="宋体" w:hAnsi="宋体" w:eastAsia="宋体"/>
                <w:bCs/>
                <w:highlight w:val="none"/>
              </w:rPr>
            </w:pPr>
            <w:r>
              <w:rPr>
                <w:rFonts w:hint="eastAsia" w:ascii="宋体" w:hAnsi="宋体" w:eastAsia="宋体"/>
                <w:bCs/>
                <w:highlight w:val="none"/>
              </w:rPr>
              <w:t>④能根据甲方要求提供专业培训。</w:t>
            </w:r>
          </w:p>
          <w:p>
            <w:pPr>
              <w:outlineLvl w:val="2"/>
              <w:rPr>
                <w:rFonts w:ascii="宋体" w:hAnsi="宋体" w:eastAsia="宋体"/>
                <w:highlight w:val="none"/>
              </w:rPr>
            </w:pPr>
            <w:bookmarkStart w:id="26" w:name="_Toc174612492"/>
            <w:bookmarkStart w:id="27" w:name="_Toc95729752"/>
            <w:bookmarkStart w:id="28" w:name="_Toc146625413"/>
            <w:r>
              <w:rPr>
                <w:rFonts w:hint="eastAsia" w:ascii="宋体" w:hAnsi="宋体" w:eastAsia="宋体"/>
                <w:bCs/>
                <w:highlight w:val="none"/>
              </w:rPr>
              <w:t>⑤高效处理退换货工作、态度良好。</w:t>
            </w:r>
            <w:bookmarkEnd w:id="26"/>
            <w:bookmarkEnd w:id="27"/>
            <w:bookmarkEnd w:id="28"/>
          </w:p>
        </w:tc>
        <w:tc>
          <w:tcPr>
            <w:tcW w:w="1828"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widowControl/>
              <w:snapToGrid w:val="0"/>
              <w:jc w:val="center"/>
              <w:rPr>
                <w:rFonts w:ascii="宋体" w:hAnsi="宋体" w:eastAsia="宋体"/>
                <w:bCs/>
                <w:highlight w:val="none"/>
              </w:rPr>
            </w:pPr>
            <w:r>
              <w:rPr>
                <w:rFonts w:hint="eastAsia" w:ascii="宋体" w:hAnsi="宋体" w:eastAsia="宋体"/>
                <w:bCs/>
                <w:highlight w:val="none"/>
              </w:rPr>
              <w:t>合计</w:t>
            </w:r>
          </w:p>
        </w:tc>
        <w:tc>
          <w:tcPr>
            <w:tcW w:w="733" w:type="dxa"/>
            <w:vAlign w:val="center"/>
          </w:tcPr>
          <w:p>
            <w:pPr>
              <w:widowControl/>
              <w:snapToGrid w:val="0"/>
              <w:jc w:val="center"/>
              <w:rPr>
                <w:rFonts w:ascii="宋体" w:hAnsi="宋体" w:eastAsia="宋体"/>
                <w:bCs/>
                <w:highlight w:val="none"/>
              </w:rPr>
            </w:pPr>
            <w:r>
              <w:rPr>
                <w:rFonts w:hint="eastAsia" w:ascii="宋体" w:hAnsi="宋体" w:eastAsia="宋体"/>
                <w:bCs/>
                <w:highlight w:val="none"/>
              </w:rPr>
              <w:t>1</w:t>
            </w:r>
            <w:r>
              <w:rPr>
                <w:rFonts w:ascii="宋体" w:hAnsi="宋体" w:eastAsia="宋体"/>
                <w:bCs/>
                <w:highlight w:val="none"/>
              </w:rPr>
              <w:t>00</w:t>
            </w:r>
          </w:p>
        </w:tc>
        <w:tc>
          <w:tcPr>
            <w:tcW w:w="705" w:type="dxa"/>
            <w:vAlign w:val="center"/>
          </w:tcPr>
          <w:p>
            <w:pPr>
              <w:widowControl/>
              <w:snapToGrid w:val="0"/>
              <w:jc w:val="center"/>
              <w:rPr>
                <w:rFonts w:ascii="宋体" w:hAnsi="宋体" w:eastAsia="宋体"/>
                <w:bCs/>
                <w:highlight w:val="none"/>
              </w:rPr>
            </w:pPr>
          </w:p>
        </w:tc>
        <w:tc>
          <w:tcPr>
            <w:tcW w:w="719" w:type="dxa"/>
            <w:vAlign w:val="center"/>
          </w:tcPr>
          <w:p>
            <w:pPr>
              <w:widowControl/>
              <w:snapToGrid w:val="0"/>
              <w:jc w:val="center"/>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widowControl/>
              <w:snapToGrid w:val="0"/>
              <w:jc w:val="center"/>
              <w:rPr>
                <w:rFonts w:ascii="宋体" w:hAnsi="宋体" w:eastAsia="宋体"/>
                <w:bCs/>
                <w:highlight w:val="none"/>
              </w:rPr>
            </w:pPr>
            <w:r>
              <w:rPr>
                <w:rFonts w:hint="eastAsia" w:ascii="宋体" w:hAnsi="宋体" w:eastAsia="宋体"/>
                <w:bCs/>
                <w:highlight w:val="none"/>
              </w:rPr>
              <w:t>评审结论</w:t>
            </w:r>
          </w:p>
        </w:tc>
        <w:tc>
          <w:tcPr>
            <w:tcW w:w="7821" w:type="dxa"/>
            <w:gridSpan w:val="6"/>
          </w:tcPr>
          <w:p>
            <w:pPr>
              <w:widowControl/>
              <w:snapToGrid w:val="0"/>
              <w:rPr>
                <w:rFonts w:ascii="宋体" w:hAnsi="宋体" w:eastAsia="宋体"/>
                <w:bCs/>
                <w:highlight w:val="none"/>
              </w:rPr>
            </w:pPr>
            <w:r>
              <w:rPr>
                <w:rFonts w:hint="eastAsia" w:ascii="宋体" w:hAnsi="宋体" w:eastAsia="宋体"/>
                <w:bCs/>
                <w:highlight w:val="none"/>
              </w:rPr>
              <w:t>□合计分值不低于</w:t>
            </w:r>
            <w:r>
              <w:rPr>
                <w:rFonts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widowControl/>
              <w:snapToGrid w:val="0"/>
              <w:jc w:val="center"/>
              <w:rPr>
                <w:rFonts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widowControl/>
              <w:snapToGrid w:val="0"/>
              <w:rPr>
                <w:rFonts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widowControl/>
              <w:snapToGrid w:val="0"/>
              <w:rPr>
                <w:rFonts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widowControl/>
              <w:snapToGrid w:val="0"/>
              <w:rPr>
                <w:rFonts w:ascii="宋体" w:hAnsi="宋体" w:eastAsia="宋体"/>
                <w:bCs/>
                <w:highlight w:val="none"/>
              </w:rPr>
            </w:pPr>
          </w:p>
        </w:tc>
        <w:tc>
          <w:tcPr>
            <w:tcW w:w="3840" w:type="dxa"/>
            <w:gridSpan w:val="2"/>
            <w:vAlign w:val="center"/>
          </w:tcPr>
          <w:p>
            <w:pPr>
              <w:widowControl/>
              <w:snapToGrid w:val="0"/>
              <w:rPr>
                <w:rFonts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widowControl/>
              <w:snapToGrid w:val="0"/>
              <w:rPr>
                <w:rFonts w:ascii="宋体" w:hAnsi="宋体" w:eastAsia="宋体"/>
                <w:bCs/>
                <w:highlight w:val="none"/>
              </w:rPr>
            </w:pPr>
          </w:p>
        </w:tc>
      </w:tr>
    </w:tbl>
    <w:p>
      <w:pPr>
        <w:pStyle w:val="2"/>
        <w:rPr>
          <w:rFonts w:hint="eastAsia"/>
          <w:lang w:val="zh-CN"/>
        </w:rPr>
      </w:pPr>
    </w:p>
    <w:p>
      <w:pPr>
        <w:rPr>
          <w:rFonts w:ascii="宋体" w:hAnsi="宋体" w:eastAsia="宋体" w:cs="Times New Roman"/>
          <w:b/>
          <w:color w:val="auto"/>
          <w:szCs w:val="21"/>
          <w:highlight w:val="none"/>
        </w:rPr>
      </w:pPr>
    </w:p>
    <w:bookmarkEnd w:id="1"/>
    <w:bookmarkEnd w:id="2"/>
    <w:bookmarkEnd w:id="3"/>
    <w:bookmarkEnd w:id="4"/>
    <w:bookmarkEnd w:id="5"/>
    <w:bookmarkEnd w:id="6"/>
    <w:bookmarkEnd w:id="7"/>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B7E3061D-346A-491D-A5A6-DF7F18794689}"/>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9FE16D6-B49C-473A-B1EA-FD810576179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C114D"/>
    <w:multiLevelType w:val="multilevel"/>
    <w:tmpl w:val="4A4C114D"/>
    <w:lvl w:ilvl="0" w:tentative="0">
      <w:start w:val="1"/>
      <w:numFmt w:val="decimal"/>
      <w:suff w:val="nothing"/>
      <w:lvlText w:val="%1、"/>
      <w:lvlJc w:val="left"/>
      <w:pPr>
        <w:ind w:left="0" w:firstLine="0"/>
      </w:pPr>
      <w:rPr>
        <w:rFonts w:hint="default" w:ascii="宋体" w:hAnsi="宋体" w:eastAsia="宋体" w:cs="Times New Roman"/>
        <w:sz w:val="21"/>
        <w:szCs w:val="21"/>
      </w:rPr>
    </w:lvl>
    <w:lvl w:ilvl="1" w:tentative="0">
      <w:start w:val="1"/>
      <w:numFmt w:val="decimal"/>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B274E8D"/>
    <w:multiLevelType w:val="multilevel"/>
    <w:tmpl w:val="4B274E8D"/>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4430"/>
    <w:rsid w:val="00006AEC"/>
    <w:rsid w:val="00015A2E"/>
    <w:rsid w:val="000245A6"/>
    <w:rsid w:val="0002570D"/>
    <w:rsid w:val="00027708"/>
    <w:rsid w:val="00035595"/>
    <w:rsid w:val="00040BE6"/>
    <w:rsid w:val="00040F92"/>
    <w:rsid w:val="00046C4B"/>
    <w:rsid w:val="000503F6"/>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3BE3"/>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4E68F9"/>
    <w:rsid w:val="0250441F"/>
    <w:rsid w:val="02FE5AC7"/>
    <w:rsid w:val="03EC63C9"/>
    <w:rsid w:val="041651F4"/>
    <w:rsid w:val="04637662"/>
    <w:rsid w:val="04CF627B"/>
    <w:rsid w:val="058F7720"/>
    <w:rsid w:val="06447858"/>
    <w:rsid w:val="068F3629"/>
    <w:rsid w:val="0696261C"/>
    <w:rsid w:val="06A75D00"/>
    <w:rsid w:val="07182CD3"/>
    <w:rsid w:val="076F17EB"/>
    <w:rsid w:val="07894344"/>
    <w:rsid w:val="079B6617"/>
    <w:rsid w:val="07A829A7"/>
    <w:rsid w:val="08623DEB"/>
    <w:rsid w:val="0865499C"/>
    <w:rsid w:val="091776A5"/>
    <w:rsid w:val="091E7F58"/>
    <w:rsid w:val="09914565"/>
    <w:rsid w:val="09D21BBD"/>
    <w:rsid w:val="0AC534D0"/>
    <w:rsid w:val="0B2B5A29"/>
    <w:rsid w:val="0B381EF4"/>
    <w:rsid w:val="0BBC48D3"/>
    <w:rsid w:val="0C7C092D"/>
    <w:rsid w:val="0CB40F86"/>
    <w:rsid w:val="0CD0550C"/>
    <w:rsid w:val="0CF103CF"/>
    <w:rsid w:val="0DC772CA"/>
    <w:rsid w:val="0DD95C10"/>
    <w:rsid w:val="0E9225A3"/>
    <w:rsid w:val="0EAC0DAA"/>
    <w:rsid w:val="0EAC63BD"/>
    <w:rsid w:val="0F241091"/>
    <w:rsid w:val="0F721927"/>
    <w:rsid w:val="0FC15468"/>
    <w:rsid w:val="106F0166"/>
    <w:rsid w:val="10D138C1"/>
    <w:rsid w:val="10FF7010"/>
    <w:rsid w:val="123A3264"/>
    <w:rsid w:val="12722D9F"/>
    <w:rsid w:val="12A331E2"/>
    <w:rsid w:val="12D6271E"/>
    <w:rsid w:val="130F4A87"/>
    <w:rsid w:val="132C233E"/>
    <w:rsid w:val="1347149A"/>
    <w:rsid w:val="138F2A4C"/>
    <w:rsid w:val="13B9206C"/>
    <w:rsid w:val="14E20332"/>
    <w:rsid w:val="154E2462"/>
    <w:rsid w:val="167069E6"/>
    <w:rsid w:val="18611701"/>
    <w:rsid w:val="18B562BD"/>
    <w:rsid w:val="19017DC9"/>
    <w:rsid w:val="190873AA"/>
    <w:rsid w:val="19397AAF"/>
    <w:rsid w:val="193B694A"/>
    <w:rsid w:val="193F7E0B"/>
    <w:rsid w:val="19562772"/>
    <w:rsid w:val="19650456"/>
    <w:rsid w:val="19831126"/>
    <w:rsid w:val="1A996FE7"/>
    <w:rsid w:val="1AB865A1"/>
    <w:rsid w:val="1AE479A2"/>
    <w:rsid w:val="1B0940FF"/>
    <w:rsid w:val="1B1F6729"/>
    <w:rsid w:val="1B5A216D"/>
    <w:rsid w:val="1B973779"/>
    <w:rsid w:val="1C393D1E"/>
    <w:rsid w:val="1C6174E0"/>
    <w:rsid w:val="1D6848BB"/>
    <w:rsid w:val="1D7B395F"/>
    <w:rsid w:val="1D8D43A1"/>
    <w:rsid w:val="1DAE4F95"/>
    <w:rsid w:val="1DF7063D"/>
    <w:rsid w:val="1E2471AC"/>
    <w:rsid w:val="1E3B5B2B"/>
    <w:rsid w:val="1EAA2CB1"/>
    <w:rsid w:val="1F096428"/>
    <w:rsid w:val="1FB21E1D"/>
    <w:rsid w:val="1FF1689E"/>
    <w:rsid w:val="203C5B8B"/>
    <w:rsid w:val="205C4E1A"/>
    <w:rsid w:val="207A1985"/>
    <w:rsid w:val="2080133E"/>
    <w:rsid w:val="20B11AFB"/>
    <w:rsid w:val="20C279F7"/>
    <w:rsid w:val="20C31E08"/>
    <w:rsid w:val="211508B6"/>
    <w:rsid w:val="21375273"/>
    <w:rsid w:val="21B96FAA"/>
    <w:rsid w:val="21E14C3C"/>
    <w:rsid w:val="21E23C77"/>
    <w:rsid w:val="227A18F6"/>
    <w:rsid w:val="22850A36"/>
    <w:rsid w:val="239633BA"/>
    <w:rsid w:val="23BC326A"/>
    <w:rsid w:val="23C102FE"/>
    <w:rsid w:val="240370EB"/>
    <w:rsid w:val="24C745BD"/>
    <w:rsid w:val="24F45147"/>
    <w:rsid w:val="2500362B"/>
    <w:rsid w:val="252C01BD"/>
    <w:rsid w:val="25BC1C48"/>
    <w:rsid w:val="26A526DC"/>
    <w:rsid w:val="272950BB"/>
    <w:rsid w:val="276D7F6F"/>
    <w:rsid w:val="28177609"/>
    <w:rsid w:val="286E02B3"/>
    <w:rsid w:val="28704DBD"/>
    <w:rsid w:val="28B11B80"/>
    <w:rsid w:val="28CD7B64"/>
    <w:rsid w:val="28DA73F5"/>
    <w:rsid w:val="2900444B"/>
    <w:rsid w:val="29205F1D"/>
    <w:rsid w:val="2936671F"/>
    <w:rsid w:val="2947094F"/>
    <w:rsid w:val="298C6D5A"/>
    <w:rsid w:val="29A452B1"/>
    <w:rsid w:val="29C55A1E"/>
    <w:rsid w:val="29C95FE8"/>
    <w:rsid w:val="2A355B25"/>
    <w:rsid w:val="2A6E1037"/>
    <w:rsid w:val="2C300C99"/>
    <w:rsid w:val="2C483A6C"/>
    <w:rsid w:val="2C5E3D90"/>
    <w:rsid w:val="2C5F157F"/>
    <w:rsid w:val="2C6F395B"/>
    <w:rsid w:val="2C85114F"/>
    <w:rsid w:val="2C9E00E8"/>
    <w:rsid w:val="2CF202C8"/>
    <w:rsid w:val="2CFC2BFE"/>
    <w:rsid w:val="2D7A3E39"/>
    <w:rsid w:val="2D960361"/>
    <w:rsid w:val="2DB11966"/>
    <w:rsid w:val="2DD71A54"/>
    <w:rsid w:val="2E0B257D"/>
    <w:rsid w:val="2F4F7689"/>
    <w:rsid w:val="2F6A0915"/>
    <w:rsid w:val="305D242A"/>
    <w:rsid w:val="314D028A"/>
    <w:rsid w:val="3191399B"/>
    <w:rsid w:val="31B3278A"/>
    <w:rsid w:val="3226381F"/>
    <w:rsid w:val="332C1696"/>
    <w:rsid w:val="33332E1D"/>
    <w:rsid w:val="338D69D1"/>
    <w:rsid w:val="33DB598F"/>
    <w:rsid w:val="343D57A7"/>
    <w:rsid w:val="34790F79"/>
    <w:rsid w:val="3489363D"/>
    <w:rsid w:val="352073D1"/>
    <w:rsid w:val="355530AA"/>
    <w:rsid w:val="355534E3"/>
    <w:rsid w:val="362221D1"/>
    <w:rsid w:val="364631D7"/>
    <w:rsid w:val="36672A7B"/>
    <w:rsid w:val="36703B69"/>
    <w:rsid w:val="368928C2"/>
    <w:rsid w:val="377F4482"/>
    <w:rsid w:val="386E4B3B"/>
    <w:rsid w:val="3882786B"/>
    <w:rsid w:val="38E24A78"/>
    <w:rsid w:val="38E452E6"/>
    <w:rsid w:val="38EB56F8"/>
    <w:rsid w:val="393C6ED0"/>
    <w:rsid w:val="39475E40"/>
    <w:rsid w:val="397A6507"/>
    <w:rsid w:val="39E41315"/>
    <w:rsid w:val="3AA800F8"/>
    <w:rsid w:val="3AF7708F"/>
    <w:rsid w:val="3B1F29B6"/>
    <w:rsid w:val="3B664D8A"/>
    <w:rsid w:val="3B6A4290"/>
    <w:rsid w:val="3B8B3748"/>
    <w:rsid w:val="3B8E088C"/>
    <w:rsid w:val="3B9971A7"/>
    <w:rsid w:val="3C337A30"/>
    <w:rsid w:val="3C9A3306"/>
    <w:rsid w:val="3CB74ABF"/>
    <w:rsid w:val="3CBA010B"/>
    <w:rsid w:val="3D1B504E"/>
    <w:rsid w:val="3DBA6422"/>
    <w:rsid w:val="3DE329CA"/>
    <w:rsid w:val="3E0E6961"/>
    <w:rsid w:val="3EA307B8"/>
    <w:rsid w:val="3F5B255F"/>
    <w:rsid w:val="3F7C2206"/>
    <w:rsid w:val="3FA82A06"/>
    <w:rsid w:val="40337FBA"/>
    <w:rsid w:val="4034572C"/>
    <w:rsid w:val="40BB32ED"/>
    <w:rsid w:val="410271DD"/>
    <w:rsid w:val="41055DF9"/>
    <w:rsid w:val="411C3A6B"/>
    <w:rsid w:val="413D3E30"/>
    <w:rsid w:val="416845DA"/>
    <w:rsid w:val="4199111F"/>
    <w:rsid w:val="41C51A2C"/>
    <w:rsid w:val="42443C11"/>
    <w:rsid w:val="42F53803"/>
    <w:rsid w:val="43533A05"/>
    <w:rsid w:val="43B50E83"/>
    <w:rsid w:val="43E81BAE"/>
    <w:rsid w:val="44027DCD"/>
    <w:rsid w:val="4416567B"/>
    <w:rsid w:val="44373EE2"/>
    <w:rsid w:val="44A02DC8"/>
    <w:rsid w:val="44E4041B"/>
    <w:rsid w:val="45181A63"/>
    <w:rsid w:val="452226EA"/>
    <w:rsid w:val="45350C77"/>
    <w:rsid w:val="45413006"/>
    <w:rsid w:val="45637592"/>
    <w:rsid w:val="45E30566"/>
    <w:rsid w:val="46827EEC"/>
    <w:rsid w:val="46E57892"/>
    <w:rsid w:val="47EB068E"/>
    <w:rsid w:val="4812253D"/>
    <w:rsid w:val="48DF421C"/>
    <w:rsid w:val="48F30C2D"/>
    <w:rsid w:val="491D3EFC"/>
    <w:rsid w:val="49677566"/>
    <w:rsid w:val="49767244"/>
    <w:rsid w:val="49D071C0"/>
    <w:rsid w:val="4A4308D9"/>
    <w:rsid w:val="4BF70A34"/>
    <w:rsid w:val="4BF74ED8"/>
    <w:rsid w:val="4C107D48"/>
    <w:rsid w:val="4C912C37"/>
    <w:rsid w:val="4D01672A"/>
    <w:rsid w:val="4D07114B"/>
    <w:rsid w:val="4D5D0D6B"/>
    <w:rsid w:val="4E437F61"/>
    <w:rsid w:val="4E86306A"/>
    <w:rsid w:val="4F076310"/>
    <w:rsid w:val="4F0A4599"/>
    <w:rsid w:val="4F542CEF"/>
    <w:rsid w:val="4F722D41"/>
    <w:rsid w:val="4FC83A29"/>
    <w:rsid w:val="4FCD1AFA"/>
    <w:rsid w:val="4FF129BB"/>
    <w:rsid w:val="505C7A00"/>
    <w:rsid w:val="506A76DE"/>
    <w:rsid w:val="508F34F0"/>
    <w:rsid w:val="51024103"/>
    <w:rsid w:val="516E106E"/>
    <w:rsid w:val="517257E8"/>
    <w:rsid w:val="51AE7211"/>
    <w:rsid w:val="5233158F"/>
    <w:rsid w:val="5257047F"/>
    <w:rsid w:val="526B3F2A"/>
    <w:rsid w:val="52B96A43"/>
    <w:rsid w:val="52F80915"/>
    <w:rsid w:val="53633425"/>
    <w:rsid w:val="53794425"/>
    <w:rsid w:val="53F210E7"/>
    <w:rsid w:val="54221D2C"/>
    <w:rsid w:val="54401085"/>
    <w:rsid w:val="54C47921"/>
    <w:rsid w:val="552533B3"/>
    <w:rsid w:val="55290B71"/>
    <w:rsid w:val="556F1EDE"/>
    <w:rsid w:val="55C41D5B"/>
    <w:rsid w:val="560E146A"/>
    <w:rsid w:val="567D5C59"/>
    <w:rsid w:val="568802DB"/>
    <w:rsid w:val="56B37004"/>
    <w:rsid w:val="56D6358C"/>
    <w:rsid w:val="56F945D5"/>
    <w:rsid w:val="57325016"/>
    <w:rsid w:val="57385F05"/>
    <w:rsid w:val="576D66F1"/>
    <w:rsid w:val="582B2191"/>
    <w:rsid w:val="583059FA"/>
    <w:rsid w:val="585A57E2"/>
    <w:rsid w:val="58BC1A68"/>
    <w:rsid w:val="59536EAF"/>
    <w:rsid w:val="59633BAD"/>
    <w:rsid w:val="59653481"/>
    <w:rsid w:val="59741916"/>
    <w:rsid w:val="59CB5746"/>
    <w:rsid w:val="5A096502"/>
    <w:rsid w:val="5A1522A3"/>
    <w:rsid w:val="5A355549"/>
    <w:rsid w:val="5A985AD8"/>
    <w:rsid w:val="5AE049A6"/>
    <w:rsid w:val="5B555EB2"/>
    <w:rsid w:val="5B5771CA"/>
    <w:rsid w:val="5BE12FA3"/>
    <w:rsid w:val="5BE74621"/>
    <w:rsid w:val="5C0935A4"/>
    <w:rsid w:val="5C0F7D9A"/>
    <w:rsid w:val="5C51380A"/>
    <w:rsid w:val="5CA02A8F"/>
    <w:rsid w:val="5D123920"/>
    <w:rsid w:val="5D3031BF"/>
    <w:rsid w:val="5D637A40"/>
    <w:rsid w:val="5D6E241A"/>
    <w:rsid w:val="5D8866EC"/>
    <w:rsid w:val="5DFE672F"/>
    <w:rsid w:val="5E9A42CD"/>
    <w:rsid w:val="5EBD49DD"/>
    <w:rsid w:val="5EBF421E"/>
    <w:rsid w:val="5F2071D7"/>
    <w:rsid w:val="5F3E6C4E"/>
    <w:rsid w:val="5F5279AD"/>
    <w:rsid w:val="5F59643E"/>
    <w:rsid w:val="5F5F6BC4"/>
    <w:rsid w:val="5F750ADC"/>
    <w:rsid w:val="5FF94923"/>
    <w:rsid w:val="60A305BA"/>
    <w:rsid w:val="60D20963"/>
    <w:rsid w:val="61354081"/>
    <w:rsid w:val="61B06EB5"/>
    <w:rsid w:val="62A31E55"/>
    <w:rsid w:val="62B13874"/>
    <w:rsid w:val="63672753"/>
    <w:rsid w:val="63EF49BB"/>
    <w:rsid w:val="63FD604F"/>
    <w:rsid w:val="645608DD"/>
    <w:rsid w:val="645779AB"/>
    <w:rsid w:val="6523712A"/>
    <w:rsid w:val="654B3E73"/>
    <w:rsid w:val="65932297"/>
    <w:rsid w:val="65E62E7A"/>
    <w:rsid w:val="65EC0A86"/>
    <w:rsid w:val="663F32AC"/>
    <w:rsid w:val="665C5C0C"/>
    <w:rsid w:val="665F74AA"/>
    <w:rsid w:val="6794739E"/>
    <w:rsid w:val="67BB5990"/>
    <w:rsid w:val="6803153A"/>
    <w:rsid w:val="68060525"/>
    <w:rsid w:val="6864524C"/>
    <w:rsid w:val="68AE19C8"/>
    <w:rsid w:val="68D67EF7"/>
    <w:rsid w:val="6A062168"/>
    <w:rsid w:val="6A22716C"/>
    <w:rsid w:val="6A33039E"/>
    <w:rsid w:val="6A677D3D"/>
    <w:rsid w:val="6A6D488B"/>
    <w:rsid w:val="6A8219B9"/>
    <w:rsid w:val="6AA656A7"/>
    <w:rsid w:val="6AAD178D"/>
    <w:rsid w:val="6AE606B8"/>
    <w:rsid w:val="6AE83F12"/>
    <w:rsid w:val="6B853457"/>
    <w:rsid w:val="6BCB2E78"/>
    <w:rsid w:val="6C280AEA"/>
    <w:rsid w:val="6CC649E7"/>
    <w:rsid w:val="6CE40709"/>
    <w:rsid w:val="6CED3A62"/>
    <w:rsid w:val="6D371FD1"/>
    <w:rsid w:val="6D970DCA"/>
    <w:rsid w:val="6D9F604C"/>
    <w:rsid w:val="6DF3710C"/>
    <w:rsid w:val="6E672517"/>
    <w:rsid w:val="6E9A19C7"/>
    <w:rsid w:val="6EAB3BD4"/>
    <w:rsid w:val="6EE90259"/>
    <w:rsid w:val="6EEE5F57"/>
    <w:rsid w:val="6F1E0908"/>
    <w:rsid w:val="6F3B4F58"/>
    <w:rsid w:val="6F5F71DE"/>
    <w:rsid w:val="6F6F261D"/>
    <w:rsid w:val="6FE74798"/>
    <w:rsid w:val="719B7311"/>
    <w:rsid w:val="71DC3BCF"/>
    <w:rsid w:val="72A03F09"/>
    <w:rsid w:val="72C52DE4"/>
    <w:rsid w:val="738549F4"/>
    <w:rsid w:val="73D9089C"/>
    <w:rsid w:val="74111B80"/>
    <w:rsid w:val="743D7CF2"/>
    <w:rsid w:val="7503531D"/>
    <w:rsid w:val="75786D3D"/>
    <w:rsid w:val="76124539"/>
    <w:rsid w:val="76263B40"/>
    <w:rsid w:val="762F7565"/>
    <w:rsid w:val="765B79F0"/>
    <w:rsid w:val="77422BFC"/>
    <w:rsid w:val="77662180"/>
    <w:rsid w:val="77803CE6"/>
    <w:rsid w:val="77A94B1B"/>
    <w:rsid w:val="77C22748"/>
    <w:rsid w:val="781C3A7C"/>
    <w:rsid w:val="7820118F"/>
    <w:rsid w:val="78871CF9"/>
    <w:rsid w:val="78A70F68"/>
    <w:rsid w:val="78BE2756"/>
    <w:rsid w:val="78EC2E1F"/>
    <w:rsid w:val="78EC6FBD"/>
    <w:rsid w:val="79D3247C"/>
    <w:rsid w:val="7A1173D2"/>
    <w:rsid w:val="7A3D2852"/>
    <w:rsid w:val="7A7C27E3"/>
    <w:rsid w:val="7BA22C1C"/>
    <w:rsid w:val="7C6C2EB0"/>
    <w:rsid w:val="7CC2481A"/>
    <w:rsid w:val="7CF60E01"/>
    <w:rsid w:val="7D6457E7"/>
    <w:rsid w:val="7DC73E5B"/>
    <w:rsid w:val="7DE247F1"/>
    <w:rsid w:val="7E350DC4"/>
    <w:rsid w:val="7E480426"/>
    <w:rsid w:val="7E536050"/>
    <w:rsid w:val="7E6B6EDC"/>
    <w:rsid w:val="7EDA196C"/>
    <w:rsid w:val="7EDD72DB"/>
    <w:rsid w:val="7F4100F9"/>
    <w:rsid w:val="7FA313D0"/>
    <w:rsid w:val="7FFA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next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autoRedefine/>
    <w:unhideWhenUsed/>
    <w:qFormat/>
    <w:uiPriority w:val="99"/>
    <w:pPr>
      <w:jc w:val="left"/>
    </w:pPr>
  </w:style>
  <w:style w:type="paragraph" w:styleId="17">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autoRedefine/>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page number"/>
    <w:qFormat/>
    <w:uiPriority w:val="0"/>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Char"/>
    <w:basedOn w:val="39"/>
    <w:link w:val="4"/>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Char1"/>
    <w:basedOn w:val="39"/>
    <w:link w:val="5"/>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Char"/>
    <w:basedOn w:val="39"/>
    <w:link w:val="9"/>
    <w:autoRedefine/>
    <w:qFormat/>
    <w:uiPriority w:val="9"/>
    <w:rPr>
      <w:rFonts w:ascii="Times New Roman" w:hAnsi="Calibri" w:eastAsia="黑体" w:cs="Times New Roman"/>
      <w:b/>
      <w:bCs/>
      <w:kern w:val="0"/>
      <w:sz w:val="28"/>
      <w:szCs w:val="24"/>
    </w:rPr>
  </w:style>
  <w:style w:type="character" w:customStyle="1" w:styleId="54">
    <w:name w:val="标题 8 Char"/>
    <w:basedOn w:val="39"/>
    <w:link w:val="10"/>
    <w:qFormat/>
    <w:uiPriority w:val="9"/>
    <w:rPr>
      <w:rFonts w:ascii="Times New Roman" w:hAnsi="Calibri" w:eastAsia="黑体" w:cs="Times New Roman"/>
      <w:b/>
      <w:kern w:val="0"/>
      <w:sz w:val="28"/>
      <w:szCs w:val="24"/>
    </w:rPr>
  </w:style>
  <w:style w:type="character" w:customStyle="1" w:styleId="55">
    <w:name w:val="标题 9 Char"/>
    <w:basedOn w:val="39"/>
    <w:link w:val="11"/>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3"/>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3"/>
    <w:autoRedefine/>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2"/>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20"/>
    <w:autoRedefine/>
    <w:qFormat/>
    <w:uiPriority w:val="0"/>
    <w:rPr>
      <w:rFonts w:ascii="Times New Roman" w:hAnsi="Times New Roman" w:eastAsia="宋体" w:cs="Times New Roman"/>
      <w:szCs w:val="20"/>
    </w:rPr>
  </w:style>
  <w:style w:type="character" w:customStyle="1" w:styleId="93">
    <w:name w:val="普通(网站) Char1"/>
    <w:link w:val="34"/>
    <w:autoRedefine/>
    <w:qFormat/>
    <w:locked/>
    <w:uiPriority w:val="0"/>
    <w:rPr>
      <w:rFonts w:ascii="宋体" w:hAnsi="宋体"/>
      <w:sz w:val="15"/>
      <w:szCs w:val="15"/>
    </w:rPr>
  </w:style>
  <w:style w:type="character" w:customStyle="1" w:styleId="94">
    <w:name w:val="模板正文 Char"/>
    <w:link w:val="8"/>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2"/>
    <w:autoRedefine/>
    <w:qFormat/>
    <w:uiPriority w:val="0"/>
    <w:rPr>
      <w:rFonts w:ascii="宋体" w:hAnsi="Courier New" w:eastAsia="宋体"/>
    </w:rPr>
  </w:style>
  <w:style w:type="character" w:customStyle="1" w:styleId="101">
    <w:name w:val="正文文本缩进 2 Char"/>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6"/>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7"/>
    <w:autoRedefine/>
    <w:qFormat/>
    <w:uiPriority w:val="9"/>
    <w:rPr>
      <w:rFonts w:ascii="Times New Roman" w:hAnsi="Calibri" w:eastAsia="黑体" w:cs="Times New Roman"/>
      <w:b/>
      <w:bCs/>
      <w:kern w:val="0"/>
      <w:sz w:val="28"/>
      <w:szCs w:val="24"/>
    </w:rPr>
  </w:style>
  <w:style w:type="character" w:customStyle="1" w:styleId="143">
    <w:name w:val="正文文本 2 Char"/>
    <w:link w:val="32"/>
    <w:autoRedefine/>
    <w:qFormat/>
    <w:uiPriority w:val="0"/>
    <w:rPr>
      <w:rFonts w:ascii="Arial" w:hAnsi="Arial" w:eastAsia="宋体" w:cs="Times New Roman"/>
      <w:color w:val="000000"/>
      <w:szCs w:val="24"/>
    </w:rPr>
  </w:style>
  <w:style w:type="character" w:customStyle="1" w:styleId="144">
    <w:name w:val="标题 3 Char"/>
    <w:link w:val="2"/>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Char1"/>
    <w:link w:val="3"/>
    <w:autoRedefine/>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autoRedefine/>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Char1 Char Char Char1 Char Char Char"/>
    <w:basedOn w:val="1"/>
    <w:qFormat/>
    <w:uiPriority w:val="0"/>
    <w:pPr>
      <w:autoSpaceDE/>
      <w:autoSpaceDN/>
      <w:adjustRightInd/>
      <w:spacing w:line="360" w:lineRule="auto"/>
    </w:pPr>
    <w:rPr>
      <w:rFonts w:asci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9247</Words>
  <Characters>9658</Characters>
  <Lines>314</Lines>
  <Paragraphs>88</Paragraphs>
  <TotalTime>7</TotalTime>
  <ScaleCrop>false</ScaleCrop>
  <LinksUpToDate>false</LinksUpToDate>
  <CharactersWithSpaces>9722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严霞</cp:lastModifiedBy>
  <cp:lastPrinted>2024-10-21T03:29:00Z</cp:lastPrinted>
  <dcterms:modified xsi:type="dcterms:W3CDTF">2025-08-29T06:48:45Z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E29938F7B2AC44BC99E382DA30983214_13</vt:lpwstr>
  </property>
</Properties>
</file>