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tabs>
          <w:tab w:val="left" w:pos="1080"/>
        </w:tabs>
        <w:autoSpaceDE w:val="0"/>
        <w:autoSpaceDN w:val="0"/>
        <w:adjustRightInd w:val="0"/>
        <w:spacing w:line="360" w:lineRule="auto"/>
        <w:ind w:left="357" w:leftChars="-100" w:hanging="567"/>
        <w:jc w:val="center"/>
        <w:outlineLvl w:val="1"/>
        <w:rPr>
          <w:rFonts w:ascii="宋体" w:hAnsi="宋体" w:eastAsia="宋体" w:cs="宋体"/>
          <w:b/>
          <w:bCs/>
          <w:color w:val="auto"/>
          <w:kern w:val="44"/>
          <w:sz w:val="32"/>
          <w:szCs w:val="32"/>
          <w:highlight w:val="none"/>
          <w:lang w:val="zh-CN"/>
        </w:rPr>
      </w:pPr>
      <w:bookmarkStart w:id="0" w:name="_Toc28218"/>
      <w:bookmarkStart w:id="1" w:name="_Toc486167706"/>
      <w:bookmarkStart w:id="2" w:name="_Toc450662891"/>
      <w:bookmarkStart w:id="3" w:name="_Toc27939_WPSOffice_Level1"/>
      <w:bookmarkStart w:id="4" w:name="_Toc10322"/>
      <w:bookmarkStart w:id="5" w:name="_Toc25818"/>
      <w:bookmarkStart w:id="6" w:name="_Toc142508358"/>
      <w:r>
        <w:rPr>
          <w:rFonts w:hint="eastAsia" w:ascii="宋体" w:hAnsi="宋体" w:eastAsia="宋体" w:cs="宋体"/>
          <w:b/>
          <w:bCs/>
          <w:color w:val="auto"/>
          <w:kern w:val="44"/>
          <w:sz w:val="32"/>
          <w:szCs w:val="32"/>
          <w:highlight w:val="none"/>
          <w:lang w:val="zh-CN"/>
        </w:rPr>
        <w:t>东莞市水务集团净水有限公司2026年</w:t>
      </w:r>
      <w:r>
        <w:rPr>
          <w:rFonts w:hint="eastAsia" w:ascii="宋体" w:hAnsi="宋体" w:eastAsia="宋体" w:cs="宋体"/>
          <w:b/>
          <w:bCs/>
          <w:color w:val="auto"/>
          <w:kern w:val="44"/>
          <w:sz w:val="32"/>
          <w:szCs w:val="32"/>
          <w:highlight w:val="none"/>
          <w:lang w:val="en-US" w:eastAsia="zh-CN"/>
        </w:rPr>
        <w:t>-2027年</w:t>
      </w:r>
      <w:r>
        <w:rPr>
          <w:rFonts w:hint="eastAsia" w:ascii="宋体" w:hAnsi="宋体" w:eastAsia="宋体" w:cs="宋体"/>
          <w:b/>
          <w:bCs/>
          <w:color w:val="auto"/>
          <w:kern w:val="44"/>
          <w:sz w:val="32"/>
          <w:szCs w:val="32"/>
          <w:highlight w:val="none"/>
          <w:lang w:val="zh-CN"/>
        </w:rPr>
        <w:t>生产药剂阴离子聚丙烯酰胺采购项目用户需求书</w:t>
      </w:r>
      <w:bookmarkEnd w:id="0"/>
      <w:bookmarkEnd w:id="1"/>
      <w:bookmarkEnd w:id="2"/>
      <w:bookmarkEnd w:id="3"/>
      <w:bookmarkEnd w:id="4"/>
      <w:bookmarkEnd w:id="5"/>
      <w:bookmarkEnd w:id="6"/>
    </w:p>
    <w:p>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7" w:name="_Toc22775"/>
      <w:r>
        <w:rPr>
          <w:rFonts w:hint="eastAsia" w:ascii="宋体" w:hAnsi="宋体" w:eastAsia="宋体" w:cs="宋体"/>
          <w:b/>
          <w:bCs/>
          <w:color w:val="auto"/>
          <w:kern w:val="2"/>
          <w:sz w:val="21"/>
          <w:szCs w:val="21"/>
          <w:lang w:val="en-US" w:eastAsia="zh-CN" w:bidi="ar"/>
        </w:rPr>
        <w:t>一、基本采购要求</w:t>
      </w:r>
      <w:bookmarkEnd w:id="7"/>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本次采购东莞市水务集团净水有限公司旗下运营项目所需生产药剂：阴离子聚丙烯酰胺。根据实际运营中药剂使用情况，招标人现有虾公潭厂、长安新区厂等污水处理厂及污水处理厂提标项目（以下称作“运营项目”）需使用阴离子聚丙烯酰胺（以下简称“生产药剂”）作为絮凝剂。具体供货项目和供货量根据实际运营需求，并结合招标人运营项目使用中标人提供的药剂样品所做的小试、中试及项目实际使用效果后确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本次招标人以公开招标方式确定1家供货单位，分别向招标人运营项目供货。招标人或招标人权属子公司与中标人签订采购合同。</w:t>
      </w:r>
    </w:p>
    <w:p>
      <w:pPr>
        <w:spacing w:line="360" w:lineRule="auto"/>
        <w:ind w:firstLine="420" w:firstLineChars="200"/>
        <w:rPr>
          <w:rFonts w:ascii="宋体" w:hAnsi="宋体" w:eastAsia="宋体" w:cs="宋体"/>
          <w:szCs w:val="21"/>
        </w:rPr>
      </w:pPr>
      <w:bookmarkStart w:id="8" w:name="_Toc27352"/>
      <w:r>
        <w:rPr>
          <w:rFonts w:hint="eastAsia" w:ascii="宋体" w:hAnsi="宋体" w:eastAsia="宋体" w:cs="宋体"/>
          <w:szCs w:val="21"/>
        </w:rPr>
        <w:t>供货期自202</w:t>
      </w:r>
      <w:r>
        <w:rPr>
          <w:rFonts w:hint="eastAsia" w:ascii="宋体" w:hAnsi="宋体" w:eastAsia="宋体" w:cs="宋体"/>
          <w:szCs w:val="21"/>
          <w:lang w:val="en-US" w:eastAsia="zh-CN"/>
        </w:rPr>
        <w:t>6</w:t>
      </w:r>
      <w:r>
        <w:rPr>
          <w:rFonts w:hint="eastAsia" w:ascii="宋体" w:hAnsi="宋体" w:eastAsia="宋体" w:cs="宋体"/>
          <w:szCs w:val="21"/>
        </w:rPr>
        <w:t>年1月1日或合同签订之日起（以较晚时间为准）至202</w:t>
      </w:r>
      <w:r>
        <w:rPr>
          <w:rFonts w:hint="eastAsia" w:ascii="宋体" w:hAnsi="宋体" w:eastAsia="宋体" w:cs="宋体"/>
          <w:szCs w:val="21"/>
          <w:lang w:val="en-US" w:eastAsia="zh-CN"/>
        </w:rPr>
        <w:t>7</w:t>
      </w:r>
      <w:r>
        <w:rPr>
          <w:rFonts w:hint="eastAsia" w:ascii="宋体" w:hAnsi="宋体" w:eastAsia="宋体" w:cs="宋体"/>
          <w:szCs w:val="21"/>
        </w:rPr>
        <w:t>年</w:t>
      </w:r>
      <w:r>
        <w:rPr>
          <w:rFonts w:hint="eastAsia" w:ascii="宋体" w:hAnsi="宋体" w:eastAsia="宋体" w:cs="宋体"/>
          <w:szCs w:val="21"/>
          <w:lang w:val="en-US" w:eastAsia="zh-CN"/>
        </w:rPr>
        <w:t>6</w:t>
      </w:r>
      <w:r>
        <w:rPr>
          <w:rFonts w:hint="eastAsia" w:ascii="宋体" w:hAnsi="宋体" w:eastAsia="宋体" w:cs="宋体"/>
          <w:szCs w:val="21"/>
        </w:rPr>
        <w:t>月</w:t>
      </w:r>
      <w:r>
        <w:rPr>
          <w:rFonts w:hint="eastAsia" w:ascii="宋体" w:hAnsi="宋体" w:eastAsia="宋体" w:cs="宋体"/>
          <w:szCs w:val="21"/>
          <w:lang w:val="en-US" w:eastAsia="zh-CN"/>
        </w:rPr>
        <w:t>30</w:t>
      </w:r>
      <w:r>
        <w:rPr>
          <w:rFonts w:hint="eastAsia" w:ascii="宋体" w:hAnsi="宋体" w:eastAsia="宋体" w:cs="宋体"/>
          <w:szCs w:val="21"/>
        </w:rPr>
        <w:t>日止</w:t>
      </w:r>
      <w:r>
        <w:rPr>
          <w:rFonts w:hint="eastAsia" w:ascii="宋体" w:hAnsi="宋体" w:eastAsia="宋体" w:cs="宋体"/>
          <w:color w:val="auto"/>
          <w:szCs w:val="21"/>
          <w:lang w:eastAsia="zh-CN"/>
        </w:rPr>
        <w:t>。</w:t>
      </w:r>
      <w:r>
        <w:rPr>
          <w:rFonts w:hint="eastAsia" w:ascii="宋体" w:hAnsi="宋体" w:eastAsia="宋体" w:cs="宋体"/>
          <w:szCs w:val="21"/>
          <w:lang w:eastAsia="zh-CN"/>
        </w:rPr>
        <w:t>中标人</w:t>
      </w:r>
      <w:r>
        <w:rPr>
          <w:rFonts w:hint="eastAsia" w:ascii="宋体" w:hAnsi="宋体" w:eastAsia="宋体" w:cs="宋体"/>
          <w:szCs w:val="21"/>
        </w:rPr>
        <w:t>收到招标人通知后必须无条件按照招标人的要求开始供货</w:t>
      </w:r>
      <w:r>
        <w:rPr>
          <w:rFonts w:ascii="宋体" w:hAnsi="宋体" w:eastAsia="宋体" w:cs="宋体"/>
          <w:szCs w:val="21"/>
        </w:rPr>
        <w:t>。</w:t>
      </w:r>
    </w:p>
    <w:p>
      <w:pPr>
        <w:pStyle w:val="2"/>
      </w:pPr>
    </w:p>
    <w:p>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二、标的物</w:t>
      </w:r>
      <w:bookmarkEnd w:id="8"/>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1、产品名称：阴离子聚丙烯酰胺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2、暂定采购数量：597.594吨</w:t>
      </w:r>
    </w:p>
    <w:p>
      <w:pPr>
        <w:keepNext w:val="0"/>
        <w:keepLines w:val="0"/>
        <w:widowControl w:val="0"/>
        <w:suppressLineNumbers w:val="0"/>
        <w:spacing w:before="0" w:beforeAutospacing="0" w:after="0" w:afterAutospacing="0" w:line="360" w:lineRule="auto"/>
        <w:ind w:left="0" w:right="0" w:firstLine="211" w:firstLineChars="100"/>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3、本次采购涉及招标人运营项目及采购数量为暂定，仅为便于计算暂定总合同价使用，不作为招标人最终采购数量的保证，招标人保留根据运营项目及新增运营项目实际情况，对采购数量进行灵活调整的权利。合同履约过程中，</w:t>
      </w:r>
      <w:r>
        <w:rPr>
          <w:rFonts w:hint="eastAsia" w:ascii="宋体" w:hAnsi="宋体" w:eastAsia="宋体" w:cs="宋体"/>
          <w:b/>
          <w:color w:val="auto"/>
          <w:sz w:val="21"/>
          <w:szCs w:val="21"/>
          <w:highlight w:val="none"/>
        </w:rPr>
        <w:t>如</w:t>
      </w:r>
      <w:r>
        <w:rPr>
          <w:rFonts w:hint="eastAsia" w:ascii="宋体" w:hAnsi="宋体" w:eastAsia="宋体" w:cs="宋体"/>
          <w:b/>
          <w:color w:val="auto"/>
          <w:sz w:val="21"/>
          <w:szCs w:val="21"/>
          <w:highlight w:val="none"/>
          <w:lang w:val="en-US" w:eastAsia="zh-CN"/>
        </w:rPr>
        <w:t>本项目</w:t>
      </w:r>
      <w:r>
        <w:rPr>
          <w:rFonts w:hint="eastAsia" w:ascii="宋体" w:hAnsi="宋体" w:eastAsia="宋体" w:cs="宋体"/>
          <w:b/>
          <w:color w:val="auto"/>
          <w:sz w:val="21"/>
          <w:szCs w:val="21"/>
          <w:highlight w:val="none"/>
        </w:rPr>
        <w:t>因</w:t>
      </w:r>
      <w:bookmarkStart w:id="9" w:name="OLE_LINK33"/>
      <w:r>
        <w:rPr>
          <w:rFonts w:hint="eastAsia" w:ascii="宋体" w:hAnsi="宋体" w:eastAsia="宋体" w:cs="宋体"/>
          <w:b/>
          <w:color w:val="auto"/>
          <w:sz w:val="21"/>
          <w:szCs w:val="21"/>
          <w:highlight w:val="none"/>
        </w:rPr>
        <w:t>新增合同主体</w:t>
      </w:r>
      <w:bookmarkEnd w:id="9"/>
      <w:r>
        <w:rPr>
          <w:rFonts w:hint="eastAsia" w:ascii="宋体" w:hAnsi="宋体" w:eastAsia="宋体" w:cs="宋体"/>
          <w:b/>
          <w:color w:val="auto"/>
          <w:sz w:val="21"/>
          <w:szCs w:val="21"/>
          <w:highlight w:val="none"/>
        </w:rPr>
        <w:t>需要额外供货</w:t>
      </w:r>
      <w:r>
        <w:rPr>
          <w:rFonts w:hint="eastAsia" w:ascii="宋体" w:hAnsi="宋体" w:eastAsia="宋体" w:cs="宋体"/>
          <w:b/>
          <w:bCs/>
          <w:color w:val="auto"/>
          <w:kern w:val="2"/>
          <w:sz w:val="21"/>
          <w:szCs w:val="21"/>
          <w:lang w:val="en-US" w:eastAsia="zh-CN" w:bidi="ar"/>
        </w:rPr>
        <w:t>，</w:t>
      </w:r>
      <w:r>
        <w:rPr>
          <w:rFonts w:hint="eastAsia" w:ascii="宋体" w:hAnsi="宋体" w:eastAsia="宋体" w:cs="宋体"/>
          <w:b/>
          <w:color w:val="auto"/>
          <w:sz w:val="21"/>
          <w:szCs w:val="21"/>
          <w:highlight w:val="none"/>
          <w:lang w:val="en-US" w:eastAsia="zh-CN"/>
        </w:rPr>
        <w:t>招标人权属子公司、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bCs/>
          <w:color w:val="auto"/>
          <w:kern w:val="2"/>
          <w:sz w:val="21"/>
          <w:szCs w:val="21"/>
          <w:lang w:val="en-US" w:eastAsia="zh-CN" w:bidi="ar"/>
        </w:rPr>
        <w:t>有权依据不含税中标综合单价与中标人协商并签订补充协议，并确保其作为原合同的有效补充。中标人应充分理解并接受本项目在合同履约期间可能新增合同主体的可能性，并承诺在接到招标人</w:t>
      </w:r>
      <w:r>
        <w:rPr>
          <w:rFonts w:hint="eastAsia" w:ascii="宋体" w:hAnsi="宋体" w:eastAsia="宋体" w:cs="宋体"/>
          <w:b/>
          <w:color w:val="auto"/>
          <w:sz w:val="21"/>
          <w:szCs w:val="21"/>
          <w:highlight w:val="none"/>
          <w:lang w:val="en-US" w:eastAsia="zh-CN"/>
        </w:rPr>
        <w:t>权属子公司、</w:t>
      </w:r>
      <w:r>
        <w:rPr>
          <w:rFonts w:hint="eastAsia" w:ascii="宋体" w:hAnsi="宋体" w:eastAsia="宋体" w:cs="Times New Roman"/>
          <w:b/>
          <w:bCs/>
          <w:snapToGrid/>
          <w:color w:val="auto"/>
          <w:kern w:val="2"/>
          <w:szCs w:val="21"/>
          <w:highlight w:val="none"/>
          <w:lang w:val="zh-CN"/>
        </w:rPr>
        <w:t>招标人权属子公司</w:t>
      </w:r>
      <w:r>
        <w:rPr>
          <w:rFonts w:hint="eastAsia" w:ascii="宋体" w:hAnsi="宋体" w:eastAsia="宋体" w:cs="Times New Roman"/>
          <w:b/>
          <w:bCs/>
          <w:snapToGrid/>
          <w:color w:val="auto"/>
          <w:kern w:val="2"/>
          <w:szCs w:val="21"/>
          <w:highlight w:val="none"/>
          <w:lang w:val="en-US" w:eastAsia="zh-CN"/>
        </w:rPr>
        <w:t>关联公司</w:t>
      </w:r>
      <w:r>
        <w:rPr>
          <w:rFonts w:hint="eastAsia" w:ascii="宋体" w:hAnsi="宋体" w:eastAsia="宋体" w:cs="宋体"/>
          <w:b/>
          <w:color w:val="auto"/>
          <w:sz w:val="21"/>
          <w:szCs w:val="21"/>
          <w:highlight w:val="none"/>
        </w:rPr>
        <w:t>关于新增</w:t>
      </w:r>
      <w:r>
        <w:rPr>
          <w:rFonts w:hint="eastAsia" w:ascii="宋体" w:hAnsi="宋体" w:eastAsia="宋体" w:cs="宋体"/>
          <w:b/>
          <w:color w:val="auto"/>
          <w:sz w:val="21"/>
          <w:szCs w:val="21"/>
          <w:highlight w:val="none"/>
          <w:lang w:val="en-US" w:eastAsia="zh-CN"/>
        </w:rPr>
        <w:t>合同主体</w:t>
      </w:r>
      <w:r>
        <w:rPr>
          <w:rFonts w:hint="eastAsia" w:ascii="宋体" w:hAnsi="宋体" w:eastAsia="宋体" w:cs="宋体"/>
          <w:b/>
          <w:color w:val="auto"/>
          <w:sz w:val="21"/>
          <w:szCs w:val="21"/>
          <w:highlight w:val="none"/>
        </w:rPr>
        <w:t>的</w:t>
      </w:r>
      <w:r>
        <w:rPr>
          <w:rFonts w:hint="eastAsia" w:ascii="宋体" w:hAnsi="宋体" w:eastAsia="宋体" w:cs="宋体"/>
          <w:b/>
          <w:bCs/>
          <w:color w:val="auto"/>
          <w:kern w:val="2"/>
          <w:sz w:val="21"/>
          <w:szCs w:val="21"/>
          <w:lang w:val="en-US" w:eastAsia="zh-CN" w:bidi="ar"/>
        </w:rPr>
        <w:t>供货通知及签订补充协议的要求时，积极配合并履行相应的供货义务，确保供货的及时性和质量等符合原合同的要求。实际招标人运营项目根据项目工艺及性质，结合小试、中试及运营项目实际使用后的情况选用，招标人的实际需求数量以招标人运营项目每次的供货通知为准，在供货期内中标人不得因招标人实际采购数量的减少或增加而要求提供任何形式的补偿或赔偿，或要求招标人按暂定采购数量采购相应货物。</w:t>
      </w:r>
    </w:p>
    <w:p>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★4、主要技术指标。</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（1）阴离子聚丙烯酰胺固体产品外观为白色或微黄色颗粒或粉末。</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（2）阴离子聚丙烯酰胺固体产品必须符合《水处理剂 阴离子和非离子型聚丙烯酰胺》（GB/T 17514-2017）合格品的质量及检测标准，主要技术指标如下：</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表1 阴离子聚丙烯酰胺主要技术指标</w:t>
      </w:r>
    </w:p>
    <w:tbl>
      <w:tblPr>
        <w:tblStyle w:val="37"/>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47"/>
        <w:gridCol w:w="4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 w:hRule="atLeast"/>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指标项目</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420" w:firstLine="42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固含量（固体）/%，≥</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420" w:firstLine="42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丙烯酰胺单体含量（干基）/%，≤</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420" w:firstLine="42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溶解时间（阴离子型）/min，≤</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420" w:firstLine="42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筛余物（1.00mm筛网）/%，≤</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420" w:firstLine="42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筛余物（180μm筛网）/%，≥</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420" w:firstLine="42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水不溶物/%，≤</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氯化物含量/%，≤</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硫酸盐含量/%，≤</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64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相对分子质量，≥</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jc w:val="center"/>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1600×10</w:t>
            </w:r>
            <w:r>
              <w:rPr>
                <w:rFonts w:hint="eastAsia" w:ascii="宋体" w:hAnsi="宋体" w:eastAsia="宋体" w:cs="宋体"/>
                <w:b/>
                <w:bCs w:val="0"/>
                <w:color w:val="auto"/>
                <w:kern w:val="2"/>
                <w:sz w:val="21"/>
                <w:szCs w:val="21"/>
                <w:vertAlign w:val="superscript"/>
                <w:lang w:val="en-US" w:eastAsia="zh-CN" w:bidi="ar"/>
              </w:rPr>
              <w:t>4</w:t>
            </w:r>
          </w:p>
        </w:tc>
      </w:tr>
    </w:tbl>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说明：具体供货货物指标在满足上表的前提下，根据招标人运营项目工艺及性质，结合小试，项目实际使用后的情况选用。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（3）供货期间，如有发布最新的行业标准或国家标准，招标人有权根据招标人运营项目实际情况及有关行业标准或国家标准对合同的主要技术指标进行变更调整，投标人应无条件接受。</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（4）投标人所供产品的真实质量，必须满足本用户需求书的所有技术指标。</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10" w:name="_Toc501"/>
      <w:r>
        <w:rPr>
          <w:rFonts w:hint="eastAsia" w:ascii="宋体" w:hAnsi="宋体" w:eastAsia="宋体" w:cs="宋体"/>
          <w:b/>
          <w:bCs/>
          <w:color w:val="auto"/>
          <w:kern w:val="2"/>
          <w:sz w:val="21"/>
          <w:szCs w:val="21"/>
          <w:lang w:val="en-US" w:eastAsia="zh-CN" w:bidi="ar"/>
        </w:rPr>
        <w:t>三、交货要求</w:t>
      </w:r>
      <w:bookmarkEnd w:id="10"/>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1、交货地点：招标人在东莞市范围内的运营项目。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2、交货时间：日常供货（非加急供货)为接到供货通知24小时内，加急供货为接到供货通知4小时内，具体交货时间以招标人运营项目供货通知为准。招标人无需因加急供货而额外支付任何费用。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中标人自行负责将生产药剂运送至招标人运营项目指定位置（生产药剂储药间），未经招标人书面同意，中标人不得私自将本合同项下的货物运输义务委托第三方个人或企业。中标人承担相应的运输、装卸等费用，运输人员应配备足够防护器具。如在运输及装卸过程中，生产药剂发生泄漏，应由中标人负责清理收集，避免造成人员伤害或环境污染。</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每次送货，中标人须提供电子地磅的称重单（含载货时的称重单和卸货后的称重单），相关费用由中标人承担。实际供货数量以招标人运营项目和中标人双方确认的净重为准，以电子地磅的称重单作为数量复核，电子地磅的称重单重量如小于净重，须按照净重补足差量，不足25kg的部分按1袋（25kg）来补足，补充的此袋不计费用。招标人运营项目有电子地磅的，原则上在招标人运营项目过磅；招标人运营项目无电子地磅或电子地磅因检修等原因不可用的，在交货地点附近的电子地磅过磅。</w:t>
      </w:r>
      <w:r>
        <w:rPr>
          <w:rFonts w:hint="eastAsia" w:ascii="宋体" w:hAnsi="宋体" w:eastAsia="宋体" w:cs="宋体"/>
          <w:color w:val="auto"/>
          <w:szCs w:val="21"/>
          <w:lang w:bidi="ar"/>
        </w:rPr>
        <w:t>招标人电子地磅的称重服务不含税单价为1.51元/吨，称重服务相关条款由招标人或招标人权属子公司与中标人签订称重服务合同另行约定。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5、每次送货，中标人须随货提供生产厂家出具的具有</w:t>
      </w:r>
      <w:r>
        <w:rPr>
          <w:rFonts w:hint="eastAsia" w:ascii="宋体" w:hAnsi="宋体" w:eastAsia="宋体" w:cs="宋体"/>
          <w:b/>
          <w:bCs/>
          <w:color w:val="auto"/>
          <w:kern w:val="2"/>
          <w:sz w:val="21"/>
          <w:szCs w:val="21"/>
          <w:lang w:val="en-US" w:eastAsia="zh-CN" w:bidi="ar"/>
        </w:rPr>
        <w:t>生产厂家、出厂批号、产品型号、相对分子质量、阴离子度、固含量、丙烯酰胺单体含量（干基）、溶解时间、水不溶物等主要信息</w:t>
      </w:r>
      <w:r>
        <w:rPr>
          <w:rFonts w:hint="eastAsia" w:ascii="宋体" w:hAnsi="宋体" w:eastAsia="宋体" w:cs="宋体"/>
          <w:color w:val="auto"/>
          <w:kern w:val="2"/>
          <w:sz w:val="21"/>
          <w:szCs w:val="21"/>
          <w:lang w:val="en-US" w:eastAsia="zh-CN" w:bidi="ar"/>
        </w:rPr>
        <w:t>的符合表1《阴离子聚丙烯酰胺主要技术指标》要求的产品质量检验报告（如出厂检验报告、质量检验报告等）、供货单据等资料，中标人提供的检验报告只作为招标人运营项目参考。</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6、供货期间，在收到招标人运营项目供货通知前，中标人无需为合同履行做准备工作。招标人运营项目相关信息见附件，仅供投标人报价参考。</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7、关于生产药剂的贮存装置、贮存条件等要求，中标人应详细以书面形式告知招标人运营项目。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8、生产药剂的运送及输送方式应符合国家或行业规范标准。阴离子聚丙烯酰胺固体产品采用双层包装袋包装,包装规格为25kg/包。产品包装上应涂刷牢固的标志，内容包括：生产厂名、产品名称、商标、批号或生产日期、净质量、厂址、执行的标准编号及GB/T 191规定的“怕热”和“怕湿”标志。运输过程防止药剂泄漏并避免有毒物品的污染。其余包装及运输要求需符合《水处理剂 阴离子和非离子型聚丙烯酰胺》（GB/T 17514-2017）中所列标准。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11" w:name="_Toc28112"/>
      <w:r>
        <w:rPr>
          <w:rFonts w:hint="eastAsia" w:ascii="宋体" w:hAnsi="宋体" w:eastAsia="宋体" w:cs="宋体"/>
          <w:b/>
          <w:bCs/>
          <w:color w:val="auto"/>
          <w:kern w:val="2"/>
          <w:sz w:val="21"/>
          <w:szCs w:val="21"/>
          <w:lang w:val="en-US" w:eastAsia="zh-CN" w:bidi="ar"/>
        </w:rPr>
        <w:t>四、验收要求</w:t>
      </w:r>
      <w:bookmarkEnd w:id="11"/>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1、验收分为货到交货地点的初步验收，和货物检验合格后的最终验收。</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（1）初步验收：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1）货物运抵交货地点，招标人运营项目、中标人共同验货。招标人运营项目按照本项目合同及招标文件，对货物的数量、品种、随车产品质量检验报告、供货单据等进行核对。</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2）初步验收合格后，招标人运营项目、中标人双方进行相关签收手续。</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（2）最终验收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招标人运营项目对每次供货货物检验，检验指标由招标人在表1《阴离子聚丙烯酰胺主要技术指标》中选择，固含量为每次供货货物的批检检验指标，其余指标为招标人根据需要抽检的按需检验指标，货物批检检验指标和按需检验指标由招标人根据招标人关于药剂的管理制度及要求适时调整。每次货到现场时可由双方共同取样，供货货物合格判定以招标人运营项目实验室检验结果为准。招标人根据需要可委托具有检测产品CMA认证资质的第三方检测机构检测，招标人委托的具有检测产品CMA认证资质的第三方检测机构的检验结果与招标人运营项目实验室不一致的，该次的供货货物质量判定以招标人委托的具有检测产品CMA认证资质的第三方检测机构的检验结果为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2）货物检验方法按《水处理剂 阴离子和非离子型聚丙烯酰胺》（GB/T 17514-2017）中的检测方法进行。供货期间，如有发布最新的行业标准或国家标准，货物检验方法按发布的最新行业标准或国家标准执行。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3）如供货货物符合表1《阴离子聚丙烯酰胺主要技术指标》要求则最终验收合格。</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2、货物按上述程序验收后，招标人运营项目向中标人出具书面的验收报告，中标人需对验收报告盖章确认。验收报告作为对货物供货数量及主要技术指标验收的证明，不代表对货物使用效果的认可。</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3、招标人运营项目根据本条规定对货物所做出的验收，仅作为起算付款及质保期之用，不视为双方对于货物质量的最终认可，中标人仍应在质保期内对产品质量承担保证责任。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货物在经最终验收合格前，其损耗、毁损、灭失等风险及责任由中标人承担，如因发生前述情形，导致中标人所提供的货物不能通过招标人运营项目验收的，中标人应按招标人运营项目要求无条件予以退换货，给招标人造成损失的中标人须承担全部的赔偿责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12" w:name="_Toc4185"/>
      <w:r>
        <w:rPr>
          <w:rFonts w:hint="eastAsia" w:ascii="宋体" w:hAnsi="宋体" w:eastAsia="宋体" w:cs="宋体"/>
          <w:b/>
          <w:bCs/>
          <w:color w:val="auto"/>
          <w:kern w:val="2"/>
          <w:sz w:val="21"/>
          <w:szCs w:val="21"/>
          <w:lang w:val="en-US" w:eastAsia="zh-CN" w:bidi="ar"/>
        </w:rPr>
        <w:t>五、资料要求</w:t>
      </w:r>
      <w:bookmarkEnd w:id="12"/>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1、中标人需向招标人运营项目提供但不限于下述技术资料：</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（1）符合第三条交货要求第5点要求的产品质量检验报告（如出厂检验报告、质量检验报告等）、供货单据；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（2）验收报告；</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（3）与货物使用相关的其他文件；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（4）招标人运营项目要求提供的其他技术资料。</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2、中标人需将上述资料（若上述资料为复印件的，则须加盖中标人公章）在交货时交给招标人运营项目，有关资料的收集和整理由中标人负责，招标人运营项目予以配合。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供货期内，中标人需每季度委托具有CMA认证资质的第三方检测机构对供货期间所供货物进行检测，并提供第三方检测机构出具的符合表1《阴离子聚丙烯酰胺主要技术指标》要求的检验报告，检验报告上的标徽应包括但不限于CMA认证标徽，</w:t>
      </w:r>
      <w:r>
        <w:rPr>
          <w:rFonts w:hint="eastAsia" w:ascii="宋体" w:hAnsi="宋体" w:eastAsia="宋体" w:cs="宋体"/>
          <w:b/>
          <w:bCs/>
          <w:color w:val="auto"/>
          <w:kern w:val="2"/>
          <w:sz w:val="21"/>
          <w:szCs w:val="21"/>
          <w:lang w:val="en-US" w:eastAsia="zh-CN" w:bidi="ar"/>
        </w:rPr>
        <w:t>检验报告需体现委托方、生产厂家、送检样品的产品名称、型号、生产批号或生产日期、表1《阴离子聚丙烯酰胺主要技术指标》中各指标项目检测结果，检验报告使用的检测方法需符合《水处理剂 阴离子和非离子型聚丙烯酰胺》（GB/T 17514-2017），检验报告中样品送检时间需在供货期内。</w:t>
      </w:r>
      <w:r>
        <w:rPr>
          <w:rFonts w:hint="eastAsia" w:ascii="宋体" w:hAnsi="宋体" w:eastAsia="宋体" w:cs="宋体"/>
          <w:color w:val="auto"/>
          <w:kern w:val="2"/>
          <w:sz w:val="21"/>
          <w:szCs w:val="21"/>
          <w:lang w:val="en-US" w:eastAsia="zh-CN" w:bidi="ar"/>
        </w:rPr>
        <w:t>中标人所供货物涉及多种型号的，由招标人在所供的型号中选择其中一种型号由中标人进行委托检测。供货期间，如有发布最新的行业标准或国家标准，货物检验方法按发布的最新行业标准或国家标准执行。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4、中标人提交的技术资料在出现遗漏或发现错误时，应及时补充或更正后提交招标人运营项目。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13" w:name="_Toc18790"/>
      <w:r>
        <w:rPr>
          <w:rFonts w:hint="eastAsia" w:ascii="宋体" w:hAnsi="宋体" w:eastAsia="宋体" w:cs="宋体"/>
          <w:b/>
          <w:bCs/>
          <w:color w:val="auto"/>
          <w:kern w:val="2"/>
          <w:sz w:val="21"/>
          <w:szCs w:val="21"/>
          <w:lang w:val="en-US" w:eastAsia="zh-CN" w:bidi="ar"/>
        </w:rPr>
        <w:t>六、质量保证及售后要求</w:t>
      </w:r>
      <w:bookmarkEnd w:id="13"/>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1、药剂保质期：</w:t>
      </w:r>
      <w:r>
        <w:rPr>
          <w:rFonts w:hint="eastAsia" w:ascii="宋体" w:hAnsi="宋体" w:eastAsia="宋体" w:cs="宋体"/>
          <w:b/>
          <w:bCs/>
          <w:color w:val="auto"/>
          <w:kern w:val="2"/>
          <w:sz w:val="21"/>
          <w:szCs w:val="21"/>
          <w:lang w:val="en-US" w:eastAsia="zh-CN" w:bidi="ar"/>
        </w:rPr>
        <w:t>以货到现场之日算起12个月</w:t>
      </w:r>
      <w:r>
        <w:rPr>
          <w:rFonts w:hint="eastAsia" w:ascii="宋体" w:hAnsi="宋体" w:eastAsia="宋体" w:cs="宋体"/>
          <w:color w:val="auto"/>
          <w:kern w:val="2"/>
          <w:sz w:val="21"/>
          <w:szCs w:val="21"/>
          <w:lang w:val="en-US" w:eastAsia="zh-CN" w:bidi="ar"/>
        </w:rPr>
        <w:t>，保质期内产品质量须达到本用户需求书所有技术指标要求。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2、投标人应具有相应的技术人员，具备供货及售前售后的服务能力。</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3、中标人在接到质量问题通知后 4 小时内自费派工程师到达现场对问题进行处理。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4、中标人应根据招标人运营项目需要免费提供培训，相关费用已计入综合单价，招标人无需另行支付任何费用。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5、培训地点、规模及时间由招标人运营项目指定，根据培训内容复杂程度，招标人运营项目有权要求中标人提供完整的书面培训计划和方案，列明提供培训的技术人员名单及资质，以及培训完成后招标人运营项目人员可达到的水平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6、在交货或合同履行过程中，若因所交货物（包括但不限于品种、型号、规格、质量）不符合招标人运营项目要求、或货物使用过程中出现质量问题，导致中标人提供的生产药剂如不能通过招标人运营项目验收的，招标人运营项目可拒绝收货或要求中标人承担退换货责任。原则上中标人应该在不影响招标人运营项目正常生产的情况下，自招标人运营项目通知之时起4小时内无条件予以退换货，招标人不承担因验收造成的货物损耗及运输等一切费用且不对货物承担保管责任，因此产生的费用及风险由中标人承担。</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自招标人运营项目通知货物检验不合格或货物使用过程中出现质量问题而要求中标人按照前述条款进行退换货之时起4小时之内中标人未将不合格货物运离招标人运营项目仓库，招标人可自行或委托第三方对不合格货物进行处置，中标人须承担招标人处置该次不合格货物所需的全部费用，以及给招标人造成的一切损失。</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8、自招标人运营项目通知中标人货物检验不合格或货物使用过程中出现质量问题之时起，招标人有权要求中标人按照加急供货的规定，将等量的合格货物送交招标人运营项目，否则按加急供货的违约规定进行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14" w:name="_Toc887"/>
      <w:r>
        <w:rPr>
          <w:rFonts w:hint="eastAsia" w:ascii="宋体" w:hAnsi="宋体" w:eastAsia="宋体" w:cs="宋体"/>
          <w:b/>
          <w:bCs/>
          <w:color w:val="auto"/>
          <w:kern w:val="2"/>
          <w:sz w:val="21"/>
          <w:szCs w:val="21"/>
          <w:lang w:val="en-US" w:eastAsia="zh-CN" w:bidi="ar"/>
        </w:rPr>
        <w:t>七、货物的结算</w:t>
      </w:r>
      <w:bookmarkEnd w:id="14"/>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双方一致同意，中标人按规定提供了履约担保后，招标人通过以下方式以人民币支付合同款项给中标人：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合同的履约过程中，中标人根据本项目合同书约定需向招标人或招标人权属子公司支付违约金、赔偿金、或其他应付费用等款项的，中标人必须向招标人或招标人权属子公司支付完相关款项后，招标人或招标人权属子公司才根据合同书约定向中标人支付合同价和税额。若因中标人未能支付前述费用，影响项目实施的，招标人或招标人权属子公司有权启用履约担保或直接从未付合同款项中直接扣除，且中标人必须按照扣除前述费用前的合同价（销售额）开具增值税专用发票，保证增值税税额符合法律规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2、货物供货的款项按招标人运营项目进行支付、结算。货物供货的款项每月按实结算。招标人运营项目收到货物并最终验收合格后，每月中旬办理支付上月实际供货量的款项。</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中标人向招标人运营项目提交请款报告和请款金额等额的合法、有效的增值税专用发票，招标人或招标人权属子公司在收到前述材料并确认无误后30个工作日内支付结算上月实际供货量的应付货款和该货款对应的税额给中标人。</w:t>
      </w:r>
    </w:p>
    <w:p>
      <w:pPr>
        <w:pStyle w:val="3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4、支付方式：支付方式为银行转账或银行承兑汇票，汇票期限不超过三个月，每期款项支付方式由招标人或招标人权属子公司决定。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5、中标人迟延提供发票或提供的请款报告、发票不符合要求的，招标人或招标人权属子公司的付款时间可相应顺延，且招标人或招标人权属子公司不因此承担任何责任。因支付产生的相关银行手续费用，根据有关银行规定执行，如不能明确的，由双方各承担50%。由于中标人提供的发票不符合税法规定，给招标人或招标人权属子公司造成的损失由中标人承担全部的赔偿责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color w:val="auto"/>
          <w:kern w:val="2"/>
          <w:sz w:val="21"/>
          <w:szCs w:val="21"/>
        </w:rPr>
      </w:pPr>
      <w:bookmarkStart w:id="15" w:name="_Toc4107"/>
      <w:r>
        <w:rPr>
          <w:rFonts w:hint="eastAsia" w:ascii="宋体" w:hAnsi="宋体" w:eastAsia="宋体" w:cs="宋体"/>
          <w:b/>
          <w:bCs/>
          <w:color w:val="auto"/>
          <w:kern w:val="2"/>
          <w:sz w:val="21"/>
          <w:szCs w:val="21"/>
          <w:lang w:val="en-US" w:eastAsia="zh-CN" w:bidi="ar"/>
        </w:rPr>
        <w:t>八、其它</w:t>
      </w:r>
      <w:bookmarkEnd w:id="15"/>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1、日常供货（非加急供货）时，中标人未在约定的时间内完成交货，或未在规定的时间内承担相应的更换、退货责任的，每逾期2小时，招标人或招标人权属子公司有权要求中标人按该次货物</w:t>
      </w:r>
      <w:bookmarkStart w:id="16" w:name="OLE_LINK4"/>
      <w:r>
        <w:rPr>
          <w:rFonts w:hint="eastAsia" w:ascii="宋体" w:hAnsi="宋体" w:eastAsia="宋体" w:cs="宋体"/>
          <w:color w:val="auto"/>
          <w:szCs w:val="21"/>
          <w:highlight w:val="none"/>
          <w:lang w:val="en-US" w:eastAsia="zh-CN"/>
        </w:rPr>
        <w:t>含税</w:t>
      </w:r>
      <w:bookmarkEnd w:id="16"/>
      <w:r>
        <w:rPr>
          <w:rFonts w:hint="eastAsia" w:ascii="宋体" w:hAnsi="宋体" w:eastAsia="宋体" w:cs="宋体"/>
          <w:color w:val="auto"/>
          <w:szCs w:val="21"/>
          <w:highlight w:val="none"/>
          <w:lang w:val="en-US" w:eastAsia="zh-CN"/>
        </w:rPr>
        <w:t>应付</w:t>
      </w:r>
      <w:r>
        <w:rPr>
          <w:rFonts w:hint="eastAsia" w:ascii="宋体" w:hAnsi="宋体" w:eastAsia="宋体" w:cs="宋体"/>
          <w:color w:val="auto"/>
          <w:kern w:val="2"/>
          <w:sz w:val="21"/>
          <w:szCs w:val="21"/>
          <w:highlight w:val="none"/>
          <w:lang w:val="en-US" w:eastAsia="zh-CN" w:bidi="ar"/>
        </w:rPr>
        <w:t>货款的1%向招标人或招标人权属子公司支付违约金。中标人逾期超过12小时的，招标人或招标人权属子公司有权单方解除合同，并且没收中标人的部分或全部履约担保，中标人除支付前述逾期违约金外，招标人或招标人权属子公司有权要求中标人额外按该次货物</w:t>
      </w:r>
      <w:r>
        <w:rPr>
          <w:rFonts w:hint="eastAsia" w:ascii="宋体" w:hAnsi="宋体" w:eastAsia="宋体" w:cs="宋体"/>
          <w:color w:val="auto"/>
          <w:szCs w:val="21"/>
          <w:highlight w:val="none"/>
          <w:lang w:val="en-US" w:eastAsia="zh-CN"/>
        </w:rPr>
        <w:t>含税应付</w:t>
      </w:r>
      <w:r>
        <w:rPr>
          <w:rFonts w:hint="eastAsia" w:ascii="宋体" w:hAnsi="宋体" w:eastAsia="宋体" w:cs="宋体"/>
          <w:color w:val="auto"/>
          <w:kern w:val="2"/>
          <w:sz w:val="21"/>
          <w:szCs w:val="21"/>
          <w:highlight w:val="none"/>
          <w:lang w:val="en-US" w:eastAsia="zh-CN" w:bidi="ar"/>
        </w:rPr>
        <w:t>货款的5%向招标人或招标人权属子公司支付违约金，违约金不足以赔偿招标人或招标人权属子公司损失的，中标人需另行赔偿。</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2、加急供货时，中标人未在约定的时间内完成交货的，或未在规定的时间内承担相应的更换、退货责任的，每逾期1小时，招标人或招标人权属子公司有权要求中标人按该次货物</w:t>
      </w:r>
      <w:r>
        <w:rPr>
          <w:rFonts w:hint="eastAsia" w:ascii="宋体" w:hAnsi="宋体" w:eastAsia="宋体" w:cs="宋体"/>
          <w:color w:val="auto"/>
          <w:szCs w:val="21"/>
          <w:highlight w:val="none"/>
          <w:lang w:val="en-US" w:eastAsia="zh-CN"/>
        </w:rPr>
        <w:t>含税应付</w:t>
      </w:r>
      <w:r>
        <w:rPr>
          <w:rFonts w:hint="eastAsia" w:ascii="宋体" w:hAnsi="宋体" w:eastAsia="宋体" w:cs="宋体"/>
          <w:color w:val="auto"/>
          <w:kern w:val="2"/>
          <w:sz w:val="21"/>
          <w:szCs w:val="21"/>
          <w:highlight w:val="none"/>
          <w:lang w:val="en-US" w:eastAsia="zh-CN" w:bidi="ar"/>
        </w:rPr>
        <w:t>货款的10%向招标人或招标人权属子公司支付违约金，中标人逾期超过4小时的，招标人或招标人权属子公司有权单方解除合同，并且没收中标人的部分或全部履约担保，中标人除前述逾期违约金外，招标人或招标人权属子公司有权要求中标人额外按该次货物</w:t>
      </w:r>
      <w:r>
        <w:rPr>
          <w:rFonts w:hint="eastAsia" w:ascii="宋体" w:hAnsi="宋体" w:eastAsia="宋体" w:cs="宋体"/>
          <w:color w:val="auto"/>
          <w:szCs w:val="21"/>
          <w:highlight w:val="none"/>
          <w:lang w:val="en-US" w:eastAsia="zh-CN"/>
        </w:rPr>
        <w:t>含税应付</w:t>
      </w:r>
      <w:r>
        <w:rPr>
          <w:rFonts w:hint="eastAsia" w:ascii="宋体" w:hAnsi="宋体" w:eastAsia="宋体" w:cs="宋体"/>
          <w:color w:val="auto"/>
          <w:kern w:val="2"/>
          <w:sz w:val="21"/>
          <w:szCs w:val="21"/>
          <w:highlight w:val="none"/>
          <w:lang w:val="en-US" w:eastAsia="zh-CN" w:bidi="ar"/>
        </w:rPr>
        <w:t>货款的20%向招标人或招标人权属子公司支付违约金，违约金不足以赔偿招标人或招标人权属子公司损失的，中标人需另行赔偿。</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中标人所交货物经招标人运营项目实验室或招标人委托的第三方检测机构检验累计出现3次（含）以上不合格的，招标人或招标人权属子公司有权单方中止或解除合同，暂停或取消中标人的供货资格，并根据对生产造成影响的严重程度，没收中标人的部分或全部履约担保。</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4、中标人应根据招标人运营项目工艺以及性质，配合招标人运营项目进行小试、中试，提供符合技术指标的药剂，保证供货的药剂在招标人运营项目良好的使用效果。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5、如因药剂问题对招标人或招标人权属子公司生产、成本造成影响，招标人或招标人权属子公司有权要求中标人按该次货物</w:t>
      </w:r>
      <w:bookmarkStart w:id="17" w:name="OLE_LINK1"/>
      <w:r>
        <w:rPr>
          <w:rFonts w:hint="eastAsia" w:ascii="宋体" w:hAnsi="宋体" w:eastAsia="宋体" w:cs="宋体"/>
          <w:color w:val="auto"/>
          <w:szCs w:val="21"/>
          <w:highlight w:val="none"/>
          <w:lang w:val="en-US" w:eastAsia="zh-CN"/>
        </w:rPr>
        <w:t>含税</w:t>
      </w:r>
      <w:bookmarkEnd w:id="17"/>
      <w:r>
        <w:rPr>
          <w:rFonts w:hint="eastAsia" w:ascii="宋体" w:hAnsi="宋体" w:eastAsia="宋体" w:cs="宋体"/>
          <w:color w:val="auto"/>
          <w:szCs w:val="21"/>
          <w:highlight w:val="none"/>
          <w:lang w:val="en-US" w:eastAsia="zh-CN"/>
        </w:rPr>
        <w:t>应付</w:t>
      </w:r>
      <w:r>
        <w:rPr>
          <w:rFonts w:hint="eastAsia" w:ascii="宋体" w:hAnsi="宋体" w:eastAsia="宋体" w:cs="宋体"/>
          <w:color w:val="auto"/>
          <w:kern w:val="2"/>
          <w:sz w:val="21"/>
          <w:szCs w:val="21"/>
          <w:highlight w:val="none"/>
          <w:lang w:val="en-US" w:eastAsia="zh-CN" w:bidi="ar"/>
        </w:rPr>
        <w:t>货款的20%向招标人或招标人权属子公司支付违约金，违约金不足以赔偿招标人或招标人权属子公司损失的，中标人需另行赔偿，同时根据对招标人或招标人权属子公司生产、成本造成影响的严重程度，招标人或招标人权属子公司有权没收中标人的部分或全部履约担保。</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如中标人提供的药剂严重影响招标人运营项目生产或造成招标人运营项目出水水质指标超标的情况，招标人或招标人权属子公司有权追究中标人由此造成的损失，并有权单方面中止或解除合同，取消其供货资格，没收全部履约担保。</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对于货物最终验收不合格且招标人运营项目已经开始使用或者使用完毕无法退换的，货款按照以下方式处理：①若招标人或招标人权属子公司已支付货款的，则中标人应向招标人或招标人权属子公司退还已支付的货款；②若招标人或招标人权属子公司未支付货款的，则招标人或招标人权属子公司无需支付货款。</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若中标人对招标人运营项目验收结果有异议，中标人应自招标人运营项目书面告知中标人检验结果24小时内，书面要求通过中标人和招标人或招标人权属子公司双方确认的具有检测产品CMA认证资质的第三方单位对留样货物进行检测，最终供货产品质量判定以中标人和招标人或招标人权属子公司双方确认的具有检测产品CMA认证资质的第三方检测机构检验结果为准；因此产生的检测费、运输费等全部费用均由中标人承担。</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授予合同前或合同履行中，招标人或招标人权属子公司有权实地核查中标人在投标时提供的分支机构或服务机构的场地、生产/储存/运输设备设施及能力等材料的符合性，若发现虚假将取消中标资格，且招标人或招标人权属子公司有权终止合同。因此给招标人或招标人权属子公司造成损失的，全部由中标人承担。</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招标人或招标人权属子公司在招标文件及合同约定的供货期限和采购范围内，招标人或招标人权属子公司有权根据项目实际情况及有关法律法规、政策的规定进行变更调整。在变更调整后，中标人应遵照执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中标人应当为其工作人员投保足额的社会保险、商业保险及为货物的运输投保足额的商业保险，如在运输及装卸过程中，相关生产药剂发生泄漏而导致的一切人员伤亡或财产损失事故，因此产生的赔偿责任或相关法律责任均由中标人自行承担。凡由于货物包装不良、运输方式不当或非法运输造成的事故、损失、行政处罚和由此产生的其他全部费用均由中标人全部承担。</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12、中标人有义务接受招标人或招标人权属子公司的监督、评价及考核，且同意招标人或招标人权属子公司关于供货资格供应商的管理规则及要求。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13、招标人运营项目每月在付款手续前对中标人的履约情况进行评价，填写《供应商履约评价表》。考核评分满分为100分，考核评分分数低于80分、达到60分时，中标人应按该月货物</w:t>
      </w:r>
      <w:r>
        <w:rPr>
          <w:rFonts w:hint="eastAsia" w:ascii="宋体" w:hAnsi="宋体" w:eastAsia="宋体" w:cs="宋体"/>
          <w:color w:val="auto"/>
          <w:szCs w:val="21"/>
          <w:highlight w:val="none"/>
          <w:lang w:val="en-US" w:eastAsia="zh-CN"/>
        </w:rPr>
        <w:t>含税应付</w:t>
      </w:r>
      <w:r>
        <w:rPr>
          <w:rFonts w:hint="eastAsia" w:ascii="宋体" w:hAnsi="宋体" w:eastAsia="宋体" w:cs="宋体"/>
          <w:color w:val="auto"/>
          <w:kern w:val="2"/>
          <w:sz w:val="21"/>
          <w:szCs w:val="21"/>
          <w:highlight w:val="none"/>
          <w:lang w:val="en-US" w:eastAsia="zh-CN" w:bidi="ar"/>
        </w:rPr>
        <w:t>货款的20%向招标人或招标人权属子公司支付违约金；考核评分分数低于60分时，中标人应按该月货物</w:t>
      </w:r>
      <w:r>
        <w:rPr>
          <w:rFonts w:hint="eastAsia" w:ascii="宋体" w:hAnsi="宋体" w:eastAsia="宋体" w:cs="宋体"/>
          <w:color w:val="auto"/>
          <w:szCs w:val="21"/>
          <w:highlight w:val="none"/>
          <w:lang w:val="en-US" w:eastAsia="zh-CN"/>
        </w:rPr>
        <w:t>含税应付</w:t>
      </w:r>
      <w:r>
        <w:rPr>
          <w:rFonts w:hint="eastAsia" w:ascii="宋体" w:hAnsi="宋体" w:eastAsia="宋体" w:cs="宋体"/>
          <w:color w:val="auto"/>
          <w:kern w:val="2"/>
          <w:sz w:val="21"/>
          <w:szCs w:val="21"/>
          <w:highlight w:val="none"/>
          <w:lang w:val="en-US" w:eastAsia="zh-CN" w:bidi="ar"/>
        </w:rPr>
        <w:t>货款的30%向招标人或招标人权属子公司支付违约金。若供货期内累计出现3次（含）以上评审结论为不合格的，招标人或招标人权属子公司有权取消中标人的供货资格并单方解除合同、没收中标人部分或全部履约担保。</w:t>
      </w:r>
    </w:p>
    <w:p>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 xml:space="preserve">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附件</w:t>
      </w:r>
      <w:r>
        <w:rPr>
          <w:rFonts w:hint="eastAsia" w:ascii="宋体" w:hAnsi="宋体" w:eastAsia="宋体" w:cs="宋体"/>
          <w:color w:val="auto"/>
          <w:szCs w:val="21"/>
          <w:lang w:val="en-US" w:eastAsia="zh-CN"/>
        </w:rPr>
        <w:t>1</w:t>
      </w:r>
      <w:r>
        <w:rPr>
          <w:rFonts w:hint="eastAsia" w:ascii="宋体" w:hAnsi="宋体" w:eastAsia="宋体" w:cs="宋体"/>
          <w:color w:val="auto"/>
          <w:szCs w:val="21"/>
        </w:rPr>
        <w:t>：招标人运营项目相关信息</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附件2：验收报告（模板）</w:t>
      </w:r>
    </w:p>
    <w:p>
      <w:pPr>
        <w:spacing w:line="360" w:lineRule="auto"/>
        <w:ind w:firstLine="420" w:firstLineChars="200"/>
        <w:rPr>
          <w:rFonts w:hint="eastAsia" w:ascii="宋体" w:hAnsi="宋体" w:eastAsia="宋体" w:cs="宋体"/>
          <w:color w:val="auto"/>
          <w:szCs w:val="21"/>
          <w:lang w:bidi="ar"/>
        </w:rPr>
        <w:sectPr>
          <w:footerReference r:id="rId4" w:type="first"/>
          <w:footerReference r:id="rId3" w:type="default"/>
          <w:pgSz w:w="12240" w:h="15840"/>
          <w:pgMar w:top="1191" w:right="1043" w:bottom="1191" w:left="1043" w:header="720" w:footer="720" w:gutter="0"/>
          <w:cols w:space="720" w:num="1"/>
          <w:titlePg/>
          <w:docGrid w:linePitch="326" w:charSpace="0"/>
        </w:sectPr>
      </w:pPr>
      <w:r>
        <w:rPr>
          <w:rFonts w:hint="eastAsia" w:ascii="宋体" w:hAnsi="宋体" w:eastAsia="宋体" w:cs="宋体"/>
          <w:color w:val="auto"/>
          <w:szCs w:val="21"/>
          <w:lang w:val="en-US" w:eastAsia="zh-CN"/>
        </w:rPr>
        <w:t>附件3：</w:t>
      </w:r>
      <w:r>
        <w:rPr>
          <w:rFonts w:hint="eastAsia" w:ascii="宋体" w:hAnsi="宋体" w:eastAsia="宋体" w:cs="宋体"/>
          <w:color w:val="auto"/>
          <w:szCs w:val="21"/>
          <w:lang w:bidi="ar"/>
        </w:rPr>
        <w:t>供应商履约评价表</w:t>
      </w:r>
    </w:p>
    <w:p>
      <w:pPr>
        <w:keepNext w:val="0"/>
        <w:keepLines w:val="0"/>
        <w:pageBreakBefore/>
        <w:widowControl w:val="0"/>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b/>
          <w:bCs/>
          <w:color w:val="auto"/>
          <w:kern w:val="2"/>
          <w:sz w:val="21"/>
          <w:szCs w:val="21"/>
          <w:lang w:val="en-US" w:eastAsia="zh-CN" w:bidi="ar"/>
        </w:rPr>
        <w:t>附件1：</w:t>
      </w:r>
      <w:r>
        <w:rPr>
          <w:rFonts w:hint="eastAsia" w:ascii="宋体" w:hAnsi="宋体" w:eastAsia="宋体" w:cs="宋体"/>
          <w:b/>
          <w:color w:val="auto"/>
          <w:kern w:val="2"/>
          <w:sz w:val="21"/>
          <w:szCs w:val="21"/>
          <w:highlight w:val="none"/>
        </w:rPr>
        <w:t>招标人运营项目相关信息</w:t>
      </w:r>
    </w:p>
    <w:tbl>
      <w:tblPr>
        <w:tblStyle w:val="37"/>
        <w:tblW w:w="4932"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5"/>
        <w:gridCol w:w="2991"/>
        <w:gridCol w:w="4243"/>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bookmarkStart w:id="24" w:name="_GoBack"/>
            <w:r>
              <w:rPr>
                <w:rFonts w:hint="eastAsia" w:ascii="宋体" w:hAnsi="宋体" w:eastAsia="宋体" w:cs="宋体"/>
                <w:b/>
                <w:bCs/>
                <w:i w:val="0"/>
                <w:iCs w:val="0"/>
                <w:color w:val="auto"/>
                <w:kern w:val="0"/>
                <w:sz w:val="21"/>
                <w:szCs w:val="21"/>
                <w:u w:val="none"/>
                <w:lang w:val="en-US" w:eastAsia="zh-CN" w:bidi="ar"/>
              </w:rPr>
              <w:t>序号</w:t>
            </w:r>
          </w:p>
        </w:tc>
        <w:tc>
          <w:tcPr>
            <w:tcW w:w="146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项目名称</w:t>
            </w:r>
          </w:p>
        </w:tc>
        <w:tc>
          <w:tcPr>
            <w:tcW w:w="2074"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项目地址</w:t>
            </w:r>
          </w:p>
        </w:tc>
        <w:tc>
          <w:tcPr>
            <w:tcW w:w="108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val="0"/>
                <w:color w:val="auto"/>
                <w:kern w:val="2"/>
                <w:sz w:val="21"/>
                <w:szCs w:val="21"/>
                <w:highlight w:val="none"/>
                <w:vertAlign w:val="baseline"/>
                <w:lang w:val="en-US" w:eastAsia="zh-CN"/>
              </w:rPr>
              <w:t>预计年送货量（吨</w:t>
            </w:r>
            <w:r>
              <w:rPr>
                <w:rFonts w:hint="eastAsia" w:ascii="宋体" w:hAnsi="宋体" w:eastAsia="宋体" w:cs="宋体"/>
                <w:b/>
                <w:bCs/>
                <w:color w:val="auto"/>
                <w:kern w:val="0"/>
                <w:sz w:val="21"/>
                <w:szCs w:val="21"/>
                <w:highlight w:val="none"/>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00" w:type="pct"/>
            <w:gridSpan w:val="4"/>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一、污水处理厂项目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厚街沙塘污水处理厂二期</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东莞市厚街镇沙塘村沙隆路39号</w:t>
            </w:r>
          </w:p>
        </w:tc>
        <w:tc>
          <w:tcPr>
            <w:tcW w:w="108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98.411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虎门宁洲污水处理厂二期</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虎门镇南栅社区民昌路第六工业区九巷5号</w:t>
            </w:r>
          </w:p>
        </w:tc>
        <w:tc>
          <w:tcPr>
            <w:tcW w:w="108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106.061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虎门宁洲污水处理厂三期</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虎门镇南栅社区民昌路第六工业区九巷5号</w:t>
            </w:r>
          </w:p>
        </w:tc>
        <w:tc>
          <w:tcPr>
            <w:tcW w:w="108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54.890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沙田福禄沙污水处理厂二期</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东莞市沙田镇洲仔路1号2栋101室</w:t>
            </w:r>
          </w:p>
        </w:tc>
        <w:tc>
          <w:tcPr>
            <w:tcW w:w="108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22.277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大岭山连马污水处理厂二期</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东莞市大岭山镇连马路159号102室</w:t>
            </w:r>
          </w:p>
        </w:tc>
        <w:tc>
          <w:tcPr>
            <w:tcW w:w="108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58.354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东城温塘污水处理厂二期</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东莞市东城街道创盈路东城段86号</w:t>
            </w:r>
          </w:p>
        </w:tc>
        <w:tc>
          <w:tcPr>
            <w:tcW w:w="108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7.916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黄江污水处理厂二期</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东莞市黄江镇合路村创业一路一号</w:t>
            </w:r>
          </w:p>
        </w:tc>
        <w:tc>
          <w:tcPr>
            <w:tcW w:w="108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41.565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462" w:type="pct"/>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寮步竹园污水处理厂三期</w:t>
            </w:r>
          </w:p>
        </w:tc>
        <w:tc>
          <w:tcPr>
            <w:tcW w:w="2074" w:type="pct"/>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东莞市寮步镇竹园村横岭工业区18号</w:t>
            </w:r>
          </w:p>
        </w:tc>
        <w:tc>
          <w:tcPr>
            <w:tcW w:w="1083"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23.296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常平东污水处理厂二期</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东莞市常平镇沙湖口村污水处理厂二期</w:t>
            </w:r>
          </w:p>
        </w:tc>
        <w:tc>
          <w:tcPr>
            <w:tcW w:w="108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35.610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常平西污水处理厂二期</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东莞市常平镇常平沿河东一路20号</w:t>
            </w:r>
          </w:p>
        </w:tc>
        <w:tc>
          <w:tcPr>
            <w:tcW w:w="108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18.023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横沥东坑污水处理厂二期</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东莞市横沥镇石涌恒富路1号1号楼101室</w:t>
            </w:r>
          </w:p>
        </w:tc>
        <w:tc>
          <w:tcPr>
            <w:tcW w:w="108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47.805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凤岗虾公潭污水处理厂</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东莞市凤岗镇油甘埔村同兴路3号101</w:t>
            </w:r>
          </w:p>
        </w:tc>
        <w:tc>
          <w:tcPr>
            <w:tcW w:w="108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2.453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樟木头裕丰</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东莞市樟木头镇裕丰社区莞樟东路西侧</w:t>
            </w:r>
          </w:p>
        </w:tc>
        <w:tc>
          <w:tcPr>
            <w:tcW w:w="1083"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2.339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清溪厦坭污水处理厂二期</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东莞市清溪镇江背路33号</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14.468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松山湖工业改造项目</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Cs w:val="21"/>
                <w:u w:val="none"/>
                <w:lang w:bidi="ar"/>
              </w:rPr>
              <w:t>东莞市松山湖阿里山路12号</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10.920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黄江梅塘污水处理厂</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广东省东莞市黄江镇星光村附件</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12.625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塘厦大坪污水处理厂一期</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32.760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00" w:type="pct"/>
            <w:gridSpan w:val="4"/>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二、分散式及一体化项目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6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居委会旧头村分散式站点</w:t>
            </w:r>
          </w:p>
        </w:tc>
        <w:tc>
          <w:tcPr>
            <w:tcW w:w="2074"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46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林村隔水分散式站点</w:t>
            </w:r>
          </w:p>
        </w:tc>
        <w:tc>
          <w:tcPr>
            <w:tcW w:w="2074"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46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林村六岭分散式站点</w:t>
            </w:r>
          </w:p>
        </w:tc>
        <w:tc>
          <w:tcPr>
            <w:tcW w:w="2074"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46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宝山水六岭一体化应急污水处理设施</w:t>
            </w:r>
          </w:p>
        </w:tc>
        <w:tc>
          <w:tcPr>
            <w:tcW w:w="2074"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46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平山旧围分散式站点</w:t>
            </w:r>
          </w:p>
        </w:tc>
        <w:tc>
          <w:tcPr>
            <w:tcW w:w="2074"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46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石马韩屋分散式站点</w:t>
            </w:r>
          </w:p>
        </w:tc>
        <w:tc>
          <w:tcPr>
            <w:tcW w:w="2074"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0.241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146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莲湖水口围分散式站点</w:t>
            </w:r>
          </w:p>
        </w:tc>
        <w:tc>
          <w:tcPr>
            <w:tcW w:w="2074"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146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牛眠埔分散式站点</w:t>
            </w:r>
          </w:p>
        </w:tc>
        <w:tc>
          <w:tcPr>
            <w:tcW w:w="2074"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146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石头岭分散式站点</w:t>
            </w:r>
          </w:p>
        </w:tc>
        <w:tc>
          <w:tcPr>
            <w:tcW w:w="2074"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46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谢岗南面村1号站</w:t>
            </w:r>
          </w:p>
        </w:tc>
        <w:tc>
          <w:tcPr>
            <w:tcW w:w="2074"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0.518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1462"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谢岗南面村2号站</w:t>
            </w:r>
          </w:p>
        </w:tc>
        <w:tc>
          <w:tcPr>
            <w:tcW w:w="2074"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0.235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分散式污水处理设施（檀香岛）EPC-O项目</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农村分散式污水处理设施（下马四一村）EPC-O项目</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0.874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分散式污水处理设施华阳村EPC-O项目</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分散式污水处理设施南洲村EPC-O项目</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79" w:type="pct"/>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462"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auto"/>
                <w:kern w:val="0"/>
                <w:szCs w:val="21"/>
                <w:u w:val="none"/>
                <w:lang w:bidi="ar"/>
              </w:rPr>
              <w:t>分散式污水处理设施大盛村EPC-O项目</w:t>
            </w:r>
          </w:p>
        </w:tc>
        <w:tc>
          <w:tcPr>
            <w:tcW w:w="2074" w:type="pct"/>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w:t>
            </w:r>
          </w:p>
        </w:tc>
        <w:tc>
          <w:tcPr>
            <w:tcW w:w="221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2.517 </w:t>
            </w:r>
          </w:p>
        </w:tc>
      </w:tr>
      <w:bookmarkEnd w:id="24"/>
    </w:tbl>
    <w:p>
      <w:pPr>
        <w:rPr>
          <w:rFonts w:ascii="宋体" w:hAnsi="宋体" w:eastAsia="宋体" w:cs="宋体"/>
          <w:color w:val="auto"/>
          <w:szCs w:val="24"/>
          <w:highlight w:val="none"/>
          <w:lang w:val="zh-CN"/>
        </w:rPr>
      </w:pPr>
      <w:r>
        <w:rPr>
          <w:rFonts w:hint="eastAsia" w:ascii="宋体" w:hAnsi="宋体" w:eastAsia="宋体" w:cs="宋体"/>
          <w:b/>
          <w:color w:val="auto"/>
          <w:kern w:val="2"/>
          <w:sz w:val="21"/>
          <w:szCs w:val="21"/>
          <w:highlight w:val="none"/>
        </w:rPr>
        <w:t>备注：以上运营项目为暂定，具体情况以实际为准，如有疑问可实地考察。</w:t>
      </w:r>
    </w:p>
    <w:p/>
    <w:p>
      <w:pPr>
        <w:sectPr>
          <w:footerReference r:id="rId6" w:type="first"/>
          <w:footerReference r:id="rId5" w:type="default"/>
          <w:pgSz w:w="12240" w:h="15840"/>
          <w:pgMar w:top="1191" w:right="1043" w:bottom="1191" w:left="1043" w:header="720" w:footer="720" w:gutter="0"/>
          <w:cols w:space="720" w:num="1"/>
          <w:titlePg/>
          <w:docGrid w:linePitch="326" w:charSpace="0"/>
        </w:sectPr>
      </w:pPr>
    </w:p>
    <w:p>
      <w:pPr>
        <w:spacing w:line="240" w:lineRule="auto"/>
        <w:ind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附件2：验收报告（模板）</w:t>
      </w:r>
    </w:p>
    <w:p>
      <w:pPr>
        <w:pStyle w:val="5"/>
        <w:rPr>
          <w:lang w:val="zh-CN"/>
        </w:rPr>
      </w:pPr>
    </w:p>
    <w:p>
      <w:pPr>
        <w:jc w:val="center"/>
        <w:rPr>
          <w:rFonts w:ascii="方正小标宋简体" w:eastAsia="方正小标宋简体"/>
          <w:sz w:val="44"/>
          <w:szCs w:val="44"/>
        </w:rPr>
      </w:pPr>
      <w:r>
        <w:rPr>
          <w:rFonts w:hint="eastAsia" w:ascii="方正小标宋简体" w:eastAsia="方正小标宋简体"/>
          <w:sz w:val="44"/>
          <w:szCs w:val="44"/>
        </w:rPr>
        <w:t>验收报告</w:t>
      </w:r>
    </w:p>
    <w:tbl>
      <w:tblPr>
        <w:tblStyle w:val="37"/>
        <w:tblpPr w:leftFromText="180" w:rightFromText="180" w:vertAnchor="text" w:horzAnchor="page" w:tblpXSpec="center" w:tblpY="292"/>
        <w:tblOverlap w:val="never"/>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1"/>
        <w:gridCol w:w="1072"/>
        <w:gridCol w:w="1572"/>
        <w:gridCol w:w="1572"/>
        <w:gridCol w:w="1572"/>
        <w:gridCol w:w="632"/>
        <w:gridCol w:w="940"/>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sz w:val="24"/>
              </w:rPr>
            </w:pPr>
            <w:r>
              <w:rPr>
                <w:rFonts w:hint="eastAsia" w:ascii="宋体" w:hAnsi="宋体" w:eastAsia="宋体" w:cs="宋体"/>
                <w:b/>
                <w:color w:val="000000"/>
                <w:sz w:val="24"/>
              </w:rPr>
              <w:t>合同名称</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sz w:val="24"/>
              </w:rPr>
            </w:pPr>
            <w:r>
              <w:rPr>
                <w:rFonts w:hint="eastAsia" w:ascii="宋体" w:hAnsi="宋体" w:eastAsia="宋体" w:cs="宋体"/>
                <w:b/>
                <w:color w:val="000000"/>
                <w:sz w:val="24"/>
              </w:rPr>
              <w:t>合同编号</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供货单位</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合同供货期</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sz w:val="24"/>
              </w:rPr>
            </w:pPr>
            <w:r>
              <w:rPr>
                <w:rFonts w:hint="eastAsia" w:ascii="宋体" w:hAnsi="宋体" w:eastAsia="宋体" w:cs="宋体"/>
                <w:b/>
                <w:color w:val="000000"/>
                <w:sz w:val="24"/>
              </w:rPr>
              <w:t>药剂名称</w:t>
            </w:r>
          </w:p>
        </w:tc>
        <w:tc>
          <w:tcPr>
            <w:tcW w:w="314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品    牌</w:t>
            </w: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供货时间</w:t>
            </w:r>
          </w:p>
        </w:tc>
        <w:tc>
          <w:tcPr>
            <w:tcW w:w="314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供货数量（吨）</w:t>
            </w: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7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序号</w:t>
            </w:r>
          </w:p>
        </w:tc>
        <w:tc>
          <w:tcPr>
            <w:tcW w:w="4216" w:type="dxa"/>
            <w:gridSpan w:val="3"/>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rPr>
            </w:pPr>
            <w:r>
              <w:rPr>
                <w:rFonts w:hint="eastAsia" w:ascii="Times New Roman" w:hAnsi="Times New Roman" w:eastAsia="宋体" w:cs="Times New Roman"/>
                <w:b/>
                <w:bCs/>
                <w:color w:val="000000"/>
                <w:sz w:val="24"/>
              </w:rPr>
              <w:t>指标信息</w:t>
            </w: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合同值</w:t>
            </w: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rPr>
            </w:pPr>
            <w:r>
              <w:rPr>
                <w:rFonts w:hint="eastAsia" w:ascii="Times New Roman" w:hAnsi="Times New Roman" w:eastAsia="宋体" w:cs="Times New Roman"/>
                <w:b/>
                <w:bCs/>
                <w:color w:val="000000"/>
                <w:sz w:val="24"/>
              </w:rPr>
              <w:t>检测值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7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000000"/>
                <w:sz w:val="24"/>
              </w:rPr>
            </w:pPr>
            <w:r>
              <w:rPr>
                <w:rFonts w:hint="default" w:ascii="宋体" w:hAnsi="宋体" w:eastAsia="宋体" w:cs="宋体"/>
                <w:bCs/>
                <w:color w:val="000000"/>
                <w:sz w:val="24"/>
              </w:rPr>
              <w:t>1</w:t>
            </w:r>
          </w:p>
        </w:tc>
        <w:tc>
          <w:tcPr>
            <w:tcW w:w="4216" w:type="dxa"/>
            <w:gridSpan w:val="3"/>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071"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000000"/>
                <w:sz w:val="24"/>
              </w:rPr>
            </w:pPr>
            <w:r>
              <w:rPr>
                <w:rFonts w:hint="default" w:ascii="宋体" w:hAnsi="宋体" w:eastAsia="宋体" w:cs="宋体"/>
                <w:bCs/>
                <w:color w:val="000000"/>
                <w:sz w:val="24"/>
              </w:rPr>
              <w:t>2</w:t>
            </w:r>
          </w:p>
        </w:tc>
        <w:tc>
          <w:tcPr>
            <w:tcW w:w="4216" w:type="dxa"/>
            <w:gridSpan w:val="3"/>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sz w:val="24"/>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p>
        </w:tc>
        <w:tc>
          <w:tcPr>
            <w:tcW w:w="2516"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验收结论</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备注</w:t>
            </w:r>
          </w:p>
        </w:tc>
        <w:tc>
          <w:tcPr>
            <w:tcW w:w="7864" w:type="dxa"/>
            <w:gridSpan w:val="6"/>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143"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sz w:val="24"/>
              </w:rPr>
              <w:t>合同单价</w:t>
            </w:r>
          </w:p>
        </w:tc>
        <w:tc>
          <w:tcPr>
            <w:tcW w:w="157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rPr>
            </w:pPr>
          </w:p>
        </w:tc>
        <w:tc>
          <w:tcPr>
            <w:tcW w:w="157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rPr>
            </w:pPr>
            <w:r>
              <w:rPr>
                <w:rFonts w:hint="eastAsia" w:ascii="Times New Roman" w:hAnsi="Times New Roman" w:eastAsia="宋体" w:cs="Times New Roman"/>
                <w:b/>
                <w:bCs/>
                <w:color w:val="000000"/>
                <w:sz w:val="24"/>
              </w:rPr>
              <w:t>验收单价</w:t>
            </w:r>
          </w:p>
        </w:tc>
        <w:tc>
          <w:tcPr>
            <w:tcW w:w="157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rPr>
            </w:pPr>
          </w:p>
        </w:tc>
        <w:tc>
          <w:tcPr>
            <w:tcW w:w="1572" w:type="dxa"/>
            <w:gridSpan w:val="2"/>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rPr>
            </w:pPr>
            <w:r>
              <w:rPr>
                <w:rFonts w:hint="eastAsia" w:ascii="Times New Roman" w:hAnsi="Times New Roman" w:eastAsia="宋体" w:cs="Times New Roman"/>
                <w:b/>
                <w:bCs/>
                <w:color w:val="000000"/>
                <w:sz w:val="24"/>
              </w:rPr>
              <w:t>验收金额</w:t>
            </w:r>
          </w:p>
        </w:tc>
        <w:tc>
          <w:tcPr>
            <w:tcW w:w="1576"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jc w:val="center"/>
        </w:trPr>
        <w:tc>
          <w:tcPr>
            <w:tcW w:w="5287" w:type="dxa"/>
            <w:gridSpan w:val="4"/>
            <w:shd w:val="clear" w:color="auto" w:fill="auto"/>
            <w:noWrap/>
            <w:tcMar>
              <w:top w:w="15" w:type="dxa"/>
              <w:left w:w="15" w:type="dxa"/>
              <w:right w:w="15" w:type="dxa"/>
            </w:tcMar>
          </w:tcPr>
          <w:p>
            <w:pPr>
              <w:keepNext w:val="0"/>
              <w:keepLines w:val="0"/>
              <w:suppressLineNumbers w:val="0"/>
              <w:spacing w:before="0" w:beforeAutospacing="0" w:after="0" w:afterAutospacing="0"/>
              <w:ind w:left="0" w:right="0"/>
              <w:jc w:val="center"/>
              <w:rPr>
                <w:rFonts w:hint="default"/>
                <w:b/>
                <w:bCs/>
              </w:rPr>
            </w:pPr>
          </w:p>
          <w:p>
            <w:pPr>
              <w:keepNext w:val="0"/>
              <w:keepLines w:val="0"/>
              <w:widowControl/>
              <w:suppressLineNumbers w:val="0"/>
              <w:spacing w:before="0" w:beforeAutospacing="0" w:after="0" w:afterAutospacing="0"/>
              <w:ind w:left="0" w:right="0" w:firstLine="211" w:firstLineChars="10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验收单位：</w:t>
            </w:r>
          </w:p>
          <w:p>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b/>
                <w:bCs w:val="0"/>
                <w:color w:val="000000"/>
                <w:sz w:val="21"/>
                <w:szCs w:val="21"/>
              </w:rPr>
            </w:pPr>
          </w:p>
          <w:p>
            <w:pPr>
              <w:keepNext w:val="0"/>
              <w:keepLines w:val="0"/>
              <w:widowControl/>
              <w:suppressLineNumbers w:val="0"/>
              <w:spacing w:before="0" w:beforeAutospacing="0" w:after="0" w:afterAutospacing="0"/>
              <w:ind w:left="0" w:right="0" w:firstLine="211" w:firstLineChars="100"/>
              <w:jc w:val="left"/>
              <w:textAlignment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生产主管（签名）：</w:t>
            </w:r>
          </w:p>
          <w:p>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b/>
                <w:bCs w:val="0"/>
                <w:color w:val="000000"/>
                <w:sz w:val="21"/>
                <w:szCs w:val="21"/>
              </w:rPr>
            </w:pPr>
          </w:p>
          <w:p>
            <w:pPr>
              <w:keepNext w:val="0"/>
              <w:keepLines w:val="0"/>
              <w:widowControl/>
              <w:suppressLineNumbers w:val="0"/>
              <w:spacing w:before="0" w:beforeAutospacing="0" w:after="0" w:afterAutospacing="0"/>
              <w:ind w:left="0" w:right="0"/>
              <w:jc w:val="left"/>
              <w:textAlignment w:val="center"/>
              <w:rPr>
                <w:rFonts w:hint="default"/>
                <w:b/>
                <w:bCs/>
              </w:rPr>
            </w:pPr>
            <w:r>
              <w:rPr>
                <w:rFonts w:hint="eastAsia" w:ascii="宋体" w:hAnsi="宋体" w:eastAsia="宋体" w:cs="宋体"/>
                <w:b/>
                <w:color w:val="000000"/>
                <w:sz w:val="21"/>
                <w:szCs w:val="21"/>
              </w:rPr>
              <w:t xml:space="preserve">  </w:t>
            </w:r>
            <w:r>
              <w:rPr>
                <w:rFonts w:hint="eastAsia" w:ascii="宋体" w:hAnsi="宋体" w:eastAsia="宋体" w:cs="宋体"/>
                <w:b/>
                <w:bCs w:val="0"/>
                <w:color w:val="000000"/>
                <w:sz w:val="21"/>
                <w:szCs w:val="21"/>
              </w:rPr>
              <w:t xml:space="preserve">单位负责人（签名）： </w:t>
            </w:r>
          </w:p>
        </w:tc>
        <w:tc>
          <w:tcPr>
            <w:tcW w:w="4720" w:type="dxa"/>
            <w:gridSpan w:val="4"/>
            <w:shd w:val="clear" w:color="auto" w:fill="auto"/>
            <w:noWrap/>
            <w:tcMar>
              <w:top w:w="15" w:type="dxa"/>
              <w:left w:w="15" w:type="dxa"/>
              <w:right w:w="15" w:type="dxa"/>
            </w:tcMar>
          </w:tcPr>
          <w:p>
            <w:pPr>
              <w:keepNext w:val="0"/>
              <w:keepLines w:val="0"/>
              <w:suppressLineNumbers w:val="0"/>
              <w:spacing w:before="0" w:beforeAutospacing="0" w:after="0" w:afterAutospacing="0"/>
              <w:ind w:left="0" w:right="0"/>
              <w:jc w:val="center"/>
              <w:rPr>
                <w:rFonts w:hint="default"/>
                <w:b/>
                <w:bCs/>
              </w:rPr>
            </w:pPr>
          </w:p>
          <w:p>
            <w:pPr>
              <w:keepNext w:val="0"/>
              <w:keepLines w:val="0"/>
              <w:suppressLineNumbers w:val="0"/>
              <w:spacing w:before="0" w:beforeAutospacing="0" w:after="0" w:afterAutospacing="0"/>
              <w:ind w:left="0" w:right="0" w:firstLine="211" w:firstLineChars="100"/>
              <w:jc w:val="left"/>
              <w:rPr>
                <w:rFonts w:hint="eastAsia" w:ascii="宋体" w:hAnsi="宋体" w:eastAsia="宋体" w:cs="宋体"/>
                <w:b/>
                <w:bCs w:val="0"/>
                <w:color w:val="000000"/>
                <w:szCs w:val="21"/>
              </w:rPr>
            </w:pPr>
            <w:r>
              <w:rPr>
                <w:rFonts w:hint="eastAsia" w:ascii="宋体" w:hAnsi="宋体" w:eastAsia="宋体" w:cs="宋体"/>
                <w:b/>
                <w:bCs w:val="0"/>
                <w:color w:val="000000"/>
                <w:szCs w:val="21"/>
              </w:rPr>
              <w:t>供货单位（盖章）：</w:t>
            </w:r>
          </w:p>
          <w:p>
            <w:pPr>
              <w:keepNext w:val="0"/>
              <w:keepLines w:val="0"/>
              <w:suppressLineNumbers w:val="0"/>
              <w:spacing w:before="0" w:beforeAutospacing="0" w:after="0" w:afterAutospacing="0"/>
              <w:ind w:left="0" w:right="0" w:firstLine="211" w:firstLineChars="100"/>
              <w:jc w:val="left"/>
              <w:rPr>
                <w:rFonts w:hint="eastAsia" w:ascii="宋体" w:hAnsi="宋体" w:eastAsia="宋体" w:cs="宋体"/>
                <w:b/>
                <w:bCs w:val="0"/>
                <w:color w:val="000000"/>
                <w:szCs w:val="21"/>
                <w:lang w:val="en-US" w:eastAsia="zh-CN"/>
              </w:rPr>
            </w:pPr>
          </w:p>
          <w:p>
            <w:pPr>
              <w:keepNext w:val="0"/>
              <w:keepLines w:val="0"/>
              <w:suppressLineNumbers w:val="0"/>
              <w:spacing w:before="0" w:beforeAutospacing="0" w:after="0" w:afterAutospacing="0"/>
              <w:ind w:left="0" w:right="0" w:firstLine="211" w:firstLineChars="100"/>
              <w:rPr>
                <w:rFonts w:hint="default"/>
              </w:rPr>
            </w:pPr>
            <w:r>
              <w:rPr>
                <w:rFonts w:hint="eastAsia" w:ascii="宋体" w:hAnsi="宋体" w:eastAsia="宋体" w:cs="宋体"/>
                <w:b/>
                <w:bCs w:val="0"/>
                <w:color w:val="000000"/>
                <w:sz w:val="21"/>
                <w:szCs w:val="21"/>
                <w:lang w:val="en-US" w:eastAsia="zh-CN"/>
              </w:rPr>
              <w:t>供货单位代表</w:t>
            </w:r>
            <w:r>
              <w:rPr>
                <w:rFonts w:hint="eastAsia" w:ascii="宋体" w:hAnsi="宋体" w:eastAsia="宋体" w:cs="宋体"/>
                <w:b/>
                <w:bCs w:val="0"/>
                <w:color w:val="000000"/>
                <w:sz w:val="21"/>
                <w:szCs w:val="21"/>
              </w:rPr>
              <w:t>（签名）</w:t>
            </w:r>
            <w:r>
              <w:rPr>
                <w:rFonts w:hint="eastAsia" w:ascii="宋体" w:hAnsi="宋体" w:eastAsia="宋体" w:cs="宋体"/>
                <w:b/>
                <w:bCs w:val="0"/>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5287" w:type="dxa"/>
            <w:gridSpan w:val="4"/>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firstLine="422" w:firstLineChars="200"/>
              <w:rPr>
                <w:rFonts w:hint="default" w:ascii="Times New Roman" w:hAnsi="Times New Roman" w:eastAsia="宋体" w:cs="Times New Roman"/>
                <w:color w:val="000000"/>
                <w:sz w:val="24"/>
              </w:rPr>
            </w:pPr>
            <w:r>
              <w:rPr>
                <w:rFonts w:hint="eastAsia" w:ascii="宋体" w:hAnsi="宋体" w:eastAsia="宋体" w:cs="宋体"/>
                <w:b/>
                <w:bCs w:val="0"/>
                <w:color w:val="000000"/>
                <w:szCs w:val="21"/>
              </w:rPr>
              <w:t>日期：</w:t>
            </w:r>
          </w:p>
        </w:tc>
        <w:tc>
          <w:tcPr>
            <w:tcW w:w="4720" w:type="dxa"/>
            <w:gridSpan w:val="4"/>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firstLine="422" w:firstLineChars="200"/>
              <w:rPr>
                <w:rFonts w:hint="default" w:ascii="Times New Roman" w:hAnsi="Times New Roman" w:eastAsia="宋体" w:cs="Times New Roman"/>
                <w:color w:val="000000"/>
                <w:sz w:val="24"/>
              </w:rPr>
            </w:pPr>
            <w:r>
              <w:rPr>
                <w:rFonts w:hint="eastAsia" w:ascii="宋体" w:hAnsi="宋体" w:eastAsia="宋体" w:cs="宋体"/>
                <w:b/>
                <w:bCs w:val="0"/>
                <w:color w:val="000000"/>
                <w:szCs w:val="21"/>
              </w:rPr>
              <w:t>日期：</w:t>
            </w:r>
          </w:p>
        </w:tc>
      </w:tr>
    </w:tbl>
    <w:p>
      <w:pPr>
        <w:rPr>
          <w:lang w:val="zh-CN"/>
        </w:rPr>
        <w:sectPr>
          <w:pgSz w:w="12240" w:h="15840"/>
          <w:pgMar w:top="1191" w:right="1043" w:bottom="1191" w:left="1043" w:header="720" w:footer="720" w:gutter="0"/>
          <w:cols w:space="720" w:num="1"/>
          <w:titlePg/>
          <w:docGrid w:linePitch="326" w:charSpace="0"/>
        </w:sectPr>
      </w:pPr>
    </w:p>
    <w:p>
      <w:pPr>
        <w:spacing w:line="240" w:lineRule="auto"/>
        <w:ind w:firstLine="0" w:firstLineChars="0"/>
        <w:rPr>
          <w:rFonts w:hint="eastAsia" w:ascii="宋体" w:hAnsi="宋体" w:eastAsia="宋体" w:cs="宋体"/>
          <w:b/>
          <w:color w:val="auto"/>
          <w:szCs w:val="21"/>
          <w:lang w:bidi="ar"/>
        </w:rPr>
      </w:pPr>
      <w:r>
        <w:rPr>
          <w:rFonts w:hint="eastAsia" w:ascii="宋体" w:hAnsi="宋体" w:eastAsia="宋体" w:cs="宋体"/>
          <w:b/>
          <w:color w:val="auto"/>
          <w:szCs w:val="21"/>
          <w:lang w:val="en-US" w:eastAsia="zh-CN"/>
        </w:rPr>
        <w:t>附件3：</w:t>
      </w:r>
      <w:r>
        <w:rPr>
          <w:rFonts w:hint="eastAsia" w:ascii="宋体" w:hAnsi="宋体" w:eastAsia="宋体" w:cs="宋体"/>
          <w:b/>
          <w:color w:val="auto"/>
          <w:szCs w:val="21"/>
          <w:lang w:bidi="ar"/>
        </w:rPr>
        <w:t>供应商履约评价表</w:t>
      </w:r>
    </w:p>
    <w:p>
      <w:pPr>
        <w:spacing w:line="360" w:lineRule="auto"/>
        <w:jc w:val="center"/>
        <w:rPr>
          <w:rFonts w:ascii="宋体" w:hAnsi="宋体" w:eastAsia="宋体" w:cs="宋体"/>
          <w:b/>
          <w:sz w:val="32"/>
          <w:szCs w:val="21"/>
          <w:highlight w:val="none"/>
        </w:rPr>
      </w:pPr>
      <w:r>
        <w:rPr>
          <w:rFonts w:hint="eastAsia" w:ascii="宋体" w:hAnsi="宋体" w:eastAsia="宋体" w:cs="宋体"/>
          <w:b/>
          <w:sz w:val="32"/>
          <w:szCs w:val="21"/>
          <w:highlight w:val="none"/>
        </w:rPr>
        <w:t>供应商履约评价表</w:t>
      </w:r>
    </w:p>
    <w:tbl>
      <w:tblPr>
        <w:tblStyle w:val="37"/>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735"/>
        <w:gridCol w:w="3816"/>
        <w:gridCol w:w="24"/>
        <w:gridCol w:w="1824"/>
        <w:gridCol w:w="733"/>
        <w:gridCol w:w="705"/>
        <w:gridCol w:w="71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r>
              <w:rPr>
                <w:rFonts w:hint="eastAsia" w:ascii="宋体" w:hAnsi="宋体" w:eastAsia="宋体"/>
                <w:bCs/>
                <w:highlight w:val="none"/>
              </w:rPr>
              <w:t>合同名称</w:t>
            </w:r>
          </w:p>
        </w:tc>
        <w:tc>
          <w:tcPr>
            <w:tcW w:w="7821" w:type="dxa"/>
            <w:gridSpan w:val="6"/>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r>
              <w:rPr>
                <w:rFonts w:hint="eastAsia" w:ascii="宋体" w:hAnsi="宋体" w:eastAsia="宋体"/>
                <w:bCs/>
                <w:highlight w:val="none"/>
              </w:rPr>
              <w:t>合同编号</w:t>
            </w:r>
          </w:p>
        </w:tc>
        <w:tc>
          <w:tcPr>
            <w:tcW w:w="7821" w:type="dxa"/>
            <w:gridSpan w:val="6"/>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甲方名称</w:t>
            </w:r>
          </w:p>
        </w:tc>
        <w:tc>
          <w:tcPr>
            <w:tcW w:w="7821" w:type="dxa"/>
            <w:gridSpan w:val="6"/>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r>
              <w:rPr>
                <w:rFonts w:hint="eastAsia" w:ascii="宋体" w:hAnsi="宋体" w:eastAsia="宋体"/>
                <w:bCs/>
                <w:highlight w:val="none"/>
              </w:rPr>
              <w:t>供应商</w:t>
            </w:r>
            <w:r>
              <w:rPr>
                <w:rFonts w:hint="eastAsia" w:ascii="宋体" w:hAnsi="宋体" w:eastAsia="宋体"/>
                <w:highlight w:val="none"/>
              </w:rPr>
              <w:t>名称</w:t>
            </w:r>
          </w:p>
        </w:tc>
        <w:tc>
          <w:tcPr>
            <w:tcW w:w="7821" w:type="dxa"/>
            <w:gridSpan w:val="6"/>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供应货物名称</w:t>
            </w:r>
          </w:p>
        </w:tc>
        <w:tc>
          <w:tcPr>
            <w:tcW w:w="7821" w:type="dxa"/>
            <w:gridSpan w:val="6"/>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2160" w:type="dxa"/>
            <w:gridSpan w:val="2"/>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bCs/>
                <w:highlight w:val="none"/>
              </w:rPr>
            </w:pPr>
            <w:r>
              <w:rPr>
                <w:rFonts w:hint="eastAsia" w:ascii="宋体" w:hAnsi="宋体" w:eastAsia="宋体"/>
                <w:bCs/>
                <w:highlight w:val="none"/>
                <w:lang w:val="en-US" w:eastAsia="zh-CN"/>
              </w:rPr>
              <w:t>交货地点</w:t>
            </w:r>
          </w:p>
        </w:tc>
        <w:tc>
          <w:tcPr>
            <w:tcW w:w="7821" w:type="dxa"/>
            <w:gridSpan w:val="6"/>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序号</w:t>
            </w:r>
          </w:p>
        </w:tc>
        <w:tc>
          <w:tcPr>
            <w:tcW w:w="173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履约评价项目</w:t>
            </w:r>
          </w:p>
        </w:tc>
        <w:tc>
          <w:tcPr>
            <w:tcW w:w="3816"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评价标准</w:t>
            </w:r>
          </w:p>
        </w:tc>
        <w:tc>
          <w:tcPr>
            <w:tcW w:w="1848"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评分说明</w:t>
            </w:r>
          </w:p>
        </w:tc>
        <w:tc>
          <w:tcPr>
            <w:tcW w:w="733"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分值</w:t>
            </w:r>
          </w:p>
        </w:tc>
        <w:tc>
          <w:tcPr>
            <w:tcW w:w="70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实得分</w:t>
            </w:r>
          </w:p>
        </w:tc>
        <w:tc>
          <w:tcPr>
            <w:tcW w:w="719" w:type="dxa"/>
            <w:vAlign w:val="center"/>
          </w:tcPr>
          <w:p>
            <w:pPr>
              <w:keepNext w:val="0"/>
              <w:keepLines w:val="0"/>
              <w:widowControl/>
              <w:suppressLineNumbers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扣分情况说明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218" w:hRule="atLeast"/>
          <w:jc w:val="center"/>
        </w:trPr>
        <w:tc>
          <w:tcPr>
            <w:tcW w:w="42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1</w:t>
            </w:r>
          </w:p>
        </w:tc>
        <w:tc>
          <w:tcPr>
            <w:tcW w:w="173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质量</w:t>
            </w:r>
          </w:p>
        </w:tc>
        <w:tc>
          <w:tcPr>
            <w:tcW w:w="3816" w:type="dxa"/>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（1）货物未出现全部拒收或换货等质量问题；</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（2）货物主要技术指标符合合同规定；</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（3）每次货物质量稳定，投加效果良好，未出现由于每次货物质量参差不齐导致厂区药剂投加量增加或产生出水水质风险等情况。</w:t>
            </w:r>
          </w:p>
        </w:tc>
        <w:tc>
          <w:tcPr>
            <w:tcW w:w="1848" w:type="dxa"/>
            <w:gridSpan w:val="2"/>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highlight w:val="none"/>
              </w:rPr>
            </w:pPr>
            <w:r>
              <w:rPr>
                <w:rFonts w:hint="eastAsia" w:ascii="宋体" w:hAnsi="宋体" w:eastAsia="宋体"/>
                <w:bCs/>
                <w:highlight w:val="none"/>
              </w:rPr>
              <w:t>达到标准的得满分，每月每次货物有一项未达到标准的扣4分，每次货物最多扣4分。</w:t>
            </w:r>
          </w:p>
        </w:tc>
        <w:tc>
          <w:tcPr>
            <w:tcW w:w="733"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r>
              <w:rPr>
                <w:rFonts w:hint="eastAsia" w:ascii="宋体" w:hAnsi="宋体" w:eastAsia="宋体"/>
                <w:highlight w:val="none"/>
              </w:rPr>
              <w:t>20</w:t>
            </w:r>
          </w:p>
        </w:tc>
        <w:tc>
          <w:tcPr>
            <w:tcW w:w="70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c>
          <w:tcPr>
            <w:tcW w:w="719"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252" w:hRule="atLeast"/>
          <w:jc w:val="center"/>
        </w:trPr>
        <w:tc>
          <w:tcPr>
            <w:tcW w:w="42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2</w:t>
            </w:r>
          </w:p>
        </w:tc>
        <w:tc>
          <w:tcPr>
            <w:tcW w:w="173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包装、运输</w:t>
            </w:r>
          </w:p>
        </w:tc>
        <w:tc>
          <w:tcPr>
            <w:tcW w:w="3816" w:type="dxa"/>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货物的包装、运输符合合同规定及国家、行业有关标准规范；未出现由于包装、运输方式不当造成以下不良后果：</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（1）影响货物输送或储存质量；</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（2）货物质量下降；</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（3）货物泄漏导致供货量不足；</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（4）造成环境污染。</w:t>
            </w:r>
          </w:p>
        </w:tc>
        <w:tc>
          <w:tcPr>
            <w:tcW w:w="1848" w:type="dxa"/>
            <w:gridSpan w:val="2"/>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达到标准的得满分，每月每次货物有一项未达到标准的扣3分，每次货物最多扣3分。</w:t>
            </w:r>
          </w:p>
        </w:tc>
        <w:tc>
          <w:tcPr>
            <w:tcW w:w="733"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r>
              <w:rPr>
                <w:rFonts w:hint="eastAsia" w:ascii="宋体" w:hAnsi="宋体" w:eastAsia="宋体"/>
                <w:highlight w:val="none"/>
              </w:rPr>
              <w:t>15</w:t>
            </w:r>
          </w:p>
        </w:tc>
        <w:tc>
          <w:tcPr>
            <w:tcW w:w="70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c>
          <w:tcPr>
            <w:tcW w:w="719"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3</w:t>
            </w:r>
          </w:p>
        </w:tc>
        <w:tc>
          <w:tcPr>
            <w:tcW w:w="173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货物交付</w:t>
            </w:r>
          </w:p>
        </w:tc>
        <w:tc>
          <w:tcPr>
            <w:tcW w:w="3816" w:type="dxa"/>
            <w:vAlign w:val="center"/>
          </w:tcPr>
          <w:p>
            <w:pPr>
              <w:keepNext w:val="0"/>
              <w:keepLines w:val="0"/>
              <w:widowControl/>
              <w:suppressLineNumbers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（1）按合同要求的期限供货（包括加急供货）；</w:t>
            </w:r>
          </w:p>
          <w:p>
            <w:pPr>
              <w:keepNext w:val="0"/>
              <w:keepLines w:val="0"/>
              <w:widowControl/>
              <w:suppressLineNumbers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（2）每次供货配合提供电子地磅称重单；</w:t>
            </w:r>
          </w:p>
          <w:p>
            <w:pPr>
              <w:keepNext w:val="0"/>
              <w:keepLines w:val="0"/>
              <w:suppressLineNumbers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（3）每次供货配合提供出厂检验报告或质量合格证等技术资料；</w:t>
            </w:r>
          </w:p>
          <w:p>
            <w:pPr>
              <w:keepNext w:val="0"/>
              <w:keepLines w:val="0"/>
              <w:widowControl/>
              <w:suppressLineNumbers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（4）交付人员专业性强，工作效率高，熟悉交付操作流程；</w:t>
            </w:r>
          </w:p>
          <w:p>
            <w:pPr>
              <w:keepNext w:val="0"/>
              <w:keepLines w:val="0"/>
              <w:widowControl/>
              <w:suppressLineNumbers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（5）未出现因库存、运力不足等原因影响供货量的情况。</w:t>
            </w:r>
          </w:p>
        </w:tc>
        <w:tc>
          <w:tcPr>
            <w:tcW w:w="1848" w:type="dxa"/>
            <w:gridSpan w:val="2"/>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highlight w:val="none"/>
              </w:rPr>
            </w:pPr>
            <w:r>
              <w:rPr>
                <w:rFonts w:hint="eastAsia" w:ascii="宋体" w:hAnsi="宋体" w:eastAsia="宋体"/>
                <w:bCs/>
                <w:highlight w:val="none"/>
              </w:rPr>
              <w:t>达到标准的得满分，每月每次货物有一项未达到标准的扣3分，每次货物最多扣3分。</w:t>
            </w:r>
          </w:p>
        </w:tc>
        <w:tc>
          <w:tcPr>
            <w:tcW w:w="733"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r>
              <w:rPr>
                <w:rFonts w:hint="eastAsia" w:ascii="宋体" w:hAnsi="宋体" w:eastAsia="宋体"/>
                <w:highlight w:val="none"/>
              </w:rPr>
              <w:t>20</w:t>
            </w:r>
          </w:p>
        </w:tc>
        <w:tc>
          <w:tcPr>
            <w:tcW w:w="70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c>
          <w:tcPr>
            <w:tcW w:w="719"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4</w:t>
            </w:r>
          </w:p>
        </w:tc>
        <w:tc>
          <w:tcPr>
            <w:tcW w:w="173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验收</w:t>
            </w:r>
          </w:p>
        </w:tc>
        <w:tc>
          <w:tcPr>
            <w:tcW w:w="3816" w:type="dxa"/>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（1）及时提供货物的各项技术资料，技术资料齐全、规范；</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（2）未出现因对检测结果存在异议而影响供货的情况；</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（3）未出现因货物检验不合格，或因货物不合格影响厂区生产效果的情况。</w:t>
            </w:r>
          </w:p>
        </w:tc>
        <w:tc>
          <w:tcPr>
            <w:tcW w:w="1848" w:type="dxa"/>
            <w:gridSpan w:val="2"/>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达到标准的得满分，每月每次货物有一项未达到标准的扣4分，每次货物最多扣4分。</w:t>
            </w:r>
          </w:p>
        </w:tc>
        <w:tc>
          <w:tcPr>
            <w:tcW w:w="733"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r>
              <w:rPr>
                <w:rFonts w:hint="eastAsia" w:ascii="宋体" w:hAnsi="宋体" w:eastAsia="宋体"/>
                <w:highlight w:val="none"/>
              </w:rPr>
              <w:t>20</w:t>
            </w:r>
          </w:p>
        </w:tc>
        <w:tc>
          <w:tcPr>
            <w:tcW w:w="70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c>
          <w:tcPr>
            <w:tcW w:w="719"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5</w:t>
            </w:r>
          </w:p>
        </w:tc>
        <w:tc>
          <w:tcPr>
            <w:tcW w:w="173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安全</w:t>
            </w:r>
          </w:p>
        </w:tc>
        <w:tc>
          <w:tcPr>
            <w:tcW w:w="3816" w:type="dxa"/>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（1）运输服务商资质、运输人员、运输车辆符合合同规定及国家相关法律法规要求；</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（2）未出现超载或非法运输等情况；</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（3）未出现由于运输服务商资质不符、超载或非法运输、未按厂区指示行驶及停放造成第三方或厂区事故、损失的情况；</w:t>
            </w:r>
          </w:p>
          <w:p>
            <w:pPr>
              <w:keepNext w:val="0"/>
              <w:keepLines w:val="0"/>
              <w:suppressLineNumbers w:val="0"/>
              <w:spacing w:before="0" w:beforeAutospacing="0" w:after="0" w:afterAutospacing="0"/>
              <w:ind w:left="0" w:right="0"/>
              <w:outlineLvl w:val="2"/>
              <w:rPr>
                <w:rFonts w:hint="default" w:ascii="宋体" w:hAnsi="宋体" w:eastAsia="宋体"/>
                <w:highlight w:val="none"/>
              </w:rPr>
            </w:pPr>
            <w:bookmarkStart w:id="18" w:name="_Toc95729751"/>
            <w:bookmarkStart w:id="19" w:name="_Toc146625412"/>
            <w:bookmarkStart w:id="20" w:name="_Toc174612491"/>
            <w:r>
              <w:rPr>
                <w:rFonts w:hint="eastAsia" w:ascii="宋体" w:hAnsi="宋体" w:eastAsia="宋体"/>
                <w:bCs/>
                <w:highlight w:val="none"/>
              </w:rPr>
              <w:t>（4）未出现卸货安全事故。</w:t>
            </w:r>
            <w:bookmarkEnd w:id="18"/>
            <w:bookmarkEnd w:id="19"/>
            <w:bookmarkEnd w:id="20"/>
          </w:p>
        </w:tc>
        <w:tc>
          <w:tcPr>
            <w:tcW w:w="1848" w:type="dxa"/>
            <w:gridSpan w:val="2"/>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达到标准的得满分，每月每次货物有一项未达到标准的扣3分，每次货物最多扣3分。</w:t>
            </w:r>
          </w:p>
        </w:tc>
        <w:tc>
          <w:tcPr>
            <w:tcW w:w="733"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15</w:t>
            </w:r>
          </w:p>
        </w:tc>
        <w:tc>
          <w:tcPr>
            <w:tcW w:w="70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c>
          <w:tcPr>
            <w:tcW w:w="719"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6</w:t>
            </w:r>
          </w:p>
        </w:tc>
        <w:tc>
          <w:tcPr>
            <w:tcW w:w="173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售后服务</w:t>
            </w:r>
          </w:p>
        </w:tc>
        <w:tc>
          <w:tcPr>
            <w:tcW w:w="3816" w:type="dxa"/>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（1）人员：</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①管理、技术及服务人员均符合申请文件的承诺，服务队伍稳定，人员充足、专业性强，充分配合甲方供货需求；</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②对接人员与甲方沟通良好、理解到位、执行力强，能及时发现、解决问题，并未雨绸缪地因应各厂区实际情况提供合理化的供配货建议；</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③未出现推诿，借故不肯签署合同规定的文件或者敷衍了事、置之不理等情况。</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（2）配合：</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①售后服务流程完善，跟踪到位，响应速度快；</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②就货物储存保质方式、方法提出合理化建议并能提供专业技术指导；</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③积极配合甲方进行试验、积极协助甲方接受政府管理部门的检查工作及提供各类资质证明材料；</w:t>
            </w:r>
          </w:p>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④能根据甲方要求提供专业培训。</w:t>
            </w:r>
          </w:p>
          <w:p>
            <w:pPr>
              <w:keepNext w:val="0"/>
              <w:keepLines w:val="0"/>
              <w:suppressLineNumbers w:val="0"/>
              <w:spacing w:before="0" w:beforeAutospacing="0" w:after="0" w:afterAutospacing="0"/>
              <w:ind w:left="0" w:right="0"/>
              <w:outlineLvl w:val="2"/>
              <w:rPr>
                <w:rFonts w:hint="default" w:ascii="宋体" w:hAnsi="宋体" w:eastAsia="宋体"/>
                <w:highlight w:val="none"/>
              </w:rPr>
            </w:pPr>
            <w:bookmarkStart w:id="21" w:name="_Toc95729752"/>
            <w:bookmarkStart w:id="22" w:name="_Toc146625413"/>
            <w:bookmarkStart w:id="23" w:name="_Toc174612492"/>
            <w:r>
              <w:rPr>
                <w:rFonts w:hint="eastAsia" w:ascii="宋体" w:hAnsi="宋体" w:eastAsia="宋体"/>
                <w:bCs/>
                <w:highlight w:val="none"/>
              </w:rPr>
              <w:t>⑤高效处理退换货工作、态度良好。</w:t>
            </w:r>
            <w:bookmarkEnd w:id="21"/>
            <w:bookmarkEnd w:id="22"/>
            <w:bookmarkEnd w:id="23"/>
          </w:p>
        </w:tc>
        <w:tc>
          <w:tcPr>
            <w:tcW w:w="1848" w:type="dxa"/>
            <w:gridSpan w:val="2"/>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达到标准的得满分，每月每次货物有一项未达到标准的扣2分，每次货物最多扣2分。</w:t>
            </w:r>
          </w:p>
        </w:tc>
        <w:tc>
          <w:tcPr>
            <w:tcW w:w="733"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10</w:t>
            </w:r>
          </w:p>
        </w:tc>
        <w:tc>
          <w:tcPr>
            <w:tcW w:w="70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c>
          <w:tcPr>
            <w:tcW w:w="719"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0" w:hRule="atLeast"/>
          <w:jc w:val="center"/>
        </w:trPr>
        <w:tc>
          <w:tcPr>
            <w:tcW w:w="7824" w:type="dxa"/>
            <w:gridSpan w:val="5"/>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合计</w:t>
            </w:r>
          </w:p>
        </w:tc>
        <w:tc>
          <w:tcPr>
            <w:tcW w:w="733"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1</w:t>
            </w:r>
            <w:r>
              <w:rPr>
                <w:rFonts w:hint="default" w:ascii="宋体" w:hAnsi="宋体" w:eastAsia="宋体"/>
                <w:bCs/>
                <w:highlight w:val="none"/>
              </w:rPr>
              <w:t>00</w:t>
            </w:r>
          </w:p>
        </w:tc>
        <w:tc>
          <w:tcPr>
            <w:tcW w:w="705"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c>
          <w:tcPr>
            <w:tcW w:w="719"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9" w:hRule="atLeast"/>
          <w:jc w:val="center"/>
        </w:trPr>
        <w:tc>
          <w:tcPr>
            <w:tcW w:w="2160"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bCs/>
                <w:highlight w:val="none"/>
              </w:rPr>
            </w:pPr>
            <w:r>
              <w:rPr>
                <w:rFonts w:hint="eastAsia" w:ascii="宋体" w:hAnsi="宋体" w:eastAsia="宋体"/>
                <w:bCs/>
                <w:highlight w:val="none"/>
              </w:rPr>
              <w:t>评审结论</w:t>
            </w:r>
          </w:p>
        </w:tc>
        <w:tc>
          <w:tcPr>
            <w:tcW w:w="7821" w:type="dxa"/>
            <w:gridSpan w:val="6"/>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□合计分值不低于</w:t>
            </w:r>
            <w:r>
              <w:rPr>
                <w:rFonts w:hint="default" w:ascii="宋体" w:hAnsi="宋体" w:eastAsia="宋体"/>
                <w:bCs/>
                <w:highlight w:val="none"/>
              </w:rPr>
              <w:t>8</w:t>
            </w:r>
            <w:r>
              <w:rPr>
                <w:rFonts w:hint="eastAsia" w:ascii="宋体" w:hAnsi="宋体" w:eastAsia="宋体"/>
                <w:bCs/>
                <w:highlight w:val="none"/>
              </w:rPr>
              <w:t>0的，评审结论合格</w:t>
            </w:r>
            <w:r>
              <w:rPr>
                <w:rFonts w:hint="eastAsia" w:ascii="宋体" w:hAnsi="宋体" w:eastAsia="宋体"/>
                <w:bCs/>
                <w:highlight w:val="none"/>
              </w:rPr>
              <w:br w:type="textWrapping"/>
            </w:r>
            <w:r>
              <w:rPr>
                <w:rFonts w:hint="eastAsia" w:ascii="宋体" w:hAnsi="宋体" w:eastAsia="宋体"/>
                <w:bCs/>
                <w:highlight w:val="none"/>
              </w:rPr>
              <w:t>□评审结论不合格，说明：</w:t>
            </w:r>
            <w:r>
              <w:rPr>
                <w:rFonts w:hint="eastAsia" w:ascii="宋体" w:hAnsi="宋体" w:eastAsia="宋体"/>
                <w:bCs/>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2160" w:type="dxa"/>
            <w:gridSpan w:val="2"/>
            <w:vMerge w:val="restart"/>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highlight w:val="none"/>
              </w:rPr>
            </w:pPr>
            <w:r>
              <w:rPr>
                <w:rFonts w:hint="eastAsia" w:ascii="宋体" w:hAnsi="宋体" w:eastAsia="宋体"/>
                <w:bCs/>
                <w:highlight w:val="none"/>
              </w:rPr>
              <w:t>履约评审运营项目</w:t>
            </w:r>
            <w:r>
              <w:rPr>
                <w:rFonts w:hint="eastAsia" w:ascii="宋体" w:hAnsi="宋体" w:eastAsia="宋体"/>
                <w:highlight w:val="none"/>
              </w:rPr>
              <w:t>其他</w:t>
            </w:r>
            <w:r>
              <w:rPr>
                <w:rFonts w:hint="eastAsia" w:ascii="宋体" w:hAnsi="宋体" w:eastAsia="宋体"/>
                <w:bCs/>
                <w:highlight w:val="none"/>
              </w:rPr>
              <w:t>意见及签署</w:t>
            </w:r>
          </w:p>
        </w:tc>
        <w:tc>
          <w:tcPr>
            <w:tcW w:w="3840" w:type="dxa"/>
            <w:gridSpan w:val="2"/>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highlight w:val="none"/>
              </w:rPr>
            </w:pPr>
            <w:r>
              <w:rPr>
                <w:rFonts w:hint="eastAsia" w:ascii="宋体" w:hAnsi="宋体" w:eastAsia="宋体"/>
                <w:bCs/>
                <w:highlight w:val="none"/>
              </w:rPr>
              <w:t>经办人</w:t>
            </w:r>
          </w:p>
        </w:tc>
        <w:tc>
          <w:tcPr>
            <w:tcW w:w="3987" w:type="dxa"/>
            <w:gridSpan w:val="5"/>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60" w:type="dxa"/>
            <w:gridSpan w:val="2"/>
            <w:vMerge w:val="continue"/>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p>
        </w:tc>
        <w:tc>
          <w:tcPr>
            <w:tcW w:w="3840" w:type="dxa"/>
            <w:gridSpan w:val="2"/>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r>
              <w:rPr>
                <w:rFonts w:hint="eastAsia" w:ascii="宋体" w:hAnsi="宋体" w:eastAsia="宋体"/>
                <w:bCs/>
                <w:highlight w:val="none"/>
              </w:rPr>
              <w:t>运营项目负责人</w:t>
            </w:r>
          </w:p>
        </w:tc>
        <w:tc>
          <w:tcPr>
            <w:tcW w:w="3987" w:type="dxa"/>
            <w:gridSpan w:val="5"/>
            <w:vAlign w:val="center"/>
          </w:tcPr>
          <w:p>
            <w:pPr>
              <w:keepNext w:val="0"/>
              <w:keepLines w:val="0"/>
              <w:widowControl/>
              <w:suppressLineNumbers w:val="0"/>
              <w:snapToGrid w:val="0"/>
              <w:spacing w:before="0" w:beforeAutospacing="0" w:after="0" w:afterAutospacing="0"/>
              <w:ind w:left="0" w:right="0"/>
              <w:rPr>
                <w:rFonts w:hint="default" w:ascii="宋体" w:hAnsi="宋体" w:eastAsia="宋体"/>
                <w:bCs/>
                <w:highlight w:val="none"/>
              </w:rPr>
            </w:pPr>
          </w:p>
        </w:tc>
      </w:tr>
    </w:tbl>
    <w:p>
      <w:pPr>
        <w:pStyle w:val="2"/>
      </w:pPr>
    </w:p>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embedRegular r:id="rId1" w:fontKey="{68DC7D44-3B7E-4235-BA10-28167981CDA6}"/>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8106E834-B737-43F2-8F74-58FDBE57D88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110</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110</w:t>
    </w:r>
    <w:r>
      <w:rPr>
        <w:bCs/>
        <w:sz w:val="24"/>
        <w:szCs w:val="24"/>
      </w:rPr>
      <w:fldChar w:fldCharType="end"/>
    </w:r>
    <w:r>
      <w:rPr>
        <w:b/>
        <w:bCs/>
        <w:sz w:val="24"/>
        <w:szCs w:val="24"/>
      </w:rPr>
      <w:t xml:space="preserve"> </w:t>
    </w:r>
    <w:r>
      <w:rPr>
        <w:rFonts w:hint="eastAsia"/>
      </w:rPr>
      <w:t>页</w:t>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86</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86</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OWRkZWY0Y2IzMzdkNjZiNWIyZWQ2ZjZjMmRkMmQ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C0F2D"/>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2D54"/>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2C5C00"/>
    <w:rsid w:val="02B0310F"/>
    <w:rsid w:val="02FE5AC7"/>
    <w:rsid w:val="036B1E25"/>
    <w:rsid w:val="041257E6"/>
    <w:rsid w:val="041F4C2D"/>
    <w:rsid w:val="04510922"/>
    <w:rsid w:val="04994C0E"/>
    <w:rsid w:val="04B0574D"/>
    <w:rsid w:val="04D255BF"/>
    <w:rsid w:val="058F7720"/>
    <w:rsid w:val="0616747B"/>
    <w:rsid w:val="06447858"/>
    <w:rsid w:val="06A75D00"/>
    <w:rsid w:val="074D3623"/>
    <w:rsid w:val="07707311"/>
    <w:rsid w:val="07CB5CF9"/>
    <w:rsid w:val="08320C7C"/>
    <w:rsid w:val="08EE4992"/>
    <w:rsid w:val="0A2F7010"/>
    <w:rsid w:val="0C1719D4"/>
    <w:rsid w:val="0C2F4BC5"/>
    <w:rsid w:val="0CD8573D"/>
    <w:rsid w:val="0CF103CF"/>
    <w:rsid w:val="0EE2560E"/>
    <w:rsid w:val="0F241091"/>
    <w:rsid w:val="0F9A4F2B"/>
    <w:rsid w:val="0FBC30F4"/>
    <w:rsid w:val="10194933"/>
    <w:rsid w:val="108870E1"/>
    <w:rsid w:val="10C009C2"/>
    <w:rsid w:val="10C34551"/>
    <w:rsid w:val="10C5247C"/>
    <w:rsid w:val="11133BB7"/>
    <w:rsid w:val="11166833"/>
    <w:rsid w:val="118934A9"/>
    <w:rsid w:val="11D80CE5"/>
    <w:rsid w:val="123A71A5"/>
    <w:rsid w:val="126B2BAF"/>
    <w:rsid w:val="130F4A87"/>
    <w:rsid w:val="13296F0A"/>
    <w:rsid w:val="1376180B"/>
    <w:rsid w:val="14432CAC"/>
    <w:rsid w:val="146D70B2"/>
    <w:rsid w:val="14BC76F2"/>
    <w:rsid w:val="1566178F"/>
    <w:rsid w:val="157306F8"/>
    <w:rsid w:val="1691330D"/>
    <w:rsid w:val="16BA5EB3"/>
    <w:rsid w:val="16EC3FF7"/>
    <w:rsid w:val="1740460A"/>
    <w:rsid w:val="177D3FFD"/>
    <w:rsid w:val="17A4103D"/>
    <w:rsid w:val="17BF4885"/>
    <w:rsid w:val="180D15D9"/>
    <w:rsid w:val="18862408"/>
    <w:rsid w:val="189D783A"/>
    <w:rsid w:val="18CB2806"/>
    <w:rsid w:val="19730CDC"/>
    <w:rsid w:val="19C1335A"/>
    <w:rsid w:val="1AF5570C"/>
    <w:rsid w:val="1B0940FF"/>
    <w:rsid w:val="1B245FF1"/>
    <w:rsid w:val="1B542D7A"/>
    <w:rsid w:val="1B671EE7"/>
    <w:rsid w:val="1B713D95"/>
    <w:rsid w:val="1B99253B"/>
    <w:rsid w:val="1BDE3597"/>
    <w:rsid w:val="1C145920"/>
    <w:rsid w:val="1CBD2A5A"/>
    <w:rsid w:val="1D9D7EBD"/>
    <w:rsid w:val="1E1F5F4A"/>
    <w:rsid w:val="1E2471AC"/>
    <w:rsid w:val="1E4A5D6E"/>
    <w:rsid w:val="1E7D6144"/>
    <w:rsid w:val="1E97083E"/>
    <w:rsid w:val="1EC024D4"/>
    <w:rsid w:val="1EC12CDB"/>
    <w:rsid w:val="1F2C2D5F"/>
    <w:rsid w:val="20230A19"/>
    <w:rsid w:val="203171E6"/>
    <w:rsid w:val="207A1985"/>
    <w:rsid w:val="208512E0"/>
    <w:rsid w:val="20DB7E5B"/>
    <w:rsid w:val="20EC4B3D"/>
    <w:rsid w:val="217F0425"/>
    <w:rsid w:val="229B128E"/>
    <w:rsid w:val="23072480"/>
    <w:rsid w:val="234B71C5"/>
    <w:rsid w:val="23D4313D"/>
    <w:rsid w:val="23FA3D93"/>
    <w:rsid w:val="241E2177"/>
    <w:rsid w:val="24F45147"/>
    <w:rsid w:val="266A16A4"/>
    <w:rsid w:val="26A23C23"/>
    <w:rsid w:val="26CF7F18"/>
    <w:rsid w:val="271E43D1"/>
    <w:rsid w:val="272A2BE1"/>
    <w:rsid w:val="27457A1B"/>
    <w:rsid w:val="274F298A"/>
    <w:rsid w:val="27AF30E6"/>
    <w:rsid w:val="27F07987"/>
    <w:rsid w:val="28592F15"/>
    <w:rsid w:val="28664E63"/>
    <w:rsid w:val="286E02B3"/>
    <w:rsid w:val="28CD7B64"/>
    <w:rsid w:val="28DA73F5"/>
    <w:rsid w:val="290C6A42"/>
    <w:rsid w:val="290D4568"/>
    <w:rsid w:val="29B7461D"/>
    <w:rsid w:val="2A691C72"/>
    <w:rsid w:val="2BE05F54"/>
    <w:rsid w:val="2C6F395B"/>
    <w:rsid w:val="2C85114F"/>
    <w:rsid w:val="2CEF1BF2"/>
    <w:rsid w:val="2CFC2BFE"/>
    <w:rsid w:val="2DB11966"/>
    <w:rsid w:val="2F00346B"/>
    <w:rsid w:val="2F3A5A0E"/>
    <w:rsid w:val="2F4D62E1"/>
    <w:rsid w:val="2F6F3887"/>
    <w:rsid w:val="2F7A26DC"/>
    <w:rsid w:val="2FA20582"/>
    <w:rsid w:val="2FF52573"/>
    <w:rsid w:val="2FFC49EC"/>
    <w:rsid w:val="302F3016"/>
    <w:rsid w:val="3060005D"/>
    <w:rsid w:val="309D61D2"/>
    <w:rsid w:val="313A6116"/>
    <w:rsid w:val="314D028A"/>
    <w:rsid w:val="31CA58BC"/>
    <w:rsid w:val="326878C0"/>
    <w:rsid w:val="3293788C"/>
    <w:rsid w:val="329655CE"/>
    <w:rsid w:val="32D0288E"/>
    <w:rsid w:val="339D6730"/>
    <w:rsid w:val="350727B3"/>
    <w:rsid w:val="355530AA"/>
    <w:rsid w:val="364631D7"/>
    <w:rsid w:val="36585E46"/>
    <w:rsid w:val="368928C2"/>
    <w:rsid w:val="369C73BE"/>
    <w:rsid w:val="370D5EBD"/>
    <w:rsid w:val="37261200"/>
    <w:rsid w:val="37775093"/>
    <w:rsid w:val="388A34DF"/>
    <w:rsid w:val="390371A8"/>
    <w:rsid w:val="397A6507"/>
    <w:rsid w:val="3A1B0FBC"/>
    <w:rsid w:val="3A485400"/>
    <w:rsid w:val="3A79181B"/>
    <w:rsid w:val="3AA317A9"/>
    <w:rsid w:val="3B1F29B6"/>
    <w:rsid w:val="3B6A1DA3"/>
    <w:rsid w:val="3B8E088C"/>
    <w:rsid w:val="3B9971A7"/>
    <w:rsid w:val="3BBD154D"/>
    <w:rsid w:val="3CE160B0"/>
    <w:rsid w:val="3D74650C"/>
    <w:rsid w:val="3E8A3BDB"/>
    <w:rsid w:val="3F362BE0"/>
    <w:rsid w:val="3F5B255F"/>
    <w:rsid w:val="3FC75019"/>
    <w:rsid w:val="3FEB2FA0"/>
    <w:rsid w:val="40160C78"/>
    <w:rsid w:val="40C14C48"/>
    <w:rsid w:val="40C357E1"/>
    <w:rsid w:val="412F2E76"/>
    <w:rsid w:val="417822BF"/>
    <w:rsid w:val="4185223A"/>
    <w:rsid w:val="4208468A"/>
    <w:rsid w:val="42727382"/>
    <w:rsid w:val="428B0580"/>
    <w:rsid w:val="43943464"/>
    <w:rsid w:val="43B50E83"/>
    <w:rsid w:val="43DA60E0"/>
    <w:rsid w:val="44136A7F"/>
    <w:rsid w:val="445A46AE"/>
    <w:rsid w:val="44A02DC8"/>
    <w:rsid w:val="46456C98"/>
    <w:rsid w:val="4731516C"/>
    <w:rsid w:val="476E221E"/>
    <w:rsid w:val="477873C1"/>
    <w:rsid w:val="47B10249"/>
    <w:rsid w:val="47F00E85"/>
    <w:rsid w:val="48961A2D"/>
    <w:rsid w:val="48D2515B"/>
    <w:rsid w:val="490B241B"/>
    <w:rsid w:val="49355CE9"/>
    <w:rsid w:val="496B6C95"/>
    <w:rsid w:val="49AF17EE"/>
    <w:rsid w:val="4A120B47"/>
    <w:rsid w:val="4A121CE8"/>
    <w:rsid w:val="4AB4224E"/>
    <w:rsid w:val="4ACE54AE"/>
    <w:rsid w:val="4AFB026D"/>
    <w:rsid w:val="4B386DCB"/>
    <w:rsid w:val="4B6B33C8"/>
    <w:rsid w:val="4BA17066"/>
    <w:rsid w:val="4BD36D77"/>
    <w:rsid w:val="4BEC343B"/>
    <w:rsid w:val="4C201C8A"/>
    <w:rsid w:val="4C39104D"/>
    <w:rsid w:val="4C4B413D"/>
    <w:rsid w:val="4C520D22"/>
    <w:rsid w:val="4D386104"/>
    <w:rsid w:val="4D981DA3"/>
    <w:rsid w:val="4DCD7C9F"/>
    <w:rsid w:val="4E444BE8"/>
    <w:rsid w:val="4EAD187E"/>
    <w:rsid w:val="4F0771E0"/>
    <w:rsid w:val="4F0A4599"/>
    <w:rsid w:val="4F2F2C02"/>
    <w:rsid w:val="4FCD1AFA"/>
    <w:rsid w:val="50B138A7"/>
    <w:rsid w:val="51941ED3"/>
    <w:rsid w:val="519C6D18"/>
    <w:rsid w:val="52043EAB"/>
    <w:rsid w:val="523B4A3B"/>
    <w:rsid w:val="529A036B"/>
    <w:rsid w:val="52F80915"/>
    <w:rsid w:val="53564494"/>
    <w:rsid w:val="53DA1367"/>
    <w:rsid w:val="546450D5"/>
    <w:rsid w:val="54C47921"/>
    <w:rsid w:val="55530280"/>
    <w:rsid w:val="56707D61"/>
    <w:rsid w:val="567C5E49"/>
    <w:rsid w:val="568802DB"/>
    <w:rsid w:val="56B37004"/>
    <w:rsid w:val="56D1304A"/>
    <w:rsid w:val="56F152E8"/>
    <w:rsid w:val="574439FA"/>
    <w:rsid w:val="57C253EC"/>
    <w:rsid w:val="57E970D3"/>
    <w:rsid w:val="5870309B"/>
    <w:rsid w:val="58B60A4F"/>
    <w:rsid w:val="592A069B"/>
    <w:rsid w:val="59633BAD"/>
    <w:rsid w:val="5A1522A3"/>
    <w:rsid w:val="5A1F73FA"/>
    <w:rsid w:val="5A3A7679"/>
    <w:rsid w:val="5AAA3E5C"/>
    <w:rsid w:val="5AB83A84"/>
    <w:rsid w:val="5ABF3065"/>
    <w:rsid w:val="5AFD256C"/>
    <w:rsid w:val="5B301722"/>
    <w:rsid w:val="5B3F7D02"/>
    <w:rsid w:val="5BE12FA3"/>
    <w:rsid w:val="5C5D7B6B"/>
    <w:rsid w:val="5D8866EC"/>
    <w:rsid w:val="5DEC199F"/>
    <w:rsid w:val="5EBF421E"/>
    <w:rsid w:val="5EC25A88"/>
    <w:rsid w:val="5F295690"/>
    <w:rsid w:val="5F7E529D"/>
    <w:rsid w:val="5FD96977"/>
    <w:rsid w:val="5FEB066F"/>
    <w:rsid w:val="60111977"/>
    <w:rsid w:val="60A305BA"/>
    <w:rsid w:val="60E50A93"/>
    <w:rsid w:val="60F14E19"/>
    <w:rsid w:val="61891CD7"/>
    <w:rsid w:val="618F68F6"/>
    <w:rsid w:val="61C7776C"/>
    <w:rsid w:val="61DE2022"/>
    <w:rsid w:val="62140F3E"/>
    <w:rsid w:val="62210161"/>
    <w:rsid w:val="62284829"/>
    <w:rsid w:val="6234499F"/>
    <w:rsid w:val="62B13874"/>
    <w:rsid w:val="63672753"/>
    <w:rsid w:val="639130C5"/>
    <w:rsid w:val="63B3128D"/>
    <w:rsid w:val="63DB6F5B"/>
    <w:rsid w:val="64040A01"/>
    <w:rsid w:val="6417181C"/>
    <w:rsid w:val="642276C7"/>
    <w:rsid w:val="645779AB"/>
    <w:rsid w:val="64597590"/>
    <w:rsid w:val="65B71508"/>
    <w:rsid w:val="65E62E7A"/>
    <w:rsid w:val="66603688"/>
    <w:rsid w:val="676E32AE"/>
    <w:rsid w:val="67B13D35"/>
    <w:rsid w:val="67BB5990"/>
    <w:rsid w:val="67FD4597"/>
    <w:rsid w:val="689A0C6D"/>
    <w:rsid w:val="68FC5078"/>
    <w:rsid w:val="68FC5847"/>
    <w:rsid w:val="6A9736B6"/>
    <w:rsid w:val="6AAD178D"/>
    <w:rsid w:val="6AE606B8"/>
    <w:rsid w:val="6AF45619"/>
    <w:rsid w:val="6B282560"/>
    <w:rsid w:val="6B2E31C1"/>
    <w:rsid w:val="6B80414A"/>
    <w:rsid w:val="6C8934D3"/>
    <w:rsid w:val="6CC649E7"/>
    <w:rsid w:val="6CCA7D73"/>
    <w:rsid w:val="6CE92C9D"/>
    <w:rsid w:val="6D5C4743"/>
    <w:rsid w:val="6DE64E4D"/>
    <w:rsid w:val="6E001573"/>
    <w:rsid w:val="6E1D78C0"/>
    <w:rsid w:val="6E541B97"/>
    <w:rsid w:val="6EC16F54"/>
    <w:rsid w:val="6F5F71DE"/>
    <w:rsid w:val="6F6F261D"/>
    <w:rsid w:val="6F9C6308"/>
    <w:rsid w:val="6FF9271D"/>
    <w:rsid w:val="70485E9C"/>
    <w:rsid w:val="70570E31"/>
    <w:rsid w:val="705A7660"/>
    <w:rsid w:val="719151A5"/>
    <w:rsid w:val="71DF2A95"/>
    <w:rsid w:val="726F70C9"/>
    <w:rsid w:val="72A03F09"/>
    <w:rsid w:val="73650B85"/>
    <w:rsid w:val="73915B7E"/>
    <w:rsid w:val="73A37B39"/>
    <w:rsid w:val="73D95F72"/>
    <w:rsid w:val="742E040E"/>
    <w:rsid w:val="743D7CF2"/>
    <w:rsid w:val="746D7236"/>
    <w:rsid w:val="74CA185C"/>
    <w:rsid w:val="7503531D"/>
    <w:rsid w:val="76004806"/>
    <w:rsid w:val="760C31AA"/>
    <w:rsid w:val="76107B12"/>
    <w:rsid w:val="77972F48"/>
    <w:rsid w:val="77E15F71"/>
    <w:rsid w:val="7800397B"/>
    <w:rsid w:val="785F3120"/>
    <w:rsid w:val="790F485A"/>
    <w:rsid w:val="793313C7"/>
    <w:rsid w:val="798C2898"/>
    <w:rsid w:val="7A25063C"/>
    <w:rsid w:val="7A3E66B9"/>
    <w:rsid w:val="7ABD0F17"/>
    <w:rsid w:val="7B0030BC"/>
    <w:rsid w:val="7B7E7A86"/>
    <w:rsid w:val="7B825FAC"/>
    <w:rsid w:val="7C1C4582"/>
    <w:rsid w:val="7C684D31"/>
    <w:rsid w:val="7CD4479F"/>
    <w:rsid w:val="7CE80FF2"/>
    <w:rsid w:val="7D574578"/>
    <w:rsid w:val="7D6457E7"/>
    <w:rsid w:val="7E6B3330"/>
    <w:rsid w:val="7E6D084A"/>
    <w:rsid w:val="7F141EE0"/>
    <w:rsid w:val="7FCC5758"/>
    <w:rsid w:val="7FE57C62"/>
    <w:rsid w:val="7FFC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9"/>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1"/>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3"/>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4"/>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3"/>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2"/>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5"/>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2"/>
    <w:autoRedefine/>
    <w:unhideWhenUsed/>
    <w:qFormat/>
    <w:uiPriority w:val="99"/>
    <w:pPr>
      <w:jc w:val="left"/>
    </w:pPr>
  </w:style>
  <w:style w:type="paragraph" w:styleId="17">
    <w:name w:val="Body Text 3"/>
    <w:basedOn w:val="1"/>
    <w:link w:val="155"/>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
    <w:link w:val="117"/>
    <w:autoRedefine/>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1"/>
    <w:autoRedefine/>
    <w:qFormat/>
    <w:uiPriority w:val="0"/>
    <w:pPr>
      <w:ind w:left="567" w:leftChars="270"/>
    </w:pPr>
    <w:rPr>
      <w:rFonts w:ascii="Times New Roman" w:hAnsi="Times New Roman" w:eastAsia="宋体" w:cs="Times New Roman"/>
      <w:szCs w:val="20"/>
    </w:rPr>
  </w:style>
  <w:style w:type="paragraph" w:styleId="20">
    <w:name w:val="toc 3"/>
    <w:basedOn w:val="1"/>
    <w:next w:val="1"/>
    <w:autoRedefine/>
    <w:unhideWhenUsed/>
    <w:qFormat/>
    <w:uiPriority w:val="39"/>
    <w:pPr>
      <w:tabs>
        <w:tab w:val="right" w:leader="dot" w:pos="10144"/>
      </w:tabs>
      <w:ind w:left="840" w:leftChars="400"/>
    </w:pPr>
  </w:style>
  <w:style w:type="paragraph" w:styleId="21">
    <w:name w:val="Plain Text"/>
    <w:basedOn w:val="1"/>
    <w:link w:val="99"/>
    <w:autoRedefine/>
    <w:qFormat/>
    <w:uiPriority w:val="0"/>
    <w:rPr>
      <w:rFonts w:ascii="宋体" w:hAnsi="Courier New" w:eastAsia="宋体"/>
    </w:rPr>
  </w:style>
  <w:style w:type="paragraph" w:styleId="22">
    <w:name w:val="Date"/>
    <w:basedOn w:val="1"/>
    <w:next w:val="1"/>
    <w:link w:val="107"/>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0"/>
    <w:autoRedefine/>
    <w:qFormat/>
    <w:uiPriority w:val="0"/>
    <w:pPr>
      <w:tabs>
        <w:tab w:val="left" w:pos="8640"/>
      </w:tabs>
      <w:ind w:left="1260"/>
    </w:pPr>
    <w:rPr>
      <w:rFonts w:ascii="宋体" w:hAnsi="Times New Roman" w:eastAsia="宋体" w:cs="Times New Roman"/>
      <w:szCs w:val="20"/>
    </w:rPr>
  </w:style>
  <w:style w:type="paragraph" w:styleId="24">
    <w:name w:val="Balloon Text"/>
    <w:basedOn w:val="1"/>
    <w:link w:val="73"/>
    <w:autoRedefine/>
    <w:qFormat/>
    <w:uiPriority w:val="0"/>
    <w:rPr>
      <w:rFonts w:ascii="Times New Roman" w:hAnsi="Times New Roman" w:eastAsia="宋体" w:cs="Times New Roman"/>
      <w:sz w:val="18"/>
      <w:szCs w:val="18"/>
    </w:rPr>
  </w:style>
  <w:style w:type="paragraph" w:styleId="25">
    <w:name w:val="footer"/>
    <w:basedOn w:val="1"/>
    <w:link w:val="77"/>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9"/>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autoRedefine/>
    <w:unhideWhenUsed/>
    <w:qFormat/>
    <w:uiPriority w:val="39"/>
  </w:style>
  <w:style w:type="paragraph" w:styleId="28">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3"/>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semiHidden/>
    <w:unhideWhenUsed/>
    <w:qFormat/>
    <w:uiPriority w:val="39"/>
    <w:pPr>
      <w:ind w:left="420" w:leftChars="200"/>
    </w:pPr>
  </w:style>
  <w:style w:type="paragraph" w:styleId="31">
    <w:name w:val="Body Text 2"/>
    <w:basedOn w:val="1"/>
    <w:link w:val="142"/>
    <w:autoRedefine/>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2"/>
    <w:autoRedefine/>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7"/>
    <w:autoRedefine/>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09"/>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18"/>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8">
    <w:name w:val="Table Grid"/>
    <w:basedOn w:val="3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0"/>
    <w:rPr>
      <w:b/>
      <w:bCs/>
    </w:rPr>
  </w:style>
  <w:style w:type="character" w:styleId="41">
    <w:name w:val="FollowedHyperlink"/>
    <w:autoRedefine/>
    <w:unhideWhenUsed/>
    <w:qFormat/>
    <w:uiPriority w:val="99"/>
    <w:rPr>
      <w:color w:val="954F72"/>
      <w:u w:val="single"/>
    </w:rPr>
  </w:style>
  <w:style w:type="character" w:styleId="42">
    <w:name w:val="Emphasis"/>
    <w:autoRedefine/>
    <w:qFormat/>
    <w:uiPriority w:val="0"/>
    <w:rPr>
      <w:i/>
      <w:iCs/>
    </w:rPr>
  </w:style>
  <w:style w:type="character" w:styleId="43">
    <w:name w:val="Hyperlink"/>
    <w:autoRedefine/>
    <w:qFormat/>
    <w:uiPriority w:val="99"/>
    <w:rPr>
      <w:rFonts w:hint="default" w:ascii="Arial" w:hAnsi="Arial" w:cs="Arial"/>
      <w:color w:val="000000"/>
      <w:sz w:val="20"/>
      <w:szCs w:val="20"/>
      <w:u w:val="none"/>
    </w:rPr>
  </w:style>
  <w:style w:type="character" w:styleId="44">
    <w:name w:val="annotation reference"/>
    <w:autoRedefine/>
    <w:qFormat/>
    <w:uiPriority w:val="99"/>
    <w:rPr>
      <w:sz w:val="21"/>
      <w:szCs w:val="21"/>
    </w:rPr>
  </w:style>
  <w:style w:type="paragraph" w:customStyle="1" w:styleId="45">
    <w:name w:val="首行缩进"/>
    <w:basedOn w:val="1"/>
    <w:autoRedefine/>
    <w:qFormat/>
    <w:uiPriority w:val="0"/>
    <w:pPr>
      <w:ind w:firstLine="480" w:firstLineChars="200"/>
    </w:pPr>
    <w:rPr>
      <w:lang w:val="zh-CN"/>
    </w:rPr>
  </w:style>
  <w:style w:type="character" w:customStyle="1" w:styleId="46">
    <w:name w:val="标题 1 字符"/>
    <w:basedOn w:val="39"/>
    <w:autoRedefine/>
    <w:qFormat/>
    <w:uiPriority w:val="0"/>
    <w:rPr>
      <w:b/>
      <w:bCs/>
      <w:kern w:val="44"/>
      <w:sz w:val="44"/>
      <w:szCs w:val="44"/>
    </w:rPr>
  </w:style>
  <w:style w:type="character" w:customStyle="1" w:styleId="47">
    <w:name w:val="标题 2 Char"/>
    <w:basedOn w:val="39"/>
    <w:link w:val="4"/>
    <w:autoRedefine/>
    <w:qFormat/>
    <w:uiPriority w:val="0"/>
    <w:rPr>
      <w:rFonts w:ascii="宋体" w:hAnsi="Calibri" w:eastAsia="宋体" w:cs="Times New Roman"/>
      <w:kern w:val="0"/>
      <w:sz w:val="24"/>
      <w:szCs w:val="24"/>
    </w:rPr>
  </w:style>
  <w:style w:type="character" w:customStyle="1" w:styleId="48">
    <w:name w:val="标题 3 字符"/>
    <w:basedOn w:val="39"/>
    <w:autoRedefine/>
    <w:qFormat/>
    <w:uiPriority w:val="0"/>
    <w:rPr>
      <w:b/>
      <w:bCs/>
      <w:sz w:val="32"/>
      <w:szCs w:val="32"/>
    </w:rPr>
  </w:style>
  <w:style w:type="character" w:customStyle="1" w:styleId="49">
    <w:name w:val="标题 4 Char1"/>
    <w:basedOn w:val="39"/>
    <w:link w:val="6"/>
    <w:autoRedefine/>
    <w:qFormat/>
    <w:uiPriority w:val="9"/>
    <w:rPr>
      <w:rFonts w:ascii="Arial" w:hAnsi="Arial" w:eastAsia="黑体" w:cs="Times New Roman"/>
      <w:b/>
      <w:bCs/>
      <w:kern w:val="0"/>
      <w:sz w:val="28"/>
      <w:szCs w:val="28"/>
    </w:rPr>
  </w:style>
  <w:style w:type="character" w:customStyle="1" w:styleId="50">
    <w:name w:val="标题 5 字符"/>
    <w:basedOn w:val="39"/>
    <w:autoRedefine/>
    <w:qFormat/>
    <w:uiPriority w:val="9"/>
    <w:rPr>
      <w:b/>
      <w:bCs/>
      <w:sz w:val="28"/>
      <w:szCs w:val="28"/>
    </w:rPr>
  </w:style>
  <w:style w:type="character" w:customStyle="1" w:styleId="51">
    <w:name w:val="标题 6 字符"/>
    <w:basedOn w:val="39"/>
    <w:autoRedefine/>
    <w:qFormat/>
    <w:uiPriority w:val="0"/>
    <w:rPr>
      <w:rFonts w:asciiTheme="majorHAnsi" w:hAnsiTheme="majorHAnsi" w:eastAsiaTheme="majorEastAsia" w:cstheme="majorBidi"/>
      <w:b/>
      <w:bCs/>
      <w:sz w:val="24"/>
      <w:szCs w:val="24"/>
    </w:rPr>
  </w:style>
  <w:style w:type="character" w:customStyle="1" w:styleId="52">
    <w:name w:val="标题 7 Char"/>
    <w:basedOn w:val="39"/>
    <w:link w:val="10"/>
    <w:autoRedefine/>
    <w:qFormat/>
    <w:uiPriority w:val="9"/>
    <w:rPr>
      <w:rFonts w:ascii="Times New Roman" w:hAnsi="Calibri" w:eastAsia="黑体" w:cs="Times New Roman"/>
      <w:b/>
      <w:bCs/>
      <w:kern w:val="0"/>
      <w:sz w:val="28"/>
      <w:szCs w:val="24"/>
    </w:rPr>
  </w:style>
  <w:style w:type="character" w:customStyle="1" w:styleId="53">
    <w:name w:val="标题 8 Char"/>
    <w:basedOn w:val="39"/>
    <w:link w:val="11"/>
    <w:qFormat/>
    <w:uiPriority w:val="9"/>
    <w:rPr>
      <w:rFonts w:ascii="Times New Roman" w:hAnsi="Calibri" w:eastAsia="黑体" w:cs="Times New Roman"/>
      <w:b/>
      <w:kern w:val="0"/>
      <w:sz w:val="28"/>
      <w:szCs w:val="24"/>
    </w:rPr>
  </w:style>
  <w:style w:type="character" w:customStyle="1" w:styleId="54">
    <w:name w:val="标题 9 Char"/>
    <w:basedOn w:val="39"/>
    <w:link w:val="12"/>
    <w:autoRedefine/>
    <w:qFormat/>
    <w:uiPriority w:val="9"/>
    <w:rPr>
      <w:rFonts w:ascii="Times New Roman" w:hAnsi="Calibri" w:eastAsia="黑体" w:cs="Times New Roman"/>
      <w:b/>
      <w:kern w:val="0"/>
      <w:sz w:val="28"/>
      <w:szCs w:val="24"/>
    </w:rPr>
  </w:style>
  <w:style w:type="character" w:customStyle="1" w:styleId="55">
    <w:name w:val="正文文本缩进 字符"/>
    <w:autoRedefine/>
    <w:qFormat/>
    <w:uiPriority w:val="0"/>
    <w:rPr>
      <w:rFonts w:ascii="Times New Roman" w:hAnsi="Times New Roman" w:eastAsia="宋体" w:cs="Times New Roman"/>
      <w:szCs w:val="20"/>
    </w:rPr>
  </w:style>
  <w:style w:type="character" w:customStyle="1" w:styleId="56">
    <w:name w:val="普通(网站) Char"/>
    <w:autoRedefine/>
    <w:qFormat/>
    <w:locked/>
    <w:uiPriority w:val="0"/>
    <w:rPr>
      <w:rFonts w:ascii="宋体" w:hAnsi="宋体"/>
      <w:sz w:val="15"/>
      <w:szCs w:val="15"/>
    </w:rPr>
  </w:style>
  <w:style w:type="character" w:customStyle="1" w:styleId="57">
    <w:name w:val="标题 Char"/>
    <w:link w:val="34"/>
    <w:autoRedefine/>
    <w:qFormat/>
    <w:uiPriority w:val="10"/>
    <w:rPr>
      <w:rFonts w:ascii="等线 Light" w:hAnsi="等线 Light" w:eastAsia="仿宋"/>
      <w:b/>
      <w:bCs/>
      <w:sz w:val="28"/>
      <w:szCs w:val="32"/>
    </w:rPr>
  </w:style>
  <w:style w:type="character" w:customStyle="1" w:styleId="58">
    <w:name w:val="日期 Char"/>
    <w:autoRedefine/>
    <w:semiHidden/>
    <w:qFormat/>
    <w:uiPriority w:val="99"/>
    <w:rPr>
      <w:kern w:val="2"/>
      <w:sz w:val="21"/>
    </w:rPr>
  </w:style>
  <w:style w:type="character" w:customStyle="1" w:styleId="59">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0">
    <w:name w:val="批注文字 Char"/>
    <w:autoRedefine/>
    <w:semiHidden/>
    <w:qFormat/>
    <w:uiPriority w:val="99"/>
    <w:rPr>
      <w:kern w:val="2"/>
      <w:sz w:val="21"/>
    </w:rPr>
  </w:style>
  <w:style w:type="character" w:customStyle="1" w:styleId="61">
    <w:name w:val="正文缩进2格 Char"/>
    <w:link w:val="62"/>
    <w:autoRedefine/>
    <w:qFormat/>
    <w:uiPriority w:val="0"/>
    <w:rPr>
      <w:rFonts w:ascii="仿宋_GB2312" w:hAnsi="宋体" w:eastAsia="仿宋_GB2312"/>
      <w:sz w:val="31"/>
      <w:szCs w:val="28"/>
    </w:rPr>
  </w:style>
  <w:style w:type="paragraph" w:customStyle="1" w:styleId="62">
    <w:name w:val="正文缩进2格"/>
    <w:basedOn w:val="1"/>
    <w:link w:val="61"/>
    <w:autoRedefine/>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autoRedefine/>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autoRedefine/>
    <w:semiHidden/>
    <w:qFormat/>
    <w:uiPriority w:val="99"/>
    <w:rPr>
      <w:rFonts w:ascii="宋体" w:hAnsi="Calibri" w:eastAsia="宋体" w:cs="Times New Roman"/>
      <w:kern w:val="0"/>
      <w:sz w:val="18"/>
      <w:szCs w:val="18"/>
    </w:rPr>
  </w:style>
  <w:style w:type="character" w:customStyle="1" w:styleId="66">
    <w:name w:val="List Paragraph Char"/>
    <w:link w:val="67"/>
    <w:autoRedefine/>
    <w:qFormat/>
    <w:uiPriority w:val="34"/>
    <w:rPr>
      <w:rFonts w:ascii="Calibri" w:hAnsi="Calibri"/>
    </w:rPr>
  </w:style>
  <w:style w:type="paragraph" w:customStyle="1" w:styleId="67">
    <w:name w:val="列出段落1"/>
    <w:basedOn w:val="1"/>
    <w:link w:val="66"/>
    <w:autoRedefine/>
    <w:qFormat/>
    <w:uiPriority w:val="34"/>
    <w:pPr>
      <w:ind w:firstLine="420" w:firstLineChars="200"/>
    </w:pPr>
    <w:rPr>
      <w:rFonts w:ascii="Calibri" w:hAnsi="Calibri"/>
    </w:rPr>
  </w:style>
  <w:style w:type="character" w:customStyle="1" w:styleId="68">
    <w:name w:val="标书正文 字符"/>
    <w:link w:val="69"/>
    <w:autoRedefine/>
    <w:qFormat/>
    <w:uiPriority w:val="0"/>
    <w:rPr>
      <w:rFonts w:ascii="Calibri" w:hAnsi="Calibri" w:eastAsia="仿宋"/>
      <w:sz w:val="24"/>
      <w:szCs w:val="21"/>
    </w:rPr>
  </w:style>
  <w:style w:type="paragraph" w:customStyle="1" w:styleId="69">
    <w:name w:val="标书正文"/>
    <w:basedOn w:val="1"/>
    <w:link w:val="68"/>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autoRedefine/>
    <w:semiHidden/>
    <w:qFormat/>
    <w:uiPriority w:val="99"/>
    <w:rPr>
      <w:rFonts w:ascii="Times New Roman" w:hAnsi="Times New Roman"/>
      <w:kern w:val="2"/>
      <w:sz w:val="24"/>
      <w:szCs w:val="24"/>
    </w:rPr>
  </w:style>
  <w:style w:type="character" w:customStyle="1" w:styleId="71">
    <w:name w:val="页脚 Char"/>
    <w:autoRedefine/>
    <w:qFormat/>
    <w:uiPriority w:val="0"/>
    <w:rPr>
      <w:kern w:val="2"/>
      <w:sz w:val="18"/>
      <w:szCs w:val="18"/>
    </w:rPr>
  </w:style>
  <w:style w:type="character" w:customStyle="1" w:styleId="72">
    <w:name w:val="neir1"/>
    <w:autoRedefine/>
    <w:qFormat/>
    <w:uiPriority w:val="0"/>
    <w:rPr>
      <w:rFonts w:hint="default" w:ascii="ˎ̥" w:hAnsi="ˎ̥"/>
      <w:color w:val="333333"/>
      <w:sz w:val="21"/>
      <w:szCs w:val="21"/>
      <w:u w:val="none"/>
    </w:rPr>
  </w:style>
  <w:style w:type="character" w:customStyle="1" w:styleId="73">
    <w:name w:val="批注框文本 Char1"/>
    <w:link w:val="24"/>
    <w:autoRedefine/>
    <w:qFormat/>
    <w:uiPriority w:val="0"/>
    <w:rPr>
      <w:rFonts w:ascii="Times New Roman" w:hAnsi="Times New Roman" w:eastAsia="宋体" w:cs="Times New Roman"/>
      <w:sz w:val="18"/>
      <w:szCs w:val="18"/>
    </w:rPr>
  </w:style>
  <w:style w:type="character" w:customStyle="1" w:styleId="74">
    <w:name w:val="正文文本 3 字符1"/>
    <w:autoRedefine/>
    <w:semiHidden/>
    <w:qFormat/>
    <w:uiPriority w:val="99"/>
    <w:rPr>
      <w:rFonts w:ascii="宋体" w:hAnsi="Calibri" w:eastAsia="宋体" w:cs="Times New Roman"/>
      <w:kern w:val="0"/>
      <w:sz w:val="16"/>
      <w:szCs w:val="16"/>
    </w:rPr>
  </w:style>
  <w:style w:type="character" w:customStyle="1" w:styleId="75">
    <w:name w:val="正文文本 字符3"/>
    <w:autoRedefine/>
    <w:semiHidden/>
    <w:qFormat/>
    <w:uiPriority w:val="99"/>
    <w:rPr>
      <w:rFonts w:ascii="宋体" w:hAnsi="Calibri" w:eastAsia="宋体" w:cs="Times New Roman"/>
      <w:kern w:val="0"/>
      <w:sz w:val="24"/>
      <w:szCs w:val="24"/>
    </w:rPr>
  </w:style>
  <w:style w:type="character" w:customStyle="1" w:styleId="76">
    <w:name w:val="日期 字符1"/>
    <w:autoRedefine/>
    <w:semiHidden/>
    <w:qFormat/>
    <w:uiPriority w:val="99"/>
    <w:rPr>
      <w:rFonts w:ascii="宋体" w:hAnsi="Calibri" w:eastAsia="宋体" w:cs="Times New Roman"/>
      <w:kern w:val="0"/>
      <w:sz w:val="24"/>
      <w:szCs w:val="24"/>
    </w:rPr>
  </w:style>
  <w:style w:type="character" w:customStyle="1" w:styleId="77">
    <w:name w:val="页脚 Char2"/>
    <w:link w:val="25"/>
    <w:autoRedefine/>
    <w:qFormat/>
    <w:uiPriority w:val="99"/>
    <w:rPr>
      <w:rFonts w:ascii="宋体" w:eastAsia="宋体"/>
      <w:sz w:val="18"/>
      <w:szCs w:val="18"/>
    </w:rPr>
  </w:style>
  <w:style w:type="character" w:customStyle="1" w:styleId="78">
    <w:name w:val="吉奥正文 Char"/>
    <w:link w:val="79"/>
    <w:autoRedefine/>
    <w:qFormat/>
    <w:locked/>
    <w:uiPriority w:val="0"/>
    <w:rPr>
      <w:rFonts w:eastAsia="仿宋_GB2312"/>
      <w:sz w:val="28"/>
    </w:rPr>
  </w:style>
  <w:style w:type="paragraph" w:customStyle="1" w:styleId="79">
    <w:name w:val="吉奥正文"/>
    <w:basedOn w:val="1"/>
    <w:link w:val="78"/>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autoRedefine/>
    <w:qFormat/>
    <w:uiPriority w:val="99"/>
    <w:rPr>
      <w:rFonts w:ascii="宋体" w:hAnsi="Times New Roman" w:eastAsia="宋体" w:cs="Times New Roman"/>
      <w:kern w:val="0"/>
      <w:sz w:val="18"/>
      <w:szCs w:val="18"/>
    </w:rPr>
  </w:style>
  <w:style w:type="character" w:customStyle="1" w:styleId="81">
    <w:name w:val="标题 字符"/>
    <w:autoRedefine/>
    <w:qFormat/>
    <w:uiPriority w:val="10"/>
    <w:rPr>
      <w:rFonts w:ascii="Cambria" w:hAnsi="Cambria" w:eastAsia="宋体" w:cs="Times New Roman"/>
      <w:b/>
      <w:bCs/>
      <w:kern w:val="0"/>
      <w:sz w:val="32"/>
      <w:szCs w:val="32"/>
      <w:lang w:val="en-US" w:eastAsia="zh-CN"/>
    </w:rPr>
  </w:style>
  <w:style w:type="character" w:customStyle="1" w:styleId="82">
    <w:name w:val="题注 Char"/>
    <w:link w:val="14"/>
    <w:autoRedefine/>
    <w:qFormat/>
    <w:uiPriority w:val="0"/>
    <w:rPr>
      <w:rFonts w:ascii="Arial" w:hAnsi="Arial" w:eastAsia="黑体" w:cs="Arial"/>
    </w:rPr>
  </w:style>
  <w:style w:type="character" w:customStyle="1" w:styleId="83">
    <w:name w:val="批注文字 字符2"/>
    <w:autoRedefine/>
    <w:qFormat/>
    <w:uiPriority w:val="99"/>
    <w:rPr>
      <w:rFonts w:ascii="宋体" w:hAnsi="Times New Roman" w:eastAsia="宋体" w:cs="Times New Roman"/>
      <w:kern w:val="0"/>
      <w:sz w:val="24"/>
      <w:szCs w:val="24"/>
    </w:rPr>
  </w:style>
  <w:style w:type="character" w:customStyle="1" w:styleId="84">
    <w:name w:val="批注主题 字符1"/>
    <w:autoRedefine/>
    <w:semiHidden/>
    <w:qFormat/>
    <w:uiPriority w:val="99"/>
    <w:rPr>
      <w:rFonts w:ascii="宋体" w:hAnsi="Calibri" w:eastAsia="宋体" w:cs="Times New Roman"/>
      <w:b/>
      <w:bCs/>
      <w:kern w:val="0"/>
      <w:sz w:val="24"/>
      <w:szCs w:val="24"/>
    </w:rPr>
  </w:style>
  <w:style w:type="character" w:customStyle="1" w:styleId="85">
    <w:name w:val="HTML 预设格式 Char"/>
    <w:link w:val="32"/>
    <w:autoRedefine/>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5"/>
    <w:link w:val="86"/>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autoRedefine/>
    <w:semiHidden/>
    <w:qFormat/>
    <w:uiPriority w:val="99"/>
    <w:rPr>
      <w:rFonts w:ascii="Courier New" w:hAnsi="Courier New" w:eastAsia="宋体" w:cs="Courier New"/>
      <w:kern w:val="0"/>
      <w:sz w:val="20"/>
      <w:szCs w:val="20"/>
    </w:rPr>
  </w:style>
  <w:style w:type="character" w:customStyle="1" w:styleId="89">
    <w:name w:val="批注文字 字符1"/>
    <w:autoRedefine/>
    <w:qFormat/>
    <w:uiPriority w:val="0"/>
    <w:rPr>
      <w:rFonts w:eastAsia="宋体"/>
      <w:kern w:val="2"/>
      <w:sz w:val="24"/>
      <w:szCs w:val="24"/>
      <w:lang w:val="en-US" w:eastAsia="zh-CN" w:bidi="ar-SA"/>
    </w:rPr>
  </w:style>
  <w:style w:type="character" w:customStyle="1" w:styleId="90">
    <w:name w:val="正文文本缩进 字符2"/>
    <w:autoRedefine/>
    <w:semiHidden/>
    <w:qFormat/>
    <w:uiPriority w:val="99"/>
    <w:rPr>
      <w:rFonts w:ascii="宋体" w:hAnsi="Calibri" w:eastAsia="宋体" w:cs="Times New Roman"/>
      <w:kern w:val="0"/>
      <w:sz w:val="24"/>
      <w:szCs w:val="24"/>
    </w:rPr>
  </w:style>
  <w:style w:type="character" w:customStyle="1" w:styleId="91">
    <w:name w:val="正文文本缩进 Char1"/>
    <w:link w:val="19"/>
    <w:autoRedefine/>
    <w:qFormat/>
    <w:uiPriority w:val="0"/>
    <w:rPr>
      <w:rFonts w:ascii="Times New Roman" w:hAnsi="Times New Roman" w:eastAsia="宋体" w:cs="Times New Roman"/>
      <w:szCs w:val="20"/>
    </w:rPr>
  </w:style>
  <w:style w:type="character" w:customStyle="1" w:styleId="92">
    <w:name w:val="普通(网站) Char1"/>
    <w:link w:val="33"/>
    <w:autoRedefine/>
    <w:qFormat/>
    <w:locked/>
    <w:uiPriority w:val="0"/>
    <w:rPr>
      <w:rFonts w:ascii="宋体" w:hAnsi="宋体"/>
      <w:sz w:val="15"/>
      <w:szCs w:val="15"/>
    </w:rPr>
  </w:style>
  <w:style w:type="character" w:customStyle="1" w:styleId="93">
    <w:name w:val="模板正文 Char"/>
    <w:link w:val="9"/>
    <w:autoRedefine/>
    <w:qFormat/>
    <w:uiPriority w:val="0"/>
    <w:rPr>
      <w:rFonts w:ascii="宋体" w:eastAsia="仿宋"/>
      <w:sz w:val="24"/>
      <w:szCs w:val="21"/>
    </w:rPr>
  </w:style>
  <w:style w:type="character" w:customStyle="1" w:styleId="94">
    <w:name w:val="批注主题 Char"/>
    <w:autoRedefine/>
    <w:semiHidden/>
    <w:qFormat/>
    <w:uiPriority w:val="99"/>
    <w:rPr>
      <w:b/>
      <w:bCs/>
      <w:kern w:val="2"/>
      <w:sz w:val="21"/>
    </w:rPr>
  </w:style>
  <w:style w:type="character" w:customStyle="1" w:styleId="95">
    <w:name w:val="正文文本 Char1"/>
    <w:autoRedefine/>
    <w:qFormat/>
    <w:uiPriority w:val="0"/>
    <w:rPr>
      <w:rFonts w:ascii="宋体" w:hAnsi="Times New Roman" w:eastAsia="宋体" w:cs="Times New Roman"/>
      <w:kern w:val="0"/>
      <w:sz w:val="24"/>
      <w:szCs w:val="24"/>
    </w:rPr>
  </w:style>
  <w:style w:type="character" w:customStyle="1" w:styleId="96">
    <w:name w:val="正文文本 字符1"/>
    <w:autoRedefine/>
    <w:qFormat/>
    <w:uiPriority w:val="99"/>
    <w:rPr>
      <w:rFonts w:ascii="宋体" w:eastAsia="宋体"/>
      <w:b/>
      <w:bCs/>
      <w:sz w:val="84"/>
      <w:szCs w:val="84"/>
      <w:lang w:val="zh-CN"/>
    </w:rPr>
  </w:style>
  <w:style w:type="character" w:customStyle="1" w:styleId="97">
    <w:name w:val="标题 1 Char"/>
    <w:autoRedefine/>
    <w:qFormat/>
    <w:uiPriority w:val="9"/>
    <w:rPr>
      <w:rFonts w:ascii="宋体" w:hAnsi="Times New Roman" w:eastAsia="宋体" w:cs="Times New Roman"/>
      <w:kern w:val="0"/>
      <w:sz w:val="24"/>
      <w:szCs w:val="24"/>
    </w:rPr>
  </w:style>
  <w:style w:type="character" w:customStyle="1" w:styleId="98">
    <w:name w:val="正文文本 Char2"/>
    <w:autoRedefine/>
    <w:qFormat/>
    <w:uiPriority w:val="99"/>
    <w:rPr>
      <w:rFonts w:ascii="宋体" w:eastAsia="宋体"/>
      <w:b/>
      <w:bCs/>
      <w:sz w:val="84"/>
      <w:szCs w:val="84"/>
      <w:lang w:val="zh-CN"/>
    </w:rPr>
  </w:style>
  <w:style w:type="character" w:customStyle="1" w:styleId="99">
    <w:name w:val="纯文本 Char2"/>
    <w:link w:val="21"/>
    <w:autoRedefine/>
    <w:qFormat/>
    <w:uiPriority w:val="0"/>
    <w:rPr>
      <w:rFonts w:ascii="宋体" w:hAnsi="Courier New" w:eastAsia="宋体"/>
    </w:rPr>
  </w:style>
  <w:style w:type="character" w:customStyle="1" w:styleId="100">
    <w:name w:val="正文文本缩进 2 Char"/>
    <w:link w:val="23"/>
    <w:autoRedefine/>
    <w:qFormat/>
    <w:uiPriority w:val="0"/>
    <w:rPr>
      <w:rFonts w:ascii="宋体" w:hAnsi="Times New Roman" w:eastAsia="宋体" w:cs="Times New Roman"/>
      <w:szCs w:val="20"/>
    </w:rPr>
  </w:style>
  <w:style w:type="character" w:customStyle="1" w:styleId="101">
    <w:name w:val="HTML Markup"/>
    <w:autoRedefine/>
    <w:qFormat/>
    <w:uiPriority w:val="0"/>
    <w:rPr>
      <w:vanish/>
      <w:color w:val="FF0000"/>
    </w:rPr>
  </w:style>
  <w:style w:type="character" w:customStyle="1" w:styleId="102">
    <w:name w:val="页眉 Char1"/>
    <w:autoRedefine/>
    <w:qFormat/>
    <w:uiPriority w:val="0"/>
    <w:rPr>
      <w:rFonts w:ascii="宋体" w:hAnsi="Times New Roman" w:eastAsia="宋体" w:cs="Times New Roman"/>
      <w:kern w:val="0"/>
      <w:sz w:val="18"/>
      <w:szCs w:val="18"/>
    </w:rPr>
  </w:style>
  <w:style w:type="character" w:customStyle="1" w:styleId="103">
    <w:name w:val="font11"/>
    <w:autoRedefine/>
    <w:qFormat/>
    <w:uiPriority w:val="0"/>
    <w:rPr>
      <w:rFonts w:hint="eastAsia" w:ascii="宋体" w:hAnsi="宋体" w:eastAsia="宋体" w:cs="宋体"/>
      <w:color w:val="FF0000"/>
      <w:sz w:val="22"/>
      <w:szCs w:val="22"/>
      <w:u w:val="none"/>
    </w:rPr>
  </w:style>
  <w:style w:type="character" w:customStyle="1" w:styleId="104">
    <w:name w:val="style61"/>
    <w:autoRedefine/>
    <w:qFormat/>
    <w:uiPriority w:val="0"/>
    <w:rPr>
      <w:b/>
      <w:bCs/>
    </w:rPr>
  </w:style>
  <w:style w:type="character" w:customStyle="1" w:styleId="105">
    <w:name w:val="表头文字 Char"/>
    <w:link w:val="106"/>
    <w:autoRedefine/>
    <w:qFormat/>
    <w:uiPriority w:val="0"/>
    <w:rPr>
      <w:rFonts w:eastAsia="仿宋_GB2312"/>
      <w:b/>
      <w:sz w:val="28"/>
      <w:szCs w:val="21"/>
    </w:rPr>
  </w:style>
  <w:style w:type="paragraph" w:customStyle="1" w:styleId="106">
    <w:name w:val="表头文字"/>
    <w:basedOn w:val="1"/>
    <w:link w:val="105"/>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2"/>
    <w:autoRedefine/>
    <w:qFormat/>
    <w:uiPriority w:val="99"/>
    <w:rPr>
      <w:rFonts w:ascii="宋体" w:hAnsi="Times New Roman" w:eastAsia="宋体" w:cs="Times New Roman"/>
      <w:b/>
      <w:bCs/>
      <w:szCs w:val="21"/>
      <w:lang w:val="zh-CN"/>
    </w:rPr>
  </w:style>
  <w:style w:type="character" w:customStyle="1" w:styleId="108">
    <w:name w:val="纯文本 Char1"/>
    <w:autoRedefine/>
    <w:qFormat/>
    <w:uiPriority w:val="0"/>
    <w:rPr>
      <w:rFonts w:ascii="宋体" w:hAnsi="Courier New" w:eastAsia="宋体" w:cs="Courier New"/>
      <w:kern w:val="0"/>
      <w:szCs w:val="21"/>
    </w:rPr>
  </w:style>
  <w:style w:type="character" w:customStyle="1" w:styleId="109">
    <w:name w:val="批注主题 Char1"/>
    <w:link w:val="35"/>
    <w:autoRedefine/>
    <w:qFormat/>
    <w:uiPriority w:val="99"/>
    <w:rPr>
      <w:rFonts w:ascii="宋体" w:hAnsi="Times New Roman" w:eastAsia="宋体" w:cs="Times New Roman"/>
      <w:b/>
      <w:bCs/>
      <w:kern w:val="0"/>
      <w:sz w:val="24"/>
      <w:szCs w:val="24"/>
    </w:rPr>
  </w:style>
  <w:style w:type="character" w:customStyle="1" w:styleId="110">
    <w:name w:val="纯文本 字符"/>
    <w:autoRedefine/>
    <w:qFormat/>
    <w:uiPriority w:val="99"/>
    <w:rPr>
      <w:rFonts w:ascii="宋体" w:hAnsi="Courier New" w:eastAsia="宋体" w:cs="Times New Roman"/>
      <w:szCs w:val="20"/>
      <w:lang w:val="en-US" w:eastAsia="zh-CN"/>
    </w:rPr>
  </w:style>
  <w:style w:type="character" w:customStyle="1" w:styleId="111">
    <w:name w:val="font71"/>
    <w:autoRedefine/>
    <w:qFormat/>
    <w:uiPriority w:val="0"/>
    <w:rPr>
      <w:rFonts w:hint="eastAsia" w:ascii="宋体" w:hAnsi="宋体" w:eastAsia="宋体" w:cs="宋体"/>
      <w:color w:val="FF0000"/>
      <w:sz w:val="18"/>
      <w:szCs w:val="18"/>
      <w:u w:val="none"/>
    </w:rPr>
  </w:style>
  <w:style w:type="character" w:customStyle="1" w:styleId="112">
    <w:name w:val="font21"/>
    <w:autoRedefine/>
    <w:qFormat/>
    <w:uiPriority w:val="0"/>
    <w:rPr>
      <w:rFonts w:hint="eastAsia" w:ascii="宋体" w:hAnsi="宋体" w:eastAsia="宋体" w:cs="宋体"/>
      <w:b/>
      <w:color w:val="000000"/>
      <w:sz w:val="21"/>
      <w:szCs w:val="21"/>
      <w:u w:val="none"/>
    </w:rPr>
  </w:style>
  <w:style w:type="character" w:customStyle="1" w:styleId="113">
    <w:name w:val="纯文本 字符3"/>
    <w:autoRedefine/>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18"/>
    <w:qFormat/>
    <w:uiPriority w:val="99"/>
    <w:rPr>
      <w:rFonts w:ascii="宋体" w:eastAsia="宋体"/>
      <w:b/>
      <w:bCs/>
      <w:sz w:val="84"/>
      <w:szCs w:val="84"/>
      <w:lang w:val="zh-CN"/>
    </w:rPr>
  </w:style>
  <w:style w:type="character" w:customStyle="1" w:styleId="118">
    <w:name w:val="标题 5 Char"/>
    <w:autoRedefine/>
    <w:semiHidden/>
    <w:qFormat/>
    <w:uiPriority w:val="9"/>
    <w:rPr>
      <w:b/>
      <w:bCs/>
      <w:kern w:val="2"/>
      <w:sz w:val="28"/>
      <w:szCs w:val="28"/>
    </w:rPr>
  </w:style>
  <w:style w:type="character" w:customStyle="1" w:styleId="119">
    <w:name w:val="页眉 Char2"/>
    <w:link w:val="26"/>
    <w:qFormat/>
    <w:uiPriority w:val="99"/>
    <w:rPr>
      <w:rFonts w:ascii="宋体" w:eastAsia="宋体"/>
      <w:sz w:val="18"/>
      <w:szCs w:val="18"/>
    </w:rPr>
  </w:style>
  <w:style w:type="character" w:customStyle="1" w:styleId="120">
    <w:name w:val="表格文字 Char"/>
    <w:link w:val="121"/>
    <w:autoRedefine/>
    <w:qFormat/>
    <w:uiPriority w:val="0"/>
    <w:rPr>
      <w:rFonts w:eastAsia="仿宋_GB2312"/>
      <w:sz w:val="28"/>
      <w:szCs w:val="24"/>
    </w:rPr>
  </w:style>
  <w:style w:type="paragraph" w:customStyle="1" w:styleId="121">
    <w:name w:val="表格文字"/>
    <w:basedOn w:val="1"/>
    <w:link w:val="120"/>
    <w:autoRedefine/>
    <w:qFormat/>
    <w:uiPriority w:val="0"/>
    <w:rPr>
      <w:rFonts w:eastAsia="仿宋_GB2312"/>
      <w:sz w:val="28"/>
      <w:szCs w:val="24"/>
    </w:rPr>
  </w:style>
  <w:style w:type="character" w:customStyle="1" w:styleId="122">
    <w:name w:val="标题 字符2"/>
    <w:autoRedefine/>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autoRedefine/>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autoRedefine/>
    <w:qFormat/>
    <w:uiPriority w:val="34"/>
    <w:rPr>
      <w:kern w:val="2"/>
      <w:sz w:val="21"/>
      <w:szCs w:val="22"/>
    </w:rPr>
  </w:style>
  <w:style w:type="paragraph"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autoRedefine/>
    <w:semiHidden/>
    <w:qFormat/>
    <w:uiPriority w:val="99"/>
    <w:rPr>
      <w:rFonts w:ascii="宋体" w:hAnsi="Calibri" w:eastAsia="宋体" w:cs="Times New Roman"/>
      <w:kern w:val="0"/>
      <w:sz w:val="18"/>
      <w:szCs w:val="18"/>
    </w:rPr>
  </w:style>
  <w:style w:type="character" w:customStyle="1" w:styleId="131">
    <w:name w:val="标题 5 Char1"/>
    <w:link w:val="7"/>
    <w:autoRedefine/>
    <w:qFormat/>
    <w:uiPriority w:val="9"/>
    <w:rPr>
      <w:rFonts w:ascii="宋体" w:hAnsi="Calibri" w:eastAsia="宋体" w:cs="Times New Roman"/>
      <w:b/>
      <w:bCs/>
      <w:kern w:val="0"/>
      <w:sz w:val="28"/>
      <w:szCs w:val="28"/>
    </w:rPr>
  </w:style>
  <w:style w:type="character" w:customStyle="1" w:styleId="132">
    <w:name w:val="keyfeatures1"/>
    <w:autoRedefine/>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autoRedefine/>
    <w:qFormat/>
    <w:uiPriority w:val="0"/>
    <w:rPr>
      <w:rFonts w:ascii="宋体" w:hAnsi="宋体" w:eastAsia="宋体"/>
      <w:b/>
      <w:kern w:val="2"/>
      <w:sz w:val="21"/>
      <w:szCs w:val="24"/>
      <w:lang w:val="en-US" w:eastAsia="zh-CN" w:bidi="ar-SA"/>
    </w:rPr>
  </w:style>
  <w:style w:type="character" w:customStyle="1" w:styleId="135">
    <w:name w:val="批注文字 字符3"/>
    <w:autoRedefine/>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autoRedefine/>
    <w:qFormat/>
    <w:uiPriority w:val="0"/>
    <w:rPr>
      <w:rFonts w:ascii="宋体" w:hAnsi="Courier New" w:eastAsia="宋体" w:cs="Times New Roman"/>
      <w:szCs w:val="20"/>
    </w:rPr>
  </w:style>
  <w:style w:type="character" w:customStyle="1" w:styleId="141">
    <w:name w:val="标题 6 Char"/>
    <w:link w:val="8"/>
    <w:autoRedefine/>
    <w:qFormat/>
    <w:uiPriority w:val="9"/>
    <w:rPr>
      <w:rFonts w:ascii="Times New Roman" w:hAnsi="Calibri" w:eastAsia="黑体" w:cs="Times New Roman"/>
      <w:b/>
      <w:bCs/>
      <w:kern w:val="0"/>
      <w:sz w:val="28"/>
      <w:szCs w:val="24"/>
    </w:rPr>
  </w:style>
  <w:style w:type="character" w:customStyle="1" w:styleId="142">
    <w:name w:val="正文文本 2 Char"/>
    <w:link w:val="31"/>
    <w:autoRedefine/>
    <w:qFormat/>
    <w:uiPriority w:val="0"/>
    <w:rPr>
      <w:rFonts w:ascii="Arial" w:hAnsi="Arial" w:eastAsia="宋体" w:cs="Times New Roman"/>
      <w:color w:val="000000"/>
      <w:szCs w:val="24"/>
    </w:rPr>
  </w:style>
  <w:style w:type="character" w:customStyle="1" w:styleId="143">
    <w:name w:val="标题 3 Char"/>
    <w:link w:val="5"/>
    <w:autoRedefine/>
    <w:qFormat/>
    <w:uiPriority w:val="0"/>
    <w:rPr>
      <w:rFonts w:ascii="宋体" w:hAnsi="Calibri" w:eastAsia="宋体" w:cs="Times New Roman"/>
      <w:kern w:val="0"/>
      <w:sz w:val="24"/>
      <w:szCs w:val="24"/>
    </w:rPr>
  </w:style>
  <w:style w:type="character" w:customStyle="1" w:styleId="144">
    <w:name w:val="正文文本缩进 2 字符1"/>
    <w:autoRedefine/>
    <w:semiHidden/>
    <w:qFormat/>
    <w:uiPriority w:val="99"/>
    <w:rPr>
      <w:rFonts w:ascii="宋体" w:hAnsi="Calibri" w:eastAsia="宋体" w:cs="Times New Roman"/>
      <w:kern w:val="0"/>
      <w:sz w:val="24"/>
      <w:szCs w:val="24"/>
    </w:rPr>
  </w:style>
  <w:style w:type="character" w:customStyle="1" w:styleId="145">
    <w:name w:val="正文文本缩进 3 字符1"/>
    <w:autoRedefine/>
    <w:semiHidden/>
    <w:qFormat/>
    <w:uiPriority w:val="99"/>
    <w:rPr>
      <w:rFonts w:ascii="宋体" w:hAnsi="Calibri" w:eastAsia="宋体" w:cs="Times New Roman"/>
      <w:kern w:val="0"/>
      <w:sz w:val="16"/>
      <w:szCs w:val="16"/>
    </w:rPr>
  </w:style>
  <w:style w:type="character" w:customStyle="1" w:styleId="146">
    <w:name w:val="正文文本 2 字符1"/>
    <w:autoRedefine/>
    <w:semiHidden/>
    <w:qFormat/>
    <w:uiPriority w:val="99"/>
    <w:rPr>
      <w:rFonts w:ascii="宋体" w:hAnsi="Calibri" w:eastAsia="宋体" w:cs="Times New Roman"/>
      <w:kern w:val="0"/>
      <w:sz w:val="24"/>
      <w:szCs w:val="24"/>
    </w:rPr>
  </w:style>
  <w:style w:type="character" w:customStyle="1" w:styleId="147">
    <w:name w:val="eschoolnr"/>
    <w:autoRedefine/>
    <w:qFormat/>
    <w:uiPriority w:val="0"/>
    <w:rPr>
      <w:sz w:val="23"/>
      <w:szCs w:val="23"/>
    </w:rPr>
  </w:style>
  <w:style w:type="character" w:customStyle="1" w:styleId="148">
    <w:name w:val="访问过的超链接1"/>
    <w:autoRedefine/>
    <w:qFormat/>
    <w:uiPriority w:val="0"/>
    <w:rPr>
      <w:rFonts w:ascii="Arial" w:hAnsi="Arial" w:cs="Arial"/>
      <w:color w:val="000000"/>
      <w:sz w:val="20"/>
      <w:szCs w:val="20"/>
      <w:u w:val="none"/>
    </w:rPr>
  </w:style>
  <w:style w:type="character" w:customStyle="1" w:styleId="149">
    <w:name w:val="标题 1 Char1"/>
    <w:link w:val="3"/>
    <w:autoRedefine/>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autoRedefine/>
    <w:semiHidden/>
    <w:qFormat/>
    <w:uiPriority w:val="99"/>
    <w:rPr>
      <w:kern w:val="2"/>
      <w:sz w:val="18"/>
      <w:szCs w:val="18"/>
    </w:rPr>
  </w:style>
  <w:style w:type="character" w:customStyle="1" w:styleId="152">
    <w:name w:val="DAS正文 Char"/>
    <w:autoRedefine/>
    <w:qFormat/>
    <w:uiPriority w:val="0"/>
    <w:rPr>
      <w:rFonts w:ascii="Verdana" w:hAnsi="Verdana" w:eastAsia="宋体"/>
      <w:kern w:val="2"/>
      <w:sz w:val="21"/>
      <w:szCs w:val="21"/>
      <w:lang w:val="en-US" w:eastAsia="zh-CN" w:bidi="ar-SA"/>
    </w:rPr>
  </w:style>
  <w:style w:type="character" w:customStyle="1" w:styleId="153">
    <w:name w:val="正文文本缩进 3 Char"/>
    <w:link w:val="29"/>
    <w:qFormat/>
    <w:uiPriority w:val="0"/>
    <w:rPr>
      <w:rFonts w:ascii="宋体" w:hAnsi="Times New Roman" w:eastAsia="宋体" w:cs="Times New Roman"/>
      <w:kern w:val="0"/>
      <w:sz w:val="24"/>
      <w:szCs w:val="24"/>
    </w:rPr>
  </w:style>
  <w:style w:type="character" w:customStyle="1" w:styleId="154">
    <w:name w:val="页眉 Char"/>
    <w:autoRedefine/>
    <w:qFormat/>
    <w:uiPriority w:val="99"/>
    <w:rPr>
      <w:kern w:val="2"/>
      <w:sz w:val="18"/>
      <w:szCs w:val="18"/>
    </w:rPr>
  </w:style>
  <w:style w:type="character" w:customStyle="1" w:styleId="155">
    <w:name w:val="正文文本 3 Char"/>
    <w:link w:val="17"/>
    <w:autoRedefine/>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autoRedefine/>
    <w:qFormat/>
    <w:uiPriority w:val="0"/>
    <w:rPr>
      <w:rFonts w:ascii="宋体"/>
      <w:sz w:val="24"/>
      <w:szCs w:val="24"/>
    </w:rPr>
  </w:style>
  <w:style w:type="paragraph" w:customStyle="1" w:styleId="158">
    <w:name w:val="彩色列表 - 强调文字颜色 11"/>
    <w:basedOn w:val="1"/>
    <w:link w:val="157"/>
    <w:autoRedefine/>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semiHidden/>
    <w:qFormat/>
    <w:uiPriority w:val="99"/>
    <w:rPr>
      <w:rFonts w:hAnsi="Courier New" w:cs="Courier New" w:asciiTheme="minorEastAsia"/>
    </w:rPr>
  </w:style>
  <w:style w:type="character" w:customStyle="1" w:styleId="162">
    <w:name w:val="批注文字 Char2"/>
    <w:basedOn w:val="39"/>
    <w:link w:val="16"/>
    <w:semiHidden/>
    <w:qFormat/>
    <w:uiPriority w:val="99"/>
  </w:style>
  <w:style w:type="character" w:customStyle="1" w:styleId="163">
    <w:name w:val="批注主题 字符2"/>
    <w:basedOn w:val="162"/>
    <w:semiHidden/>
    <w:qFormat/>
    <w:uiPriority w:val="99"/>
    <w:rPr>
      <w:b/>
      <w:bCs/>
    </w:rPr>
  </w:style>
  <w:style w:type="character" w:customStyle="1" w:styleId="164">
    <w:name w:val="标题 字符3"/>
    <w:basedOn w:val="39"/>
    <w:qFormat/>
    <w:uiPriority w:val="10"/>
    <w:rPr>
      <w:rFonts w:asciiTheme="majorHAnsi" w:hAnsiTheme="majorHAnsi" w:eastAsiaTheme="majorEastAsia" w:cstheme="majorBidi"/>
      <w:b/>
      <w:bCs/>
      <w:sz w:val="32"/>
      <w:szCs w:val="32"/>
    </w:rPr>
  </w:style>
  <w:style w:type="character" w:customStyle="1" w:styleId="165">
    <w:name w:val="正文文本缩进 字符3"/>
    <w:basedOn w:val="39"/>
    <w:semiHidden/>
    <w:qFormat/>
    <w:uiPriority w:val="99"/>
  </w:style>
  <w:style w:type="character" w:customStyle="1" w:styleId="166">
    <w:name w:val="正文文本 字符4"/>
    <w:basedOn w:val="39"/>
    <w:semiHidden/>
    <w:qFormat/>
    <w:uiPriority w:val="99"/>
  </w:style>
  <w:style w:type="character" w:customStyle="1" w:styleId="167">
    <w:name w:val="正文文本缩进 3 字符2"/>
    <w:basedOn w:val="39"/>
    <w:autoRedefine/>
    <w:semiHidden/>
    <w:qFormat/>
    <w:uiPriority w:val="99"/>
    <w:rPr>
      <w:sz w:val="16"/>
      <w:szCs w:val="16"/>
    </w:rPr>
  </w:style>
  <w:style w:type="character" w:customStyle="1" w:styleId="168">
    <w:name w:val="页眉 字符2"/>
    <w:basedOn w:val="39"/>
    <w:semiHidden/>
    <w:qFormat/>
    <w:uiPriority w:val="99"/>
    <w:rPr>
      <w:sz w:val="18"/>
      <w:szCs w:val="18"/>
    </w:rPr>
  </w:style>
  <w:style w:type="character" w:customStyle="1" w:styleId="169">
    <w:name w:val="批注框文本 字符2"/>
    <w:basedOn w:val="39"/>
    <w:semiHidden/>
    <w:qFormat/>
    <w:uiPriority w:val="99"/>
    <w:rPr>
      <w:sz w:val="18"/>
      <w:szCs w:val="18"/>
    </w:rPr>
  </w:style>
  <w:style w:type="character" w:customStyle="1" w:styleId="170">
    <w:name w:val="HTML 预设格式 字符2"/>
    <w:basedOn w:val="39"/>
    <w:semiHidden/>
    <w:qFormat/>
    <w:uiPriority w:val="99"/>
    <w:rPr>
      <w:rFonts w:ascii="Courier New" w:hAnsi="Courier New" w:cs="Courier New"/>
      <w:sz w:val="20"/>
      <w:szCs w:val="20"/>
    </w:rPr>
  </w:style>
  <w:style w:type="character" w:customStyle="1" w:styleId="171">
    <w:name w:val="页脚 字符2"/>
    <w:basedOn w:val="39"/>
    <w:semiHidden/>
    <w:qFormat/>
    <w:uiPriority w:val="99"/>
    <w:rPr>
      <w:sz w:val="18"/>
      <w:szCs w:val="18"/>
    </w:rPr>
  </w:style>
  <w:style w:type="character" w:customStyle="1" w:styleId="172">
    <w:name w:val="正文文本缩进 2 字符2"/>
    <w:basedOn w:val="39"/>
    <w:semiHidden/>
    <w:qFormat/>
    <w:uiPriority w:val="99"/>
  </w:style>
  <w:style w:type="character" w:customStyle="1" w:styleId="173">
    <w:name w:val="正文文本 3 字符2"/>
    <w:basedOn w:val="39"/>
    <w:semiHidden/>
    <w:qFormat/>
    <w:uiPriority w:val="99"/>
    <w:rPr>
      <w:sz w:val="16"/>
      <w:szCs w:val="16"/>
    </w:rPr>
  </w:style>
  <w:style w:type="character" w:customStyle="1" w:styleId="174">
    <w:name w:val="正文文本 2 字符2"/>
    <w:basedOn w:val="39"/>
    <w:semiHidden/>
    <w:qFormat/>
    <w:uiPriority w:val="99"/>
  </w:style>
  <w:style w:type="paragraph" w:customStyle="1" w:styleId="175">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autoRedefine/>
    <w:semiHidden/>
    <w:qFormat/>
    <w:uiPriority w:val="99"/>
    <w:rPr>
      <w:rFonts w:ascii="Microsoft YaHei UI" w:eastAsia="Microsoft YaHei UI"/>
      <w:sz w:val="18"/>
      <w:szCs w:val="18"/>
    </w:rPr>
  </w:style>
  <w:style w:type="character" w:customStyle="1" w:styleId="178">
    <w:name w:val="日期 字符2"/>
    <w:basedOn w:val="39"/>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autoRedefine/>
    <w:semiHidden/>
    <w:qFormat/>
    <w:uiPriority w:val="99"/>
    <w:rPr>
      <w:rFonts w:ascii="宋体" w:hAnsi="Calibri" w:eastAsia="宋体" w:cs="Times New Roman"/>
      <w:sz w:val="24"/>
      <w:szCs w:val="24"/>
      <w:lang w:val="en-US" w:eastAsia="zh-CN" w:bidi="ar-SA"/>
    </w:rPr>
  </w:style>
  <w:style w:type="paragraph" w:customStyle="1" w:styleId="182">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18"/>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autoRedefine/>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36"/>
    <w:semiHidden/>
    <w:qFormat/>
    <w:uiPriority w:val="99"/>
    <w:rPr>
      <w:rFonts w:ascii="宋体" w:eastAsia="宋体"/>
      <w:b w:val="0"/>
      <w:bCs w:val="0"/>
      <w:sz w:val="84"/>
      <w:szCs w:val="84"/>
      <w:lang w:val="zh-CN"/>
    </w:rPr>
  </w:style>
  <w:style w:type="paragraph" w:customStyle="1" w:styleId="201">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2">
    <w:name w:val="列出段落"/>
    <w:basedOn w:val="1"/>
    <w:qFormat/>
    <w:uiPriority w:val="0"/>
    <w:pPr>
      <w:keepNext w:val="0"/>
      <w:keepLines w:val="0"/>
      <w:widowControl w:val="0"/>
      <w:suppressLineNumbers w:val="0"/>
      <w:autoSpaceDE w:val="0"/>
      <w:autoSpaceDN w:val="0"/>
      <w:adjustRightInd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9276</Words>
  <Characters>9651</Characters>
  <Lines>1</Lines>
  <Paragraphs>1</Paragraphs>
  <TotalTime>5</TotalTime>
  <ScaleCrop>false</ScaleCrop>
  <LinksUpToDate>false</LinksUpToDate>
  <CharactersWithSpaces>9725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严霞</cp:lastModifiedBy>
  <cp:lastPrinted>2024-10-30T09:46:00Z</cp:lastPrinted>
  <dcterms:modified xsi:type="dcterms:W3CDTF">2025-08-29T06:53:29Z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85CDE41722A148CC8EEB3087CFF97B24_13</vt:lpwstr>
  </property>
</Properties>
</file>