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0CAF1">
      <w:pPr>
        <w:rPr>
          <w:rFonts w:ascii="宋体" w:hAnsi="宋体"/>
          <w:color w:val="auto"/>
          <w:highlight w:val="none"/>
        </w:rPr>
      </w:pPr>
    </w:p>
    <w:p w14:paraId="5AA0EC2F">
      <w:pPr>
        <w:jc w:val="center"/>
        <w:rPr>
          <w:rFonts w:hint="eastAsia" w:ascii="宋体" w:hAnsi="宋体"/>
          <w:b/>
          <w:color w:val="auto"/>
          <w:sz w:val="44"/>
          <w:szCs w:val="44"/>
          <w:highlight w:val="none"/>
          <w:lang w:eastAsia="zh-CN"/>
        </w:rPr>
      </w:pPr>
    </w:p>
    <w:p w14:paraId="44CBEBFF">
      <w:pPr>
        <w:jc w:val="center"/>
        <w:rPr>
          <w:rFonts w:hint="eastAsia" w:ascii="宋体" w:hAnsi="宋体"/>
          <w:b/>
          <w:color w:val="auto"/>
          <w:sz w:val="44"/>
          <w:szCs w:val="44"/>
          <w:highlight w:val="none"/>
          <w:lang w:eastAsia="zh-CN"/>
        </w:rPr>
      </w:pPr>
    </w:p>
    <w:p w14:paraId="1B196D6E">
      <w:pPr>
        <w:spacing w:line="360" w:lineRule="auto"/>
        <w:ind w:firstLine="782" w:firstLineChars="177"/>
        <w:jc w:val="center"/>
        <w:rPr>
          <w:rFonts w:hint="eastAsia" w:ascii="宋体" w:hAnsi="宋体" w:eastAsia="宋体" w:cs="Times New Roman"/>
          <w:b/>
          <w:bCs w:val="0"/>
          <w:color w:val="auto"/>
          <w:sz w:val="44"/>
          <w:szCs w:val="44"/>
          <w:highlight w:val="none"/>
          <w:u w:val="none"/>
        </w:rPr>
      </w:pPr>
      <w:bookmarkStart w:id="0" w:name="OLE_LINK4"/>
      <w:r>
        <w:rPr>
          <w:rFonts w:hint="eastAsia" w:ascii="宋体" w:hAnsi="宋体" w:eastAsia="宋体" w:cs="Times New Roman"/>
          <w:b/>
          <w:bCs w:val="0"/>
          <w:color w:val="auto"/>
          <w:sz w:val="44"/>
          <w:szCs w:val="44"/>
          <w:highlight w:val="none"/>
          <w:u w:val="none"/>
        </w:rPr>
        <w:t>东莞市</w:t>
      </w:r>
      <w:r>
        <w:rPr>
          <w:rFonts w:hint="eastAsia" w:ascii="宋体" w:hAnsi="宋体" w:eastAsia="宋体" w:cs="Times New Roman"/>
          <w:b/>
          <w:bCs w:val="0"/>
          <w:color w:val="auto"/>
          <w:sz w:val="44"/>
          <w:szCs w:val="44"/>
          <w:highlight w:val="none"/>
          <w:u w:val="none"/>
          <w:lang w:val="en-US" w:eastAsia="zh-CN"/>
        </w:rPr>
        <w:t>福地饮用水</w:t>
      </w:r>
      <w:r>
        <w:rPr>
          <w:rFonts w:hint="eastAsia" w:ascii="宋体" w:hAnsi="宋体" w:eastAsia="宋体" w:cs="Times New Roman"/>
          <w:b/>
          <w:bCs w:val="0"/>
          <w:color w:val="auto"/>
          <w:sz w:val="44"/>
          <w:szCs w:val="44"/>
          <w:highlight w:val="none"/>
          <w:u w:val="none"/>
        </w:rPr>
        <w:t>有限公司</w:t>
      </w:r>
    </w:p>
    <w:p w14:paraId="4DD612EA">
      <w:pPr>
        <w:spacing w:line="360" w:lineRule="auto"/>
        <w:ind w:firstLine="782" w:firstLineChars="177"/>
        <w:jc w:val="center"/>
        <w:rPr>
          <w:rFonts w:hint="eastAsia" w:ascii="宋体" w:hAnsi="宋体" w:eastAsia="宋体" w:cs="Times New Roman"/>
          <w:b/>
          <w:color w:val="auto"/>
          <w:sz w:val="44"/>
          <w:szCs w:val="44"/>
          <w:highlight w:val="none"/>
          <w:lang w:eastAsia="zh-CN"/>
        </w:rPr>
      </w:pPr>
      <w:r>
        <w:rPr>
          <w:rFonts w:hint="eastAsia" w:ascii="宋体" w:hAnsi="宋体" w:eastAsia="宋体" w:cs="Times New Roman"/>
          <w:b/>
          <w:bCs w:val="0"/>
          <w:color w:val="auto"/>
          <w:sz w:val="44"/>
          <w:szCs w:val="44"/>
          <w:highlight w:val="none"/>
          <w:u w:val="none"/>
          <w:lang w:val="en-US" w:eastAsia="zh-CN"/>
        </w:rPr>
        <w:t>2025年包装水（20件及以上）物流配送服务项目</w:t>
      </w:r>
      <w:bookmarkEnd w:id="0"/>
    </w:p>
    <w:p w14:paraId="3B29C680">
      <w:pPr>
        <w:jc w:val="center"/>
        <w:rPr>
          <w:rFonts w:hint="eastAsia" w:ascii="宋体" w:hAnsi="宋体" w:eastAsia="宋体"/>
          <w:color w:val="auto"/>
          <w:highlight w:val="none"/>
          <w:lang w:eastAsia="zh-CN"/>
        </w:rPr>
      </w:pPr>
    </w:p>
    <w:p w14:paraId="6E15A329">
      <w:pPr>
        <w:rPr>
          <w:rFonts w:ascii="宋体" w:hAnsi="宋体"/>
          <w:color w:val="auto"/>
          <w:highlight w:val="none"/>
        </w:rPr>
      </w:pPr>
    </w:p>
    <w:p w14:paraId="69678C16">
      <w:pPr>
        <w:rPr>
          <w:rFonts w:ascii="宋体" w:hAnsi="宋体"/>
          <w:color w:val="auto"/>
          <w:highlight w:val="none"/>
        </w:rPr>
      </w:pPr>
    </w:p>
    <w:p w14:paraId="429318BB">
      <w:pPr>
        <w:rPr>
          <w:rFonts w:ascii="宋体" w:hAnsi="宋体"/>
          <w:color w:val="auto"/>
          <w:highlight w:val="none"/>
        </w:rPr>
      </w:pPr>
    </w:p>
    <w:p w14:paraId="02843087">
      <w:pPr>
        <w:rPr>
          <w:rFonts w:ascii="宋体" w:hAnsi="宋体"/>
          <w:color w:val="auto"/>
          <w:highlight w:val="none"/>
        </w:rPr>
      </w:pPr>
    </w:p>
    <w:p w14:paraId="15DEAB5A">
      <w:pPr>
        <w:rPr>
          <w:rFonts w:ascii="宋体" w:hAnsi="宋体"/>
          <w:color w:val="auto"/>
          <w:highlight w:val="none"/>
        </w:rPr>
      </w:pPr>
    </w:p>
    <w:p w14:paraId="70020247">
      <w:pPr>
        <w:jc w:val="center"/>
        <w:rPr>
          <w:rFonts w:ascii="宋体" w:hAnsi="宋体"/>
          <w:b/>
          <w:color w:val="auto"/>
          <w:sz w:val="72"/>
          <w:szCs w:val="72"/>
          <w:highlight w:val="none"/>
        </w:rPr>
      </w:pPr>
      <w:r>
        <w:rPr>
          <w:rFonts w:hint="eastAsia" w:ascii="宋体" w:hAnsi="宋体"/>
          <w:b/>
          <w:color w:val="auto"/>
          <w:sz w:val="72"/>
          <w:szCs w:val="72"/>
          <w:highlight w:val="none"/>
        </w:rPr>
        <w:t>询 价 文 件</w:t>
      </w:r>
    </w:p>
    <w:p w14:paraId="7D85E88D">
      <w:pPr>
        <w:spacing w:line="700" w:lineRule="exact"/>
        <w:ind w:right="-28" w:hanging="482"/>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lang w:val="zh-CN"/>
        </w:rPr>
        <w:t>（自行采购）</w:t>
      </w:r>
    </w:p>
    <w:p w14:paraId="6920C27C">
      <w:pPr>
        <w:rPr>
          <w:rFonts w:ascii="宋体" w:hAnsi="宋体"/>
          <w:color w:val="auto"/>
          <w:sz w:val="52"/>
          <w:highlight w:val="none"/>
        </w:rPr>
      </w:pPr>
    </w:p>
    <w:p w14:paraId="6731AFC1">
      <w:pPr>
        <w:rPr>
          <w:rFonts w:ascii="宋体" w:hAnsi="宋体"/>
          <w:color w:val="auto"/>
          <w:sz w:val="52"/>
          <w:highlight w:val="none"/>
        </w:rPr>
      </w:pPr>
    </w:p>
    <w:p w14:paraId="3863978D">
      <w:pPr>
        <w:tabs>
          <w:tab w:val="left" w:pos="1620"/>
          <w:tab w:val="left" w:pos="1800"/>
        </w:tabs>
        <w:spacing w:line="740" w:lineRule="exact"/>
        <w:rPr>
          <w:rFonts w:ascii="宋体" w:hAnsi="宋体"/>
          <w:b/>
          <w:bCs/>
          <w:color w:val="auto"/>
          <w:sz w:val="32"/>
          <w:szCs w:val="32"/>
          <w:highlight w:val="none"/>
        </w:rPr>
      </w:pPr>
    </w:p>
    <w:p w14:paraId="1B624E45">
      <w:pPr>
        <w:tabs>
          <w:tab w:val="left" w:pos="1620"/>
          <w:tab w:val="left" w:pos="1800"/>
        </w:tabs>
        <w:spacing w:line="740" w:lineRule="exact"/>
        <w:rPr>
          <w:rFonts w:ascii="宋体" w:hAnsi="宋体"/>
          <w:b/>
          <w:bCs/>
          <w:color w:val="auto"/>
          <w:sz w:val="32"/>
          <w:szCs w:val="32"/>
          <w:highlight w:val="none"/>
        </w:rPr>
      </w:pPr>
    </w:p>
    <w:p w14:paraId="35250927">
      <w:pPr>
        <w:tabs>
          <w:tab w:val="left" w:pos="1620"/>
          <w:tab w:val="left" w:pos="1800"/>
          <w:tab w:val="left" w:pos="8460"/>
        </w:tabs>
        <w:spacing w:line="740" w:lineRule="exact"/>
        <w:rPr>
          <w:rFonts w:ascii="宋体" w:hAnsi="宋体"/>
          <w:b/>
          <w:bCs/>
          <w:color w:val="auto"/>
          <w:sz w:val="32"/>
          <w:szCs w:val="32"/>
          <w:highlight w:val="none"/>
        </w:rPr>
      </w:pPr>
    </w:p>
    <w:p w14:paraId="19627F0D">
      <w:pPr>
        <w:tabs>
          <w:tab w:val="left" w:pos="1620"/>
          <w:tab w:val="left" w:pos="1800"/>
          <w:tab w:val="left" w:pos="8460"/>
        </w:tabs>
        <w:spacing w:line="740" w:lineRule="exact"/>
        <w:ind w:left="897" w:leftChars="135" w:hanging="614" w:hangingChars="191"/>
        <w:rPr>
          <w:rFonts w:ascii="宋体" w:hAnsi="宋体"/>
          <w:b/>
          <w:bCs/>
          <w:color w:val="auto"/>
          <w:sz w:val="32"/>
          <w:szCs w:val="32"/>
          <w:highlight w:val="none"/>
          <w:u w:val="single"/>
        </w:rPr>
      </w:pPr>
      <w:r>
        <w:rPr>
          <w:rFonts w:hint="eastAsia" w:ascii="宋体" w:hAnsi="宋体"/>
          <w:b/>
          <w:bCs/>
          <w:color w:val="auto"/>
          <w:sz w:val="32"/>
          <w:szCs w:val="32"/>
          <w:highlight w:val="none"/>
        </w:rPr>
        <w:t>项目编号：</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eastAsia="zh-CN"/>
        </w:rPr>
        <w:t>FDCG20250010</w:t>
      </w:r>
      <w:r>
        <w:rPr>
          <w:rFonts w:hint="eastAsia" w:ascii="宋体" w:hAnsi="宋体"/>
          <w:b/>
          <w:bCs/>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p>
    <w:p w14:paraId="146E36A5">
      <w:pPr>
        <w:spacing w:line="740" w:lineRule="exact"/>
        <w:ind w:left="1906" w:leftChars="132" w:hanging="1629" w:hangingChars="507"/>
        <w:rPr>
          <w:rFonts w:hint="default" w:ascii="宋体" w:hAnsi="宋体"/>
          <w:b/>
          <w:bCs/>
          <w:color w:val="auto"/>
          <w:sz w:val="32"/>
          <w:szCs w:val="32"/>
          <w:highlight w:val="none"/>
          <w:lang w:val="en-US"/>
        </w:rPr>
      </w:pPr>
      <w:r>
        <w:rPr>
          <w:rFonts w:hint="eastAsia" w:ascii="宋体" w:hAnsi="宋体"/>
          <w:b/>
          <w:bCs/>
          <w:color w:val="auto"/>
          <w:sz w:val="32"/>
          <w:szCs w:val="32"/>
          <w:highlight w:val="none"/>
        </w:rPr>
        <w:t>采 购 人：</w:t>
      </w:r>
      <w:r>
        <w:rPr>
          <w:rFonts w:hint="eastAsia" w:ascii="宋体" w:hAnsi="宋体"/>
          <w:b/>
          <w:bCs/>
          <w:color w:val="auto"/>
          <w:spacing w:val="28"/>
          <w:sz w:val="32"/>
          <w:szCs w:val="32"/>
          <w:highlight w:val="none"/>
          <w:u w:val="single"/>
          <w:lang w:val="en-US" w:eastAsia="zh-CN"/>
        </w:rPr>
        <w:t xml:space="preserve">     东</w:t>
      </w:r>
      <w:r>
        <w:rPr>
          <w:rFonts w:hint="eastAsia" w:ascii="宋体" w:hAnsi="宋体"/>
          <w:b/>
          <w:bCs/>
          <w:color w:val="auto"/>
          <w:spacing w:val="28"/>
          <w:sz w:val="32"/>
          <w:szCs w:val="32"/>
          <w:highlight w:val="none"/>
          <w:u w:val="single"/>
          <w:lang w:eastAsia="zh-CN"/>
        </w:rPr>
        <w:t>莞市</w:t>
      </w:r>
      <w:r>
        <w:rPr>
          <w:rFonts w:hint="eastAsia" w:ascii="宋体" w:hAnsi="宋体"/>
          <w:b/>
          <w:bCs/>
          <w:color w:val="auto"/>
          <w:spacing w:val="28"/>
          <w:sz w:val="32"/>
          <w:szCs w:val="32"/>
          <w:highlight w:val="none"/>
          <w:u w:val="single"/>
          <w:lang w:val="en-US" w:eastAsia="zh-CN"/>
        </w:rPr>
        <w:t xml:space="preserve">福地饮用水有限公司      </w:t>
      </w:r>
    </w:p>
    <w:p w14:paraId="3D10E6C2">
      <w:pPr>
        <w:spacing w:line="700" w:lineRule="exact"/>
        <w:ind w:right="-28" w:hanging="482"/>
        <w:jc w:val="center"/>
        <w:rPr>
          <w:rFonts w:ascii="宋体" w:hAnsi="宋体"/>
          <w:b/>
          <w:bCs/>
          <w:color w:val="auto"/>
          <w:sz w:val="32"/>
          <w:szCs w:val="32"/>
          <w:highlight w:val="none"/>
          <w:lang w:val="zh-CN"/>
        </w:rPr>
      </w:pPr>
    </w:p>
    <w:p w14:paraId="3D352870">
      <w:pPr>
        <w:spacing w:line="700" w:lineRule="exact"/>
        <w:ind w:right="-28" w:hanging="482"/>
        <w:jc w:val="center"/>
        <w:rPr>
          <w:rFonts w:hint="eastAsia" w:ascii="宋体" w:hAnsi="宋体"/>
          <w:b/>
          <w:bCs/>
          <w:color w:val="auto"/>
          <w:sz w:val="32"/>
          <w:szCs w:val="32"/>
          <w:highlight w:val="none"/>
          <w:lang w:val="zh-CN"/>
        </w:rPr>
      </w:pPr>
      <w:r>
        <w:rPr>
          <w:rFonts w:hint="eastAsia" w:ascii="宋体" w:hAnsi="宋体"/>
          <w:b/>
          <w:bCs/>
          <w:color w:val="auto"/>
          <w:sz w:val="32"/>
          <w:szCs w:val="32"/>
          <w:highlight w:val="none"/>
          <w:lang w:val="en-US" w:eastAsia="zh-CN"/>
        </w:rPr>
        <w:t xml:space="preserve"> 2025</w:t>
      </w:r>
      <w:r>
        <w:rPr>
          <w:rFonts w:ascii="宋体" w:hAnsi="宋体"/>
          <w:b/>
          <w:bCs/>
          <w:color w:val="auto"/>
          <w:sz w:val="32"/>
          <w:szCs w:val="32"/>
          <w:highlight w:val="none"/>
          <w:lang w:val="zh-CN"/>
        </w:rPr>
        <w:t>年</w:t>
      </w:r>
      <w:r>
        <w:rPr>
          <w:rFonts w:hint="eastAsia" w:ascii="宋体" w:hAnsi="宋体"/>
          <w:b/>
          <w:bCs/>
          <w:color w:val="auto"/>
          <w:sz w:val="32"/>
          <w:szCs w:val="32"/>
          <w:highlight w:val="none"/>
          <w:lang w:val="en-US" w:eastAsia="zh-CN"/>
        </w:rPr>
        <w:t>10</w:t>
      </w:r>
      <w:r>
        <w:rPr>
          <w:rFonts w:hint="eastAsia" w:ascii="宋体" w:hAnsi="宋体"/>
          <w:b/>
          <w:bCs/>
          <w:color w:val="auto"/>
          <w:sz w:val="32"/>
          <w:szCs w:val="32"/>
          <w:highlight w:val="none"/>
          <w:lang w:val="zh-CN"/>
        </w:rPr>
        <w:t>月</w:t>
      </w:r>
      <w:r>
        <w:rPr>
          <w:rFonts w:hint="eastAsia" w:ascii="宋体" w:hAnsi="宋体"/>
          <w:b/>
          <w:bCs/>
          <w:color w:val="auto"/>
          <w:sz w:val="32"/>
          <w:szCs w:val="32"/>
          <w:highlight w:val="none"/>
          <w:lang w:val="en-US" w:eastAsia="zh-CN"/>
        </w:rPr>
        <w:t>15</w:t>
      </w:r>
      <w:r>
        <w:rPr>
          <w:rFonts w:hint="eastAsia" w:ascii="宋体" w:hAnsi="宋体"/>
          <w:b/>
          <w:bCs/>
          <w:color w:val="auto"/>
          <w:sz w:val="32"/>
          <w:szCs w:val="32"/>
          <w:highlight w:val="none"/>
          <w:lang w:val="zh-CN"/>
        </w:rPr>
        <w:t>日</w:t>
      </w:r>
    </w:p>
    <w:p w14:paraId="28AAA1E5">
      <w:pPr>
        <w:rPr>
          <w:lang w:val="zh-CN"/>
        </w:rPr>
      </w:pPr>
      <w:r>
        <w:rPr>
          <w:lang w:val="zh-CN"/>
        </w:rPr>
        <w:br w:type="page"/>
      </w:r>
    </w:p>
    <w:sdt>
      <w:sdtPr>
        <w:rPr>
          <w:rFonts w:ascii="宋体" w:hAnsi="宋体" w:eastAsia="宋体" w:cs="Times New Roman"/>
          <w:sz w:val="21"/>
          <w:szCs w:val="24"/>
          <w:lang w:val="en-US" w:eastAsia="zh-CN" w:bidi="ar-SA"/>
        </w:rPr>
        <w:id w:val="147451138"/>
        <w15:color w:val="DBDBDB"/>
        <w:docPartObj>
          <w:docPartGallery w:val="Table of Contents"/>
          <w:docPartUnique/>
        </w:docPartObj>
      </w:sdtPr>
      <w:sdtEndPr>
        <w:rPr>
          <w:rFonts w:hint="default" w:ascii="Times New Roman" w:hAnsi="Times New Roman" w:eastAsia="宋体" w:cs="Times New Roman"/>
          <w:sz w:val="24"/>
          <w:szCs w:val="32"/>
          <w:highlight w:val="none"/>
          <w:lang w:val="en-US" w:eastAsia="zh-CN" w:bidi="ar-SA"/>
        </w:rPr>
      </w:sdtEndPr>
      <w:sdtContent>
        <w:p w14:paraId="4BB31D6A">
          <w:pPr>
            <w:spacing w:before="0" w:beforeLines="0" w:after="0" w:afterLines="0" w:line="240" w:lineRule="auto"/>
            <w:ind w:left="0" w:leftChars="0" w:right="0" w:rightChars="0" w:firstLine="0" w:firstLineChars="0"/>
            <w:jc w:val="center"/>
            <w:rPr>
              <w:rFonts w:hint="eastAsia" w:ascii="宋体" w:hAnsi="宋体" w:eastAsia="宋体" w:cs="宋体"/>
              <w:sz w:val="30"/>
              <w:szCs w:val="30"/>
            </w:rPr>
          </w:pPr>
          <w:r>
            <w:rPr>
              <w:rFonts w:hint="eastAsia" w:ascii="宋体" w:hAnsi="宋体" w:eastAsia="宋体" w:cs="宋体"/>
              <w:sz w:val="30"/>
              <w:szCs w:val="30"/>
            </w:rPr>
            <w:t>目录</w:t>
          </w:r>
        </w:p>
        <w:p w14:paraId="173E1C32">
          <w:pPr>
            <w:pStyle w:val="56"/>
            <w:tabs>
              <w:tab w:val="right" w:leader="dot" w:pos="8306"/>
            </w:tabs>
            <w:spacing w:line="720" w:lineRule="auto"/>
            <w:rPr>
              <w:rFonts w:hint="eastAsia" w:ascii="宋体" w:hAnsi="宋体" w:eastAsia="宋体" w:cs="宋体"/>
              <w:sz w:val="30"/>
              <w:szCs w:val="30"/>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TOC \o "1-1" \h \u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_Toc32384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第一</w:t>
          </w:r>
          <w:r>
            <w:rPr>
              <w:rFonts w:hint="eastAsia" w:ascii="宋体" w:hAnsi="宋体" w:cs="宋体"/>
              <w:sz w:val="30"/>
              <w:szCs w:val="30"/>
              <w:highlight w:val="none"/>
              <w:lang w:val="en-US" w:eastAsia="zh-CN"/>
            </w:rPr>
            <w:t>篇</w:t>
          </w:r>
          <w:r>
            <w:rPr>
              <w:rFonts w:hint="eastAsia" w:ascii="宋体" w:hAnsi="宋体" w:eastAsia="宋体" w:cs="宋体"/>
              <w:sz w:val="30"/>
              <w:szCs w:val="30"/>
              <w:highlight w:val="none"/>
            </w:rPr>
            <w:t xml:space="preserve"> </w:t>
          </w:r>
          <w:r>
            <w:rPr>
              <w:rFonts w:hint="eastAsia" w:ascii="宋体" w:hAnsi="宋体"/>
              <w:color w:val="auto"/>
              <w:sz w:val="30"/>
              <w:szCs w:val="30"/>
              <w:highlight w:val="none"/>
              <w:lang w:val="zh-CN"/>
            </w:rPr>
            <w:t>报价邀请函</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_Toc32384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highlight w:val="none"/>
            </w:rPr>
            <w:fldChar w:fldCharType="end"/>
          </w:r>
        </w:p>
        <w:p w14:paraId="1FA7294C">
          <w:pPr>
            <w:pStyle w:val="56"/>
            <w:tabs>
              <w:tab w:val="right" w:leader="dot" w:pos="8306"/>
            </w:tabs>
            <w:spacing w:line="720" w:lineRule="auto"/>
            <w:rPr>
              <w:rFonts w:hint="default" w:ascii="宋体" w:hAnsi="宋体" w:eastAsia="宋体" w:cs="宋体"/>
              <w:sz w:val="30"/>
              <w:szCs w:val="30"/>
              <w:highlight w:val="none"/>
              <w:lang w:val="en-US" w:eastAsia="zh-CN"/>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_Toc32511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第二</w:t>
          </w:r>
          <w:r>
            <w:rPr>
              <w:rFonts w:hint="eastAsia" w:ascii="宋体" w:hAnsi="宋体" w:cs="宋体"/>
              <w:sz w:val="30"/>
              <w:szCs w:val="30"/>
              <w:highlight w:val="none"/>
              <w:lang w:val="en-US" w:eastAsia="zh-CN"/>
            </w:rPr>
            <w:t>篇</w:t>
          </w:r>
          <w:r>
            <w:rPr>
              <w:rFonts w:hint="eastAsia" w:ascii="宋体" w:hAnsi="宋体" w:eastAsia="宋体" w:cs="宋体"/>
              <w:sz w:val="30"/>
              <w:szCs w:val="30"/>
              <w:highlight w:val="none"/>
            </w:rPr>
            <w:t xml:space="preserve"> </w:t>
          </w:r>
          <w:r>
            <w:rPr>
              <w:rFonts w:hint="eastAsia" w:ascii="宋体" w:hAnsi="宋体" w:cs="宋体"/>
              <w:sz w:val="30"/>
              <w:szCs w:val="30"/>
              <w:highlight w:val="none"/>
              <w:lang w:val="en-US" w:eastAsia="zh-CN"/>
            </w:rPr>
            <w:t>报价须知</w:t>
          </w:r>
          <w:r>
            <w:rPr>
              <w:rFonts w:hint="eastAsia" w:ascii="宋体" w:hAnsi="宋体" w:eastAsia="宋体" w:cs="宋体"/>
              <w:sz w:val="30"/>
              <w:szCs w:val="30"/>
            </w:rPr>
            <w:tab/>
          </w:r>
          <w:r>
            <w:rPr>
              <w:rFonts w:hint="eastAsia" w:ascii="宋体" w:hAnsi="宋体" w:cs="宋体"/>
              <w:sz w:val="30"/>
              <w:szCs w:val="30"/>
              <w:highlight w:val="none"/>
              <w:lang w:val="en-US" w:eastAsia="zh-CN"/>
            </w:rPr>
            <w:t>4</w:t>
          </w:r>
        </w:p>
        <w:p w14:paraId="7BFF4170">
          <w:pPr>
            <w:pStyle w:val="56"/>
            <w:tabs>
              <w:tab w:val="right" w:leader="dot" w:pos="8306"/>
            </w:tabs>
            <w:spacing w:line="720" w:lineRule="auto"/>
            <w:rPr>
              <w:rFonts w:hint="eastAsia" w:ascii="宋体" w:hAnsi="宋体" w:eastAsia="宋体" w:cs="宋体"/>
              <w:sz w:val="30"/>
              <w:szCs w:val="30"/>
            </w:rPr>
          </w:pPr>
          <w:r>
            <w:rPr>
              <w:rFonts w:hint="eastAsia" w:ascii="宋体" w:hAnsi="宋体" w:cs="宋体"/>
              <w:sz w:val="30"/>
              <w:szCs w:val="30"/>
              <w:highlight w:val="none"/>
              <w:lang w:val="en-US" w:eastAsia="zh-CN"/>
            </w:rPr>
            <w:t xml:space="preserve">第三篇 </w:t>
          </w:r>
          <w:r>
            <w:rPr>
              <w:rFonts w:hint="eastAsia" w:ascii="宋体" w:hAnsi="宋体" w:eastAsia="宋体" w:cs="宋体"/>
              <w:sz w:val="30"/>
              <w:szCs w:val="30"/>
              <w:highlight w:val="none"/>
            </w:rPr>
            <w:t>用户需求</w:t>
          </w:r>
          <w:r>
            <w:rPr>
              <w:rFonts w:hint="eastAsia" w:ascii="宋体" w:hAnsi="宋体" w:eastAsia="宋体" w:cs="宋体"/>
              <w:sz w:val="30"/>
              <w:szCs w:val="30"/>
            </w:rPr>
            <w:tab/>
          </w:r>
          <w:r>
            <w:rPr>
              <w:rFonts w:hint="eastAsia" w:ascii="宋体" w:hAnsi="宋体" w:cs="宋体"/>
              <w:sz w:val="30"/>
              <w:szCs w:val="30"/>
              <w:lang w:val="en-US" w:eastAsia="zh-CN"/>
            </w:rPr>
            <w:t>5</w:t>
          </w:r>
          <w:r>
            <w:rPr>
              <w:rFonts w:hint="eastAsia" w:ascii="宋体" w:hAnsi="宋体" w:eastAsia="宋体" w:cs="宋体"/>
              <w:sz w:val="30"/>
              <w:szCs w:val="30"/>
              <w:highlight w:val="none"/>
            </w:rPr>
            <w:fldChar w:fldCharType="end"/>
          </w:r>
        </w:p>
        <w:p w14:paraId="4875EC68">
          <w:pPr>
            <w:pStyle w:val="56"/>
            <w:tabs>
              <w:tab w:val="right" w:leader="dot" w:pos="8306"/>
            </w:tabs>
            <w:spacing w:line="720" w:lineRule="auto"/>
            <w:rPr>
              <w:rFonts w:hint="eastAsia" w:ascii="宋体" w:hAnsi="宋体" w:eastAsia="宋体" w:cs="宋体"/>
              <w:sz w:val="30"/>
              <w:szCs w:val="30"/>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_Toc10170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w:t>
          </w:r>
          <w:r>
            <w:rPr>
              <w:rFonts w:hint="eastAsia" w:ascii="宋体" w:hAnsi="宋体" w:cs="宋体"/>
              <w:sz w:val="30"/>
              <w:szCs w:val="30"/>
              <w:highlight w:val="none"/>
              <w:lang w:val="en-US" w:eastAsia="zh-CN"/>
            </w:rPr>
            <w:t>四篇</w:t>
          </w:r>
          <w:r>
            <w:rPr>
              <w:rFonts w:hint="eastAsia" w:ascii="宋体" w:hAnsi="宋体" w:eastAsia="宋体" w:cs="宋体"/>
              <w:sz w:val="30"/>
              <w:szCs w:val="30"/>
              <w:highlight w:val="none"/>
            </w:rPr>
            <w:t xml:space="preserve"> 合同条款</w:t>
          </w:r>
          <w:r>
            <w:rPr>
              <w:rFonts w:hint="eastAsia" w:ascii="宋体" w:hAnsi="宋体" w:eastAsia="宋体" w:cs="宋体"/>
              <w:sz w:val="30"/>
              <w:szCs w:val="30"/>
            </w:rPr>
            <w:tab/>
          </w:r>
          <w:r>
            <w:rPr>
              <w:rFonts w:hint="eastAsia" w:ascii="宋体" w:hAnsi="宋体" w:cs="宋体"/>
              <w:sz w:val="30"/>
              <w:szCs w:val="30"/>
              <w:lang w:val="en-US" w:eastAsia="zh-CN"/>
            </w:rPr>
            <w:t>7</w:t>
          </w:r>
          <w:r>
            <w:rPr>
              <w:rFonts w:hint="eastAsia" w:ascii="宋体" w:hAnsi="宋体" w:eastAsia="宋体" w:cs="宋体"/>
              <w:sz w:val="30"/>
              <w:szCs w:val="30"/>
              <w:highlight w:val="none"/>
            </w:rPr>
            <w:fldChar w:fldCharType="end"/>
          </w:r>
        </w:p>
        <w:p w14:paraId="11199FBC">
          <w:pPr>
            <w:pStyle w:val="56"/>
            <w:tabs>
              <w:tab w:val="right" w:leader="dot" w:pos="8306"/>
            </w:tabs>
            <w:spacing w:line="720" w:lineRule="auto"/>
            <w:rPr>
              <w:rFonts w:hint="eastAsia" w:ascii="宋体" w:hAnsi="宋体" w:eastAsia="宋体" w:cs="宋体"/>
              <w:sz w:val="30"/>
              <w:szCs w:val="30"/>
              <w:lang w:val="en-US" w:eastAsia="zh-CN"/>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_Toc10703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第五</w:t>
          </w:r>
          <w:r>
            <w:rPr>
              <w:rFonts w:hint="eastAsia" w:ascii="宋体" w:hAnsi="宋体" w:cs="宋体"/>
              <w:sz w:val="30"/>
              <w:szCs w:val="30"/>
              <w:highlight w:val="none"/>
              <w:lang w:val="en-US" w:eastAsia="zh-CN"/>
            </w:rPr>
            <w:t>篇</w:t>
          </w:r>
          <w:r>
            <w:rPr>
              <w:rFonts w:hint="eastAsia" w:ascii="宋体" w:hAnsi="宋体" w:eastAsia="宋体" w:cs="宋体"/>
              <w:sz w:val="30"/>
              <w:szCs w:val="30"/>
              <w:highlight w:val="none"/>
            </w:rPr>
            <w:t xml:space="preserve"> 报价文件（格式）</w:t>
          </w:r>
          <w:r>
            <w:rPr>
              <w:rFonts w:hint="eastAsia" w:ascii="宋体" w:hAnsi="宋体" w:eastAsia="宋体" w:cs="宋体"/>
              <w:sz w:val="30"/>
              <w:szCs w:val="30"/>
            </w:rPr>
            <w:tab/>
          </w:r>
          <w:r>
            <w:rPr>
              <w:rFonts w:hint="eastAsia" w:ascii="宋体" w:hAnsi="宋体" w:cs="宋体"/>
              <w:sz w:val="30"/>
              <w:szCs w:val="30"/>
              <w:lang w:val="en-US" w:eastAsia="zh-CN"/>
            </w:rPr>
            <w:t>1</w:t>
          </w:r>
          <w:r>
            <w:rPr>
              <w:rFonts w:hint="eastAsia" w:ascii="宋体" w:hAnsi="宋体" w:eastAsia="宋体" w:cs="宋体"/>
              <w:sz w:val="30"/>
              <w:szCs w:val="30"/>
              <w:highlight w:val="none"/>
            </w:rPr>
            <w:fldChar w:fldCharType="end"/>
          </w:r>
          <w:r>
            <w:rPr>
              <w:rFonts w:hint="eastAsia" w:ascii="宋体" w:hAnsi="宋体" w:cs="宋体"/>
              <w:sz w:val="30"/>
              <w:szCs w:val="30"/>
              <w:highlight w:val="none"/>
              <w:lang w:val="en-US" w:eastAsia="zh-CN"/>
            </w:rPr>
            <w:t>7</w:t>
          </w:r>
        </w:p>
        <w:p w14:paraId="05905E16">
          <w:pPr>
            <w:pStyle w:val="9"/>
            <w:spacing w:line="720" w:lineRule="auto"/>
            <w:rPr>
              <w:rFonts w:hint="default" w:ascii="Times New Roman" w:hAnsi="Times New Roman" w:eastAsia="宋体" w:cs="Times New Roman"/>
              <w:sz w:val="24"/>
              <w:szCs w:val="32"/>
              <w:highlight w:val="none"/>
              <w:lang w:val="en-US" w:eastAsia="zh-CN" w:bidi="ar-SA"/>
            </w:rPr>
          </w:pPr>
          <w:r>
            <w:rPr>
              <w:rFonts w:hint="eastAsia" w:ascii="宋体" w:hAnsi="宋体" w:eastAsia="宋体" w:cs="宋体"/>
              <w:sz w:val="30"/>
              <w:szCs w:val="30"/>
              <w:highlight w:val="none"/>
            </w:rPr>
            <w:fldChar w:fldCharType="end"/>
          </w:r>
        </w:p>
      </w:sdtContent>
    </w:sdt>
    <w:p w14:paraId="06D890AE">
      <w:pPr>
        <w:pStyle w:val="9"/>
        <w:rPr>
          <w:rFonts w:hint="default" w:ascii="Times New Roman" w:hAnsi="Times New Roman" w:eastAsia="宋体" w:cs="Times New Roman"/>
          <w:sz w:val="24"/>
          <w:szCs w:val="32"/>
          <w:highlight w:val="none"/>
          <w:lang w:val="zh-CN" w:eastAsia="zh-CN" w:bidi="ar-SA"/>
        </w:rPr>
      </w:pPr>
    </w:p>
    <w:p w14:paraId="7C6D3429">
      <w:pPr>
        <w:pStyle w:val="16"/>
        <w:spacing w:before="0" w:after="0" w:line="312" w:lineRule="auto"/>
        <w:ind w:left="158"/>
        <w:rPr>
          <w:rFonts w:asciiTheme="minorEastAsia" w:hAnsiTheme="minorEastAsia" w:eastAsiaTheme="minorEastAsia"/>
          <w:bCs/>
          <w:color w:val="auto"/>
          <w:szCs w:val="21"/>
          <w:highlight w:val="none"/>
          <w:lang w:val="zh-CN"/>
        </w:rPr>
      </w:pPr>
    </w:p>
    <w:p w14:paraId="6770E0A1">
      <w:pPr>
        <w:rPr>
          <w:rFonts w:asciiTheme="minorEastAsia" w:hAnsiTheme="minorEastAsia" w:eastAsiaTheme="minorEastAsia"/>
          <w:bCs/>
          <w:color w:val="auto"/>
          <w:szCs w:val="21"/>
          <w:highlight w:val="none"/>
          <w:lang w:val="zh-CN"/>
        </w:rPr>
      </w:pPr>
    </w:p>
    <w:p w14:paraId="07689457">
      <w:pPr>
        <w:pStyle w:val="8"/>
        <w:rPr>
          <w:rFonts w:hint="eastAsia"/>
          <w:lang w:val="zh-CN"/>
        </w:rPr>
      </w:pPr>
    </w:p>
    <w:p w14:paraId="5FEDB421">
      <w:pPr>
        <w:rPr>
          <w:rFonts w:hint="eastAsia" w:ascii="宋体" w:hAnsi="宋体"/>
          <w:color w:val="auto"/>
          <w:sz w:val="30"/>
          <w:szCs w:val="30"/>
          <w:highlight w:val="none"/>
          <w:lang w:val="zh-CN"/>
        </w:rPr>
      </w:pPr>
      <w:bookmarkStart w:id="1" w:name="_Toc2241"/>
      <w:r>
        <w:rPr>
          <w:rFonts w:hint="eastAsia" w:ascii="宋体" w:hAnsi="宋体"/>
          <w:color w:val="auto"/>
          <w:sz w:val="30"/>
          <w:szCs w:val="30"/>
          <w:highlight w:val="none"/>
          <w:lang w:val="zh-CN"/>
        </w:rPr>
        <w:br w:type="page"/>
      </w:r>
    </w:p>
    <w:p w14:paraId="578371B4">
      <w:pPr>
        <w:pStyle w:val="18"/>
        <w:spacing w:before="0" w:after="0" w:line="360" w:lineRule="auto"/>
        <w:rPr>
          <w:rFonts w:ascii="宋体" w:hAnsi="宋体"/>
          <w:color w:val="auto"/>
          <w:highlight w:val="none"/>
          <w:lang w:val="zh-CN"/>
        </w:rPr>
      </w:pPr>
      <w:r>
        <w:rPr>
          <w:rFonts w:hint="eastAsia" w:ascii="宋体" w:hAnsi="宋体"/>
          <w:color w:val="auto"/>
          <w:sz w:val="30"/>
          <w:szCs w:val="30"/>
          <w:highlight w:val="none"/>
          <w:lang w:val="zh-CN"/>
        </w:rPr>
        <w:t>第一篇 报价邀请函</w:t>
      </w:r>
      <w:bookmarkEnd w:id="1"/>
    </w:p>
    <w:p w14:paraId="13B5F488">
      <w:pPr>
        <w:spacing w:line="360" w:lineRule="auto"/>
        <w:rPr>
          <w:rFonts w:hint="default" w:ascii="Times New Roman" w:hAnsi="Times New Roman" w:cs="Times New Roman"/>
          <w:highlight w:val="none"/>
        </w:rPr>
      </w:pPr>
      <w:r>
        <w:rPr>
          <w:rFonts w:hint="default" w:ascii="Times New Roman" w:hAnsi="Times New Roman" w:cs="Times New Roman"/>
          <w:highlight w:val="none"/>
        </w:rPr>
        <w:t>各供应商：</w:t>
      </w:r>
    </w:p>
    <w:p w14:paraId="34F1BDD7">
      <w:pPr>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rPr>
        <w:t>我公司的</w:t>
      </w:r>
      <w:r>
        <w:rPr>
          <w:rFonts w:hint="default" w:ascii="Times New Roman" w:hAnsi="Times New Roman" w:cs="Times New Roman"/>
          <w:highlight w:val="none"/>
          <w:u w:val="single"/>
        </w:rPr>
        <w:t>“</w:t>
      </w:r>
      <w:r>
        <w:rPr>
          <w:rFonts w:hint="eastAsia"/>
          <w:highlight w:val="none"/>
          <w:u w:val="single"/>
        </w:rPr>
        <w:t>东莞市福地饮用水有限公司2025年包装水</w:t>
      </w:r>
      <w:r>
        <w:rPr>
          <w:rFonts w:hint="eastAsia"/>
          <w:highlight w:val="none"/>
          <w:u w:val="single"/>
          <w:lang w:eastAsia="zh-CN"/>
        </w:rPr>
        <w:t>（</w:t>
      </w:r>
      <w:r>
        <w:rPr>
          <w:rFonts w:hint="eastAsia"/>
          <w:highlight w:val="none"/>
          <w:u w:val="single"/>
          <w:lang w:val="en-US" w:eastAsia="zh-CN"/>
        </w:rPr>
        <w:t>20件及以上）</w:t>
      </w:r>
      <w:r>
        <w:rPr>
          <w:rFonts w:hint="eastAsia"/>
          <w:highlight w:val="none"/>
          <w:u w:val="single"/>
        </w:rPr>
        <w:t>物流配送服务</w:t>
      </w:r>
      <w:r>
        <w:rPr>
          <w:rFonts w:hint="eastAsia"/>
          <w:highlight w:val="none"/>
          <w:u w:val="single"/>
          <w:lang w:val="en-US" w:eastAsia="zh-CN"/>
        </w:rPr>
        <w:t>采购</w:t>
      </w:r>
      <w:r>
        <w:rPr>
          <w:rFonts w:hint="eastAsia"/>
          <w:highlight w:val="none"/>
          <w:u w:val="single"/>
        </w:rPr>
        <w:t>项目</w:t>
      </w:r>
      <w:r>
        <w:rPr>
          <w:rFonts w:hint="default" w:ascii="Times New Roman" w:hAnsi="Times New Roman" w:cs="Times New Roman"/>
          <w:highlight w:val="none"/>
          <w:u w:val="single"/>
        </w:rPr>
        <w:t>”</w:t>
      </w:r>
      <w:r>
        <w:rPr>
          <w:rFonts w:hint="default" w:ascii="Times New Roman" w:hAnsi="Times New Roman" w:cs="Times New Roman"/>
          <w:highlight w:val="none"/>
        </w:rPr>
        <w:t>正式开展，现邀请贵司参与本项目的询价采购。具体采购信息如下：</w:t>
      </w:r>
    </w:p>
    <w:p w14:paraId="35FE5478">
      <w:pPr>
        <w:spacing w:line="360" w:lineRule="auto"/>
        <w:ind w:firstLine="371" w:firstLineChars="177"/>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一、采购项目编号</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cs="Times New Roman"/>
          <w:color w:val="000000" w:themeColor="text1"/>
          <w:highlight w:val="none"/>
          <w:lang w:val="en-US" w:eastAsia="zh-CN"/>
          <w14:textFill>
            <w14:solidFill>
              <w14:schemeClr w14:val="tx1"/>
            </w14:solidFill>
          </w14:textFill>
        </w:rPr>
        <w:t>FD</w:t>
      </w:r>
      <w:r>
        <w:rPr>
          <w:rFonts w:hint="default" w:ascii="Times New Roman" w:hAnsi="Times New Roman" w:cs="Times New Roman"/>
          <w:color w:val="000000" w:themeColor="text1"/>
          <w:highlight w:val="none"/>
          <w:lang w:eastAsia="zh-CN"/>
          <w14:textFill>
            <w14:solidFill>
              <w14:schemeClr w14:val="tx1"/>
            </w14:solidFill>
          </w14:textFill>
        </w:rPr>
        <w:t>CG202</w:t>
      </w:r>
      <w:r>
        <w:rPr>
          <w:rFonts w:hint="eastAsia" w:asci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lang w:eastAsia="zh-CN"/>
          <w14:textFill>
            <w14:solidFill>
              <w14:schemeClr w14:val="tx1"/>
            </w14:solidFill>
          </w14:textFill>
        </w:rPr>
        <w:t>0</w:t>
      </w:r>
      <w:r>
        <w:rPr>
          <w:rFonts w:hint="eastAsia" w:ascii="Times New Roman" w:cs="Times New Roman"/>
          <w:color w:val="000000" w:themeColor="text1"/>
          <w:highlight w:val="none"/>
          <w:lang w:val="en-US" w:eastAsia="zh-CN"/>
          <w14:textFill>
            <w14:solidFill>
              <w14:schemeClr w14:val="tx1"/>
            </w14:solidFill>
          </w14:textFill>
        </w:rPr>
        <w:t>0</w:t>
      </w:r>
      <w:r>
        <w:rPr>
          <w:rFonts w:hint="eastAsia" w:cs="Times New Roman"/>
          <w:color w:val="000000" w:themeColor="text1"/>
          <w:highlight w:val="none"/>
          <w:lang w:val="en-US" w:eastAsia="zh-CN"/>
          <w14:textFill>
            <w14:solidFill>
              <w14:schemeClr w14:val="tx1"/>
            </w14:solidFill>
          </w14:textFill>
        </w:rPr>
        <w:t>10</w:t>
      </w:r>
    </w:p>
    <w:p w14:paraId="08F3B9C9">
      <w:pPr>
        <w:spacing w:line="360" w:lineRule="auto"/>
        <w:ind w:firstLine="371" w:firstLineChars="177"/>
        <w:rPr>
          <w:rFonts w:hint="default" w:ascii="Times New Roman" w:eastAsia="宋体" w:cs="Times New Roman"/>
          <w:highlight w:val="none"/>
          <w:lang w:eastAsia="zh-CN"/>
        </w:rPr>
      </w:pPr>
      <w:r>
        <w:rPr>
          <w:rFonts w:hint="default" w:ascii="Times New Roman" w:hAnsi="Times New Roman" w:cs="Times New Roman"/>
          <w:highlight w:val="none"/>
        </w:rPr>
        <w:t>二、采购项目名称：</w:t>
      </w:r>
      <w:r>
        <w:rPr>
          <w:rFonts w:hint="default" w:ascii="Times New Roman" w:hAnsi="Times New Roman" w:eastAsia="宋体" w:cs="Times New Roman"/>
          <w:b w:val="0"/>
          <w:bCs w:val="0"/>
          <w:sz w:val="21"/>
          <w:szCs w:val="24"/>
          <w:highlight w:val="none"/>
          <w:u w:val="none"/>
        </w:rPr>
        <w:t>东莞市</w:t>
      </w:r>
      <w:r>
        <w:rPr>
          <w:rFonts w:hint="default" w:ascii="Times New Roman" w:hAnsi="Times New Roman" w:eastAsia="宋体" w:cs="Times New Roman"/>
          <w:b w:val="0"/>
          <w:bCs w:val="0"/>
          <w:sz w:val="21"/>
          <w:szCs w:val="24"/>
          <w:highlight w:val="none"/>
          <w:u w:val="none"/>
          <w:lang w:val="en-US" w:eastAsia="zh-CN"/>
        </w:rPr>
        <w:t>福地饮用水</w:t>
      </w:r>
      <w:r>
        <w:rPr>
          <w:rFonts w:hint="default" w:ascii="Times New Roman" w:hAnsi="Times New Roman" w:eastAsia="宋体" w:cs="Times New Roman"/>
          <w:b w:val="0"/>
          <w:bCs w:val="0"/>
          <w:sz w:val="21"/>
          <w:szCs w:val="24"/>
          <w:highlight w:val="none"/>
          <w:u w:val="none"/>
        </w:rPr>
        <w:t>有限公司</w:t>
      </w:r>
      <w:r>
        <w:rPr>
          <w:rFonts w:hint="default" w:ascii="Times New Roman" w:hAnsi="Times New Roman" w:eastAsia="宋体" w:cs="Times New Roman"/>
          <w:b w:val="0"/>
          <w:bCs w:val="0"/>
          <w:sz w:val="21"/>
          <w:szCs w:val="24"/>
          <w:highlight w:val="none"/>
          <w:u w:val="none"/>
          <w:lang w:val="en-US" w:eastAsia="zh-CN"/>
        </w:rPr>
        <w:t>2025年包装水</w:t>
      </w:r>
      <w:r>
        <w:rPr>
          <w:rFonts w:hint="eastAsia"/>
          <w:highlight w:val="none"/>
          <w:u w:val="single"/>
          <w:lang w:eastAsia="zh-CN"/>
        </w:rPr>
        <w:t>（</w:t>
      </w:r>
      <w:r>
        <w:rPr>
          <w:rFonts w:hint="eastAsia"/>
          <w:highlight w:val="none"/>
          <w:u w:val="single"/>
          <w:lang w:val="en-US" w:eastAsia="zh-CN"/>
        </w:rPr>
        <w:t>20件及以上）</w:t>
      </w:r>
      <w:r>
        <w:rPr>
          <w:rFonts w:hint="default" w:ascii="Times New Roman" w:hAnsi="Times New Roman" w:eastAsia="宋体" w:cs="Times New Roman"/>
          <w:b w:val="0"/>
          <w:bCs w:val="0"/>
          <w:sz w:val="21"/>
          <w:szCs w:val="24"/>
          <w:highlight w:val="none"/>
          <w:u w:val="none"/>
          <w:lang w:val="en-US" w:eastAsia="zh-CN"/>
        </w:rPr>
        <w:t>物流配送服务</w:t>
      </w:r>
      <w:r>
        <w:rPr>
          <w:rFonts w:hint="eastAsia"/>
          <w:highlight w:val="none"/>
          <w:u w:val="single"/>
          <w:lang w:val="en-US" w:eastAsia="zh-CN"/>
        </w:rPr>
        <w:t>采购</w:t>
      </w:r>
      <w:r>
        <w:rPr>
          <w:rFonts w:hint="default" w:ascii="Times New Roman" w:eastAsia="宋体" w:cs="Times New Roman"/>
          <w:b w:val="0"/>
          <w:bCs w:val="0"/>
          <w:sz w:val="21"/>
          <w:szCs w:val="24"/>
          <w:highlight w:val="none"/>
          <w:u w:val="none"/>
          <w:lang w:val="en-US" w:eastAsia="zh-CN"/>
        </w:rPr>
        <w:t>项目</w:t>
      </w:r>
    </w:p>
    <w:p w14:paraId="1B379737">
      <w:pPr>
        <w:spacing w:line="360" w:lineRule="auto"/>
        <w:ind w:firstLine="371" w:firstLineChars="177"/>
        <w:rPr>
          <w:rFonts w:hint="default"/>
          <w:lang w:eastAsia="zh-CN"/>
        </w:rPr>
      </w:pPr>
      <w:r>
        <w:rPr>
          <w:rFonts w:hint="eastAsia" w:ascii="Times New Roman"/>
          <w:lang w:val="en-US" w:eastAsia="zh-CN"/>
        </w:rPr>
        <w:t>三</w:t>
      </w:r>
      <w:r>
        <w:rPr>
          <w:rFonts w:ascii="Times New Roman"/>
        </w:rPr>
        <w:t>、采购预算：</w:t>
      </w:r>
      <w:bookmarkStart w:id="2" w:name="_Hlk40436243"/>
      <w:r>
        <w:rPr>
          <w:rFonts w:ascii="Times New Roman"/>
          <w:b/>
          <w:bCs/>
          <w:color w:val="FF0000"/>
        </w:rPr>
        <w:t>不含税</w:t>
      </w:r>
      <w:r>
        <w:rPr>
          <w:rFonts w:hint="eastAsia" w:ascii="Times New Roman"/>
          <w:b/>
          <w:bCs/>
          <w:color w:val="FF0000"/>
        </w:rPr>
        <w:t>预算单价为</w:t>
      </w:r>
      <w:r>
        <w:rPr>
          <w:rFonts w:hint="eastAsia"/>
          <w:b/>
          <w:bCs/>
          <w:color w:val="FF0000"/>
          <w:lang w:val="en-US" w:eastAsia="zh-CN"/>
        </w:rPr>
        <w:t>4.95</w:t>
      </w:r>
      <w:r>
        <w:rPr>
          <w:rFonts w:hint="eastAsia" w:ascii="Times New Roman" w:hAnsi="Times New Roman" w:eastAsia="宋体" w:cs="Times New Roman"/>
          <w:b/>
          <w:bCs/>
          <w:color w:val="FF0000"/>
          <w:szCs w:val="24"/>
          <w:u w:val="none"/>
          <w:shd w:val="clear"/>
          <w:lang w:val="en-US" w:eastAsia="zh-CN"/>
        </w:rPr>
        <w:t>元/件</w:t>
      </w:r>
      <w:r>
        <w:rPr>
          <w:rFonts w:hint="eastAsia" w:ascii="Times New Roman"/>
          <w:b/>
          <w:bCs/>
          <w:color w:val="FF0000"/>
        </w:rPr>
        <w:t>（大写</w:t>
      </w:r>
      <w:r>
        <w:rPr>
          <w:rFonts w:hint="eastAsia"/>
          <w:b/>
          <w:bCs/>
          <w:color w:val="FF0000"/>
          <w:lang w:val="en-US" w:eastAsia="zh-CN"/>
        </w:rPr>
        <w:t>肆元玖角伍分</w:t>
      </w:r>
      <w:r>
        <w:rPr>
          <w:rFonts w:hint="eastAsia" w:ascii="Times New Roman"/>
          <w:b/>
          <w:bCs/>
          <w:color w:val="FF0000"/>
        </w:rPr>
        <w:t>）</w:t>
      </w:r>
      <w:r>
        <w:rPr>
          <w:rFonts w:ascii="Times New Roman"/>
          <w:b/>
          <w:bCs/>
          <w:color w:val="FF0000"/>
        </w:rPr>
        <w:t>。</w:t>
      </w:r>
      <w:bookmarkEnd w:id="2"/>
    </w:p>
    <w:p w14:paraId="04C15A9E">
      <w:pPr>
        <w:spacing w:line="360" w:lineRule="auto"/>
        <w:ind w:firstLine="371" w:firstLineChars="177"/>
        <w:rPr>
          <w:rFonts w:hint="default" w:ascii="Times New Roman" w:hAnsi="Times New Roman" w:cs="Times New Roman"/>
          <w:highlight w:val="none"/>
        </w:rPr>
      </w:pPr>
      <w:r>
        <w:rPr>
          <w:rFonts w:hint="eastAsia" w:ascii="Times New Roman" w:cs="Times New Roman"/>
          <w:highlight w:val="none"/>
          <w:lang w:val="en-US" w:eastAsia="zh-CN"/>
        </w:rPr>
        <w:t>四</w:t>
      </w:r>
      <w:r>
        <w:rPr>
          <w:rFonts w:hint="default" w:ascii="Times New Roman" w:hAnsi="Times New Roman" w:cs="Times New Roman"/>
          <w:highlight w:val="none"/>
        </w:rPr>
        <w:t>、采购内容：</w:t>
      </w:r>
      <w:r>
        <w:rPr>
          <w:rFonts w:hint="eastAsia" w:ascii="Times New Roman" w:cs="Times New Roman"/>
          <w:highlight w:val="none"/>
          <w:lang w:val="en-US" w:eastAsia="zh-CN"/>
        </w:rPr>
        <w:t>2</w:t>
      </w:r>
      <w:r>
        <w:rPr>
          <w:rFonts w:hint="eastAsia" w:ascii="Times New Roman" w:cs="Times New Roman"/>
          <w:highlight w:val="none"/>
          <w:u w:val="single"/>
          <w:lang w:eastAsia="zh-CN"/>
        </w:rPr>
        <w:t>025年物流配送服务</w:t>
      </w:r>
      <w:r>
        <w:rPr>
          <w:rFonts w:hint="default" w:ascii="Times New Roman" w:hAnsi="Times New Roman" w:cs="Times New Roman"/>
          <w:highlight w:val="none"/>
        </w:rPr>
        <w:t>（具体详见用户需求书）。</w:t>
      </w:r>
    </w:p>
    <w:p w14:paraId="0D387CF5">
      <w:pPr>
        <w:spacing w:line="360" w:lineRule="auto"/>
        <w:ind w:firstLine="371" w:firstLineChars="177"/>
        <w:rPr>
          <w:rFonts w:hint="eastAsia" w:hAnsi="宋体" w:cs="宋体"/>
          <w:color w:val="000000" w:themeColor="text1"/>
          <w:highlight w:val="none"/>
          <w:lang w:val="en-US" w:eastAsia="zh-CN"/>
          <w14:textFill>
            <w14:solidFill>
              <w14:schemeClr w14:val="tx1"/>
            </w14:solidFill>
          </w14:textFill>
        </w:rPr>
      </w:pPr>
      <w:r>
        <w:rPr>
          <w:rFonts w:hint="eastAsia" w:ascii="Times New Roman" w:cs="Times New Roman"/>
          <w:highlight w:val="none"/>
          <w:lang w:val="en-US" w:eastAsia="zh-CN"/>
        </w:rPr>
        <w:t>五</w:t>
      </w:r>
      <w:r>
        <w:rPr>
          <w:rFonts w:hint="default" w:ascii="Times New Roman" w:hAnsi="Times New Roman" w:cs="Times New Roman"/>
          <w:highlight w:val="none"/>
        </w:rPr>
        <w:t>、成交原则：本项目采用阶梯式折扣率报价，报价最高限价为100%，从实质性满足采购需求的供应商中，根据预估业务占比，按加权平均法不含税报价排序，报价最低和次低的两家供应商确定为本项目成交供应商。</w:t>
      </w:r>
    </w:p>
    <w:p w14:paraId="03876A90">
      <w:pPr>
        <w:spacing w:line="360" w:lineRule="auto"/>
        <w:ind w:firstLine="371" w:firstLineChars="177"/>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、报价文件递交截止时间：</w:t>
      </w:r>
      <w:bookmarkStart w:id="3" w:name="_Hlk27138379"/>
      <w:r>
        <w:rPr>
          <w:rFonts w:hint="eastAsia" w:ascii="宋体" w:hAnsi="宋体" w:eastAsia="宋体" w:cs="宋体"/>
          <w:color w:val="000000" w:themeColor="text1"/>
          <w:highlight w:val="none"/>
          <w:lang w:eastAsia="zh-CN"/>
          <w14:textFill>
            <w14:solidFill>
              <w14:schemeClr w14:val="tx1"/>
            </w14:solidFill>
          </w14:textFill>
        </w:rPr>
        <w:t>202</w:t>
      </w:r>
      <w:r>
        <w:rPr>
          <w:rFonts w:hint="eastAsia"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10</w:t>
      </w:r>
      <w:r>
        <w:rPr>
          <w:rFonts w:hint="eastAsia" w:hAnsi="宋体" w:cs="宋体"/>
          <w:color w:val="000000" w:themeColor="text1"/>
          <w:highlight w:val="none"/>
          <w:lang w:val="en-US" w:eastAsia="zh-CN"/>
          <w14:textFill>
            <w14:solidFill>
              <w14:schemeClr w14:val="tx1"/>
            </w14:solidFill>
          </w14:textFill>
        </w:rPr>
        <w:t>月25日9</w:t>
      </w:r>
      <w:r>
        <w:rPr>
          <w:rFonts w:hint="eastAsia" w:ascii="宋体" w:hAnsi="宋体" w:eastAsia="宋体" w:cs="宋体"/>
          <w:color w:val="000000" w:themeColor="text1"/>
          <w:highlight w:val="none"/>
          <w14:textFill>
            <w14:solidFill>
              <w14:schemeClr w14:val="tx1"/>
            </w14:solidFill>
          </w14:textFill>
        </w:rPr>
        <w:t>时</w:t>
      </w:r>
      <w:bookmarkEnd w:id="3"/>
      <w:r>
        <w:rPr>
          <w:rFonts w:hint="eastAsia" w:hAnsi="宋体" w:cs="宋体"/>
          <w:color w:val="000000" w:themeColor="text1"/>
          <w:highlight w:val="none"/>
          <w:lang w:val="en-US" w:eastAsia="zh-CN"/>
          <w14:textFill>
            <w14:solidFill>
              <w14:schemeClr w14:val="tx1"/>
            </w14:solidFill>
          </w14:textFill>
        </w:rPr>
        <w:t>30分</w:t>
      </w:r>
      <w:r>
        <w:rPr>
          <w:rFonts w:hint="eastAsia" w:ascii="宋体" w:hAnsi="宋体" w:eastAsia="宋体" w:cs="宋体"/>
          <w:color w:val="000000" w:themeColor="text1"/>
          <w:highlight w:val="none"/>
          <w14:textFill>
            <w14:solidFill>
              <w14:schemeClr w14:val="tx1"/>
            </w14:solidFill>
          </w14:textFill>
        </w:rPr>
        <w:t>。</w:t>
      </w:r>
    </w:p>
    <w:p w14:paraId="20F29D48">
      <w:pPr>
        <w:spacing w:line="360" w:lineRule="auto"/>
        <w:ind w:firstLine="371" w:firstLineChars="17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、报价文件递交地点：</w:t>
      </w:r>
      <w:r>
        <w:rPr>
          <w:rFonts w:hint="eastAsia" w:ascii="宋体" w:hAnsi="宋体" w:eastAsia="宋体" w:cs="宋体"/>
          <w:color w:val="000000" w:themeColor="text1"/>
          <w:highlight w:val="none"/>
          <w:lang w:eastAsia="zh-CN"/>
          <w14:textFill>
            <w14:solidFill>
              <w14:schemeClr w14:val="tx1"/>
            </w14:solidFill>
          </w14:textFill>
        </w:rPr>
        <w:t>东莞市福地饮用水有限公司</w:t>
      </w:r>
      <w:r>
        <w:rPr>
          <w:rFonts w:hint="eastAsia" w:ascii="宋体" w:hAnsi="宋体" w:eastAsia="宋体" w:cs="宋体"/>
          <w:color w:val="000000" w:themeColor="text1"/>
          <w:highlight w:val="none"/>
          <w:lang w:val="en-US" w:eastAsia="zh-CN"/>
          <w14:textFill>
            <w14:solidFill>
              <w14:schemeClr w14:val="tx1"/>
            </w14:solidFill>
          </w14:textFill>
        </w:rPr>
        <w:t>生产仓储</w:t>
      </w:r>
      <w:r>
        <w:rPr>
          <w:rFonts w:hint="eastAsia" w:ascii="宋体" w:hAnsi="宋体" w:eastAsia="宋体" w:cs="宋体"/>
          <w:color w:val="000000" w:themeColor="text1"/>
          <w:highlight w:val="none"/>
          <w14:textFill>
            <w14:solidFill>
              <w14:schemeClr w14:val="tx1"/>
            </w14:solidFill>
          </w14:textFill>
        </w:rPr>
        <w:t>部。</w:t>
      </w:r>
    </w:p>
    <w:p w14:paraId="3E7AA860">
      <w:pPr>
        <w:spacing w:line="360" w:lineRule="auto"/>
        <w:ind w:firstLine="371" w:firstLineChars="177"/>
        <w:rPr>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t>八、报价文件开封时间：2025年</w:t>
      </w:r>
      <w:r>
        <w:rPr>
          <w:rFonts w:hint="eastAsia" w:ascii="宋体" w:hAnsi="宋体" w:cs="宋体"/>
          <w:b w:val="0"/>
          <w:bCs w:val="0"/>
          <w:color w:val="000000" w:themeColor="text1"/>
          <w:sz w:val="21"/>
          <w:szCs w:val="24"/>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t>月</w:t>
      </w:r>
      <w:r>
        <w:rPr>
          <w:rFonts w:hint="eastAsia" w:ascii="宋体" w:hAnsi="宋体" w:cs="宋体"/>
          <w:b w:val="0"/>
          <w:bCs w:val="0"/>
          <w:color w:val="000000" w:themeColor="text1"/>
          <w:sz w:val="21"/>
          <w:szCs w:val="24"/>
          <w:highlight w:val="none"/>
          <w:lang w:val="en-US" w:eastAsia="zh-CN"/>
          <w14:textFill>
            <w14:solidFill>
              <w14:schemeClr w14:val="tx1"/>
            </w14:solidFill>
          </w14:textFill>
        </w:rPr>
        <w:t>25</w:t>
      </w:r>
      <w:r>
        <w:rPr>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t>日</w:t>
      </w:r>
      <w:r>
        <w:rPr>
          <w:rFonts w:hint="eastAsia" w:ascii="宋体" w:hAnsi="宋体" w:cs="宋体"/>
          <w:b w:val="0"/>
          <w:bCs w:val="0"/>
          <w:color w:val="000000" w:themeColor="text1"/>
          <w:sz w:val="21"/>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t>时</w:t>
      </w:r>
      <w:r>
        <w:rPr>
          <w:rFonts w:hint="eastAsia" w:ascii="宋体" w:hAnsi="宋体" w:eastAsia="宋体" w:cs="宋体"/>
          <w:color w:val="000000" w:themeColor="text1"/>
          <w:highlight w:val="none"/>
          <w:lang w:val="en-US" w:eastAsia="zh-CN"/>
          <w14:textFill>
            <w14:solidFill>
              <w14:schemeClr w14:val="tx1"/>
            </w14:solidFill>
          </w14:textFill>
        </w:rPr>
        <w:t>30分</w:t>
      </w:r>
      <w:r>
        <w:rPr>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t>。</w:t>
      </w:r>
    </w:p>
    <w:p w14:paraId="29E7A9DF">
      <w:pPr>
        <w:spacing w:line="360" w:lineRule="auto"/>
        <w:ind w:firstLine="371" w:firstLineChars="177"/>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t>九、报价文件开封地点：</w:t>
      </w:r>
      <w:r>
        <w:rPr>
          <w:rFonts w:hint="eastAsia" w:ascii="宋体" w:hAnsi="宋体" w:eastAsia="宋体" w:cs="宋体"/>
          <w:color w:val="000000" w:themeColor="text1"/>
          <w:highlight w:val="none"/>
          <w:lang w:eastAsia="zh-CN"/>
          <w14:textFill>
            <w14:solidFill>
              <w14:schemeClr w14:val="tx1"/>
            </w14:solidFill>
          </w14:textFill>
        </w:rPr>
        <w:t>东莞市福地饮用水有限公司</w:t>
      </w:r>
      <w:r>
        <w:rPr>
          <w:rFonts w:hint="eastAsia" w:ascii="宋体" w:hAnsi="宋体" w:eastAsia="宋体" w:cs="宋体"/>
          <w:color w:val="000000" w:themeColor="text1"/>
          <w:highlight w:val="none"/>
          <w:lang w:val="en-US" w:eastAsia="zh-CN"/>
          <w14:textFill>
            <w14:solidFill>
              <w14:schemeClr w14:val="tx1"/>
            </w14:solidFill>
          </w14:textFill>
        </w:rPr>
        <w:t>生产仓储</w:t>
      </w:r>
      <w:r>
        <w:rPr>
          <w:rFonts w:hint="eastAsia" w:ascii="宋体" w:hAnsi="宋体" w:eastAsia="宋体" w:cs="宋体"/>
          <w:color w:val="000000" w:themeColor="text1"/>
          <w:highlight w:val="none"/>
          <w14:textFill>
            <w14:solidFill>
              <w14:schemeClr w14:val="tx1"/>
            </w14:solidFill>
          </w14:textFill>
        </w:rPr>
        <w:t>部</w:t>
      </w:r>
      <w:r>
        <w:rPr>
          <w:rFonts w:hint="eastAsia" w:ascii="宋体" w:hAnsi="宋体" w:eastAsia="宋体" w:cs="宋体"/>
          <w:b w:val="0"/>
          <w:bCs w:val="0"/>
          <w:color w:val="000000" w:themeColor="text1"/>
          <w:sz w:val="21"/>
          <w:szCs w:val="24"/>
          <w:highlight w:val="none"/>
          <w:lang w:val="en-US" w:eastAsia="zh-CN"/>
          <w14:textFill>
            <w14:solidFill>
              <w14:schemeClr w14:val="tx1"/>
            </w14:solidFill>
          </w14:textFill>
        </w:rPr>
        <w:t>。</w:t>
      </w:r>
    </w:p>
    <w:p w14:paraId="1775E167">
      <w:pPr>
        <w:spacing w:line="360" w:lineRule="auto"/>
        <w:ind w:firstLine="371" w:firstLineChars="17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十</w:t>
      </w:r>
      <w:r>
        <w:rPr>
          <w:rFonts w:hint="eastAsia" w:ascii="宋体" w:hAnsi="宋体" w:eastAsia="宋体" w:cs="宋体"/>
          <w:color w:val="000000" w:themeColor="text1"/>
          <w:highlight w:val="none"/>
          <w14:textFill>
            <w14:solidFill>
              <w14:schemeClr w14:val="tx1"/>
            </w14:solidFill>
          </w14:textFill>
        </w:rPr>
        <w:t>、采购人联系方式</w:t>
      </w:r>
    </w:p>
    <w:p w14:paraId="6BC8F7FF">
      <w:pPr>
        <w:spacing w:line="360" w:lineRule="auto"/>
        <w:ind w:left="0" w:leftChars="0" w:firstLine="371" w:firstLineChars="177"/>
        <w:rPr>
          <w:rFonts w:hint="eastAsia" w:ascii="宋体" w:hAnsi="宋体" w:eastAsia="宋体" w:cs="宋体"/>
          <w:color w:val="000000" w:themeColor="text1"/>
          <w:highlight w:val="none"/>
          <w:lang w:val="en-US" w:eastAsia="zh-CN"/>
          <w14:textFill>
            <w14:solidFill>
              <w14:schemeClr w14:val="tx1"/>
            </w14:solidFill>
          </w14:textFill>
        </w:rPr>
      </w:pPr>
      <w:bookmarkStart w:id="4" w:name="_Hlk27138405"/>
      <w:r>
        <w:rPr>
          <w:rFonts w:hint="eastAsia" w:ascii="宋体" w:hAnsi="宋体" w:eastAsia="宋体" w:cs="宋体"/>
          <w:color w:val="000000" w:themeColor="text1"/>
          <w:highlight w:val="none"/>
          <w14:textFill>
            <w14:solidFill>
              <w14:schemeClr w14:val="tx1"/>
            </w14:solidFill>
          </w14:textFill>
        </w:rPr>
        <w:t>采购联系人：</w:t>
      </w:r>
      <w:r>
        <w:rPr>
          <w:rFonts w:hint="eastAsia" w:ascii="宋体" w:hAnsi="宋体" w:eastAsia="宋体" w:cs="宋体"/>
          <w:color w:val="000000" w:themeColor="text1"/>
          <w:highlight w:val="none"/>
          <w:lang w:val="en-US" w:eastAsia="zh-CN"/>
          <w14:textFill>
            <w14:solidFill>
              <w14:schemeClr w14:val="tx1"/>
            </w14:solidFill>
          </w14:textFill>
        </w:rPr>
        <w:t>袁先生</w:t>
      </w:r>
    </w:p>
    <w:p w14:paraId="5F309FC4">
      <w:pPr>
        <w:spacing w:line="360" w:lineRule="auto"/>
        <w:ind w:left="0" w:leftChars="0" w:firstLine="371" w:firstLineChars="177"/>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w:t>
      </w:r>
      <w:r>
        <w:rPr>
          <w:rFonts w:hint="eastAsia" w:ascii="宋体" w:hAnsi="宋体" w:eastAsia="宋体" w:cs="宋体"/>
          <w:color w:val="000000" w:themeColor="text1"/>
          <w:highlight w:val="none"/>
          <w:lang w:val="en-US" w:eastAsia="zh-CN"/>
          <w14:textFill>
            <w14:solidFill>
              <w14:schemeClr w14:val="tx1"/>
            </w14:solidFill>
          </w14:textFill>
        </w:rPr>
        <w:t>15920695466</w:t>
      </w:r>
    </w:p>
    <w:p w14:paraId="215F35C9">
      <w:pPr>
        <w:spacing w:line="360" w:lineRule="auto"/>
        <w:ind w:left="0" w:leftChars="0" w:firstLine="371" w:firstLineChars="17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联系地址：</w:t>
      </w:r>
      <w:bookmarkEnd w:id="4"/>
      <w:r>
        <w:rPr>
          <w:rFonts w:hint="eastAsia" w:ascii="宋体" w:hAnsi="宋体" w:eastAsia="宋体" w:cs="宋体"/>
          <w:color w:val="000000" w:themeColor="text1"/>
          <w:highlight w:val="none"/>
          <w14:textFill>
            <w14:solidFill>
              <w14:schemeClr w14:val="tx1"/>
            </w14:solidFill>
          </w14:textFill>
        </w:rPr>
        <w:t>东莞市东城街道育华路1号（</w:t>
      </w:r>
      <w:r>
        <w:rPr>
          <w:rFonts w:hint="eastAsia" w:ascii="宋体" w:hAnsi="宋体" w:eastAsia="宋体" w:cs="宋体"/>
          <w:color w:val="000000" w:themeColor="text1"/>
          <w:highlight w:val="none"/>
          <w:lang w:eastAsia="zh-CN"/>
          <w14:textFill>
            <w14:solidFill>
              <w14:schemeClr w14:val="tx1"/>
            </w14:solidFill>
          </w14:textFill>
        </w:rPr>
        <w:t>东莞市</w:t>
      </w:r>
      <w:r>
        <w:rPr>
          <w:rFonts w:hint="eastAsia" w:ascii="宋体" w:hAnsi="宋体" w:cs="宋体"/>
          <w:color w:val="000000" w:themeColor="text1"/>
          <w:highlight w:val="none"/>
          <w:lang w:val="en-US" w:eastAsia="zh-CN"/>
          <w14:textFill>
            <w14:solidFill>
              <w14:schemeClr w14:val="tx1"/>
            </w14:solidFill>
          </w14:textFill>
        </w:rPr>
        <w:t>水务环境集团</w:t>
      </w:r>
      <w:r>
        <w:rPr>
          <w:rFonts w:hint="eastAsia" w:ascii="宋体" w:hAnsi="宋体" w:eastAsia="宋体" w:cs="宋体"/>
          <w:color w:val="000000" w:themeColor="text1"/>
          <w:highlight w:val="none"/>
          <w14:textFill>
            <w14:solidFill>
              <w14:schemeClr w14:val="tx1"/>
            </w14:solidFill>
          </w14:textFill>
        </w:rPr>
        <w:t>）。</w:t>
      </w:r>
    </w:p>
    <w:p w14:paraId="20A472BC">
      <w:pPr>
        <w:rPr>
          <w:rFonts w:hint="default" w:ascii="Times New Roman" w:hAnsi="Times New Roman" w:cs="Times New Roman"/>
          <w:color w:val="000000" w:themeColor="text1"/>
          <w:highlight w:val="none"/>
          <w14:textFill>
            <w14:solidFill>
              <w14:schemeClr w14:val="tx1"/>
            </w14:solidFill>
          </w14:textFill>
        </w:rPr>
      </w:pPr>
    </w:p>
    <w:p w14:paraId="63D4D5FC">
      <w:pPr>
        <w:rPr>
          <w:rFonts w:hint="default" w:ascii="Times New Roman" w:hAnsi="Times New Roman" w:cs="Times New Roman"/>
          <w:color w:val="000000" w:themeColor="text1"/>
          <w:highlight w:val="none"/>
          <w14:textFill>
            <w14:solidFill>
              <w14:schemeClr w14:val="tx1"/>
            </w14:solidFill>
          </w14:textFill>
        </w:rPr>
      </w:pPr>
    </w:p>
    <w:p w14:paraId="209C96A6">
      <w:pPr>
        <w:spacing w:line="360" w:lineRule="auto"/>
        <w:ind w:left="743" w:leftChars="354" w:firstLine="3970"/>
        <w:rPr>
          <w:rFonts w:hint="eastAsia" w:ascii="Times New Roman" w:hAnsi="Times New Roman" w:eastAsia="宋体" w:cs="Times New Roman"/>
          <w:color w:val="000000" w:themeColor="text1"/>
          <w:highlight w:val="none"/>
          <w:lang w:eastAsia="zh-CN"/>
          <w14:textFill>
            <w14:solidFill>
              <w14:schemeClr w14:val="tx1"/>
            </w14:solidFill>
          </w14:textFill>
        </w:rPr>
      </w:pPr>
      <w:bookmarkStart w:id="5" w:name="_Hlk27138410"/>
      <w:r>
        <w:rPr>
          <w:rFonts w:hint="eastAsia" w:ascii="Times New Roman" w:cs="Times New Roman"/>
          <w:color w:val="000000" w:themeColor="text1"/>
          <w:highlight w:val="none"/>
          <w:lang w:eastAsia="zh-CN"/>
          <w14:textFill>
            <w14:solidFill>
              <w14:schemeClr w14:val="tx1"/>
            </w14:solidFill>
          </w14:textFill>
        </w:rPr>
        <w:t>东莞市福地饮用水有限公司</w:t>
      </w:r>
    </w:p>
    <w:p w14:paraId="7BFADE46">
      <w:pPr>
        <w:spacing w:line="360" w:lineRule="auto"/>
        <w:ind w:left="743" w:leftChars="354" w:firstLine="4410" w:firstLineChars="21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202</w:t>
      </w:r>
      <w:r>
        <w:rPr>
          <w:rFonts w:hint="eastAsia" w:asci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年</w:t>
      </w:r>
      <w:r>
        <w:rPr>
          <w:rFonts w:hint="eastAsia" w:cs="Times New Roman"/>
          <w:color w:val="000000" w:themeColor="text1"/>
          <w:highlight w:val="none"/>
          <w:lang w:val="en-US" w:eastAsia="zh-CN"/>
          <w14:textFill>
            <w14:solidFill>
              <w14:schemeClr w14:val="tx1"/>
            </w14:solidFill>
          </w14:textFill>
        </w:rPr>
        <w:t>10</w:t>
      </w:r>
      <w:r>
        <w:rPr>
          <w:rFonts w:hint="eastAsia" w:ascii="Times New Roman" w:cs="Times New Roman"/>
          <w:color w:val="000000" w:themeColor="text1"/>
          <w:highlight w:val="none"/>
          <w:lang w:val="en-US" w:eastAsia="zh-CN"/>
          <w14:textFill>
            <w14:solidFill>
              <w14:schemeClr w14:val="tx1"/>
            </w14:solidFill>
          </w14:textFill>
        </w:rPr>
        <w:t>月</w:t>
      </w:r>
      <w:r>
        <w:rPr>
          <w:rFonts w:hint="eastAsia" w:cs="Times New Roman"/>
          <w:color w:val="000000" w:themeColor="text1"/>
          <w:highlight w:val="none"/>
          <w:lang w:val="en-US" w:eastAsia="zh-CN"/>
          <w14:textFill>
            <w14:solidFill>
              <w14:schemeClr w14:val="tx1"/>
            </w14:solidFill>
          </w14:textFill>
        </w:rPr>
        <w:t>15</w:t>
      </w:r>
      <w:r>
        <w:rPr>
          <w:rFonts w:hint="eastAsia" w:ascii="Times New Roman" w:cs="Times New Roman"/>
          <w:color w:val="000000" w:themeColor="text1"/>
          <w:highlight w:val="none"/>
          <w:lang w:val="en-US" w:eastAsia="zh-CN"/>
          <w14:textFill>
            <w14:solidFill>
              <w14:schemeClr w14:val="tx1"/>
            </w14:solidFill>
          </w14:textFill>
        </w:rPr>
        <w:t>日</w:t>
      </w:r>
    </w:p>
    <w:bookmarkEnd w:id="5"/>
    <w:p w14:paraId="2654E87D">
      <w:pPr>
        <w:pStyle w:val="18"/>
        <w:pageBreakBefore/>
        <w:spacing w:before="0" w:after="0" w:line="360" w:lineRule="auto"/>
        <w:ind w:firstLine="3313" w:firstLineChars="1100"/>
        <w:jc w:val="both"/>
        <w:rPr>
          <w:rFonts w:hint="eastAsia" w:ascii="宋体" w:hAnsi="宋体"/>
          <w:color w:val="auto"/>
          <w:sz w:val="30"/>
          <w:szCs w:val="30"/>
          <w:highlight w:val="none"/>
          <w:lang w:val="zh-CN"/>
        </w:rPr>
      </w:pPr>
      <w:bookmarkStart w:id="6" w:name="_Toc15511"/>
      <w:r>
        <w:rPr>
          <w:rFonts w:hint="eastAsia" w:ascii="宋体" w:hAnsi="宋体"/>
          <w:color w:val="auto"/>
          <w:sz w:val="30"/>
          <w:szCs w:val="30"/>
          <w:highlight w:val="none"/>
          <w:lang w:val="zh-CN"/>
        </w:rPr>
        <w:t>第二篇 报价人须知</w:t>
      </w:r>
      <w:bookmarkEnd w:id="6"/>
    </w:p>
    <w:p w14:paraId="5A71DA08">
      <w:pPr>
        <w:ind w:firstLine="420" w:firstLineChars="200"/>
        <w:rPr>
          <w:rFonts w:hint="eastAsia"/>
          <w:lang w:val="zh-CN"/>
        </w:rPr>
      </w:pPr>
      <w:r>
        <w:rPr>
          <w:rFonts w:hint="eastAsia"/>
          <w:lang w:val="zh-CN"/>
        </w:rPr>
        <w:t>一、项目费用说明</w:t>
      </w:r>
    </w:p>
    <w:p w14:paraId="2B26EC2A">
      <w:pPr>
        <w:ind w:firstLine="420" w:firstLineChars="200"/>
        <w:rPr>
          <w:rFonts w:hint="eastAsia"/>
          <w:lang w:val="zh-CN"/>
        </w:rPr>
      </w:pPr>
      <w:r>
        <w:rPr>
          <w:rFonts w:hint="eastAsia"/>
          <w:lang w:val="zh-CN"/>
        </w:rPr>
        <w:t>供应商应按询价文件要求及企业的自身情况进行报价。所报的价格包含完成询价文件规定的工作所需的全部费用（除了供应商销项税额，销项税额由采购人承担，不参与本次竞价），并承担所有相应项目风险。</w:t>
      </w:r>
    </w:p>
    <w:p w14:paraId="363370BA">
      <w:pPr>
        <w:ind w:firstLine="420" w:firstLineChars="200"/>
        <w:rPr>
          <w:rFonts w:hint="eastAsia"/>
          <w:lang w:val="zh-CN"/>
        </w:rPr>
      </w:pPr>
      <w:r>
        <w:rPr>
          <w:rFonts w:hint="eastAsia"/>
          <w:lang w:val="zh-CN"/>
        </w:rPr>
        <w:t>二、报价文件的组成</w:t>
      </w:r>
    </w:p>
    <w:p w14:paraId="16A63F2B">
      <w:pPr>
        <w:ind w:firstLine="420" w:firstLineChars="200"/>
        <w:rPr>
          <w:rFonts w:hint="eastAsia"/>
          <w:lang w:val="zh-CN"/>
        </w:rPr>
      </w:pPr>
      <w:r>
        <w:rPr>
          <w:rFonts w:hint="eastAsia"/>
          <w:lang w:val="zh-CN"/>
        </w:rPr>
        <w:t>1.报价表；</w:t>
      </w:r>
    </w:p>
    <w:p w14:paraId="243098B7">
      <w:pPr>
        <w:ind w:firstLine="420" w:firstLineChars="200"/>
        <w:rPr>
          <w:rFonts w:hint="eastAsia"/>
          <w:lang w:val="zh-CN"/>
        </w:rPr>
      </w:pPr>
      <w:r>
        <w:rPr>
          <w:rFonts w:hint="eastAsia"/>
          <w:lang w:val="zh-CN"/>
        </w:rPr>
        <w:t>2.项目响应声明；</w:t>
      </w:r>
    </w:p>
    <w:p w14:paraId="615398A8">
      <w:pPr>
        <w:ind w:firstLine="420" w:firstLineChars="200"/>
        <w:rPr>
          <w:rFonts w:hint="eastAsia"/>
          <w:lang w:val="zh-CN"/>
        </w:rPr>
      </w:pPr>
      <w:r>
        <w:rPr>
          <w:rFonts w:hint="eastAsia"/>
          <w:lang w:val="zh-CN"/>
        </w:rPr>
        <w:t>3.营业执照及相关资质证书；</w:t>
      </w:r>
    </w:p>
    <w:p w14:paraId="20F0FAD6">
      <w:pPr>
        <w:ind w:firstLine="420" w:firstLineChars="200"/>
        <w:rPr>
          <w:rFonts w:hint="eastAsia"/>
          <w:lang w:val="zh-CN"/>
        </w:rPr>
      </w:pPr>
      <w:r>
        <w:rPr>
          <w:rFonts w:hint="eastAsia"/>
          <w:lang w:val="zh-CN"/>
        </w:rPr>
        <w:t>4.开户信息及开户许可证；</w:t>
      </w:r>
    </w:p>
    <w:p w14:paraId="7111A195">
      <w:pPr>
        <w:ind w:firstLine="420" w:firstLineChars="200"/>
        <w:rPr>
          <w:rFonts w:hint="eastAsia"/>
          <w:lang w:val="zh-CN"/>
        </w:rPr>
      </w:pPr>
      <w:r>
        <w:rPr>
          <w:rFonts w:hint="eastAsia"/>
          <w:lang w:val="zh-CN"/>
        </w:rPr>
        <w:t>5.回执。</w:t>
      </w:r>
    </w:p>
    <w:p w14:paraId="79947B59">
      <w:pPr>
        <w:ind w:firstLine="420" w:firstLineChars="200"/>
        <w:rPr>
          <w:rFonts w:hint="eastAsia"/>
          <w:lang w:val="zh-CN"/>
        </w:rPr>
      </w:pPr>
      <w:r>
        <w:rPr>
          <w:rFonts w:hint="eastAsia"/>
          <w:lang w:val="zh-CN"/>
        </w:rPr>
        <w:t>备注：1、报价文件格式不允许调整，否则有可能视为无效报价。2、报价文件必须完全满足上述组成部分，否则视为无效报价。</w:t>
      </w:r>
    </w:p>
    <w:p w14:paraId="2E778EE7">
      <w:pPr>
        <w:ind w:firstLine="420" w:firstLineChars="200"/>
        <w:rPr>
          <w:rFonts w:hint="eastAsia"/>
          <w:lang w:val="zh-CN"/>
        </w:rPr>
      </w:pPr>
      <w:r>
        <w:rPr>
          <w:rFonts w:hint="eastAsia"/>
          <w:lang w:val="zh-CN"/>
        </w:rPr>
        <w:t>三、报价文件的封装和递交</w:t>
      </w:r>
    </w:p>
    <w:p w14:paraId="7B949C59">
      <w:pPr>
        <w:ind w:firstLine="420" w:firstLineChars="200"/>
        <w:rPr>
          <w:rFonts w:hint="eastAsia"/>
          <w:lang w:val="zh-CN"/>
        </w:rPr>
      </w:pPr>
      <w:r>
        <w:rPr>
          <w:rFonts w:hint="eastAsia"/>
          <w:lang w:val="zh-CN"/>
        </w:rPr>
        <w:t>1.供应商应将报价文件一起密封在一个不透明的外层封装中。外层密封封装表面应正确标明供应商名称、地址、项目名称、报价文件名称、并注明报价文件递交截止时间之前不得开封（在封口位置的封条上标注注明），封口位置加盖供应商法人公章。</w:t>
      </w:r>
    </w:p>
    <w:p w14:paraId="32BD75B2">
      <w:pPr>
        <w:ind w:firstLine="420" w:firstLineChars="200"/>
        <w:rPr>
          <w:rFonts w:hint="eastAsia"/>
          <w:lang w:val="zh-CN"/>
        </w:rPr>
      </w:pPr>
      <w:r>
        <w:rPr>
          <w:rFonts w:hint="eastAsia"/>
          <w:lang w:val="zh-CN"/>
        </w:rPr>
        <w:t>2.密封好的报价文件，应于询价邀请函中规定的截止时间前递交到采购人指定的递交地点，否则视为放弃本项目报价。</w:t>
      </w:r>
    </w:p>
    <w:p w14:paraId="63A0410F">
      <w:pPr>
        <w:ind w:firstLine="420" w:firstLineChars="200"/>
        <w:rPr>
          <w:rFonts w:hint="eastAsia"/>
          <w:lang w:val="zh-CN"/>
        </w:rPr>
      </w:pPr>
      <w:r>
        <w:rPr>
          <w:rFonts w:hint="eastAsia"/>
          <w:lang w:val="zh-CN"/>
        </w:rPr>
        <w:t>四、其他</w:t>
      </w:r>
    </w:p>
    <w:p w14:paraId="29BCF8E7">
      <w:pPr>
        <w:ind w:firstLine="420" w:firstLineChars="200"/>
        <w:rPr>
          <w:rFonts w:hint="eastAsia"/>
          <w:lang w:val="zh-CN"/>
        </w:rPr>
      </w:pPr>
      <w:r>
        <w:rPr>
          <w:rFonts w:hint="eastAsia"/>
          <w:lang w:val="zh-CN"/>
        </w:rPr>
        <w:t>若供应商不含税报价相同情况下，采购人优先选择供货或售后服务优者。</w:t>
      </w:r>
    </w:p>
    <w:p w14:paraId="119877C2">
      <w:pPr>
        <w:rPr>
          <w:rFonts w:hint="eastAsia"/>
          <w:lang w:val="zh-CN"/>
        </w:rPr>
      </w:pPr>
    </w:p>
    <w:p w14:paraId="0F0E274E">
      <w:pPr>
        <w:rPr>
          <w:lang w:val="zh-CN"/>
        </w:rPr>
      </w:pPr>
    </w:p>
    <w:p w14:paraId="2B98F012">
      <w:pPr>
        <w:pStyle w:val="18"/>
        <w:pageBreakBefore/>
        <w:rPr>
          <w:rFonts w:ascii="宋体" w:hAnsi="宋体"/>
          <w:color w:val="auto"/>
          <w:sz w:val="30"/>
          <w:szCs w:val="30"/>
          <w:highlight w:val="none"/>
          <w:lang w:val="zh-CN"/>
        </w:rPr>
      </w:pPr>
      <w:bookmarkStart w:id="7" w:name="_Toc3543"/>
      <w:r>
        <w:rPr>
          <w:rFonts w:hint="eastAsia" w:ascii="宋体" w:hAnsi="宋体"/>
          <w:color w:val="auto"/>
          <w:sz w:val="30"/>
          <w:szCs w:val="30"/>
          <w:highlight w:val="none"/>
          <w:lang w:val="zh-CN"/>
        </w:rPr>
        <w:t>第三篇 用户需求书</w:t>
      </w:r>
      <w:bookmarkEnd w:id="7"/>
      <w:bookmarkStart w:id="8" w:name="_Hlt87773422"/>
      <w:bookmarkEnd w:id="8"/>
      <w:bookmarkStart w:id="9" w:name="_Hlt133291417"/>
      <w:bookmarkEnd w:id="9"/>
      <w:bookmarkStart w:id="10" w:name="_Hlt92101665"/>
      <w:bookmarkEnd w:id="10"/>
      <w:bookmarkStart w:id="11" w:name="_Hlt74192688"/>
      <w:bookmarkEnd w:id="11"/>
      <w:bookmarkStart w:id="12" w:name="_Hlt133639916"/>
      <w:bookmarkEnd w:id="12"/>
      <w:bookmarkStart w:id="13" w:name="_Hlt137898605"/>
      <w:bookmarkEnd w:id="13"/>
      <w:bookmarkStart w:id="14" w:name="_Hlt109563261"/>
      <w:bookmarkEnd w:id="14"/>
      <w:bookmarkStart w:id="15" w:name="_Hlt507989741"/>
      <w:bookmarkEnd w:id="15"/>
      <w:bookmarkStart w:id="16" w:name="_Hlt92097802"/>
      <w:bookmarkEnd w:id="16"/>
      <w:bookmarkStart w:id="17" w:name="_Hlt137959623"/>
      <w:bookmarkEnd w:id="17"/>
      <w:bookmarkStart w:id="18" w:name="_Hlt92472623"/>
      <w:bookmarkEnd w:id="18"/>
      <w:bookmarkStart w:id="19" w:name="_Hlt92097807"/>
      <w:bookmarkEnd w:id="19"/>
      <w:bookmarkStart w:id="20" w:name="_Hlt107746026"/>
      <w:bookmarkEnd w:id="20"/>
      <w:bookmarkStart w:id="21" w:name="_Hlt92477987"/>
      <w:bookmarkEnd w:id="21"/>
      <w:bookmarkStart w:id="22" w:name="_Hlt92100255"/>
      <w:bookmarkEnd w:id="22"/>
      <w:bookmarkStart w:id="23" w:name="_Hlt107921814"/>
      <w:bookmarkEnd w:id="23"/>
      <w:bookmarkStart w:id="24" w:name="yqh"/>
      <w:bookmarkEnd w:id="24"/>
      <w:bookmarkStart w:id="25" w:name="_Hlt91899334"/>
      <w:bookmarkEnd w:id="25"/>
    </w:p>
    <w:p w14:paraId="3142B719">
      <w:pPr>
        <w:pStyle w:val="2"/>
        <w:jc w:val="center"/>
        <w:rPr>
          <w:rFonts w:hint="eastAsia" w:ascii="宋体" w:hAnsi="宋体"/>
          <w:b/>
          <w:bCs w:val="0"/>
          <w:color w:val="auto"/>
          <w:sz w:val="30"/>
          <w:szCs w:val="30"/>
          <w:highlight w:val="none"/>
          <w:lang w:val="zh-CN"/>
        </w:rPr>
      </w:pPr>
    </w:p>
    <w:p w14:paraId="3CE7128B">
      <w:pPr>
        <w:pStyle w:val="2"/>
        <w:jc w:val="center"/>
        <w:rPr>
          <w:rFonts w:ascii="宋体" w:hAnsi="宋体"/>
          <w:color w:val="auto"/>
          <w:sz w:val="30"/>
          <w:szCs w:val="30"/>
          <w:highlight w:val="none"/>
          <w:lang w:val="zh-CN"/>
        </w:rPr>
      </w:pPr>
      <w:r>
        <w:rPr>
          <w:rFonts w:hint="eastAsia" w:ascii="宋体" w:hAnsi="宋体"/>
          <w:b/>
          <w:bCs w:val="0"/>
          <w:color w:val="auto"/>
          <w:sz w:val="30"/>
          <w:szCs w:val="30"/>
          <w:highlight w:val="none"/>
          <w:lang w:val="zh-CN"/>
        </w:rPr>
        <w:t>用户需求书</w:t>
      </w:r>
    </w:p>
    <w:p w14:paraId="2C4F2C51">
      <w:pPr>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一、项目概况</w:t>
      </w:r>
    </w:p>
    <w:p w14:paraId="7CF605B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东莞市福地饮用水有限公司（以下简称“采购人”）负责的包装水产品需向</w:t>
      </w:r>
      <w:r>
        <w:rPr>
          <w:rFonts w:hint="eastAsia" w:ascii="宋体" w:hAnsi="宋体" w:cs="宋体"/>
          <w:color w:val="auto"/>
          <w:sz w:val="21"/>
          <w:szCs w:val="21"/>
          <w:highlight w:val="none"/>
          <w:lang w:val="en-US" w:eastAsia="zh-CN"/>
        </w:rPr>
        <w:t>两</w:t>
      </w:r>
      <w:r>
        <w:rPr>
          <w:rFonts w:hint="eastAsia" w:ascii="宋体" w:hAnsi="宋体" w:eastAsia="宋体" w:cs="宋体"/>
          <w:color w:val="auto"/>
          <w:sz w:val="21"/>
          <w:szCs w:val="21"/>
          <w:highlight w:val="none"/>
          <w:lang w:val="en-US" w:eastAsia="zh-CN"/>
        </w:rPr>
        <w:t>个供应商采购物流配送服务，将包装水产品从采购人</w:t>
      </w:r>
      <w:r>
        <w:rPr>
          <w:rFonts w:hint="eastAsia" w:ascii="宋体" w:hAnsi="宋体" w:cs="宋体"/>
          <w:color w:val="auto"/>
          <w:sz w:val="21"/>
          <w:szCs w:val="21"/>
          <w:highlight w:val="none"/>
          <w:lang w:val="en-US" w:eastAsia="zh-CN"/>
        </w:rPr>
        <w:t>指定的</w:t>
      </w:r>
      <w:r>
        <w:rPr>
          <w:rFonts w:hint="eastAsia" w:ascii="宋体" w:hAnsi="宋体" w:eastAsia="宋体" w:cs="宋体"/>
          <w:color w:val="auto"/>
          <w:sz w:val="21"/>
          <w:szCs w:val="21"/>
          <w:highlight w:val="none"/>
          <w:lang w:val="en-US" w:eastAsia="zh-CN"/>
        </w:rPr>
        <w:t>储存仓库中提货向东莞市范围的客户配送，以完成采购人对购买客户的产品交付。本次采购按配送件数进行梯度报价，以满足不同规模订单的配送精细化管理的需求。</w:t>
      </w:r>
    </w:p>
    <w:p w14:paraId="0A2E925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配送产品</w:t>
      </w:r>
      <w:r>
        <w:rPr>
          <w:rFonts w:hint="eastAsia" w:ascii="宋体" w:hAnsi="宋体" w:eastAsia="宋体" w:cs="宋体"/>
          <w:color w:val="auto"/>
          <w:sz w:val="21"/>
          <w:szCs w:val="21"/>
          <w:highlight w:val="none"/>
          <w:shd w:val="clear" w:color="auto" w:fill="auto"/>
          <w:lang w:val="en-US" w:eastAsia="zh-CN"/>
        </w:rPr>
        <w:t>包括但不限于：</w:t>
      </w:r>
      <w:r>
        <w:rPr>
          <w:rFonts w:hint="eastAsia" w:ascii="宋体" w:hAnsi="宋体" w:eastAsia="宋体" w:cs="宋体"/>
          <w:color w:val="auto"/>
          <w:szCs w:val="21"/>
          <w:highlight w:val="none"/>
          <w:shd w:val="clear" w:color="auto" w:fill="auto"/>
          <w:lang w:val="en-US" w:eastAsia="zh-CN"/>
        </w:rPr>
        <w:t>桶装水产品：12.3L(约</w:t>
      </w:r>
      <w:r>
        <w:rPr>
          <w:rFonts w:hint="eastAsia" w:ascii="宋体" w:hAnsi="宋体" w:eastAsia="宋体" w:cs="宋体"/>
          <w:i w:val="0"/>
          <w:iCs w:val="0"/>
          <w:caps w:val="0"/>
          <w:color w:val="auto"/>
          <w:spacing w:val="0"/>
          <w:sz w:val="21"/>
          <w:szCs w:val="21"/>
          <w:highlight w:val="none"/>
          <w:shd w:val="clear" w:color="auto" w:fill="auto"/>
        </w:rPr>
        <w:t>12.30 </w:t>
      </w:r>
      <w:r>
        <w:rPr>
          <w:rFonts w:hint="eastAsia" w:ascii="宋体" w:hAnsi="宋体" w:eastAsia="宋体" w:cs="宋体"/>
          <w:color w:val="auto"/>
          <w:szCs w:val="21"/>
          <w:highlight w:val="none"/>
          <w:shd w:val="clear" w:color="auto" w:fill="auto"/>
          <w:lang w:val="en-US" w:eastAsia="zh-CN"/>
        </w:rPr>
        <w:t>kg/桶)、5.28L*3桶（约</w:t>
      </w:r>
      <w:r>
        <w:rPr>
          <w:rFonts w:hint="eastAsia" w:ascii="宋体" w:hAnsi="宋体" w:eastAsia="宋体" w:cs="宋体"/>
          <w:i w:val="0"/>
          <w:iCs w:val="0"/>
          <w:caps w:val="0"/>
          <w:color w:val="auto"/>
          <w:spacing w:val="0"/>
          <w:sz w:val="21"/>
          <w:szCs w:val="21"/>
          <w:highlight w:val="none"/>
          <w:shd w:val="clear" w:color="auto" w:fill="auto"/>
        </w:rPr>
        <w:t>15.84</w:t>
      </w:r>
      <w:r>
        <w:rPr>
          <w:rFonts w:hint="eastAsia" w:ascii="宋体" w:hAnsi="宋体" w:eastAsia="宋体" w:cs="宋体"/>
          <w:color w:val="auto"/>
          <w:szCs w:val="21"/>
          <w:highlight w:val="none"/>
          <w:shd w:val="clear" w:color="auto" w:fill="auto"/>
          <w:lang w:val="en-US" w:eastAsia="zh-CN"/>
        </w:rPr>
        <w:t>kg/件）、5L*4桶（约</w:t>
      </w:r>
      <w:r>
        <w:rPr>
          <w:rFonts w:hint="eastAsia" w:ascii="宋体" w:hAnsi="宋体" w:eastAsia="宋体" w:cs="宋体"/>
          <w:i w:val="0"/>
          <w:iCs w:val="0"/>
          <w:caps w:val="0"/>
          <w:color w:val="auto"/>
          <w:spacing w:val="0"/>
          <w:sz w:val="21"/>
          <w:szCs w:val="21"/>
          <w:highlight w:val="none"/>
          <w:shd w:val="clear" w:color="auto" w:fill="auto"/>
          <w:lang w:val="en-US" w:eastAsia="zh-CN"/>
        </w:rPr>
        <w:t>20</w:t>
      </w:r>
      <w:r>
        <w:rPr>
          <w:rFonts w:hint="eastAsia" w:ascii="宋体" w:hAnsi="宋体" w:eastAsia="宋体" w:cs="宋体"/>
          <w:color w:val="auto"/>
          <w:szCs w:val="21"/>
          <w:highlight w:val="none"/>
          <w:shd w:val="clear" w:color="auto" w:fill="auto"/>
          <w:lang w:val="en-US" w:eastAsia="zh-CN"/>
        </w:rPr>
        <w:t>kg/件）、18.9L（约</w:t>
      </w:r>
      <w:r>
        <w:rPr>
          <w:rFonts w:hint="eastAsia" w:ascii="宋体" w:hAnsi="宋体" w:eastAsia="宋体" w:cs="宋体"/>
          <w:i w:val="0"/>
          <w:iCs w:val="0"/>
          <w:caps w:val="0"/>
          <w:color w:val="auto"/>
          <w:spacing w:val="0"/>
          <w:sz w:val="21"/>
          <w:szCs w:val="21"/>
          <w:highlight w:val="none"/>
          <w:shd w:val="clear" w:color="auto" w:fill="auto"/>
        </w:rPr>
        <w:t>18.90</w:t>
      </w:r>
      <w:r>
        <w:rPr>
          <w:rFonts w:hint="eastAsia" w:ascii="宋体" w:hAnsi="宋体" w:eastAsia="宋体" w:cs="宋体"/>
          <w:i w:val="0"/>
          <w:iCs w:val="0"/>
          <w:caps w:val="0"/>
          <w:color w:val="auto"/>
          <w:spacing w:val="0"/>
          <w:sz w:val="21"/>
          <w:szCs w:val="21"/>
          <w:highlight w:val="none"/>
          <w:shd w:val="clear" w:color="auto" w:fill="auto"/>
          <w:lang w:val="en-US" w:eastAsia="zh-CN"/>
        </w:rPr>
        <w:t>kg/桶</w:t>
      </w:r>
      <w:r>
        <w:rPr>
          <w:rFonts w:hint="eastAsia" w:ascii="宋体" w:hAnsi="宋体" w:eastAsia="宋体" w:cs="宋体"/>
          <w:color w:val="auto"/>
          <w:szCs w:val="21"/>
          <w:highlight w:val="none"/>
          <w:shd w:val="clear" w:color="auto" w:fill="auto"/>
          <w:lang w:val="en-US" w:eastAsia="zh-CN"/>
        </w:rPr>
        <w:t>）；支装水产品：360ml*24瓶（约8.64kg/件）、350ml*24瓶（约</w:t>
      </w:r>
      <w:r>
        <w:rPr>
          <w:rFonts w:hint="eastAsia" w:ascii="宋体" w:hAnsi="宋体" w:eastAsia="宋体" w:cs="宋体"/>
          <w:i w:val="0"/>
          <w:iCs w:val="0"/>
          <w:caps w:val="0"/>
          <w:color w:val="auto"/>
          <w:spacing w:val="0"/>
          <w:sz w:val="21"/>
          <w:szCs w:val="21"/>
          <w:highlight w:val="none"/>
          <w:shd w:val="clear" w:color="auto" w:fill="auto"/>
        </w:rPr>
        <w:t>8.40</w:t>
      </w:r>
      <w:r>
        <w:rPr>
          <w:rFonts w:hint="eastAsia" w:ascii="宋体" w:hAnsi="宋体" w:eastAsia="宋体" w:cs="宋体"/>
          <w:color w:val="auto"/>
          <w:szCs w:val="21"/>
          <w:highlight w:val="none"/>
          <w:shd w:val="clear" w:color="auto" w:fill="auto"/>
          <w:lang w:val="en-US" w:eastAsia="zh-CN"/>
        </w:rPr>
        <w:t>kg/件）、390ml*24瓶（</w:t>
      </w:r>
      <w:r>
        <w:rPr>
          <w:rFonts w:hint="eastAsia" w:ascii="宋体" w:hAnsi="宋体" w:cs="宋体"/>
          <w:color w:val="auto"/>
          <w:szCs w:val="21"/>
          <w:highlight w:val="none"/>
          <w:shd w:val="clear" w:color="auto" w:fill="auto"/>
          <w:lang w:val="en-US" w:eastAsia="zh-CN"/>
        </w:rPr>
        <w:t>约</w:t>
      </w:r>
      <w:r>
        <w:rPr>
          <w:rFonts w:hint="eastAsia" w:ascii="宋体" w:hAnsi="宋体" w:eastAsia="宋体" w:cs="宋体"/>
          <w:color w:val="auto"/>
          <w:szCs w:val="21"/>
          <w:highlight w:val="none"/>
          <w:shd w:val="clear" w:color="auto" w:fill="auto"/>
          <w:lang w:val="en-US" w:eastAsia="zh-CN"/>
        </w:rPr>
        <w:t>9.36kg/件）</w:t>
      </w:r>
      <w:r>
        <w:rPr>
          <w:rFonts w:hint="eastAsia" w:ascii="宋体" w:hAnsi="宋体" w:cs="宋体"/>
          <w:color w:val="auto"/>
          <w:szCs w:val="21"/>
          <w:highlight w:val="none"/>
          <w:shd w:val="clear" w:color="auto" w:fill="auto"/>
          <w:lang w:val="en-US" w:eastAsia="zh-CN"/>
        </w:rPr>
        <w:t>、</w:t>
      </w:r>
      <w:r>
        <w:rPr>
          <w:rFonts w:hint="eastAsia" w:ascii="宋体" w:hAnsi="宋体" w:eastAsia="宋体" w:cs="宋体"/>
          <w:color w:val="auto"/>
          <w:szCs w:val="21"/>
          <w:highlight w:val="none"/>
          <w:shd w:val="clear" w:color="auto" w:fill="auto"/>
          <w:lang w:val="en-US" w:eastAsia="zh-CN"/>
        </w:rPr>
        <w:t>550ml*24瓶（约</w:t>
      </w:r>
      <w:r>
        <w:rPr>
          <w:rFonts w:hint="eastAsia" w:ascii="宋体" w:hAnsi="宋体" w:eastAsia="宋体" w:cs="宋体"/>
          <w:i w:val="0"/>
          <w:iCs w:val="0"/>
          <w:caps w:val="0"/>
          <w:color w:val="auto"/>
          <w:spacing w:val="0"/>
          <w:sz w:val="21"/>
          <w:szCs w:val="21"/>
          <w:highlight w:val="none"/>
          <w:shd w:val="clear" w:color="auto" w:fill="auto"/>
          <w:lang w:val="en-US" w:eastAsia="zh-CN"/>
        </w:rPr>
        <w:t>13.2</w:t>
      </w:r>
      <w:r>
        <w:rPr>
          <w:rFonts w:hint="eastAsia" w:ascii="宋体" w:hAnsi="宋体" w:eastAsia="宋体" w:cs="宋体"/>
          <w:i w:val="0"/>
          <w:iCs w:val="0"/>
          <w:caps w:val="0"/>
          <w:color w:val="auto"/>
          <w:spacing w:val="0"/>
          <w:sz w:val="21"/>
          <w:szCs w:val="21"/>
          <w:highlight w:val="none"/>
          <w:shd w:val="clear" w:color="auto" w:fill="auto"/>
        </w:rPr>
        <w:t>0</w:t>
      </w:r>
      <w:r>
        <w:rPr>
          <w:rFonts w:hint="eastAsia" w:ascii="宋体" w:hAnsi="宋体" w:eastAsia="宋体" w:cs="宋体"/>
          <w:color w:val="auto"/>
          <w:szCs w:val="21"/>
          <w:highlight w:val="none"/>
          <w:shd w:val="clear" w:color="auto" w:fill="auto"/>
          <w:lang w:val="en-US" w:eastAsia="zh-CN"/>
        </w:rPr>
        <w:t>kg/件）</w:t>
      </w:r>
      <w:r>
        <w:rPr>
          <w:rFonts w:hint="eastAsia" w:ascii="宋体" w:hAnsi="宋体" w:cs="宋体"/>
          <w:color w:val="auto"/>
          <w:sz w:val="21"/>
          <w:szCs w:val="21"/>
          <w:highlight w:val="none"/>
          <w:lang w:val="en-US" w:eastAsia="zh-CN"/>
        </w:rPr>
        <w:t>。</w:t>
      </w:r>
    </w:p>
    <w:p w14:paraId="7A27CF37">
      <w:pPr>
        <w:numPr>
          <w:ilvl w:val="0"/>
          <w:numId w:val="0"/>
        </w:numPr>
        <w:spacing w:line="360" w:lineRule="auto"/>
        <w:ind w:firstLine="422" w:firstLineChars="200"/>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二、物流配送服务范围需求和单价预算</w:t>
      </w:r>
    </w:p>
    <w:p w14:paraId="61F2DC34">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本次服务范围在东莞市内，</w:t>
      </w:r>
      <w:r>
        <w:rPr>
          <w:rFonts w:hint="eastAsia" w:ascii="宋体" w:hAnsi="宋体" w:cs="宋体"/>
          <w:color w:val="auto"/>
          <w:sz w:val="21"/>
          <w:szCs w:val="21"/>
          <w:highlight w:val="none"/>
          <w:lang w:val="en-US" w:eastAsia="zh-CN"/>
        </w:rPr>
        <w:t>报价人</w:t>
      </w:r>
      <w:r>
        <w:rPr>
          <w:rFonts w:hint="default" w:ascii="Times New Roman" w:hAnsi="Times New Roman" w:eastAsia="宋体" w:cs="Times New Roman"/>
          <w:color w:val="auto"/>
          <w:sz w:val="21"/>
          <w:szCs w:val="21"/>
          <w:highlight w:val="none"/>
          <w:lang w:val="en-US" w:eastAsia="zh-CN"/>
        </w:rPr>
        <w:t>物流司机须具备相应的货车驾照，车辆要求为</w:t>
      </w:r>
      <w:r>
        <w:rPr>
          <w:rFonts w:hint="eastAsia" w:ascii="Times New Roman" w:hAnsi="Times New Roman" w:eastAsia="宋体" w:cs="Times New Roman"/>
          <w:color w:val="auto"/>
          <w:sz w:val="21"/>
          <w:szCs w:val="21"/>
          <w:highlight w:val="none"/>
          <w:lang w:val="en-US" w:eastAsia="zh-CN"/>
        </w:rPr>
        <w:t>总质量4500KG</w:t>
      </w:r>
      <w:r>
        <w:rPr>
          <w:rFonts w:hint="eastAsia" w:cs="Times New Roman"/>
          <w:color w:val="auto"/>
          <w:sz w:val="21"/>
          <w:szCs w:val="21"/>
          <w:highlight w:val="none"/>
          <w:lang w:val="en-US" w:eastAsia="zh-CN"/>
        </w:rPr>
        <w:t>及</w:t>
      </w:r>
      <w:r>
        <w:rPr>
          <w:rFonts w:hint="eastAsia" w:ascii="Times New Roman" w:hAnsi="Times New Roman" w:eastAsia="宋体" w:cs="Times New Roman"/>
          <w:color w:val="auto"/>
          <w:sz w:val="21"/>
          <w:szCs w:val="21"/>
          <w:highlight w:val="none"/>
          <w:lang w:val="en-US" w:eastAsia="zh-CN"/>
        </w:rPr>
        <w:t>以下的</w:t>
      </w:r>
      <w:r>
        <w:rPr>
          <w:rFonts w:hint="default" w:ascii="Times New Roman" w:hAnsi="Times New Roman" w:eastAsia="宋体" w:cs="Times New Roman"/>
          <w:color w:val="auto"/>
          <w:sz w:val="21"/>
          <w:szCs w:val="21"/>
          <w:highlight w:val="none"/>
          <w:lang w:val="en-US" w:eastAsia="zh-CN"/>
        </w:rPr>
        <w:t>全关闭厢式货车，</w:t>
      </w:r>
      <w:r>
        <w:rPr>
          <w:rFonts w:hint="eastAsia" w:ascii="Times New Roman" w:hAnsi="Times New Roman" w:eastAsia="宋体" w:cs="Times New Roman"/>
          <w:color w:val="auto"/>
          <w:sz w:val="21"/>
          <w:szCs w:val="21"/>
          <w:highlight w:val="none"/>
          <w:lang w:val="en-US" w:eastAsia="zh-CN"/>
        </w:rPr>
        <w:t>根据《中华人民共和国道路运输条例》</w:t>
      </w:r>
      <w:r>
        <w:rPr>
          <w:rFonts w:hint="eastAsia" w:cs="Times New Roman"/>
          <w:color w:val="auto"/>
          <w:sz w:val="21"/>
          <w:szCs w:val="21"/>
          <w:highlight w:val="none"/>
          <w:lang w:val="en-US" w:eastAsia="zh-CN"/>
        </w:rPr>
        <w:t>的规定</w:t>
      </w:r>
      <w:r>
        <w:rPr>
          <w:rFonts w:hint="eastAsia" w:ascii="Times New Roman" w:hAnsi="Times New Roman" w:eastAsia="宋体" w:cs="Times New Roman"/>
          <w:color w:val="auto"/>
          <w:sz w:val="21"/>
          <w:szCs w:val="21"/>
          <w:highlight w:val="none"/>
          <w:lang w:val="en-US" w:eastAsia="zh-CN"/>
        </w:rPr>
        <w:t>，报价人如使用总质量4500KG以上的货车进行配送，需取得道路运输经营许可证及车辆营运证，否则因违反《中华人民共和国道路运输条例》的规定产生的一切后果均由报价人承担。</w:t>
      </w:r>
      <w:r>
        <w:rPr>
          <w:rFonts w:hint="eastAsia" w:cs="Times New Roman"/>
          <w:color w:val="auto"/>
          <w:sz w:val="21"/>
          <w:szCs w:val="21"/>
          <w:highlight w:val="none"/>
          <w:lang w:val="en-US" w:eastAsia="zh-CN"/>
        </w:rPr>
        <w:t>报价人</w:t>
      </w:r>
      <w:r>
        <w:rPr>
          <w:rFonts w:hint="default" w:ascii="Times New Roman" w:hAnsi="Times New Roman" w:eastAsia="宋体" w:cs="Times New Roman"/>
          <w:color w:val="auto"/>
          <w:sz w:val="21"/>
          <w:szCs w:val="21"/>
          <w:highlight w:val="none"/>
          <w:lang w:val="en-US" w:eastAsia="zh-CN"/>
        </w:rPr>
        <w:t>日配送能力要求</w:t>
      </w:r>
      <w:r>
        <w:rPr>
          <w:rFonts w:hint="eastAsia" w:cs="Times New Roman"/>
          <w:color w:val="auto"/>
          <w:sz w:val="21"/>
          <w:szCs w:val="21"/>
          <w:highlight w:val="none"/>
          <w:lang w:val="en-US" w:eastAsia="zh-CN"/>
        </w:rPr>
        <w:t>支</w:t>
      </w:r>
      <w:r>
        <w:rPr>
          <w:rFonts w:hint="default" w:ascii="Times New Roman" w:hAnsi="Times New Roman" w:eastAsia="宋体" w:cs="Times New Roman"/>
          <w:color w:val="auto"/>
          <w:sz w:val="21"/>
          <w:szCs w:val="21"/>
          <w:highlight w:val="none"/>
          <w:lang w:val="en-US" w:eastAsia="zh-CN"/>
        </w:rPr>
        <w:t>装水不低于200件，桶装水不低于200桶，</w:t>
      </w:r>
      <w:r>
        <w:rPr>
          <w:rFonts w:hint="eastAsia" w:ascii="仿宋_GB2312" w:hAnsi="仿宋_GB2312" w:eastAsia="仿宋_GB2312" w:cs="仿宋_GB2312"/>
          <w:color w:val="auto"/>
          <w:szCs w:val="21"/>
          <w:highlight w:val="none"/>
          <w:lang w:val="en-US" w:eastAsia="zh-CN"/>
        </w:rPr>
        <w:t>每次最低起送量为：瓶装水20件或桶装水20桶。</w:t>
      </w:r>
      <w:r>
        <w:rPr>
          <w:rFonts w:hint="default" w:ascii="Times New Roman" w:hAnsi="Times New Roman" w:eastAsia="宋体" w:cs="Times New Roman"/>
          <w:color w:val="auto"/>
          <w:sz w:val="21"/>
          <w:szCs w:val="21"/>
          <w:highlight w:val="none"/>
          <w:lang w:val="en-US" w:eastAsia="zh-CN"/>
        </w:rPr>
        <w:t>车辆数量</w:t>
      </w:r>
      <w:r>
        <w:rPr>
          <w:rFonts w:hint="eastAsia" w:cs="Times New Roman"/>
          <w:color w:val="auto"/>
          <w:sz w:val="21"/>
          <w:szCs w:val="21"/>
          <w:highlight w:val="none"/>
          <w:lang w:val="en-US" w:eastAsia="zh-CN"/>
        </w:rPr>
        <w:t>由报价人</w:t>
      </w:r>
      <w:r>
        <w:rPr>
          <w:rFonts w:hint="default" w:ascii="Times New Roman" w:hAnsi="Times New Roman" w:eastAsia="宋体" w:cs="Times New Roman"/>
          <w:color w:val="auto"/>
          <w:sz w:val="21"/>
          <w:szCs w:val="21"/>
          <w:highlight w:val="none"/>
          <w:lang w:val="en-US" w:eastAsia="zh-CN"/>
        </w:rPr>
        <w:t>自行配置。根据</w:t>
      </w:r>
      <w:r>
        <w:rPr>
          <w:rFonts w:hint="eastAsia" w:ascii="Times New Roman" w:hAnsi="Times New Roman" w:eastAsia="宋体" w:cs="Times New Roman"/>
          <w:color w:val="auto"/>
          <w:sz w:val="21"/>
          <w:szCs w:val="21"/>
          <w:highlight w:val="none"/>
          <w:lang w:val="en-US" w:eastAsia="zh-CN"/>
        </w:rPr>
        <w:t>采购人</w:t>
      </w:r>
      <w:r>
        <w:rPr>
          <w:rFonts w:hint="default" w:ascii="Times New Roman" w:hAnsi="Times New Roman" w:eastAsia="宋体" w:cs="Times New Roman"/>
          <w:color w:val="auto"/>
          <w:sz w:val="21"/>
          <w:szCs w:val="21"/>
          <w:highlight w:val="none"/>
          <w:lang w:val="en-US" w:eastAsia="zh-CN"/>
        </w:rPr>
        <w:t>的订单，自行负责包装水产品装卸货，并配送至采购人客户指定存放点（注：个别客户存在1个或以上存放点，或者需要送货上楼）。</w:t>
      </w:r>
    </w:p>
    <w:p w14:paraId="33077E2B">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w:t>
      </w:r>
      <w:r>
        <w:rPr>
          <w:rFonts w:hint="default" w:ascii="Times New Roman" w:hAnsi="Times New Roman" w:eastAsia="宋体" w:cs="Times New Roman"/>
          <w:color w:val="auto"/>
          <w:sz w:val="21"/>
          <w:szCs w:val="21"/>
          <w:highlight w:val="none"/>
          <w:lang w:val="en-US" w:eastAsia="zh-CN"/>
        </w:rPr>
        <w:t>配送服务范围</w:t>
      </w:r>
      <w:r>
        <w:rPr>
          <w:rFonts w:hint="eastAsia" w:ascii="Times New Roman" w:hAnsi="Times New Roman" w:eastAsia="宋体" w:cs="Times New Roman"/>
          <w:color w:val="auto"/>
          <w:sz w:val="21"/>
          <w:szCs w:val="21"/>
          <w:highlight w:val="none"/>
          <w:lang w:val="en-US" w:eastAsia="zh-CN"/>
        </w:rPr>
        <w:t>：</w:t>
      </w:r>
    </w:p>
    <w:p w14:paraId="473D576E">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瓶（</w:t>
      </w:r>
      <w:r>
        <w:rPr>
          <w:rFonts w:hint="default" w:ascii="Times New Roman" w:hAnsi="Times New Roman" w:eastAsia="宋体" w:cs="Times New Roman"/>
          <w:color w:val="auto"/>
          <w:sz w:val="21"/>
          <w:szCs w:val="21"/>
          <w:highlight w:val="none"/>
          <w:lang w:val="en-US" w:eastAsia="zh-CN"/>
        </w:rPr>
        <w:t>桶</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装水配送起点为</w:t>
      </w:r>
      <w:r>
        <w:rPr>
          <w:rFonts w:hint="eastAsia" w:cs="Times New Roman"/>
          <w:color w:val="auto"/>
          <w:sz w:val="21"/>
          <w:szCs w:val="21"/>
          <w:highlight w:val="none"/>
          <w:lang w:val="en-US" w:eastAsia="zh-CN"/>
        </w:rPr>
        <w:t>甲方指定东莞市范围内仓库（合计两个仓库：南城仓库、常平仓库）</w:t>
      </w:r>
      <w:r>
        <w:rPr>
          <w:rFonts w:hint="default" w:ascii="Times New Roman" w:hAnsi="Times New Roman" w:eastAsia="宋体" w:cs="Times New Roman"/>
          <w:color w:val="auto"/>
          <w:sz w:val="21"/>
          <w:szCs w:val="21"/>
          <w:highlight w:val="none"/>
          <w:lang w:val="en-US" w:eastAsia="zh-CN"/>
        </w:rPr>
        <w:t>，终点为东莞市</w:t>
      </w:r>
      <w:r>
        <w:rPr>
          <w:rFonts w:hint="eastAsia" w:cs="Times New Roman"/>
          <w:color w:val="auto"/>
          <w:sz w:val="21"/>
          <w:szCs w:val="21"/>
          <w:highlight w:val="none"/>
          <w:lang w:val="en-US" w:eastAsia="zh-CN"/>
        </w:rPr>
        <w:t>范围内所有客户</w:t>
      </w:r>
      <w:r>
        <w:rPr>
          <w:rFonts w:hint="default" w:ascii="Times New Roman" w:hAnsi="Times New Roman" w:eastAsia="宋体" w:cs="Times New Roman"/>
          <w:color w:val="auto"/>
          <w:sz w:val="21"/>
          <w:szCs w:val="21"/>
          <w:highlight w:val="none"/>
          <w:lang w:val="en-US" w:eastAsia="zh-CN"/>
        </w:rPr>
        <w:t>。</w:t>
      </w:r>
    </w:p>
    <w:p w14:paraId="319957B9">
      <w:pPr>
        <w:snapToGrid w:val="0"/>
        <w:spacing w:line="360" w:lineRule="auto"/>
        <w:ind w:firstLine="424" w:firstLineChars="202"/>
        <w:rPr>
          <w:rFonts w:hint="eastAsia" w:ascii="仿宋_GB2312" w:hAnsi="仿宋_GB2312" w:eastAsia="仿宋_GB2312" w:cs="仿宋_GB2312"/>
          <w:color w:val="auto"/>
          <w:szCs w:val="21"/>
          <w:highlight w:val="none"/>
          <w:shd w:val="clear" w:color="auto" w:fill="FFFFFF"/>
          <w:lang w:val="en-US" w:eastAsia="zh-CN"/>
        </w:rPr>
      </w:pPr>
      <w:r>
        <w:rPr>
          <w:rFonts w:hint="eastAsia" w:ascii="Times New Roman" w:hAnsi="Times New Roman" w:eastAsia="宋体" w:cs="Times New Roman"/>
          <w:color w:val="auto"/>
          <w:sz w:val="21"/>
          <w:szCs w:val="21"/>
          <w:highlight w:val="none"/>
          <w:lang w:val="en-US" w:eastAsia="zh-CN"/>
        </w:rPr>
        <w:t>（二）</w:t>
      </w:r>
      <w:r>
        <w:rPr>
          <w:rFonts w:hint="eastAsia" w:ascii="仿宋_GB2312" w:hAnsi="仿宋_GB2312" w:eastAsia="仿宋_GB2312" w:cs="仿宋_GB2312"/>
          <w:color w:val="auto"/>
          <w:szCs w:val="21"/>
          <w:highlight w:val="none"/>
          <w:shd w:val="clear" w:color="auto" w:fill="FFFFFF"/>
          <w:lang w:val="en-US" w:eastAsia="zh-CN"/>
        </w:rPr>
        <w:t>配送预算单价（不含税）为4.9</w:t>
      </w:r>
      <w:r>
        <w:rPr>
          <w:rFonts w:hint="eastAsia" w:ascii="仿宋_GB2312" w:hAnsi="仿宋_GB2312" w:eastAsia="仿宋_GB2312" w:cs="仿宋_GB2312"/>
          <w:color w:val="auto"/>
          <w:kern w:val="2"/>
          <w:sz w:val="21"/>
          <w:szCs w:val="21"/>
          <w:highlight w:val="none"/>
          <w:shd w:val="clear" w:color="auto" w:fill="FFFFFF"/>
          <w:lang w:val="en-US" w:eastAsia="zh-CN" w:bidi="ar"/>
        </w:rPr>
        <w:t>5</w:t>
      </w:r>
      <w:r>
        <w:rPr>
          <w:rFonts w:hint="eastAsia" w:ascii="仿宋_GB2312" w:hAnsi="仿宋_GB2312" w:eastAsia="仿宋_GB2312" w:cs="仿宋_GB2312"/>
          <w:color w:val="auto"/>
          <w:szCs w:val="21"/>
          <w:highlight w:val="none"/>
          <w:u w:val="none"/>
          <w:shd w:val="clear" w:color="auto" w:fill="FFFFFF"/>
          <w:lang w:val="en-US" w:eastAsia="zh-CN"/>
        </w:rPr>
        <w:t>元/件（大写肆元玖角伍分）。</w:t>
      </w:r>
    </w:p>
    <w:p w14:paraId="63193CE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服务期限内，如采购人实际需要的物流配送服务未列入上述配送服务范围内，采购人参照当前市场价</w:t>
      </w:r>
      <w:r>
        <w:rPr>
          <w:rFonts w:hint="eastAsia" w:ascii="宋体" w:hAnsi="宋体" w:cs="宋体"/>
          <w:color w:val="auto"/>
          <w:sz w:val="21"/>
          <w:szCs w:val="21"/>
          <w:highlight w:val="none"/>
          <w:lang w:val="en-US" w:eastAsia="zh-CN"/>
        </w:rPr>
        <w:t>与成交人</w:t>
      </w:r>
      <w:r>
        <w:rPr>
          <w:rFonts w:hint="eastAsia" w:ascii="宋体" w:hAnsi="宋体" w:eastAsia="宋体" w:cs="宋体"/>
          <w:color w:val="auto"/>
          <w:sz w:val="21"/>
          <w:szCs w:val="21"/>
          <w:highlight w:val="none"/>
          <w:lang w:val="en-US" w:eastAsia="zh-CN"/>
        </w:rPr>
        <w:t>协商议定对应服务单价。供应商必须按下表两个梯度分别报出单价。报价应为门到门全包价，包含</w:t>
      </w:r>
      <w:r>
        <w:rPr>
          <w:rFonts w:hint="eastAsia" w:ascii="宋体" w:hAnsi="宋体" w:cs="宋体"/>
          <w:color w:val="auto"/>
          <w:sz w:val="21"/>
          <w:szCs w:val="21"/>
          <w:highlight w:val="none"/>
          <w:lang w:val="en-US" w:eastAsia="zh-CN"/>
        </w:rPr>
        <w:t>供应商为完成合同全部义务所发生的一切费用</w:t>
      </w:r>
      <w:r>
        <w:rPr>
          <w:rFonts w:hint="eastAsia" w:ascii="宋体" w:hAnsi="宋体" w:eastAsia="宋体" w:cs="宋体"/>
          <w:color w:val="auto"/>
          <w:sz w:val="21"/>
          <w:szCs w:val="21"/>
          <w:highlight w:val="none"/>
          <w:lang w:val="en-US" w:eastAsia="zh-CN"/>
        </w:rPr>
        <w:t>。</w:t>
      </w:r>
    </w:p>
    <w:tbl>
      <w:tblPr>
        <w:tblStyle w:val="20"/>
        <w:tblW w:w="719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99"/>
        <w:gridCol w:w="2518"/>
        <w:gridCol w:w="2282"/>
      </w:tblGrid>
      <w:tr w14:paraId="41E8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2399" w:type="dxa"/>
            <w:shd w:val="clear" w:color="auto" w:fill="auto"/>
            <w:vAlign w:val="center"/>
          </w:tcPr>
          <w:p w14:paraId="732D97B6">
            <w:pPr>
              <w:keepNext w:val="0"/>
              <w:keepLines w:val="0"/>
              <w:widowControl/>
              <w:suppressLineNumbers w:val="0"/>
              <w:spacing w:line="240" w:lineRule="auto"/>
              <w:ind w:firstLine="0" w:firstLineChars="0"/>
              <w:jc w:val="left"/>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w:t>
            </w:r>
            <w:r>
              <w:rPr>
                <w:rStyle w:val="22"/>
                <w:rFonts w:hint="eastAsia" w:ascii="仿宋_GB2312" w:hAnsi="仿宋_GB2312" w:eastAsia="仿宋_GB2312" w:cs="仿宋_GB2312"/>
                <w:color w:val="auto"/>
                <w:sz w:val="21"/>
                <w:szCs w:val="21"/>
                <w:highlight w:val="none"/>
                <w:shd w:val="clear" w:color="auto" w:fill="FFFFFF"/>
                <w:lang w:val="en-US" w:eastAsia="zh-CN" w:bidi="ar"/>
              </w:rPr>
              <w:t>配送件数梯度</w:t>
            </w:r>
          </w:p>
        </w:tc>
        <w:tc>
          <w:tcPr>
            <w:tcW w:w="2518" w:type="dxa"/>
            <w:shd w:val="clear" w:color="auto" w:fill="auto"/>
            <w:vAlign w:val="center"/>
          </w:tcPr>
          <w:p w14:paraId="5AA530F7">
            <w:pPr>
              <w:keepNext w:val="0"/>
              <w:keepLines w:val="0"/>
              <w:widowControl/>
              <w:suppressLineNumbers w:val="0"/>
              <w:spacing w:line="240" w:lineRule="auto"/>
              <w:ind w:firstLine="0" w:firstLineChars="0"/>
              <w:jc w:val="left"/>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不含税配送</w:t>
            </w:r>
            <w:r>
              <w:rPr>
                <w:rStyle w:val="22"/>
                <w:rFonts w:hint="eastAsia" w:ascii="仿宋_GB2312" w:hAnsi="仿宋_GB2312" w:eastAsia="仿宋_GB2312" w:cs="仿宋_GB2312"/>
                <w:color w:val="auto"/>
                <w:sz w:val="21"/>
                <w:szCs w:val="21"/>
                <w:highlight w:val="none"/>
                <w:shd w:val="clear" w:color="auto" w:fill="FFFFFF"/>
                <w:lang w:val="en-US" w:eastAsia="zh-CN" w:bidi="ar"/>
              </w:rPr>
              <w:t>单价（元/件）</w:t>
            </w:r>
          </w:p>
        </w:tc>
        <w:tc>
          <w:tcPr>
            <w:tcW w:w="2282" w:type="dxa"/>
            <w:shd w:val="clear" w:color="auto" w:fill="auto"/>
            <w:vAlign w:val="center"/>
          </w:tcPr>
          <w:p w14:paraId="42777A0F">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Fonts w:hint="eastAsia" w:ascii="仿宋_GB2312" w:hAnsi="仿宋_GB2312" w:eastAsia="仿宋_GB2312" w:cs="仿宋_GB2312"/>
                <w:color w:val="auto"/>
                <w:sz w:val="21"/>
                <w:szCs w:val="21"/>
                <w:highlight w:val="none"/>
                <w:shd w:val="clear" w:color="auto" w:fill="FFFFFF"/>
                <w:lang w:val="en-US" w:eastAsia="zh-CN" w:bidi="ar"/>
              </w:rPr>
              <w:t>预估业务占比</w:t>
            </w:r>
          </w:p>
        </w:tc>
      </w:tr>
      <w:tr w14:paraId="1010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99" w:type="dxa"/>
            <w:shd w:val="clear" w:color="auto" w:fill="auto"/>
            <w:vAlign w:val="center"/>
          </w:tcPr>
          <w:p w14:paraId="1B58AD90">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20 - 49件</w:t>
            </w:r>
          </w:p>
        </w:tc>
        <w:tc>
          <w:tcPr>
            <w:tcW w:w="2518" w:type="dxa"/>
            <w:shd w:val="clear" w:color="auto" w:fill="auto"/>
            <w:vAlign w:val="center"/>
          </w:tcPr>
          <w:p w14:paraId="5C26EFD6">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Style w:val="22"/>
                <w:rFonts w:hint="eastAsia" w:ascii="仿宋_GB2312" w:hAnsi="仿宋_GB2312" w:eastAsia="仿宋_GB2312" w:cs="仿宋_GB2312"/>
                <w:color w:val="auto"/>
                <w:sz w:val="21"/>
                <w:szCs w:val="21"/>
                <w:highlight w:val="none"/>
                <w:shd w:val="clear" w:color="auto" w:fill="FFFFFF"/>
                <w:lang w:val="en-US" w:eastAsia="zh-CN" w:bidi="ar"/>
              </w:rPr>
              <w:t>​</w:t>
            </w:r>
          </w:p>
        </w:tc>
        <w:tc>
          <w:tcPr>
            <w:tcW w:w="2282" w:type="dxa"/>
            <w:shd w:val="clear" w:color="auto" w:fill="auto"/>
            <w:vAlign w:val="center"/>
          </w:tcPr>
          <w:p w14:paraId="4EC40A58">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30%</w:t>
            </w:r>
          </w:p>
        </w:tc>
      </w:tr>
      <w:tr w14:paraId="317F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99" w:type="dxa"/>
            <w:shd w:val="clear" w:color="auto" w:fill="auto"/>
            <w:vAlign w:val="center"/>
          </w:tcPr>
          <w:p w14:paraId="0F513B3D">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50 - 199件</w:t>
            </w:r>
          </w:p>
        </w:tc>
        <w:tc>
          <w:tcPr>
            <w:tcW w:w="2518" w:type="dxa"/>
            <w:shd w:val="clear" w:color="auto" w:fill="auto"/>
            <w:vAlign w:val="center"/>
          </w:tcPr>
          <w:p w14:paraId="132451F0">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Style w:val="22"/>
                <w:rFonts w:hint="eastAsia" w:ascii="仿宋_GB2312" w:hAnsi="仿宋_GB2312" w:eastAsia="仿宋_GB2312" w:cs="仿宋_GB2312"/>
                <w:color w:val="auto"/>
                <w:sz w:val="21"/>
                <w:szCs w:val="21"/>
                <w:highlight w:val="none"/>
                <w:shd w:val="clear" w:color="auto" w:fill="FFFFFF"/>
                <w:lang w:val="en-US" w:eastAsia="zh-CN" w:bidi="ar"/>
              </w:rPr>
              <w:t>​</w:t>
            </w:r>
          </w:p>
        </w:tc>
        <w:tc>
          <w:tcPr>
            <w:tcW w:w="2282" w:type="dxa"/>
            <w:shd w:val="clear" w:color="auto" w:fill="auto"/>
            <w:vAlign w:val="center"/>
          </w:tcPr>
          <w:p w14:paraId="7EFFDAC6">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65%</w:t>
            </w:r>
          </w:p>
        </w:tc>
      </w:tr>
      <w:tr w14:paraId="10A9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 w:hRule="atLeast"/>
        </w:trPr>
        <w:tc>
          <w:tcPr>
            <w:tcW w:w="2399" w:type="dxa"/>
            <w:shd w:val="clear" w:color="auto" w:fill="auto"/>
            <w:vAlign w:val="center"/>
          </w:tcPr>
          <w:p w14:paraId="68978501">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200 - 599件</w:t>
            </w:r>
          </w:p>
        </w:tc>
        <w:tc>
          <w:tcPr>
            <w:tcW w:w="2518" w:type="dxa"/>
            <w:shd w:val="clear" w:color="auto" w:fill="auto"/>
            <w:vAlign w:val="center"/>
          </w:tcPr>
          <w:p w14:paraId="6645365E">
            <w:pPr>
              <w:keepNext w:val="0"/>
              <w:keepLines w:val="0"/>
              <w:widowControl/>
              <w:suppressLineNumbers w:val="0"/>
              <w:spacing w:line="240" w:lineRule="auto"/>
              <w:ind w:firstLine="0" w:firstLineChars="0"/>
              <w:jc w:val="center"/>
              <w:textAlignment w:val="auto"/>
              <w:rPr>
                <w:rStyle w:val="22"/>
                <w:rFonts w:hint="eastAsia" w:ascii="仿宋_GB2312" w:hAnsi="仿宋_GB2312" w:eastAsia="仿宋_GB2312" w:cs="仿宋_GB2312"/>
                <w:color w:val="auto"/>
                <w:sz w:val="21"/>
                <w:szCs w:val="21"/>
                <w:highlight w:val="none"/>
                <w:shd w:val="clear" w:color="auto" w:fill="FFFFFF"/>
                <w:lang w:val="en-US" w:eastAsia="zh-CN" w:bidi="ar"/>
              </w:rPr>
            </w:pPr>
          </w:p>
        </w:tc>
        <w:tc>
          <w:tcPr>
            <w:tcW w:w="2282" w:type="dxa"/>
            <w:shd w:val="clear" w:color="auto" w:fill="auto"/>
            <w:vAlign w:val="center"/>
          </w:tcPr>
          <w:p w14:paraId="4907D396">
            <w:pPr>
              <w:keepNext w:val="0"/>
              <w:keepLines w:val="0"/>
              <w:widowControl/>
              <w:suppressLineNumbers w:val="0"/>
              <w:spacing w:line="240" w:lineRule="auto"/>
              <w:ind w:firstLine="0" w:firstLineChars="0"/>
              <w:jc w:val="center"/>
              <w:textAlignment w:val="auto"/>
              <w:rPr>
                <w:rFonts w:hint="default"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3%</w:t>
            </w:r>
          </w:p>
        </w:tc>
      </w:tr>
      <w:tr w14:paraId="61D6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99" w:type="dxa"/>
            <w:shd w:val="clear" w:color="auto" w:fill="auto"/>
            <w:vAlign w:val="center"/>
          </w:tcPr>
          <w:p w14:paraId="5684A6EE">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600 - 999件</w:t>
            </w:r>
          </w:p>
        </w:tc>
        <w:tc>
          <w:tcPr>
            <w:tcW w:w="2518" w:type="dxa"/>
            <w:shd w:val="clear" w:color="auto" w:fill="auto"/>
            <w:vAlign w:val="center"/>
          </w:tcPr>
          <w:p w14:paraId="6EEB7E8C">
            <w:pPr>
              <w:keepNext w:val="0"/>
              <w:keepLines w:val="0"/>
              <w:widowControl/>
              <w:suppressLineNumbers w:val="0"/>
              <w:spacing w:line="240" w:lineRule="auto"/>
              <w:ind w:firstLine="0" w:firstLineChars="0"/>
              <w:jc w:val="center"/>
              <w:textAlignment w:val="auto"/>
              <w:rPr>
                <w:rStyle w:val="22"/>
                <w:rFonts w:hint="eastAsia" w:ascii="仿宋_GB2312" w:hAnsi="仿宋_GB2312" w:eastAsia="仿宋_GB2312" w:cs="仿宋_GB2312"/>
                <w:color w:val="auto"/>
                <w:sz w:val="21"/>
                <w:szCs w:val="21"/>
                <w:highlight w:val="none"/>
                <w:shd w:val="clear" w:color="auto" w:fill="FFFFFF"/>
                <w:lang w:val="en-US" w:eastAsia="zh-CN" w:bidi="ar"/>
              </w:rPr>
            </w:pPr>
          </w:p>
        </w:tc>
        <w:tc>
          <w:tcPr>
            <w:tcW w:w="2282" w:type="dxa"/>
            <w:shd w:val="clear" w:color="auto" w:fill="auto"/>
            <w:vAlign w:val="center"/>
          </w:tcPr>
          <w:p w14:paraId="00ABA90E">
            <w:pPr>
              <w:keepNext w:val="0"/>
              <w:keepLines w:val="0"/>
              <w:widowControl/>
              <w:suppressLineNumbers w:val="0"/>
              <w:spacing w:line="240" w:lineRule="auto"/>
              <w:ind w:firstLine="0" w:firstLineChars="0"/>
              <w:jc w:val="center"/>
              <w:textAlignment w:val="auto"/>
              <w:rPr>
                <w:rFonts w:hint="default"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1%</w:t>
            </w:r>
          </w:p>
        </w:tc>
      </w:tr>
      <w:tr w14:paraId="5E62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99" w:type="dxa"/>
            <w:shd w:val="clear" w:color="auto" w:fill="auto"/>
            <w:vAlign w:val="center"/>
          </w:tcPr>
          <w:p w14:paraId="7F21EB95">
            <w:pPr>
              <w:keepNext w:val="0"/>
              <w:keepLines w:val="0"/>
              <w:widowControl/>
              <w:suppressLineNumbers w:val="0"/>
              <w:spacing w:line="240" w:lineRule="auto"/>
              <w:ind w:firstLine="0" w:firstLineChars="0"/>
              <w:jc w:val="center"/>
              <w:textAlignment w:val="auto"/>
              <w:rPr>
                <w:rFonts w:hint="default"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1000件及以上</w:t>
            </w:r>
          </w:p>
        </w:tc>
        <w:tc>
          <w:tcPr>
            <w:tcW w:w="2518" w:type="dxa"/>
            <w:shd w:val="clear" w:color="auto" w:fill="auto"/>
            <w:vAlign w:val="center"/>
          </w:tcPr>
          <w:p w14:paraId="21E401C0">
            <w:pPr>
              <w:keepNext w:val="0"/>
              <w:keepLines w:val="0"/>
              <w:widowControl/>
              <w:suppressLineNumbers w:val="0"/>
              <w:spacing w:line="240" w:lineRule="auto"/>
              <w:ind w:firstLine="0" w:firstLineChars="0"/>
              <w:jc w:val="center"/>
              <w:textAlignment w:val="auto"/>
              <w:rPr>
                <w:rStyle w:val="22"/>
                <w:rFonts w:hint="eastAsia" w:ascii="仿宋_GB2312" w:hAnsi="仿宋_GB2312" w:eastAsia="仿宋_GB2312" w:cs="仿宋_GB2312"/>
                <w:color w:val="auto"/>
                <w:sz w:val="21"/>
                <w:szCs w:val="21"/>
                <w:highlight w:val="none"/>
                <w:shd w:val="clear" w:color="auto" w:fill="FFFFFF"/>
                <w:lang w:val="en-US" w:eastAsia="zh-CN" w:bidi="ar"/>
              </w:rPr>
            </w:pPr>
          </w:p>
        </w:tc>
        <w:tc>
          <w:tcPr>
            <w:tcW w:w="2282" w:type="dxa"/>
            <w:shd w:val="clear" w:color="auto" w:fill="auto"/>
            <w:vAlign w:val="center"/>
          </w:tcPr>
          <w:p w14:paraId="0A2BBD31">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1%</w:t>
            </w:r>
          </w:p>
        </w:tc>
      </w:tr>
    </w:tbl>
    <w:p w14:paraId="22689906">
      <w:pPr>
        <w:pStyle w:val="2"/>
        <w:rPr>
          <w:rFonts w:hint="eastAsia"/>
          <w:highlight w:val="none"/>
        </w:rPr>
      </w:pPr>
    </w:p>
    <w:p w14:paraId="6BE090AD">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val="en-US" w:eastAsia="zh-CN"/>
        </w:rPr>
        <w:t>服务期限</w:t>
      </w:r>
    </w:p>
    <w:p w14:paraId="57E2181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服务期限自合同签订之日起</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个月，前述期限届满或包装水物流配送服务费</w:t>
      </w:r>
      <w:r>
        <w:rPr>
          <w:rFonts w:hint="eastAsia" w:ascii="宋体" w:hAnsi="宋体" w:cs="宋体"/>
          <w:color w:val="auto"/>
          <w:sz w:val="21"/>
          <w:szCs w:val="21"/>
          <w:highlight w:val="none"/>
          <w:lang w:val="en-US" w:eastAsia="zh-CN"/>
        </w:rPr>
        <w:t>（含税）</w:t>
      </w:r>
      <w:r>
        <w:rPr>
          <w:rFonts w:hint="eastAsia" w:ascii="宋体" w:hAnsi="宋体" w:eastAsia="宋体" w:cs="宋体"/>
          <w:color w:val="auto"/>
          <w:sz w:val="21"/>
          <w:szCs w:val="21"/>
          <w:highlight w:val="none"/>
          <w:lang w:val="en-US" w:eastAsia="zh-CN"/>
        </w:rPr>
        <w:t>累计达到</w:t>
      </w:r>
      <w:r>
        <w:rPr>
          <w:rFonts w:hint="eastAsia" w:ascii="宋体" w:hAnsi="宋体" w:cs="宋体"/>
          <w:color w:val="auto"/>
          <w:sz w:val="21"/>
          <w:szCs w:val="21"/>
          <w:highlight w:val="none"/>
          <w:lang w:val="en-US" w:eastAsia="zh-CN"/>
        </w:rPr>
        <w:t>360,000.00</w:t>
      </w:r>
      <w:r>
        <w:rPr>
          <w:rFonts w:hint="eastAsia" w:ascii="宋体" w:hAnsi="宋体" w:eastAsia="宋体" w:cs="宋体"/>
          <w:color w:val="auto"/>
          <w:sz w:val="21"/>
          <w:szCs w:val="21"/>
          <w:highlight w:val="none"/>
          <w:lang w:val="en-US" w:eastAsia="zh-CN"/>
        </w:rPr>
        <w:t>元时止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终止日期以前述两种情况中先达到的期限为准</w:t>
      </w:r>
      <w:r>
        <w:rPr>
          <w:rFonts w:hint="eastAsia" w:ascii="宋体" w:hAnsi="宋体" w:eastAsia="宋体" w:cs="宋体"/>
          <w:color w:val="auto"/>
          <w:sz w:val="21"/>
          <w:szCs w:val="21"/>
          <w:highlight w:val="none"/>
          <w:lang w:bidi="ar"/>
        </w:rPr>
        <w:t>。</w:t>
      </w:r>
    </w:p>
    <w:p w14:paraId="3650287C">
      <w:pPr>
        <w:keepNext w:val="0"/>
        <w:keepLines w:val="0"/>
        <w:pageBreakBefore w:val="0"/>
        <w:numPr>
          <w:ilvl w:val="0"/>
          <w:numId w:val="0"/>
        </w:numPr>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四、服务要求</w:t>
      </w:r>
    </w:p>
    <w:p w14:paraId="4B27EB0F">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1.成交人在服务中应注意维护采购人的企业形象、名誉。</w:t>
      </w:r>
      <w:r>
        <w:rPr>
          <w:rFonts w:hint="eastAsia" w:ascii="宋体" w:hAnsi="宋体" w:cs="宋体"/>
          <w:color w:val="auto"/>
          <w:sz w:val="21"/>
          <w:szCs w:val="21"/>
          <w:highlight w:val="none"/>
          <w:lang w:val="en-US" w:eastAsia="zh-CN"/>
        </w:rPr>
        <w:t>成交人应督促</w:t>
      </w:r>
      <w:r>
        <w:rPr>
          <w:rFonts w:hint="eastAsia" w:ascii="宋体" w:hAnsi="宋体" w:eastAsia="宋体" w:cs="宋体"/>
          <w:color w:val="auto"/>
          <w:sz w:val="21"/>
          <w:szCs w:val="21"/>
          <w:highlight w:val="none"/>
          <w:lang w:val="en-US" w:eastAsia="zh-CN"/>
        </w:rPr>
        <w:t>物流司机</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搬运工禁止穿拖鞋上班、衣着要整齐、文明做事、礼貌待人、不得以任何原因与收货人产生争执，不得以任何理由向采购人客户索取物资，不得透露采购人物流配送产品的价格、数量等任何信息。</w:t>
      </w:r>
    </w:p>
    <w:p w14:paraId="3082381C">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2.物流司机要凭提货单上的数量到指定地点装车，装车完成后，由仓管员核对数量后签字确认。</w:t>
      </w:r>
    </w:p>
    <w:p w14:paraId="4A167B1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3.装卸货物时对产品要轻拿轻放、摆放整齐，如有损坏</w:t>
      </w:r>
      <w:r>
        <w:rPr>
          <w:rFonts w:hint="eastAsia" w:ascii="宋体" w:hAnsi="宋体" w:cs="宋体"/>
          <w:color w:val="auto"/>
          <w:sz w:val="21"/>
          <w:szCs w:val="21"/>
          <w:highlight w:val="none"/>
          <w:lang w:val="en-US" w:eastAsia="zh-CN"/>
        </w:rPr>
        <w:t>按照销售价</w:t>
      </w:r>
      <w:r>
        <w:rPr>
          <w:rFonts w:hint="eastAsia" w:ascii="宋体" w:hAnsi="宋体" w:eastAsia="宋体" w:cs="宋体"/>
          <w:color w:val="auto"/>
          <w:sz w:val="21"/>
          <w:szCs w:val="21"/>
          <w:highlight w:val="none"/>
          <w:lang w:val="en-US" w:eastAsia="zh-CN"/>
        </w:rPr>
        <w:t>赔偿。物流配送途中货物整齐牢固，关好车门，不超高超宽超重，以免货物撒漏破损，要保证物流配送全过程安全。</w:t>
      </w:r>
    </w:p>
    <w:p w14:paraId="51FD53A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Cs w:val="21"/>
          <w:highlight w:val="none"/>
          <w:lang w:val="en-US" w:eastAsia="zh-CN"/>
        </w:rPr>
        <w:t>接到订单后，须在24小时内送达。</w:t>
      </w:r>
      <w:r>
        <w:rPr>
          <w:rFonts w:hint="eastAsia" w:ascii="宋体" w:hAnsi="宋体" w:eastAsia="宋体" w:cs="宋体"/>
          <w:color w:val="auto"/>
          <w:sz w:val="21"/>
          <w:szCs w:val="21"/>
          <w:highlight w:val="none"/>
          <w:lang w:val="en-US" w:eastAsia="zh-CN"/>
        </w:rPr>
        <w:t>采购人有权对供应商承运的在途货物进行跟踪。没有采购人</w:t>
      </w:r>
      <w:r>
        <w:rPr>
          <w:rFonts w:hint="eastAsia" w:ascii="宋体" w:hAnsi="宋体" w:cs="宋体"/>
          <w:color w:val="auto"/>
          <w:sz w:val="21"/>
          <w:szCs w:val="21"/>
          <w:highlight w:val="none"/>
          <w:lang w:val="en-US" w:eastAsia="zh-CN"/>
        </w:rPr>
        <w:t>书面</w:t>
      </w:r>
      <w:r>
        <w:rPr>
          <w:rFonts w:hint="eastAsia" w:ascii="宋体" w:hAnsi="宋体" w:eastAsia="宋体" w:cs="宋体"/>
          <w:color w:val="auto"/>
          <w:sz w:val="21"/>
          <w:szCs w:val="21"/>
          <w:highlight w:val="none"/>
          <w:lang w:val="en-US" w:eastAsia="zh-CN"/>
        </w:rPr>
        <w:t>同意</w:t>
      </w:r>
      <w:r>
        <w:rPr>
          <w:rFonts w:hint="eastAsia" w:ascii="宋体" w:hAnsi="宋体" w:cs="宋体"/>
          <w:color w:val="auto"/>
          <w:sz w:val="21"/>
          <w:szCs w:val="21"/>
          <w:highlight w:val="none"/>
          <w:lang w:val="en-US" w:eastAsia="zh-CN"/>
        </w:rPr>
        <w:t>的情况下，成交人</w:t>
      </w:r>
      <w:r>
        <w:rPr>
          <w:rFonts w:hint="eastAsia" w:ascii="宋体" w:hAnsi="宋体" w:eastAsia="宋体" w:cs="宋体"/>
          <w:color w:val="auto"/>
          <w:sz w:val="21"/>
          <w:szCs w:val="21"/>
          <w:highlight w:val="none"/>
          <w:lang w:val="en-US" w:eastAsia="zh-CN"/>
        </w:rPr>
        <w:t>不能把客户的库存产品退回采购人，否则</w:t>
      </w:r>
      <w:r>
        <w:rPr>
          <w:rFonts w:hint="eastAsia" w:ascii="宋体" w:hAnsi="宋体" w:cs="宋体"/>
          <w:color w:val="auto"/>
          <w:sz w:val="21"/>
          <w:szCs w:val="21"/>
          <w:highlight w:val="none"/>
          <w:lang w:val="en-US" w:eastAsia="zh-CN"/>
        </w:rPr>
        <w:t>采购人有权在成交人的物流配送服务费中直接扣除退回产品的出厂价</w:t>
      </w:r>
      <w:r>
        <w:rPr>
          <w:rFonts w:hint="eastAsia" w:ascii="宋体" w:hAnsi="宋体" w:eastAsia="宋体" w:cs="宋体"/>
          <w:color w:val="auto"/>
          <w:sz w:val="21"/>
          <w:szCs w:val="21"/>
          <w:highlight w:val="none"/>
          <w:lang w:val="en-US" w:eastAsia="zh-CN"/>
        </w:rPr>
        <w:t>。</w:t>
      </w:r>
    </w:p>
    <w:p w14:paraId="1D52E751">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5.供应商必须按当天派</w:t>
      </w:r>
      <w:r>
        <w:rPr>
          <w:rFonts w:hint="eastAsia" w:ascii="宋体" w:hAnsi="宋体" w:cs="宋体"/>
          <w:color w:val="auto"/>
          <w:sz w:val="21"/>
          <w:szCs w:val="21"/>
          <w:highlight w:val="none"/>
          <w:lang w:val="en-US" w:eastAsia="zh-CN"/>
        </w:rPr>
        <w:t>单</w:t>
      </w:r>
      <w:r>
        <w:rPr>
          <w:rFonts w:hint="eastAsia" w:ascii="宋体" w:hAnsi="宋体" w:eastAsia="宋体" w:cs="宋体"/>
          <w:color w:val="auto"/>
          <w:sz w:val="21"/>
          <w:szCs w:val="21"/>
          <w:highlight w:val="none"/>
          <w:lang w:val="en-US" w:eastAsia="zh-CN"/>
        </w:rPr>
        <w:t>的顺序来配送完成当天订单，不得故意不按时按点配送或因未完成当天</w:t>
      </w:r>
      <w:r>
        <w:rPr>
          <w:rFonts w:hint="eastAsia" w:ascii="宋体" w:hAnsi="宋体" w:cs="宋体"/>
          <w:color w:val="auto"/>
          <w:sz w:val="21"/>
          <w:szCs w:val="21"/>
          <w:highlight w:val="none"/>
          <w:lang w:val="en-US" w:eastAsia="zh-CN"/>
        </w:rPr>
        <w:t>的配送</w:t>
      </w:r>
      <w:r>
        <w:rPr>
          <w:rFonts w:hint="eastAsia" w:ascii="宋体" w:hAnsi="宋体" w:eastAsia="宋体" w:cs="宋体"/>
          <w:color w:val="auto"/>
          <w:sz w:val="21"/>
          <w:szCs w:val="21"/>
          <w:highlight w:val="none"/>
          <w:lang w:val="en-US" w:eastAsia="zh-CN"/>
        </w:rPr>
        <w:t>订单而造成客户投诉。</w:t>
      </w:r>
      <w:r>
        <w:rPr>
          <w:rFonts w:hint="eastAsia" w:ascii="宋体" w:hAnsi="宋体" w:cs="宋体"/>
          <w:color w:val="auto"/>
          <w:sz w:val="21"/>
          <w:szCs w:val="21"/>
          <w:highlight w:val="none"/>
          <w:lang w:val="en-US" w:eastAsia="zh-CN"/>
        </w:rPr>
        <w:t>如遇天气恶劣等原因确需推迟发车日期的，</w:t>
      </w:r>
      <w:r>
        <w:rPr>
          <w:rFonts w:hint="eastAsia" w:ascii="宋体" w:hAnsi="宋体" w:eastAsia="宋体" w:cs="宋体"/>
          <w:color w:val="auto"/>
          <w:sz w:val="21"/>
          <w:szCs w:val="21"/>
          <w:highlight w:val="none"/>
          <w:lang w:val="en-US" w:eastAsia="zh-CN"/>
        </w:rPr>
        <w:t>应在</w:t>
      </w:r>
      <w:r>
        <w:rPr>
          <w:rFonts w:hint="eastAsia" w:ascii="宋体" w:hAnsi="宋体" w:cs="宋体"/>
          <w:color w:val="auto"/>
          <w:sz w:val="21"/>
          <w:szCs w:val="21"/>
          <w:highlight w:val="none"/>
          <w:lang w:val="en-US" w:eastAsia="zh-CN"/>
        </w:rPr>
        <w:t>事先取得</w:t>
      </w:r>
      <w:r>
        <w:rPr>
          <w:rFonts w:hint="eastAsia" w:ascii="宋体" w:hAnsi="宋体" w:eastAsia="宋体" w:cs="宋体"/>
          <w:color w:val="auto"/>
          <w:sz w:val="21"/>
          <w:szCs w:val="21"/>
          <w:highlight w:val="none"/>
          <w:lang w:val="en-US" w:eastAsia="zh-CN"/>
        </w:rPr>
        <w:t>采购人同意的情况下，</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可延迟一天配送</w:t>
      </w:r>
      <w:r>
        <w:rPr>
          <w:rFonts w:hint="eastAsia" w:ascii="宋体" w:hAnsi="宋体" w:cs="宋体"/>
          <w:color w:val="auto"/>
          <w:sz w:val="21"/>
          <w:szCs w:val="21"/>
          <w:highlight w:val="none"/>
          <w:lang w:val="en-US" w:eastAsia="zh-CN"/>
        </w:rPr>
        <w:t>订单</w:t>
      </w:r>
      <w:r>
        <w:rPr>
          <w:rFonts w:hint="eastAsia" w:ascii="宋体" w:hAnsi="宋体" w:eastAsia="宋体" w:cs="宋体"/>
          <w:color w:val="auto"/>
          <w:sz w:val="21"/>
          <w:szCs w:val="21"/>
          <w:highlight w:val="none"/>
          <w:lang w:val="en-US" w:eastAsia="zh-CN"/>
        </w:rPr>
        <w:t>。</w:t>
      </w:r>
    </w:p>
    <w:p w14:paraId="4B9B2AAC">
      <w:pPr>
        <w:keepNext w:val="0"/>
        <w:keepLines w:val="0"/>
        <w:pageBreakBefore w:val="0"/>
        <w:numPr>
          <w:ilvl w:val="0"/>
          <w:numId w:val="0"/>
        </w:numPr>
        <w:kinsoku/>
        <w:wordWrap/>
        <w:overflowPunct/>
        <w:topLinePunct w:val="0"/>
        <w:autoSpaceDE/>
        <w:autoSpaceDN/>
        <w:bidi w:val="0"/>
        <w:adjustRightInd/>
        <w:snapToGrid w:val="0"/>
        <w:spacing w:line="360" w:lineRule="auto"/>
        <w:ind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五、付款方式</w:t>
      </w:r>
    </w:p>
    <w:p w14:paraId="494A1B19">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物流配送服务费按月进行结算</w:t>
      </w:r>
      <w:r>
        <w:rPr>
          <w:rFonts w:hint="eastAsia" w:ascii="宋体" w:hAnsi="宋体" w:cs="宋体"/>
          <w:color w:val="auto"/>
          <w:sz w:val="21"/>
          <w:szCs w:val="21"/>
          <w:highlight w:val="none"/>
          <w:lang w:val="en-US" w:eastAsia="zh-CN"/>
        </w:rPr>
        <w:t>、支付</w:t>
      </w:r>
      <w:r>
        <w:rPr>
          <w:rFonts w:hint="eastAsia" w:ascii="宋体" w:hAnsi="宋体" w:eastAsia="宋体" w:cs="宋体"/>
          <w:color w:val="auto"/>
          <w:sz w:val="21"/>
          <w:szCs w:val="21"/>
          <w:highlight w:val="none"/>
          <w:lang w:val="en-US" w:eastAsia="zh-CN"/>
        </w:rPr>
        <w:t>。成交人于次月提交上月物流配送服务请款报告，以及合法、有效的增值税专用发票，经采购人审核确认无误后15个工作日内以银行转账或汇款方式向成交人支付相应款项</w:t>
      </w:r>
      <w:r>
        <w:rPr>
          <w:rFonts w:hint="eastAsia" w:ascii="宋体" w:hAnsi="宋体" w:eastAsia="宋体" w:cs="宋体"/>
          <w:color w:val="auto"/>
          <w:sz w:val="21"/>
          <w:szCs w:val="21"/>
          <w:highlight w:val="none"/>
        </w:rPr>
        <w:t>。</w:t>
      </w:r>
    </w:p>
    <w:p w14:paraId="45419C88">
      <w:pPr>
        <w:pStyle w:val="2"/>
        <w:rPr>
          <w:rFonts w:hint="default"/>
          <w:highlight w:val="none"/>
          <w:lang w:val="en-US" w:eastAsia="zh-CN"/>
        </w:rPr>
      </w:pPr>
    </w:p>
    <w:p w14:paraId="1C665D40">
      <w:pPr>
        <w:pStyle w:val="2"/>
        <w:rPr>
          <w:rFonts w:hint="default"/>
          <w:highlight w:val="none"/>
          <w:lang w:val="en-US" w:eastAsia="zh-CN"/>
        </w:rPr>
      </w:pPr>
    </w:p>
    <w:p w14:paraId="6D5A945F">
      <w:pPr>
        <w:rPr>
          <w:rFonts w:hint="eastAsia" w:ascii="宋体" w:hAnsi="宋体"/>
          <w:color w:val="auto"/>
          <w:sz w:val="44"/>
          <w:szCs w:val="44"/>
          <w:highlight w:val="none"/>
          <w:lang w:val="zh-CN"/>
        </w:rPr>
      </w:pPr>
      <w:bookmarkStart w:id="26" w:name="_Toc23728"/>
      <w:r>
        <w:rPr>
          <w:rFonts w:hint="eastAsia" w:ascii="宋体" w:hAnsi="宋体"/>
          <w:color w:val="auto"/>
          <w:sz w:val="44"/>
          <w:szCs w:val="44"/>
          <w:highlight w:val="none"/>
          <w:lang w:val="zh-CN"/>
        </w:rPr>
        <w:br w:type="page"/>
      </w:r>
    </w:p>
    <w:p w14:paraId="23BBC52A">
      <w:pPr>
        <w:pStyle w:val="18"/>
        <w:rPr>
          <w:rFonts w:ascii="宋体" w:hAnsi="宋体"/>
          <w:color w:val="auto"/>
          <w:sz w:val="44"/>
          <w:szCs w:val="44"/>
          <w:highlight w:val="none"/>
          <w:lang w:val="zh-CN"/>
        </w:rPr>
      </w:pPr>
      <w:r>
        <w:rPr>
          <w:rFonts w:hint="eastAsia" w:ascii="宋体" w:hAnsi="宋体"/>
          <w:color w:val="auto"/>
          <w:sz w:val="44"/>
          <w:szCs w:val="44"/>
          <w:highlight w:val="none"/>
          <w:lang w:val="zh-CN"/>
        </w:rPr>
        <w:t>第四篇 合同条款</w:t>
      </w:r>
      <w:bookmarkEnd w:id="26"/>
    </w:p>
    <w:p w14:paraId="7234862A">
      <w:pPr>
        <w:jc w:val="center"/>
        <w:rPr>
          <w:rFonts w:hint="eastAsia" w:ascii="方正小标宋简体" w:hAnsi="方正小标宋简体" w:eastAsia="方正小标宋简体" w:cs="方正小标宋简体"/>
          <w:b/>
          <w:bCs/>
          <w:color w:val="auto"/>
          <w:sz w:val="44"/>
          <w:szCs w:val="44"/>
          <w:highlight w:val="none"/>
          <w:u w:val="single"/>
        </w:rPr>
      </w:pPr>
    </w:p>
    <w:p w14:paraId="7A6D40E3">
      <w:pPr>
        <w:pStyle w:val="2"/>
        <w:rPr>
          <w:rFonts w:hint="eastAsia" w:ascii="方正小标宋简体" w:hAnsi="方正小标宋简体" w:eastAsia="方正小标宋简体" w:cs="方正小标宋简体"/>
          <w:b/>
          <w:bCs/>
          <w:color w:val="auto"/>
          <w:sz w:val="44"/>
          <w:szCs w:val="44"/>
          <w:highlight w:val="none"/>
          <w:u w:val="single"/>
        </w:rPr>
      </w:pPr>
    </w:p>
    <w:p w14:paraId="0D383EA6">
      <w:pPr>
        <w:pStyle w:val="2"/>
        <w:rPr>
          <w:rFonts w:hint="eastAsia" w:ascii="方正小标宋简体" w:hAnsi="方正小标宋简体" w:eastAsia="方正小标宋简体" w:cs="方正小标宋简体"/>
          <w:b/>
          <w:bCs/>
          <w:color w:val="auto"/>
          <w:sz w:val="44"/>
          <w:szCs w:val="44"/>
          <w:highlight w:val="none"/>
          <w:u w:val="single"/>
        </w:rPr>
      </w:pPr>
    </w:p>
    <w:p w14:paraId="3168E989">
      <w:pPr>
        <w:jc w:val="center"/>
        <w:rPr>
          <w:rFonts w:hint="eastAsia" w:ascii="方正小标宋简体" w:hAnsi="方正小标宋简体" w:eastAsia="方正小标宋简体" w:cs="方正小标宋简体"/>
          <w:b/>
          <w:bCs/>
          <w:color w:val="auto"/>
          <w:sz w:val="44"/>
          <w:szCs w:val="44"/>
          <w:highlight w:val="none"/>
          <w:u w:val="single"/>
        </w:rPr>
      </w:pPr>
      <w:r>
        <w:rPr>
          <w:rFonts w:hint="eastAsia" w:ascii="方正小标宋简体" w:hAnsi="方正小标宋简体" w:eastAsia="方正小标宋简体" w:cs="方正小标宋简体"/>
          <w:b/>
          <w:bCs/>
          <w:color w:val="auto"/>
          <w:sz w:val="44"/>
          <w:szCs w:val="44"/>
          <w:highlight w:val="none"/>
          <w:u w:val="single"/>
        </w:rPr>
        <w:t>东莞市</w:t>
      </w:r>
      <w:r>
        <w:rPr>
          <w:rFonts w:hint="eastAsia" w:ascii="方正小标宋简体" w:hAnsi="方正小标宋简体" w:eastAsia="方正小标宋简体" w:cs="方正小标宋简体"/>
          <w:b/>
          <w:bCs/>
          <w:color w:val="auto"/>
          <w:sz w:val="44"/>
          <w:szCs w:val="44"/>
          <w:highlight w:val="none"/>
          <w:u w:val="single"/>
          <w:lang w:val="en-US" w:eastAsia="zh-CN"/>
        </w:rPr>
        <w:t>福地饮用水</w:t>
      </w:r>
      <w:r>
        <w:rPr>
          <w:rFonts w:hint="eastAsia" w:ascii="方正小标宋简体" w:hAnsi="方正小标宋简体" w:eastAsia="方正小标宋简体" w:cs="方正小标宋简体"/>
          <w:b/>
          <w:bCs/>
          <w:color w:val="auto"/>
          <w:sz w:val="44"/>
          <w:szCs w:val="44"/>
          <w:highlight w:val="none"/>
          <w:u w:val="single"/>
        </w:rPr>
        <w:t>有限公司</w:t>
      </w:r>
    </w:p>
    <w:p w14:paraId="33D17C02">
      <w:pPr>
        <w:jc w:val="center"/>
        <w:rPr>
          <w:rFonts w:hint="eastAsia" w:ascii="方正小标宋简体" w:hAnsi="方正小标宋简体" w:eastAsia="方正小标宋简体" w:cs="方正小标宋简体"/>
          <w:b/>
          <w:bCs/>
          <w:color w:val="auto"/>
          <w:sz w:val="44"/>
          <w:szCs w:val="44"/>
          <w:highlight w:val="none"/>
          <w:u w:val="single"/>
          <w:lang w:val="en-US" w:eastAsia="zh-CN"/>
        </w:rPr>
      </w:pPr>
      <w:r>
        <w:rPr>
          <w:rFonts w:hint="eastAsia" w:ascii="方正小标宋简体" w:hAnsi="方正小标宋简体" w:eastAsia="方正小标宋简体" w:cs="方正小标宋简体"/>
          <w:b/>
          <w:bCs/>
          <w:color w:val="auto"/>
          <w:sz w:val="44"/>
          <w:szCs w:val="44"/>
          <w:highlight w:val="none"/>
          <w:u w:val="single"/>
          <w:lang w:val="en-US" w:eastAsia="zh-CN"/>
        </w:rPr>
        <w:t>2025年包装水（20件及以上)物流配送</w:t>
      </w:r>
    </w:p>
    <w:p w14:paraId="2CC4ECA9">
      <w:pPr>
        <w:jc w:val="center"/>
        <w:rPr>
          <w:rFonts w:ascii="宋体" w:hAnsi="宋体"/>
          <w:color w:val="auto"/>
          <w:highlight w:val="none"/>
        </w:rPr>
      </w:pPr>
      <w:r>
        <w:rPr>
          <w:rFonts w:hint="eastAsia" w:ascii="方正小标宋简体" w:hAnsi="方正小标宋简体" w:eastAsia="方正小标宋简体" w:cs="方正小标宋简体"/>
          <w:b/>
          <w:bCs/>
          <w:color w:val="auto"/>
          <w:sz w:val="44"/>
          <w:szCs w:val="44"/>
          <w:highlight w:val="none"/>
          <w:u w:val="single"/>
          <w:lang w:val="en-US" w:eastAsia="zh-CN"/>
        </w:rPr>
        <w:t>服务</w:t>
      </w:r>
      <w:r>
        <w:rPr>
          <w:rFonts w:hint="eastAsia" w:ascii="方正小标宋简体" w:hAnsi="方正小标宋简体" w:eastAsia="方正小标宋简体" w:cs="方正小标宋简体"/>
          <w:b/>
          <w:bCs/>
          <w:color w:val="auto"/>
          <w:sz w:val="44"/>
          <w:szCs w:val="44"/>
          <w:highlight w:val="none"/>
          <w:u w:val="single"/>
        </w:rPr>
        <w:t>合同</w:t>
      </w:r>
    </w:p>
    <w:p w14:paraId="18B4C944">
      <w:pPr>
        <w:rPr>
          <w:rFonts w:ascii="宋体" w:hAnsi="宋体"/>
          <w:color w:val="auto"/>
          <w:highlight w:val="none"/>
        </w:rPr>
      </w:pPr>
    </w:p>
    <w:p w14:paraId="726578DD">
      <w:pPr>
        <w:rPr>
          <w:rFonts w:ascii="宋体" w:hAnsi="宋体"/>
          <w:color w:val="auto"/>
          <w:highlight w:val="none"/>
        </w:rPr>
      </w:pPr>
    </w:p>
    <w:p w14:paraId="6CB219BB">
      <w:pPr>
        <w:rPr>
          <w:rFonts w:ascii="宋体" w:hAnsi="宋体"/>
          <w:color w:val="auto"/>
          <w:highlight w:val="none"/>
        </w:rPr>
      </w:pPr>
    </w:p>
    <w:p w14:paraId="67565B91">
      <w:pPr>
        <w:rPr>
          <w:rFonts w:ascii="宋体" w:hAnsi="宋体"/>
          <w:color w:val="auto"/>
          <w:highlight w:val="none"/>
        </w:rPr>
      </w:pPr>
    </w:p>
    <w:p w14:paraId="46BB9631">
      <w:pPr>
        <w:rPr>
          <w:rFonts w:ascii="宋体" w:hAnsi="宋体"/>
          <w:color w:val="auto"/>
          <w:highlight w:val="none"/>
        </w:rPr>
      </w:pPr>
    </w:p>
    <w:p w14:paraId="58BE6C12">
      <w:pPr>
        <w:rPr>
          <w:rFonts w:ascii="宋体" w:hAnsi="宋体"/>
          <w:color w:val="auto"/>
          <w:highlight w:val="none"/>
        </w:rPr>
      </w:pPr>
    </w:p>
    <w:p w14:paraId="5F31EBB0">
      <w:pPr>
        <w:rPr>
          <w:rFonts w:ascii="宋体" w:hAnsi="宋体"/>
          <w:color w:val="auto"/>
          <w:highlight w:val="none"/>
        </w:rPr>
      </w:pPr>
    </w:p>
    <w:p w14:paraId="510F46BA">
      <w:pPr>
        <w:rPr>
          <w:rFonts w:ascii="宋体" w:hAnsi="宋体"/>
          <w:color w:val="auto"/>
          <w:highlight w:val="none"/>
        </w:rPr>
      </w:pPr>
    </w:p>
    <w:p w14:paraId="102CB5FC">
      <w:pPr>
        <w:pStyle w:val="8"/>
        <w:rPr>
          <w:rFonts w:ascii="宋体" w:hAnsi="宋体"/>
          <w:color w:val="auto"/>
          <w:highlight w:val="none"/>
        </w:rPr>
      </w:pPr>
    </w:p>
    <w:p w14:paraId="5AD38E41">
      <w:pPr>
        <w:pStyle w:val="8"/>
        <w:rPr>
          <w:rFonts w:ascii="宋体" w:hAnsi="宋体"/>
          <w:color w:val="auto"/>
          <w:highlight w:val="none"/>
        </w:rPr>
      </w:pPr>
    </w:p>
    <w:p w14:paraId="1DD5CC82">
      <w:pPr>
        <w:pStyle w:val="8"/>
        <w:rPr>
          <w:rFonts w:ascii="宋体" w:hAnsi="宋体"/>
          <w:color w:val="auto"/>
          <w:highlight w:val="none"/>
        </w:rPr>
      </w:pPr>
    </w:p>
    <w:p w14:paraId="378E836E">
      <w:pPr>
        <w:spacing w:line="360" w:lineRule="auto"/>
        <w:rPr>
          <w:rFonts w:ascii="宋体" w:hAnsi="宋体"/>
          <w:color w:val="auto"/>
          <w:highlight w:val="none"/>
        </w:rPr>
      </w:pPr>
    </w:p>
    <w:p w14:paraId="149D7DD4">
      <w:pPr>
        <w:snapToGrid w:val="0"/>
        <w:spacing w:line="360" w:lineRule="auto"/>
        <w:ind w:firstLine="964" w:firstLineChars="300"/>
        <w:jc w:val="left"/>
        <w:outlineLvl w:val="1"/>
        <w:rPr>
          <w:rFonts w:hint="eastAsia" w:ascii="仿宋_GB2312" w:hAnsi="仿宋_GB2312" w:eastAsia="仿宋_GB2312" w:cs="仿宋_GB2312"/>
          <w:b/>
          <w:color w:val="auto"/>
          <w:sz w:val="32"/>
          <w:szCs w:val="32"/>
          <w:highlight w:val="none"/>
          <w:lang w:val="en-US" w:eastAsia="zh-CN"/>
        </w:rPr>
      </w:pPr>
      <w:bookmarkStart w:id="27" w:name="_Toc29294"/>
      <w:bookmarkStart w:id="28" w:name="_Toc6582"/>
      <w:r>
        <w:rPr>
          <w:rFonts w:hint="eastAsia" w:ascii="仿宋_GB2312" w:hAnsi="仿宋_GB2312" w:eastAsia="仿宋_GB2312" w:cs="仿宋_GB2312"/>
          <w:b/>
          <w:color w:val="auto"/>
          <w:sz w:val="32"/>
          <w:szCs w:val="32"/>
          <w:highlight w:val="none"/>
        </w:rPr>
        <w:t>合  同  编  号：</w:t>
      </w:r>
      <w:bookmarkEnd w:id="27"/>
      <w:bookmarkEnd w:id="28"/>
      <w:r>
        <w:rPr>
          <w:rFonts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ascii="宋体" w:hAnsi="宋体"/>
          <w:b/>
          <w:color w:val="auto"/>
          <w:sz w:val="32"/>
          <w:szCs w:val="32"/>
          <w:highlight w:val="none"/>
          <w:u w:val="single"/>
        </w:rPr>
        <w:t xml:space="preserve">      </w:t>
      </w:r>
      <w:bookmarkStart w:id="29" w:name="_Toc17061"/>
      <w:bookmarkStart w:id="30" w:name="_Toc18532"/>
    </w:p>
    <w:p w14:paraId="0376C441">
      <w:pPr>
        <w:snapToGrid w:val="0"/>
        <w:spacing w:line="360" w:lineRule="auto"/>
        <w:ind w:firstLine="964" w:firstLineChars="300"/>
        <w:jc w:val="left"/>
        <w:outlineLvl w:val="1"/>
        <w:rPr>
          <w:rFonts w:ascii="宋体" w:hAnsi="宋体"/>
          <w:b/>
          <w:color w:val="auto"/>
          <w:sz w:val="32"/>
          <w:szCs w:val="32"/>
          <w:highlight w:val="none"/>
          <w:u w:val="single"/>
        </w:rPr>
      </w:pPr>
      <w:r>
        <w:rPr>
          <w:rFonts w:hint="eastAsia" w:ascii="仿宋_GB2312" w:hAnsi="仿宋_GB2312" w:eastAsia="仿宋_GB2312" w:cs="仿宋_GB2312"/>
          <w:b/>
          <w:color w:val="auto"/>
          <w:sz w:val="32"/>
          <w:szCs w:val="32"/>
          <w:highlight w:val="none"/>
          <w:lang w:val="en-US" w:eastAsia="zh-CN"/>
        </w:rPr>
        <w:t>委托</w:t>
      </w:r>
      <w:r>
        <w:rPr>
          <w:rFonts w:hint="eastAsia" w:ascii="仿宋_GB2312" w:hAnsi="仿宋_GB2312" w:eastAsia="仿宋_GB2312" w:cs="仿宋_GB2312"/>
          <w:b/>
          <w:color w:val="auto"/>
          <w:sz w:val="32"/>
          <w:szCs w:val="32"/>
          <w:highlight w:val="none"/>
        </w:rPr>
        <w:t>人（甲方）：</w:t>
      </w:r>
      <w:bookmarkEnd w:id="29"/>
      <w:bookmarkEnd w:id="30"/>
      <w:r>
        <w:rPr>
          <w:rFonts w:hint="eastAsia" w:ascii="仿宋_GB2312" w:hAnsi="仿宋_GB2312" w:eastAsia="仿宋_GB2312" w:cs="仿宋_GB2312"/>
          <w:b/>
          <w:color w:val="auto"/>
          <w:sz w:val="32"/>
          <w:szCs w:val="32"/>
          <w:highlight w:val="none"/>
          <w:u w:val="single"/>
          <w:lang w:val="en-US" w:eastAsia="zh-CN"/>
        </w:rPr>
        <w:t>东莞市福地饮用水有限公司</w:t>
      </w:r>
    </w:p>
    <w:p w14:paraId="7F647B9C">
      <w:pPr>
        <w:snapToGrid w:val="0"/>
        <w:spacing w:line="360" w:lineRule="auto"/>
        <w:ind w:firstLine="964" w:firstLineChars="300"/>
        <w:jc w:val="left"/>
        <w:outlineLvl w:val="1"/>
        <w:rPr>
          <w:rFonts w:hint="default" w:ascii="宋体" w:hAnsi="宋体"/>
          <w:b/>
          <w:color w:val="auto"/>
          <w:sz w:val="32"/>
          <w:szCs w:val="32"/>
          <w:highlight w:val="none"/>
          <w:u w:val="single"/>
          <w:lang w:val="en-US"/>
        </w:rPr>
      </w:pPr>
      <w:bookmarkStart w:id="31" w:name="_Toc25183"/>
      <w:bookmarkStart w:id="32" w:name="_Toc20931"/>
      <w:r>
        <w:rPr>
          <w:rFonts w:hint="eastAsia" w:ascii="仿宋_GB2312" w:hAnsi="仿宋_GB2312" w:eastAsia="仿宋_GB2312" w:cs="仿宋_GB2312"/>
          <w:b/>
          <w:color w:val="auto"/>
          <w:sz w:val="32"/>
          <w:szCs w:val="32"/>
          <w:highlight w:val="none"/>
          <w:lang w:val="en-US" w:eastAsia="zh-CN"/>
        </w:rPr>
        <w:t>受托</w:t>
      </w:r>
      <w:r>
        <w:rPr>
          <w:rFonts w:hint="eastAsia" w:ascii="仿宋_GB2312" w:hAnsi="仿宋_GB2312" w:eastAsia="仿宋_GB2312" w:cs="仿宋_GB2312"/>
          <w:b/>
          <w:color w:val="auto"/>
          <w:sz w:val="32"/>
          <w:szCs w:val="32"/>
          <w:highlight w:val="none"/>
        </w:rPr>
        <w:t>人（乙方）：</w:t>
      </w:r>
      <w:bookmarkEnd w:id="31"/>
      <w:bookmarkEnd w:id="32"/>
    </w:p>
    <w:p w14:paraId="45329422">
      <w:pPr>
        <w:adjustRightInd w:val="0"/>
        <w:snapToGrid w:val="0"/>
        <w:spacing w:line="360" w:lineRule="auto"/>
        <w:jc w:val="center"/>
        <w:rPr>
          <w:rFonts w:ascii="宋体" w:hAnsi="宋体"/>
          <w:color w:val="auto"/>
          <w:sz w:val="32"/>
          <w:szCs w:val="32"/>
          <w:highlight w:val="none"/>
        </w:rPr>
      </w:pPr>
    </w:p>
    <w:p w14:paraId="5E024853">
      <w:pPr>
        <w:adjustRightInd w:val="0"/>
        <w:snapToGrid w:val="0"/>
        <w:spacing w:line="360" w:lineRule="auto"/>
        <w:rPr>
          <w:rFonts w:ascii="宋体" w:hAnsi="宋体"/>
          <w:color w:val="auto"/>
          <w:sz w:val="32"/>
          <w:szCs w:val="32"/>
          <w:highlight w:val="none"/>
        </w:rPr>
      </w:pPr>
    </w:p>
    <w:p w14:paraId="1744F552">
      <w:pPr>
        <w:ind w:firstLine="1928" w:firstLineChars="600"/>
        <w:rPr>
          <w:rFonts w:ascii="仿宋_GB2312" w:hAnsi="仿宋_GB2312" w:eastAsia="仿宋_GB2312" w:cs="仿宋_GB2312"/>
          <w:b/>
          <w:color w:val="auto"/>
          <w:sz w:val="32"/>
          <w:szCs w:val="32"/>
          <w:highlight w:val="none"/>
          <w:u w:val="single"/>
        </w:rPr>
      </w:pPr>
      <w:r>
        <w:rPr>
          <w:rFonts w:hint="eastAsia" w:ascii="仿宋_GB2312" w:hAnsi="仿宋_GB2312" w:eastAsia="仿宋_GB2312" w:cs="仿宋_GB2312"/>
          <w:b/>
          <w:color w:val="auto"/>
          <w:sz w:val="32"/>
          <w:szCs w:val="32"/>
          <w:highlight w:val="none"/>
          <w:u w:val="single"/>
        </w:rPr>
        <w:t>签订日期：     年    月    日</w:t>
      </w:r>
    </w:p>
    <w:p w14:paraId="09792484">
      <w:pPr>
        <w:pStyle w:val="8"/>
        <w:rPr>
          <w:color w:val="auto"/>
          <w:highlight w:val="none"/>
        </w:rPr>
      </w:pPr>
    </w:p>
    <w:p w14:paraId="016EE52B">
      <w:pPr>
        <w:pStyle w:val="8"/>
        <w:rPr>
          <w:color w:val="auto"/>
          <w:highlight w:val="none"/>
        </w:rPr>
      </w:pPr>
    </w:p>
    <w:p w14:paraId="69B7F77A">
      <w:pPr>
        <w:pStyle w:val="9"/>
        <w:ind w:firstLine="210"/>
        <w:rPr>
          <w:color w:val="auto"/>
          <w:highlight w:val="none"/>
        </w:rPr>
      </w:pPr>
    </w:p>
    <w:p w14:paraId="0079B113">
      <w:pPr>
        <w:pStyle w:val="9"/>
        <w:ind w:firstLine="210"/>
        <w:rPr>
          <w:color w:val="auto"/>
          <w:highlight w:val="none"/>
        </w:rPr>
      </w:pPr>
    </w:p>
    <w:p w14:paraId="7FC58018">
      <w:pPr>
        <w:pStyle w:val="8"/>
        <w:rPr>
          <w:color w:val="auto"/>
          <w:highlight w:val="none"/>
        </w:rPr>
      </w:pPr>
    </w:p>
    <w:p w14:paraId="396B7A35">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委托</w:t>
      </w:r>
      <w:r>
        <w:rPr>
          <w:rFonts w:hint="eastAsia" w:ascii="仿宋_GB2312" w:hAnsi="仿宋_GB2312" w:eastAsia="仿宋_GB2312" w:cs="仿宋_GB2312"/>
          <w:color w:val="auto"/>
          <w:szCs w:val="21"/>
          <w:highlight w:val="none"/>
        </w:rPr>
        <w:t>人（甲方）：</w:t>
      </w:r>
      <w:r>
        <w:rPr>
          <w:rFonts w:hint="eastAsia" w:ascii="仿宋_GB2312" w:hAnsi="仿宋_GB2312" w:eastAsia="仿宋_GB2312" w:cs="仿宋_GB2312"/>
          <w:color w:val="auto"/>
          <w:szCs w:val="21"/>
          <w:highlight w:val="none"/>
          <w:u w:val="single"/>
          <w:lang w:val="en-US" w:eastAsia="zh-CN"/>
        </w:rPr>
        <w:t>东莞市福地饮用水有限公司</w:t>
      </w:r>
    </w:p>
    <w:p w14:paraId="6CD757A7">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法人住所地：</w:t>
      </w:r>
      <w:r>
        <w:rPr>
          <w:rFonts w:hint="eastAsia" w:ascii="仿宋_GB2312" w:hAnsi="仿宋_GB2312" w:eastAsia="仿宋_GB2312" w:cs="仿宋_GB2312"/>
          <w:color w:val="auto"/>
          <w:szCs w:val="21"/>
          <w:highlight w:val="none"/>
          <w:u w:val="single"/>
        </w:rPr>
        <w:t>广东省东莞市南城街道宏图路39号20栋101室</w:t>
      </w:r>
    </w:p>
    <w:p w14:paraId="646DCAEA">
      <w:pPr>
        <w:adjustRightInd w:val="0"/>
        <w:snapToGrid w:val="0"/>
        <w:spacing w:line="360" w:lineRule="auto"/>
        <w:rPr>
          <w:rFonts w:hint="default"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法定代表人：</w:t>
      </w:r>
      <w:r>
        <w:rPr>
          <w:rFonts w:hint="eastAsia" w:ascii="仿宋_GB2312" w:hAnsi="仿宋_GB2312" w:eastAsia="仿宋_GB2312" w:cs="仿宋_GB2312"/>
          <w:color w:val="auto"/>
          <w:szCs w:val="21"/>
          <w:highlight w:val="none"/>
          <w:u w:val="single"/>
          <w:lang w:val="en-US" w:eastAsia="zh-CN"/>
        </w:rPr>
        <w:t>杨小兵</w:t>
      </w:r>
    </w:p>
    <w:p w14:paraId="06D56F30">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统一社会信用代码</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rPr>
        <w:t xml:space="preserve">914419007701960462 </w:t>
      </w:r>
      <w:r>
        <w:rPr>
          <w:rFonts w:hint="eastAsia" w:ascii="仿宋_GB2312" w:hAnsi="仿宋_GB2312" w:eastAsia="仿宋_GB2312" w:cs="仿宋_GB2312"/>
          <w:color w:val="auto"/>
          <w:szCs w:val="21"/>
          <w:highlight w:val="none"/>
        </w:rPr>
        <w:t xml:space="preserve"> </w:t>
      </w:r>
    </w:p>
    <w:p w14:paraId="6A7D4B2C">
      <w:pPr>
        <w:adjustRightInd w:val="0"/>
        <w:snapToGrid w:val="0"/>
        <w:spacing w:line="360" w:lineRule="auto"/>
        <w:rPr>
          <w:rFonts w:ascii="仿宋_GB2312" w:hAnsi="仿宋_GB2312" w:eastAsia="仿宋_GB2312" w:cs="仿宋_GB2312"/>
          <w:color w:val="auto"/>
          <w:szCs w:val="21"/>
          <w:highlight w:val="none"/>
        </w:rPr>
      </w:pPr>
    </w:p>
    <w:p w14:paraId="4758F1D0">
      <w:pPr>
        <w:adjustRightInd w:val="0"/>
        <w:snapToGrid w:val="0"/>
        <w:spacing w:line="360" w:lineRule="auto"/>
        <w:rPr>
          <w:rFonts w:hint="default" w:ascii="仿宋_GB2312" w:hAnsi="仿宋_GB2312" w:eastAsia="仿宋_GB2312" w:cs="仿宋_GB2312"/>
          <w:color w:val="auto"/>
          <w:szCs w:val="21"/>
          <w:highlight w:val="none"/>
          <w:u w:val="single"/>
          <w:lang w:val="en-US"/>
        </w:rPr>
      </w:pPr>
      <w:r>
        <w:rPr>
          <w:rFonts w:hint="eastAsia" w:ascii="仿宋_GB2312" w:hAnsi="仿宋_GB2312" w:eastAsia="仿宋_GB2312" w:cs="仿宋_GB2312"/>
          <w:color w:val="auto"/>
          <w:szCs w:val="21"/>
          <w:highlight w:val="none"/>
          <w:lang w:val="en-US" w:eastAsia="zh-CN"/>
        </w:rPr>
        <w:t>受托</w:t>
      </w:r>
      <w:r>
        <w:rPr>
          <w:rFonts w:hint="eastAsia" w:ascii="仿宋_GB2312" w:hAnsi="仿宋_GB2312" w:eastAsia="仿宋_GB2312" w:cs="仿宋_GB2312"/>
          <w:color w:val="auto"/>
          <w:szCs w:val="21"/>
          <w:highlight w:val="none"/>
        </w:rPr>
        <w:t>人（乙方）：</w:t>
      </w:r>
    </w:p>
    <w:p w14:paraId="4569C2AF">
      <w:pPr>
        <w:adjustRightInd w:val="0"/>
        <w:snapToGrid w:val="0"/>
        <w:spacing w:line="360" w:lineRule="auto"/>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法人住所地：</w:t>
      </w:r>
    </w:p>
    <w:p w14:paraId="157C697E">
      <w:pPr>
        <w:pStyle w:val="8"/>
        <w:rPr>
          <w:rFonts w:hint="default"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szCs w:val="21"/>
          <w:highlight w:val="none"/>
        </w:rPr>
        <w:t>法定代表人（或负责人）：</w:t>
      </w:r>
    </w:p>
    <w:p w14:paraId="5B0C0C56">
      <w:pPr>
        <w:adjustRightInd w:val="0"/>
        <w:snapToGrid w:val="0"/>
        <w:spacing w:line="360" w:lineRule="auto"/>
        <w:rPr>
          <w:rFonts w:hint="default" w:ascii="仿宋_GB2312" w:hAnsi="仿宋_GB2312" w:eastAsia="仿宋_GB2312" w:cs="仿宋_GB2312"/>
          <w:color w:val="auto"/>
          <w:szCs w:val="21"/>
          <w:highlight w:val="none"/>
          <w:lang w:val="en-US"/>
        </w:rPr>
      </w:pPr>
      <w:r>
        <w:rPr>
          <w:rFonts w:hint="eastAsia" w:ascii="仿宋_GB2312" w:hAnsi="仿宋_GB2312" w:eastAsia="仿宋_GB2312" w:cs="仿宋_GB2312"/>
          <w:color w:val="auto"/>
          <w:highlight w:val="none"/>
        </w:rPr>
        <w:t>统一社会信用代码</w:t>
      </w:r>
      <w:r>
        <w:rPr>
          <w:rFonts w:hint="eastAsia" w:ascii="仿宋_GB2312" w:hAnsi="仿宋_GB2312" w:eastAsia="仿宋_GB2312" w:cs="仿宋_GB2312"/>
          <w:color w:val="auto"/>
          <w:szCs w:val="21"/>
          <w:highlight w:val="none"/>
        </w:rPr>
        <w:t>：</w:t>
      </w:r>
    </w:p>
    <w:p w14:paraId="5B812008">
      <w:pPr>
        <w:widowControl/>
        <w:snapToGrid w:val="0"/>
        <w:spacing w:after="156" w:afterLines="50" w:line="360" w:lineRule="auto"/>
        <w:rPr>
          <w:color w:val="auto"/>
          <w:szCs w:val="21"/>
          <w:highlight w:val="none"/>
        </w:rPr>
      </w:pPr>
      <w:r>
        <w:rPr>
          <w:rFonts w:hint="eastAsia" w:ascii="仿宋_GB2312" w:hAnsi="仿宋_GB2312" w:eastAsia="仿宋_GB2312" w:cs="仿宋_GB2312"/>
          <w:b/>
          <w:bCs/>
          <w:color w:val="auto"/>
          <w:szCs w:val="21"/>
          <w:highlight w:val="none"/>
        </w:rPr>
        <w:t xml:space="preserve"> </w:t>
      </w:r>
    </w:p>
    <w:p w14:paraId="59786DE0">
      <w:pPr>
        <w:snapToGrid w:val="0"/>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根据《中华人民共和国民法典》及有关规定，</w:t>
      </w:r>
      <w:r>
        <w:rPr>
          <w:rFonts w:hint="eastAsia" w:ascii="仿宋_GB2312" w:hAnsi="仿宋_GB2312" w:eastAsia="仿宋_GB2312" w:cs="仿宋_GB2312"/>
          <w:color w:val="auto"/>
          <w:szCs w:val="21"/>
          <w:highlight w:val="none"/>
          <w:lang w:val="en-US" w:eastAsia="zh-CN"/>
        </w:rPr>
        <w:t>甲方</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乙方</w:t>
      </w:r>
      <w:r>
        <w:rPr>
          <w:rFonts w:hint="eastAsia" w:ascii="仿宋_GB2312" w:hAnsi="仿宋_GB2312" w:eastAsia="仿宋_GB2312" w:cs="仿宋_GB2312"/>
          <w:color w:val="auto"/>
          <w:szCs w:val="21"/>
          <w:highlight w:val="none"/>
        </w:rPr>
        <w:t>本着诚实守信、合作共赢的原则，结合本项目的具体情况，双方在自愿、平等、协商一致的基础上签订本合同。</w:t>
      </w:r>
    </w:p>
    <w:p w14:paraId="2B26E510">
      <w:pPr>
        <w:snapToGrid w:val="0"/>
        <w:spacing w:line="360" w:lineRule="auto"/>
        <w:ind w:firstLine="422" w:firstLineChars="200"/>
        <w:jc w:val="left"/>
        <w:rPr>
          <w:rFonts w:ascii="仿宋_GB2312" w:hAnsi="仿宋_GB2312" w:eastAsia="仿宋_GB2312" w:cs="仿宋_GB2312"/>
          <w:b/>
          <w:bCs/>
          <w:color w:val="auto"/>
          <w:szCs w:val="21"/>
          <w:highlight w:val="none"/>
          <w:shd w:val="clear" w:color="auto" w:fill="FFFFFF"/>
        </w:rPr>
      </w:pPr>
      <w:r>
        <w:rPr>
          <w:rFonts w:hint="eastAsia" w:ascii="仿宋_GB2312" w:hAnsi="仿宋_GB2312" w:eastAsia="仿宋_GB2312" w:cs="仿宋_GB2312"/>
          <w:b/>
          <w:bCs/>
          <w:color w:val="auto"/>
          <w:szCs w:val="21"/>
          <w:highlight w:val="none"/>
          <w:shd w:val="clear" w:color="auto" w:fill="FFFFFF"/>
        </w:rPr>
        <w:t>第</w:t>
      </w:r>
      <w:r>
        <w:rPr>
          <w:rFonts w:hint="eastAsia" w:ascii="仿宋_GB2312" w:hAnsi="仿宋_GB2312" w:eastAsia="仿宋_GB2312" w:cs="仿宋_GB2312"/>
          <w:b/>
          <w:bCs/>
          <w:color w:val="auto"/>
          <w:szCs w:val="21"/>
          <w:highlight w:val="none"/>
          <w:shd w:val="clear" w:color="auto" w:fill="FFFFFF"/>
          <w:lang w:val="en-US" w:eastAsia="zh-CN"/>
        </w:rPr>
        <w:t>一</w:t>
      </w:r>
      <w:r>
        <w:rPr>
          <w:rFonts w:hint="eastAsia" w:ascii="仿宋_GB2312" w:hAnsi="仿宋_GB2312" w:eastAsia="仿宋_GB2312" w:cs="仿宋_GB2312"/>
          <w:b/>
          <w:bCs/>
          <w:color w:val="auto"/>
          <w:szCs w:val="21"/>
          <w:highlight w:val="none"/>
          <w:shd w:val="clear" w:color="auto" w:fill="FFFFFF"/>
        </w:rPr>
        <w:t>条</w:t>
      </w:r>
      <w:r>
        <w:rPr>
          <w:rFonts w:hint="eastAsia" w:ascii="仿宋_GB2312" w:hAnsi="仿宋_GB2312" w:eastAsia="仿宋_GB2312" w:cs="仿宋_GB2312"/>
          <w:b/>
          <w:bCs/>
          <w:color w:val="auto"/>
          <w:szCs w:val="21"/>
          <w:highlight w:val="none"/>
          <w:shd w:val="clear" w:color="auto" w:fill="FFFFFF"/>
          <w:lang w:val="en-US" w:eastAsia="zh-CN"/>
        </w:rPr>
        <w:t xml:space="preserve"> </w:t>
      </w:r>
      <w:r>
        <w:rPr>
          <w:rFonts w:hint="eastAsia" w:ascii="仿宋_GB2312" w:hAnsi="仿宋_GB2312" w:eastAsia="仿宋_GB2312" w:cs="仿宋_GB2312"/>
          <w:b/>
          <w:bCs/>
          <w:color w:val="auto"/>
          <w:szCs w:val="21"/>
          <w:highlight w:val="none"/>
          <w:shd w:val="clear" w:color="auto" w:fill="FFFFFF"/>
        </w:rPr>
        <w:t>服务</w:t>
      </w:r>
      <w:r>
        <w:rPr>
          <w:rFonts w:hint="eastAsia" w:ascii="仿宋_GB2312" w:hAnsi="仿宋_GB2312" w:eastAsia="仿宋_GB2312" w:cs="仿宋_GB2312"/>
          <w:b/>
          <w:bCs/>
          <w:color w:val="auto"/>
          <w:szCs w:val="21"/>
          <w:highlight w:val="none"/>
          <w:shd w:val="clear" w:color="auto" w:fill="FFFFFF"/>
          <w:lang w:val="en-US" w:eastAsia="zh-CN"/>
        </w:rPr>
        <w:t>内容</w:t>
      </w:r>
    </w:p>
    <w:p w14:paraId="02AD5F5F">
      <w:pPr>
        <w:snapToGrid w:val="0"/>
        <w:spacing w:line="360" w:lineRule="auto"/>
        <w:ind w:firstLine="424" w:firstLineChars="202"/>
        <w:rPr>
          <w:rFonts w:hint="eastAsia" w:ascii="仿宋_GB2312" w:hAnsi="仿宋_GB2312" w:eastAsia="仿宋_GB2312" w:cs="仿宋_GB2312"/>
          <w:color w:val="auto"/>
          <w:szCs w:val="21"/>
          <w:highlight w:val="none"/>
          <w:shd w:val="clear" w:color="auto" w:fill="FFFFFF"/>
          <w:lang w:val="en-US" w:eastAsia="zh-CN"/>
        </w:rPr>
      </w:pPr>
      <w:r>
        <w:rPr>
          <w:rFonts w:hint="eastAsia" w:ascii="仿宋_GB2312" w:hAnsi="仿宋_GB2312" w:eastAsia="仿宋_GB2312" w:cs="仿宋_GB2312"/>
          <w:color w:val="auto"/>
          <w:szCs w:val="21"/>
          <w:highlight w:val="none"/>
          <w:shd w:val="clear" w:color="auto" w:fill="FFFFFF"/>
          <w:lang w:val="en-US" w:eastAsia="zh-CN"/>
        </w:rPr>
        <w:t>甲方委托乙方按照甲方的订单，从甲方指定的东莞市范围内的仓库中提货后，将包装水配送至甲方或甲方客户指定的存放点，完成包装水的交付工作。</w:t>
      </w:r>
    </w:p>
    <w:p w14:paraId="41E52868">
      <w:pPr>
        <w:snapToGrid w:val="0"/>
        <w:spacing w:line="360" w:lineRule="auto"/>
        <w:ind w:firstLine="426" w:firstLineChars="202"/>
        <w:rPr>
          <w:rFonts w:ascii="仿宋_GB2312" w:hAnsi="仿宋_GB2312" w:eastAsia="仿宋_GB2312" w:cs="仿宋_GB2312"/>
          <w:b/>
          <w:bCs/>
          <w:color w:val="auto"/>
          <w:szCs w:val="21"/>
          <w:highlight w:val="none"/>
          <w:shd w:val="clear" w:color="auto" w:fill="FFFFFF"/>
        </w:rPr>
      </w:pPr>
      <w:r>
        <w:rPr>
          <w:rFonts w:hint="eastAsia" w:ascii="仿宋_GB2312" w:hAnsi="仿宋_GB2312" w:eastAsia="仿宋_GB2312" w:cs="仿宋_GB2312"/>
          <w:b/>
          <w:bCs/>
          <w:color w:val="auto"/>
          <w:szCs w:val="21"/>
          <w:highlight w:val="none"/>
          <w:shd w:val="clear" w:color="auto" w:fill="FFFFFF"/>
        </w:rPr>
        <w:t>第二条</w:t>
      </w:r>
      <w:r>
        <w:rPr>
          <w:rFonts w:hint="eastAsia" w:ascii="仿宋_GB2312" w:hAnsi="仿宋_GB2312" w:eastAsia="仿宋_GB2312" w:cs="仿宋_GB2312"/>
          <w:b/>
          <w:bCs/>
          <w:color w:val="auto"/>
          <w:szCs w:val="21"/>
          <w:highlight w:val="none"/>
          <w:shd w:val="clear" w:color="auto" w:fill="FFFFFF"/>
          <w:lang w:val="en-US" w:eastAsia="zh-CN"/>
        </w:rPr>
        <w:t xml:space="preserve"> 配送产品</w:t>
      </w:r>
    </w:p>
    <w:p w14:paraId="4FD076A3">
      <w:pPr>
        <w:snapToGrid w:val="0"/>
        <w:spacing w:line="360" w:lineRule="auto"/>
        <w:ind w:firstLine="424" w:firstLineChars="202"/>
        <w:rPr>
          <w:rFonts w:hint="eastAsia" w:ascii="仿宋_GB2312" w:hAnsi="仿宋_GB2312" w:eastAsia="仿宋_GB2312" w:cs="仿宋_GB2312"/>
          <w:color w:val="auto"/>
          <w:szCs w:val="21"/>
          <w:highlight w:val="none"/>
          <w:shd w:val="clear" w:color="auto" w:fill="FFFFFF"/>
          <w:lang w:val="zh-CN" w:eastAsia="zh-CN"/>
        </w:rPr>
      </w:pPr>
      <w:r>
        <w:rPr>
          <w:rFonts w:hint="eastAsia" w:ascii="仿宋_GB2312" w:hAnsi="仿宋_GB2312" w:eastAsia="仿宋_GB2312" w:cs="仿宋_GB2312"/>
          <w:color w:val="auto"/>
          <w:szCs w:val="21"/>
          <w:highlight w:val="none"/>
          <w:shd w:val="clear" w:color="auto" w:fill="FFFFFF"/>
          <w:lang w:val="zh-CN"/>
        </w:rPr>
        <w:t>本合同涉及的配送产品为桶装</w:t>
      </w:r>
      <w:r>
        <w:rPr>
          <w:rFonts w:hint="eastAsia" w:ascii="仿宋_GB2312" w:hAnsi="仿宋_GB2312" w:eastAsia="仿宋_GB2312" w:cs="仿宋_GB2312"/>
          <w:color w:val="auto"/>
          <w:szCs w:val="21"/>
          <w:highlight w:val="none"/>
          <w:shd w:val="clear" w:color="auto" w:fill="FFFFFF"/>
          <w:lang w:val="en-US" w:eastAsia="zh-CN"/>
        </w:rPr>
        <w:t>和</w:t>
      </w:r>
      <w:r>
        <w:rPr>
          <w:rFonts w:hint="eastAsia" w:ascii="仿宋_GB2312" w:hAnsi="仿宋_GB2312" w:eastAsia="仿宋_GB2312" w:cs="仿宋_GB2312"/>
          <w:color w:val="auto"/>
          <w:szCs w:val="21"/>
          <w:highlight w:val="none"/>
          <w:shd w:val="clear" w:color="auto" w:fill="FFFFFF"/>
          <w:lang w:val="zh-CN"/>
        </w:rPr>
        <w:t>瓶装</w:t>
      </w:r>
      <w:r>
        <w:rPr>
          <w:rFonts w:hint="eastAsia" w:ascii="仿宋_GB2312" w:hAnsi="仿宋_GB2312" w:eastAsia="仿宋_GB2312" w:cs="仿宋_GB2312"/>
          <w:color w:val="auto"/>
          <w:szCs w:val="21"/>
          <w:highlight w:val="none"/>
          <w:shd w:val="clear" w:color="auto" w:fill="FFFFFF"/>
          <w:lang w:val="en-US" w:eastAsia="zh-CN"/>
        </w:rPr>
        <w:t>包装</w:t>
      </w:r>
      <w:r>
        <w:rPr>
          <w:rFonts w:hint="eastAsia" w:ascii="仿宋_GB2312" w:hAnsi="仿宋_GB2312" w:eastAsia="仿宋_GB2312" w:cs="仿宋_GB2312"/>
          <w:color w:val="auto"/>
          <w:szCs w:val="21"/>
          <w:highlight w:val="none"/>
          <w:shd w:val="clear" w:color="auto" w:fill="FFFFFF"/>
          <w:lang w:val="zh-CN"/>
        </w:rPr>
        <w:t>饮用水，</w:t>
      </w:r>
      <w:r>
        <w:rPr>
          <w:rFonts w:hint="eastAsia" w:ascii="仿宋_GB2312" w:hAnsi="仿宋_GB2312" w:eastAsia="仿宋_GB2312" w:cs="仿宋_GB2312"/>
          <w:color w:val="auto"/>
          <w:sz w:val="21"/>
          <w:szCs w:val="21"/>
          <w:highlight w:val="none"/>
          <w:shd w:val="clear" w:color="auto" w:fill="FFFFFF"/>
          <w:lang w:val="zh-CN" w:eastAsia="zh-CN"/>
        </w:rPr>
        <w:t>包括但不限于：</w:t>
      </w:r>
      <w:r>
        <w:rPr>
          <w:rFonts w:hint="eastAsia" w:ascii="仿宋_GB2312" w:hAnsi="仿宋_GB2312" w:eastAsia="仿宋_GB2312" w:cs="仿宋_GB2312"/>
          <w:color w:val="auto"/>
          <w:szCs w:val="21"/>
          <w:highlight w:val="none"/>
          <w:shd w:val="clear" w:color="auto" w:fill="FFFFFF"/>
          <w:lang w:val="zh-CN" w:eastAsia="zh-CN"/>
        </w:rPr>
        <w:t>桶装水产品：</w:t>
      </w:r>
      <w:r>
        <w:rPr>
          <w:rFonts w:hint="eastAsia" w:ascii="仿宋_GB2312" w:hAnsi="仿宋_GB2312" w:eastAsia="仿宋_GB2312" w:cs="仿宋_GB2312"/>
          <w:color w:val="auto"/>
          <w:szCs w:val="21"/>
          <w:highlight w:val="none"/>
          <w:shd w:val="clear" w:color="auto" w:fill="FFFFFF"/>
          <w:lang w:val="en-US" w:eastAsia="zh-CN"/>
        </w:rPr>
        <w:t>12.3L(约</w:t>
      </w:r>
      <w:r>
        <w:rPr>
          <w:rFonts w:hint="eastAsia" w:ascii="仿宋_GB2312" w:hAnsi="仿宋_GB2312" w:eastAsia="仿宋_GB2312" w:cs="仿宋_GB2312"/>
          <w:i w:val="0"/>
          <w:iCs w:val="0"/>
          <w:caps w:val="0"/>
          <w:color w:val="auto"/>
          <w:spacing w:val="0"/>
          <w:sz w:val="21"/>
          <w:szCs w:val="21"/>
          <w:highlight w:val="none"/>
          <w:shd w:val="clear" w:color="auto" w:fill="FFFFFF"/>
        </w:rPr>
        <w:t>12.30 </w:t>
      </w:r>
      <w:r>
        <w:rPr>
          <w:rFonts w:hint="eastAsia" w:ascii="仿宋_GB2312" w:hAnsi="仿宋_GB2312" w:eastAsia="仿宋_GB2312" w:cs="仿宋_GB2312"/>
          <w:color w:val="auto"/>
          <w:szCs w:val="21"/>
          <w:highlight w:val="none"/>
          <w:shd w:val="clear" w:color="auto" w:fill="FFFFFF"/>
          <w:lang w:val="en-US" w:eastAsia="zh-CN"/>
        </w:rPr>
        <w:t>kg/</w:t>
      </w:r>
      <w:r>
        <w:rPr>
          <w:rFonts w:hint="eastAsia" w:ascii="仿宋_GB2312" w:hAnsi="仿宋_GB2312" w:eastAsia="仿宋_GB2312" w:cs="仿宋_GB2312"/>
          <w:color w:val="auto"/>
          <w:szCs w:val="21"/>
          <w:highlight w:val="none"/>
          <w:shd w:val="clear" w:color="auto" w:fill="FFFFFF"/>
          <w:lang w:val="zh-CN" w:eastAsia="zh-CN"/>
        </w:rPr>
        <w:t>桶)</w:t>
      </w:r>
      <w:r>
        <w:rPr>
          <w:rFonts w:hint="eastAsia" w:ascii="仿宋_GB2312" w:hAnsi="仿宋_GB2312" w:eastAsia="仿宋_GB2312" w:cs="仿宋_GB2312"/>
          <w:color w:val="auto"/>
          <w:szCs w:val="21"/>
          <w:highlight w:val="none"/>
          <w:shd w:val="clear" w:color="auto" w:fill="FFFFFF"/>
          <w:lang w:val="en-US" w:eastAsia="zh-CN"/>
        </w:rPr>
        <w:t>、5.28L*3桶（约</w:t>
      </w:r>
      <w:r>
        <w:rPr>
          <w:rFonts w:hint="eastAsia" w:ascii="仿宋_GB2312" w:hAnsi="仿宋_GB2312" w:eastAsia="仿宋_GB2312" w:cs="仿宋_GB2312"/>
          <w:i w:val="0"/>
          <w:iCs w:val="0"/>
          <w:caps w:val="0"/>
          <w:color w:val="auto"/>
          <w:spacing w:val="0"/>
          <w:sz w:val="21"/>
          <w:szCs w:val="21"/>
          <w:highlight w:val="none"/>
          <w:shd w:val="clear" w:color="auto" w:fill="FFFFFF"/>
        </w:rPr>
        <w:t> 15.84</w:t>
      </w:r>
      <w:r>
        <w:rPr>
          <w:rFonts w:hint="eastAsia" w:ascii="仿宋_GB2312" w:hAnsi="仿宋_GB2312" w:eastAsia="仿宋_GB2312" w:cs="仿宋_GB2312"/>
          <w:color w:val="auto"/>
          <w:szCs w:val="21"/>
          <w:highlight w:val="none"/>
          <w:shd w:val="clear" w:color="auto" w:fill="FFFFFF"/>
          <w:lang w:val="en-US" w:eastAsia="zh-CN"/>
        </w:rPr>
        <w:t>kg/件）、5L*4桶（约</w:t>
      </w:r>
      <w:r>
        <w:rPr>
          <w:rFonts w:hint="eastAsia" w:ascii="仿宋_GB2312" w:hAnsi="仿宋_GB2312" w:eastAsia="仿宋_GB2312" w:cs="仿宋_GB2312"/>
          <w:i w:val="0"/>
          <w:iCs w:val="0"/>
          <w:caps w:val="0"/>
          <w:color w:val="auto"/>
          <w:spacing w:val="0"/>
          <w:sz w:val="21"/>
          <w:szCs w:val="21"/>
          <w:highlight w:val="none"/>
          <w:shd w:val="clear" w:color="auto" w:fill="FFFFFF"/>
        </w:rPr>
        <w:t> </w:t>
      </w:r>
      <w:r>
        <w:rPr>
          <w:rFonts w:hint="eastAsia" w:ascii="仿宋_GB2312" w:hAnsi="仿宋_GB2312" w:eastAsia="仿宋_GB2312" w:cs="仿宋_GB2312"/>
          <w:i w:val="0"/>
          <w:iCs w:val="0"/>
          <w:caps w:val="0"/>
          <w:color w:val="auto"/>
          <w:spacing w:val="0"/>
          <w:sz w:val="21"/>
          <w:szCs w:val="21"/>
          <w:highlight w:val="none"/>
          <w:shd w:val="clear" w:color="auto" w:fill="FFFFFF"/>
          <w:lang w:val="en-US" w:eastAsia="zh-CN"/>
        </w:rPr>
        <w:t>20</w:t>
      </w:r>
      <w:r>
        <w:rPr>
          <w:rFonts w:hint="eastAsia" w:ascii="仿宋_GB2312" w:hAnsi="仿宋_GB2312" w:eastAsia="仿宋_GB2312" w:cs="仿宋_GB2312"/>
          <w:color w:val="auto"/>
          <w:szCs w:val="21"/>
          <w:highlight w:val="none"/>
          <w:shd w:val="clear" w:color="auto" w:fill="FFFFFF"/>
          <w:lang w:val="en-US" w:eastAsia="zh-CN"/>
        </w:rPr>
        <w:t>kg/件）</w:t>
      </w:r>
      <w:r>
        <w:rPr>
          <w:rFonts w:hint="eastAsia" w:ascii="仿宋_GB2312" w:hAnsi="仿宋_GB2312" w:eastAsia="仿宋_GB2312" w:cs="仿宋_GB2312"/>
          <w:color w:val="auto"/>
          <w:szCs w:val="21"/>
          <w:highlight w:val="none"/>
          <w:shd w:val="clear" w:color="auto" w:fill="FFFFFF"/>
          <w:lang w:val="zh-CN" w:eastAsia="zh-CN"/>
        </w:rPr>
        <w:t>；支装水产品：</w:t>
      </w:r>
      <w:r>
        <w:rPr>
          <w:rFonts w:hint="eastAsia" w:ascii="仿宋_GB2312" w:hAnsi="仿宋_GB2312" w:eastAsia="仿宋_GB2312" w:cs="仿宋_GB2312"/>
          <w:color w:val="auto"/>
          <w:szCs w:val="21"/>
          <w:highlight w:val="none"/>
          <w:shd w:val="clear" w:color="auto" w:fill="FFFFFF"/>
          <w:lang w:val="en-US" w:eastAsia="zh-CN"/>
        </w:rPr>
        <w:t>360ml*24瓶（约8.64kg/件）、350ml*24瓶（约</w:t>
      </w:r>
      <w:r>
        <w:rPr>
          <w:rFonts w:hint="eastAsia" w:ascii="仿宋_GB2312" w:hAnsi="仿宋_GB2312" w:eastAsia="仿宋_GB2312" w:cs="仿宋_GB2312"/>
          <w:i w:val="0"/>
          <w:iCs w:val="0"/>
          <w:caps w:val="0"/>
          <w:color w:val="auto"/>
          <w:spacing w:val="0"/>
          <w:sz w:val="21"/>
          <w:szCs w:val="21"/>
          <w:highlight w:val="none"/>
          <w:shd w:val="clear" w:color="auto" w:fill="FFFFFF"/>
        </w:rPr>
        <w:t> 8.40</w:t>
      </w:r>
      <w:r>
        <w:rPr>
          <w:rFonts w:hint="eastAsia" w:ascii="仿宋_GB2312" w:hAnsi="仿宋_GB2312" w:eastAsia="仿宋_GB2312" w:cs="仿宋_GB2312"/>
          <w:color w:val="auto"/>
          <w:szCs w:val="21"/>
          <w:highlight w:val="none"/>
          <w:shd w:val="clear" w:color="auto" w:fill="FFFFFF"/>
          <w:lang w:val="en-US" w:eastAsia="zh-CN"/>
        </w:rPr>
        <w:t>kg/件）、390ml*24瓶（约9.36kg/件）、550ml*24瓶（约</w:t>
      </w:r>
      <w:r>
        <w:rPr>
          <w:rFonts w:hint="eastAsia" w:ascii="仿宋_GB2312" w:hAnsi="仿宋_GB2312" w:eastAsia="仿宋_GB2312" w:cs="仿宋_GB2312"/>
          <w:i w:val="0"/>
          <w:iCs w:val="0"/>
          <w:caps w:val="0"/>
          <w:color w:val="auto"/>
          <w:spacing w:val="0"/>
          <w:sz w:val="21"/>
          <w:szCs w:val="21"/>
          <w:highlight w:val="none"/>
          <w:shd w:val="clear" w:color="auto" w:fill="FFFFFF"/>
        </w:rPr>
        <w:t> </w:t>
      </w:r>
      <w:r>
        <w:rPr>
          <w:rFonts w:hint="eastAsia" w:ascii="仿宋_GB2312" w:hAnsi="仿宋_GB2312" w:eastAsia="仿宋_GB2312" w:cs="仿宋_GB2312"/>
          <w:i w:val="0"/>
          <w:iCs w:val="0"/>
          <w:caps w:val="0"/>
          <w:color w:val="auto"/>
          <w:spacing w:val="0"/>
          <w:sz w:val="21"/>
          <w:szCs w:val="21"/>
          <w:highlight w:val="none"/>
          <w:shd w:val="clear" w:color="auto" w:fill="FFFFFF"/>
          <w:lang w:val="en-US" w:eastAsia="zh-CN"/>
        </w:rPr>
        <w:t>13.2</w:t>
      </w:r>
      <w:r>
        <w:rPr>
          <w:rFonts w:hint="eastAsia" w:ascii="仿宋_GB2312" w:hAnsi="仿宋_GB2312" w:eastAsia="仿宋_GB2312" w:cs="仿宋_GB2312"/>
          <w:i w:val="0"/>
          <w:iCs w:val="0"/>
          <w:caps w:val="0"/>
          <w:color w:val="auto"/>
          <w:spacing w:val="0"/>
          <w:sz w:val="21"/>
          <w:szCs w:val="21"/>
          <w:highlight w:val="none"/>
          <w:shd w:val="clear" w:color="auto" w:fill="FFFFFF"/>
        </w:rPr>
        <w:t>0</w:t>
      </w:r>
      <w:r>
        <w:rPr>
          <w:rFonts w:hint="eastAsia" w:ascii="仿宋_GB2312" w:hAnsi="仿宋_GB2312" w:eastAsia="仿宋_GB2312" w:cs="仿宋_GB2312"/>
          <w:color w:val="auto"/>
          <w:szCs w:val="21"/>
          <w:highlight w:val="none"/>
          <w:shd w:val="clear" w:color="auto" w:fill="FFFFFF"/>
          <w:lang w:val="en-US" w:eastAsia="zh-CN"/>
        </w:rPr>
        <w:t>kg/件）</w:t>
      </w:r>
      <w:r>
        <w:rPr>
          <w:rFonts w:hint="eastAsia" w:ascii="仿宋_GB2312" w:hAnsi="仿宋_GB2312" w:eastAsia="仿宋_GB2312" w:cs="仿宋_GB2312"/>
          <w:color w:val="auto"/>
          <w:szCs w:val="21"/>
          <w:highlight w:val="none"/>
          <w:shd w:val="clear" w:color="auto" w:fill="FFFFFF"/>
          <w:lang w:val="zh-CN" w:eastAsia="zh-CN"/>
        </w:rPr>
        <w:t>。</w:t>
      </w:r>
    </w:p>
    <w:p w14:paraId="43457A0D">
      <w:pPr>
        <w:snapToGrid w:val="0"/>
        <w:spacing w:line="360" w:lineRule="auto"/>
        <w:ind w:firstLine="424" w:firstLineChars="202"/>
        <w:rPr>
          <w:rFonts w:hint="default"/>
          <w:highlight w:val="none"/>
          <w:lang w:val="en-US" w:eastAsia="zh-CN"/>
        </w:rPr>
      </w:pPr>
      <w:r>
        <w:rPr>
          <w:rFonts w:hint="eastAsia" w:ascii="仿宋_GB2312" w:hAnsi="仿宋_GB2312" w:eastAsia="仿宋_GB2312" w:cs="仿宋_GB2312"/>
          <w:color w:val="auto"/>
          <w:szCs w:val="21"/>
          <w:highlight w:val="none"/>
          <w:shd w:val="clear" w:color="auto" w:fill="FFFFFF"/>
          <w:lang w:val="en-US" w:eastAsia="zh-CN"/>
        </w:rPr>
        <w:t>本合同涉及的配送数量按实际服务需求以甲方每次下达的配送任务为准，在服务期内乙方同意不因为甲方实际要求配送数量的减少或增加而要求甲方提供任何形式的补偿或赔偿，或要求甲方按约定数量支付费用。</w:t>
      </w:r>
    </w:p>
    <w:p w14:paraId="697E974A">
      <w:pPr>
        <w:snapToGrid w:val="0"/>
        <w:spacing w:line="360" w:lineRule="auto"/>
        <w:ind w:firstLine="426" w:firstLineChars="202"/>
        <w:rPr>
          <w:rFonts w:ascii="仿宋_GB2312" w:hAnsi="仿宋_GB2312" w:eastAsia="仿宋_GB2312" w:cs="仿宋_GB2312"/>
          <w:b/>
          <w:bCs/>
          <w:color w:val="auto"/>
          <w:szCs w:val="21"/>
          <w:highlight w:val="none"/>
          <w:shd w:val="clear" w:color="auto" w:fill="FFFFFF"/>
        </w:rPr>
      </w:pPr>
      <w:r>
        <w:rPr>
          <w:rFonts w:hint="eastAsia" w:ascii="仿宋_GB2312" w:hAnsi="仿宋_GB2312" w:eastAsia="仿宋_GB2312" w:cs="仿宋_GB2312"/>
          <w:b/>
          <w:bCs/>
          <w:color w:val="auto"/>
          <w:szCs w:val="21"/>
          <w:highlight w:val="none"/>
          <w:shd w:val="clear" w:color="auto" w:fill="FFFFFF"/>
        </w:rPr>
        <w:t>第</w:t>
      </w:r>
      <w:r>
        <w:rPr>
          <w:rFonts w:hint="eastAsia" w:ascii="仿宋_GB2312" w:hAnsi="仿宋_GB2312" w:eastAsia="仿宋_GB2312" w:cs="仿宋_GB2312"/>
          <w:b/>
          <w:bCs/>
          <w:color w:val="auto"/>
          <w:szCs w:val="21"/>
          <w:highlight w:val="none"/>
          <w:shd w:val="clear" w:color="auto" w:fill="FFFFFF"/>
          <w:lang w:val="en-US" w:eastAsia="zh-CN"/>
        </w:rPr>
        <w:t>三</w:t>
      </w:r>
      <w:r>
        <w:rPr>
          <w:rFonts w:hint="eastAsia" w:ascii="仿宋_GB2312" w:hAnsi="仿宋_GB2312" w:eastAsia="仿宋_GB2312" w:cs="仿宋_GB2312"/>
          <w:b/>
          <w:bCs/>
          <w:color w:val="auto"/>
          <w:szCs w:val="21"/>
          <w:highlight w:val="none"/>
          <w:shd w:val="clear" w:color="auto" w:fill="FFFFFF"/>
        </w:rPr>
        <w:t>条</w:t>
      </w:r>
      <w:r>
        <w:rPr>
          <w:rFonts w:hint="eastAsia" w:ascii="仿宋_GB2312" w:hAnsi="仿宋_GB2312" w:eastAsia="仿宋_GB2312" w:cs="仿宋_GB2312"/>
          <w:b/>
          <w:bCs/>
          <w:color w:val="auto"/>
          <w:szCs w:val="21"/>
          <w:highlight w:val="none"/>
          <w:shd w:val="clear" w:color="auto" w:fill="FFFFFF"/>
          <w:lang w:val="en-US" w:eastAsia="zh-CN"/>
        </w:rPr>
        <w:t xml:space="preserve"> </w:t>
      </w:r>
      <w:r>
        <w:rPr>
          <w:rFonts w:hint="eastAsia" w:ascii="仿宋_GB2312" w:hAnsi="仿宋_GB2312" w:eastAsia="仿宋_GB2312" w:cs="仿宋_GB2312"/>
          <w:b/>
          <w:bCs/>
          <w:color w:val="auto"/>
          <w:szCs w:val="21"/>
          <w:highlight w:val="none"/>
          <w:shd w:val="clear" w:color="auto" w:fill="FFFFFF"/>
        </w:rPr>
        <w:t>服务</w:t>
      </w:r>
      <w:r>
        <w:rPr>
          <w:rFonts w:hint="eastAsia" w:ascii="仿宋_GB2312" w:hAnsi="仿宋_GB2312" w:eastAsia="仿宋_GB2312" w:cs="仿宋_GB2312"/>
          <w:b/>
          <w:bCs/>
          <w:color w:val="auto"/>
          <w:szCs w:val="21"/>
          <w:highlight w:val="none"/>
          <w:shd w:val="clear" w:color="auto" w:fill="FFFFFF"/>
          <w:lang w:val="en-US" w:eastAsia="zh-CN"/>
        </w:rPr>
        <w:t>期限</w:t>
      </w:r>
    </w:p>
    <w:p w14:paraId="021148C0">
      <w:pPr>
        <w:snapToGrid w:val="0"/>
        <w:spacing w:line="360" w:lineRule="auto"/>
        <w:ind w:firstLine="424" w:firstLineChars="202"/>
        <w:rPr>
          <w:rFonts w:hint="eastAsia"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lang w:val="en-US" w:eastAsia="zh-CN"/>
        </w:rPr>
        <w:t>服务期限自合同签订之日起6个月，前述期限届满或包装水物流配送服务费（含税）累计达到360,000.00元时止，终止日期以前述两种情况中先达到的期限为准</w:t>
      </w:r>
      <w:r>
        <w:rPr>
          <w:rFonts w:hint="eastAsia" w:ascii="仿宋_GB2312" w:hAnsi="仿宋_GB2312" w:eastAsia="仿宋_GB2312" w:cs="仿宋_GB2312"/>
          <w:color w:val="auto"/>
          <w:szCs w:val="21"/>
          <w:highlight w:val="none"/>
          <w:shd w:val="clear" w:color="auto" w:fill="FFFFFF"/>
        </w:rPr>
        <w:t>。</w:t>
      </w:r>
    </w:p>
    <w:p w14:paraId="74F95BFC">
      <w:pPr>
        <w:snapToGrid w:val="0"/>
        <w:spacing w:line="360" w:lineRule="auto"/>
        <w:ind w:firstLine="422" w:firstLineChars="200"/>
        <w:rPr>
          <w:rFonts w:ascii="仿宋_GB2312" w:hAnsi="仿宋_GB2312" w:eastAsia="仿宋_GB2312" w:cs="仿宋_GB2312"/>
          <w:b/>
          <w:color w:val="auto"/>
          <w:szCs w:val="21"/>
          <w:highlight w:val="none"/>
        </w:rPr>
      </w:pPr>
      <w:r>
        <w:rPr>
          <w:rFonts w:hint="eastAsia" w:ascii="仿宋_GB2312" w:hAnsi="仿宋_GB2312" w:eastAsia="仿宋_GB2312" w:cs="仿宋_GB2312"/>
          <w:b/>
          <w:bCs/>
          <w:color w:val="auto"/>
          <w:szCs w:val="21"/>
          <w:highlight w:val="none"/>
          <w:shd w:val="clear" w:color="auto" w:fill="FFFFFF"/>
        </w:rPr>
        <w:t>第</w:t>
      </w:r>
      <w:r>
        <w:rPr>
          <w:rFonts w:hint="eastAsia" w:ascii="仿宋_GB2312" w:hAnsi="仿宋_GB2312" w:eastAsia="仿宋_GB2312" w:cs="仿宋_GB2312"/>
          <w:b/>
          <w:bCs/>
          <w:color w:val="auto"/>
          <w:szCs w:val="21"/>
          <w:highlight w:val="none"/>
          <w:shd w:val="clear" w:color="auto" w:fill="FFFFFF"/>
          <w:lang w:val="en-US" w:eastAsia="zh-CN"/>
        </w:rPr>
        <w:t>四</w:t>
      </w:r>
      <w:r>
        <w:rPr>
          <w:rFonts w:hint="eastAsia" w:ascii="仿宋_GB2312" w:hAnsi="仿宋_GB2312" w:eastAsia="仿宋_GB2312" w:cs="仿宋_GB2312"/>
          <w:b/>
          <w:bCs/>
          <w:color w:val="auto"/>
          <w:szCs w:val="21"/>
          <w:highlight w:val="none"/>
          <w:shd w:val="clear" w:color="auto" w:fill="FFFFFF"/>
        </w:rPr>
        <w:t xml:space="preserve">条 </w:t>
      </w:r>
      <w:r>
        <w:rPr>
          <w:rFonts w:hint="eastAsia" w:ascii="仿宋_GB2312" w:hAnsi="仿宋_GB2312" w:eastAsia="仿宋_GB2312" w:cs="仿宋_GB2312"/>
          <w:b/>
          <w:color w:val="auto"/>
          <w:szCs w:val="21"/>
          <w:highlight w:val="none"/>
        </w:rPr>
        <w:t>合同价款及支付方式</w:t>
      </w:r>
    </w:p>
    <w:p w14:paraId="03A88AD5">
      <w:pPr>
        <w:widowControl/>
        <w:snapToGrid/>
        <w:spacing w:line="240" w:lineRule="auto"/>
        <w:ind w:firstLine="420" w:firstLineChars="200"/>
        <w:jc w:val="left"/>
        <w:rPr>
          <w:rFonts w:hint="eastAsia" w:ascii="仿宋_GB2312" w:hAnsi="仿宋_GB2312" w:eastAsia="仿宋_GB2312" w:cs="仿宋_GB2312"/>
          <w:color w:val="auto"/>
          <w:szCs w:val="21"/>
          <w:highlight w:val="none"/>
          <w:shd w:val="clear" w:color="auto" w:fill="FFFFFF"/>
          <w:lang w:val="en-US" w:eastAsia="zh-CN"/>
        </w:rPr>
      </w:pPr>
      <w:r>
        <w:rPr>
          <w:rFonts w:hint="eastAsia" w:ascii="仿宋_GB2312" w:hAnsi="仿宋_GB2312" w:eastAsia="仿宋_GB2312" w:cs="仿宋_GB2312"/>
          <w:color w:val="auto"/>
          <w:szCs w:val="21"/>
          <w:highlight w:val="none"/>
          <w:shd w:val="clear" w:color="auto" w:fill="FFFFFF"/>
          <w:lang w:val="en-US" w:eastAsia="zh-CN"/>
        </w:rPr>
        <w:t>1.配送预算单价（不含税）为</w:t>
      </w:r>
      <w:r>
        <w:rPr>
          <w:rFonts w:hint="eastAsia" w:ascii="仿宋_GB2312" w:hAnsi="仿宋_GB2312" w:eastAsia="仿宋_GB2312" w:cs="仿宋_GB2312"/>
          <w:color w:val="auto"/>
          <w:kern w:val="2"/>
          <w:sz w:val="21"/>
          <w:szCs w:val="21"/>
          <w:highlight w:val="none"/>
          <w:shd w:val="clear" w:color="auto" w:fill="FFFFFF"/>
          <w:lang w:val="en-US" w:eastAsia="zh-CN" w:bidi="ar"/>
        </w:rPr>
        <w:t>4.95</w:t>
      </w:r>
      <w:r>
        <w:rPr>
          <w:rFonts w:hint="eastAsia" w:ascii="仿宋_GB2312" w:hAnsi="仿宋_GB2312" w:eastAsia="仿宋_GB2312" w:cs="仿宋_GB2312"/>
          <w:color w:val="auto"/>
          <w:szCs w:val="21"/>
          <w:highlight w:val="none"/>
          <w:u w:val="none"/>
          <w:shd w:val="clear" w:color="auto" w:fill="FFFFFF"/>
          <w:lang w:val="en-US" w:eastAsia="zh-CN"/>
        </w:rPr>
        <w:t>元/件（大写肆元玖角伍分）。</w:t>
      </w:r>
      <w:r>
        <w:rPr>
          <w:rFonts w:hint="eastAsia" w:ascii="仿宋_GB2312" w:hAnsi="仿宋_GB2312" w:eastAsia="仿宋_GB2312" w:cs="仿宋_GB2312"/>
          <w:color w:val="auto"/>
          <w:szCs w:val="21"/>
          <w:highlight w:val="none"/>
          <w:shd w:val="clear" w:color="auto" w:fill="FFFFFF"/>
          <w:lang w:val="en-US" w:eastAsia="zh-CN"/>
        </w:rPr>
        <w:t>成交折扣率为：（1）20-49件</w:t>
      </w:r>
      <w:bookmarkStart w:id="33" w:name="OLE_LINK2"/>
      <w:r>
        <w:rPr>
          <w:rFonts w:hint="eastAsia" w:ascii="仿宋_GB2312" w:hAnsi="仿宋_GB2312" w:eastAsia="仿宋_GB2312" w:cs="仿宋_GB2312"/>
          <w:color w:val="auto"/>
          <w:szCs w:val="21"/>
          <w:highlight w:val="none"/>
          <w:u w:val="single"/>
          <w:shd w:val="clear" w:color="auto" w:fill="FFFFFF"/>
          <w:lang w:val="en-US" w:eastAsia="zh-CN"/>
        </w:rPr>
        <w:t xml:space="preserve">       %</w:t>
      </w:r>
      <w:r>
        <w:rPr>
          <w:rFonts w:hint="eastAsia" w:ascii="仿宋_GB2312" w:hAnsi="仿宋_GB2312" w:eastAsia="仿宋_GB2312" w:cs="仿宋_GB2312"/>
          <w:color w:val="auto"/>
          <w:szCs w:val="21"/>
          <w:highlight w:val="none"/>
          <w:u w:val="none"/>
          <w:shd w:val="clear" w:color="auto" w:fill="FFFFFF"/>
          <w:lang w:val="en-US" w:eastAsia="zh-CN"/>
        </w:rPr>
        <w:t>（大写百分之</w:t>
      </w:r>
      <w:r>
        <w:rPr>
          <w:rFonts w:hint="default" w:ascii="仿宋_GB2312" w:hAnsi="仿宋_GB2312" w:eastAsia="仿宋_GB2312" w:cs="仿宋_GB2312"/>
          <w:color w:val="auto"/>
          <w:szCs w:val="21"/>
          <w:highlight w:val="none"/>
          <w:u w:val="single"/>
          <w:shd w:val="clear" w:color="auto" w:fill="FFFFFF"/>
          <w:lang w:val="en-US" w:eastAsia="zh-CN"/>
        </w:rPr>
        <w:t xml:space="preserve">      </w:t>
      </w:r>
      <w:r>
        <w:rPr>
          <w:rFonts w:hint="eastAsia" w:ascii="仿宋_GB2312" w:hAnsi="仿宋_GB2312" w:eastAsia="仿宋_GB2312" w:cs="仿宋_GB2312"/>
          <w:color w:val="auto"/>
          <w:szCs w:val="21"/>
          <w:highlight w:val="none"/>
          <w:u w:val="none"/>
          <w:shd w:val="clear" w:color="auto" w:fill="FFFFFF"/>
          <w:lang w:val="en-US" w:eastAsia="zh-CN"/>
        </w:rPr>
        <w:t>）</w:t>
      </w:r>
      <w:bookmarkEnd w:id="33"/>
      <w:r>
        <w:rPr>
          <w:rFonts w:hint="eastAsia" w:ascii="仿宋_GB2312" w:hAnsi="仿宋_GB2312" w:eastAsia="仿宋_GB2312" w:cs="仿宋_GB2312"/>
          <w:color w:val="auto"/>
          <w:szCs w:val="21"/>
          <w:highlight w:val="none"/>
          <w:u w:val="none"/>
          <w:shd w:val="clear" w:color="auto" w:fill="FFFFFF"/>
          <w:lang w:val="en-US" w:eastAsia="zh-CN"/>
        </w:rPr>
        <w:t>；（2）50-199件</w:t>
      </w:r>
      <w:r>
        <w:rPr>
          <w:rFonts w:hint="eastAsia" w:ascii="仿宋_GB2312" w:hAnsi="仿宋_GB2312" w:eastAsia="仿宋_GB2312" w:cs="仿宋_GB2312"/>
          <w:color w:val="auto"/>
          <w:szCs w:val="21"/>
          <w:highlight w:val="none"/>
          <w:u w:val="single"/>
          <w:shd w:val="clear" w:color="auto" w:fill="FFFFFF"/>
          <w:lang w:val="en-US" w:eastAsia="zh-CN"/>
        </w:rPr>
        <w:t xml:space="preserve">       %</w:t>
      </w:r>
      <w:r>
        <w:rPr>
          <w:rFonts w:hint="eastAsia" w:ascii="仿宋_GB2312" w:hAnsi="仿宋_GB2312" w:eastAsia="仿宋_GB2312" w:cs="仿宋_GB2312"/>
          <w:color w:val="auto"/>
          <w:szCs w:val="21"/>
          <w:highlight w:val="none"/>
          <w:u w:val="none"/>
          <w:shd w:val="clear" w:color="auto" w:fill="FFFFFF"/>
          <w:lang w:val="en-US" w:eastAsia="zh-CN"/>
        </w:rPr>
        <w:t>（大写百分之</w:t>
      </w:r>
      <w:r>
        <w:rPr>
          <w:rFonts w:hint="default" w:ascii="仿宋_GB2312" w:hAnsi="仿宋_GB2312" w:eastAsia="仿宋_GB2312" w:cs="仿宋_GB2312"/>
          <w:color w:val="auto"/>
          <w:szCs w:val="21"/>
          <w:highlight w:val="none"/>
          <w:u w:val="single"/>
          <w:shd w:val="clear" w:color="auto" w:fill="FFFFFF"/>
          <w:lang w:val="en-US" w:eastAsia="zh-CN"/>
        </w:rPr>
        <w:t xml:space="preserve">      </w:t>
      </w:r>
      <w:r>
        <w:rPr>
          <w:rFonts w:hint="eastAsia" w:ascii="仿宋_GB2312" w:hAnsi="仿宋_GB2312" w:eastAsia="仿宋_GB2312" w:cs="仿宋_GB2312"/>
          <w:color w:val="auto"/>
          <w:szCs w:val="21"/>
          <w:highlight w:val="none"/>
          <w:u w:val="none"/>
          <w:shd w:val="clear" w:color="auto" w:fill="FFFFFF"/>
          <w:lang w:val="en-US" w:eastAsia="zh-CN"/>
        </w:rPr>
        <w:t>）；（3）200-599件</w:t>
      </w:r>
      <w:r>
        <w:rPr>
          <w:rFonts w:hint="eastAsia" w:ascii="仿宋_GB2312" w:hAnsi="仿宋_GB2312" w:eastAsia="仿宋_GB2312" w:cs="仿宋_GB2312"/>
          <w:color w:val="auto"/>
          <w:szCs w:val="21"/>
          <w:highlight w:val="none"/>
          <w:u w:val="single"/>
          <w:shd w:val="clear" w:color="auto" w:fill="FFFFFF"/>
          <w:lang w:val="en-US" w:eastAsia="zh-CN"/>
        </w:rPr>
        <w:t xml:space="preserve">       %</w:t>
      </w:r>
      <w:r>
        <w:rPr>
          <w:rFonts w:hint="eastAsia" w:ascii="仿宋_GB2312" w:hAnsi="仿宋_GB2312" w:eastAsia="仿宋_GB2312" w:cs="仿宋_GB2312"/>
          <w:color w:val="auto"/>
          <w:szCs w:val="21"/>
          <w:highlight w:val="none"/>
          <w:u w:val="none"/>
          <w:shd w:val="clear" w:color="auto" w:fill="FFFFFF"/>
          <w:lang w:val="en-US" w:eastAsia="zh-CN"/>
        </w:rPr>
        <w:t>（大写百分之</w:t>
      </w:r>
      <w:r>
        <w:rPr>
          <w:rFonts w:hint="default" w:ascii="仿宋_GB2312" w:hAnsi="仿宋_GB2312" w:eastAsia="仿宋_GB2312" w:cs="仿宋_GB2312"/>
          <w:color w:val="auto"/>
          <w:szCs w:val="21"/>
          <w:highlight w:val="none"/>
          <w:u w:val="single"/>
          <w:shd w:val="clear" w:color="auto" w:fill="FFFFFF"/>
          <w:lang w:val="en-US" w:eastAsia="zh-CN"/>
        </w:rPr>
        <w:t xml:space="preserve">      </w:t>
      </w:r>
      <w:r>
        <w:rPr>
          <w:rFonts w:hint="eastAsia" w:ascii="仿宋_GB2312" w:hAnsi="仿宋_GB2312" w:eastAsia="仿宋_GB2312" w:cs="仿宋_GB2312"/>
          <w:color w:val="auto"/>
          <w:szCs w:val="21"/>
          <w:highlight w:val="none"/>
          <w:u w:val="none"/>
          <w:shd w:val="clear" w:color="auto" w:fill="FFFFFF"/>
          <w:lang w:val="en-US" w:eastAsia="zh-CN"/>
        </w:rPr>
        <w:t>）；（4）600-999件</w:t>
      </w:r>
      <w:r>
        <w:rPr>
          <w:rFonts w:hint="eastAsia" w:ascii="仿宋_GB2312" w:hAnsi="仿宋_GB2312" w:eastAsia="仿宋_GB2312" w:cs="仿宋_GB2312"/>
          <w:color w:val="auto"/>
          <w:szCs w:val="21"/>
          <w:highlight w:val="none"/>
          <w:u w:val="single"/>
          <w:shd w:val="clear" w:color="auto" w:fill="FFFFFF"/>
          <w:lang w:val="en-US" w:eastAsia="zh-CN"/>
        </w:rPr>
        <w:t xml:space="preserve">       %</w:t>
      </w:r>
      <w:r>
        <w:rPr>
          <w:rFonts w:hint="eastAsia" w:ascii="仿宋_GB2312" w:hAnsi="仿宋_GB2312" w:eastAsia="仿宋_GB2312" w:cs="仿宋_GB2312"/>
          <w:color w:val="auto"/>
          <w:szCs w:val="21"/>
          <w:highlight w:val="none"/>
          <w:u w:val="none"/>
          <w:shd w:val="clear" w:color="auto" w:fill="FFFFFF"/>
          <w:lang w:val="en-US" w:eastAsia="zh-CN"/>
        </w:rPr>
        <w:t>（大写百分之</w:t>
      </w:r>
      <w:r>
        <w:rPr>
          <w:rFonts w:hint="default" w:ascii="仿宋_GB2312" w:hAnsi="仿宋_GB2312" w:eastAsia="仿宋_GB2312" w:cs="仿宋_GB2312"/>
          <w:color w:val="auto"/>
          <w:szCs w:val="21"/>
          <w:highlight w:val="none"/>
          <w:u w:val="single"/>
          <w:shd w:val="clear" w:color="auto" w:fill="FFFFFF"/>
          <w:lang w:val="en-US" w:eastAsia="zh-CN"/>
        </w:rPr>
        <w:t xml:space="preserve">      </w:t>
      </w:r>
      <w:r>
        <w:rPr>
          <w:rFonts w:hint="eastAsia" w:ascii="仿宋_GB2312" w:hAnsi="仿宋_GB2312" w:eastAsia="仿宋_GB2312" w:cs="仿宋_GB2312"/>
          <w:color w:val="auto"/>
          <w:szCs w:val="21"/>
          <w:highlight w:val="none"/>
          <w:u w:val="none"/>
          <w:shd w:val="clear" w:color="auto" w:fill="FFFFFF"/>
          <w:lang w:val="en-US" w:eastAsia="zh-CN"/>
        </w:rPr>
        <w:t>）；（5）1000件及以上</w:t>
      </w:r>
      <w:r>
        <w:rPr>
          <w:rFonts w:hint="eastAsia" w:ascii="仿宋_GB2312" w:hAnsi="仿宋_GB2312" w:eastAsia="仿宋_GB2312" w:cs="仿宋_GB2312"/>
          <w:color w:val="auto"/>
          <w:szCs w:val="21"/>
          <w:highlight w:val="none"/>
          <w:u w:val="single"/>
          <w:shd w:val="clear" w:color="auto" w:fill="FFFFFF"/>
          <w:lang w:val="en-US" w:eastAsia="zh-CN"/>
        </w:rPr>
        <w:t xml:space="preserve">       %</w:t>
      </w:r>
      <w:r>
        <w:rPr>
          <w:rFonts w:hint="eastAsia" w:ascii="仿宋_GB2312" w:hAnsi="仿宋_GB2312" w:eastAsia="仿宋_GB2312" w:cs="仿宋_GB2312"/>
          <w:color w:val="auto"/>
          <w:szCs w:val="21"/>
          <w:highlight w:val="none"/>
          <w:u w:val="none"/>
          <w:shd w:val="clear" w:color="auto" w:fill="FFFFFF"/>
          <w:lang w:val="en-US" w:eastAsia="zh-CN"/>
        </w:rPr>
        <w:t>（大写百分之</w:t>
      </w:r>
      <w:r>
        <w:rPr>
          <w:rFonts w:hint="default" w:ascii="仿宋_GB2312" w:hAnsi="仿宋_GB2312" w:eastAsia="仿宋_GB2312" w:cs="仿宋_GB2312"/>
          <w:color w:val="auto"/>
          <w:szCs w:val="21"/>
          <w:highlight w:val="none"/>
          <w:u w:val="single"/>
          <w:shd w:val="clear" w:color="auto" w:fill="FFFFFF"/>
          <w:lang w:val="en-US" w:eastAsia="zh-CN"/>
        </w:rPr>
        <w:t xml:space="preserve">      </w:t>
      </w:r>
      <w:r>
        <w:rPr>
          <w:rFonts w:hint="eastAsia" w:ascii="仿宋_GB2312" w:hAnsi="仿宋_GB2312" w:eastAsia="仿宋_GB2312" w:cs="仿宋_GB2312"/>
          <w:color w:val="auto"/>
          <w:szCs w:val="21"/>
          <w:highlight w:val="none"/>
          <w:u w:val="none"/>
          <w:shd w:val="clear" w:color="auto" w:fill="FFFFFF"/>
          <w:lang w:val="en-US" w:eastAsia="zh-CN"/>
        </w:rPr>
        <w:t>）。</w:t>
      </w:r>
      <w:r>
        <w:rPr>
          <w:rFonts w:hint="eastAsia" w:ascii="仿宋_GB2312" w:hAnsi="仿宋_GB2312" w:eastAsia="仿宋_GB2312" w:cs="仿宋_GB2312"/>
          <w:color w:val="auto"/>
          <w:szCs w:val="21"/>
          <w:highlight w:val="none"/>
          <w:shd w:val="clear" w:color="auto" w:fill="FFFFFF"/>
          <w:lang w:val="en-US" w:eastAsia="zh-CN"/>
        </w:rPr>
        <w:t>合同履约过程中，成交折扣率固定不变，不随法律法规政策、最低工资标准上调、劳务成本、运输成本等的变动或其他任何原因而做调整。物流配送服务范围中的客户不含税配送单价采用以下方式计算：不含税配送单价=配送预算单价（不含税）×成交折扣率。</w:t>
      </w:r>
    </w:p>
    <w:p w14:paraId="43F998DD">
      <w:pPr>
        <w:pStyle w:val="2"/>
        <w:rPr>
          <w:rFonts w:hint="eastAsia"/>
          <w:highlight w:val="none"/>
          <w:lang w:val="en-US" w:eastAsia="zh-CN"/>
        </w:rPr>
      </w:pPr>
    </w:p>
    <w:p w14:paraId="6BE7DF65">
      <w:pPr>
        <w:widowControl/>
        <w:spacing w:line="240" w:lineRule="auto"/>
        <w:ind w:firstLine="420" w:firstLineChars="200"/>
        <w:jc w:val="left"/>
        <w:rPr>
          <w:rFonts w:hint="eastAsia" w:ascii="仿宋_GB2312" w:hAnsi="仿宋_GB2312" w:eastAsia="仿宋_GB2312" w:cs="仿宋_GB2312"/>
          <w:color w:val="auto"/>
          <w:sz w:val="21"/>
          <w:szCs w:val="21"/>
          <w:highlight w:val="none"/>
          <w:shd w:val="clear" w:color="auto" w:fill="FFFFFF"/>
          <w:lang w:val="en-US" w:eastAsia="zh-CN"/>
        </w:rPr>
      </w:pPr>
      <w:r>
        <w:rPr>
          <w:rFonts w:hint="eastAsia" w:ascii="仿宋_GB2312" w:hAnsi="仿宋_GB2312" w:eastAsia="仿宋_GB2312" w:cs="仿宋_GB2312"/>
          <w:color w:val="auto"/>
          <w:sz w:val="21"/>
          <w:szCs w:val="21"/>
          <w:highlight w:val="none"/>
          <w:shd w:val="clear" w:color="auto" w:fill="FFFFFF"/>
          <w:lang w:val="en-US" w:eastAsia="zh-CN"/>
        </w:rPr>
        <w:t>2.本合同项下的物流配送服务费采用阶梯式报价，报价应为门到门全包价，包含乙方为完成本合同项下全部义务所发生的一切费用。</w:t>
      </w:r>
    </w:p>
    <w:tbl>
      <w:tblPr>
        <w:tblStyle w:val="20"/>
        <w:tblW w:w="719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99"/>
        <w:gridCol w:w="2518"/>
        <w:gridCol w:w="2282"/>
      </w:tblGrid>
      <w:tr w14:paraId="5242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2399" w:type="dxa"/>
            <w:shd w:val="clear" w:color="auto" w:fill="auto"/>
            <w:vAlign w:val="center"/>
          </w:tcPr>
          <w:p w14:paraId="6D2E056D">
            <w:pPr>
              <w:keepNext w:val="0"/>
              <w:keepLines w:val="0"/>
              <w:widowControl/>
              <w:suppressLineNumbers w:val="0"/>
              <w:spacing w:line="240" w:lineRule="auto"/>
              <w:ind w:firstLine="0" w:firstLineChars="0"/>
              <w:jc w:val="left"/>
              <w:textAlignment w:val="auto"/>
              <w:rPr>
                <w:rFonts w:hint="eastAsia" w:ascii="仿宋_GB2312" w:hAnsi="仿宋_GB2312" w:eastAsia="仿宋_GB2312" w:cs="仿宋_GB2312"/>
                <w:i w:val="0"/>
                <w:iCs w:val="0"/>
                <w:color w:val="auto"/>
                <w:sz w:val="21"/>
                <w:szCs w:val="21"/>
                <w:highlight w:val="none"/>
                <w:u w:val="none"/>
                <w:shd w:val="clear" w:color="auto" w:fill="FFFFFF"/>
              </w:rPr>
            </w:pPr>
            <w:bookmarkStart w:id="34" w:name="OLE_LINK3"/>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w:t>
            </w:r>
            <w:r>
              <w:rPr>
                <w:rStyle w:val="22"/>
                <w:rFonts w:hint="eastAsia" w:ascii="仿宋_GB2312" w:hAnsi="仿宋_GB2312" w:eastAsia="仿宋_GB2312" w:cs="仿宋_GB2312"/>
                <w:color w:val="auto"/>
                <w:sz w:val="21"/>
                <w:szCs w:val="21"/>
                <w:highlight w:val="none"/>
                <w:shd w:val="clear" w:color="auto" w:fill="FFFFFF"/>
                <w:lang w:val="en-US" w:eastAsia="zh-CN" w:bidi="ar"/>
              </w:rPr>
              <w:t>配送件数梯度</w:t>
            </w:r>
          </w:p>
        </w:tc>
        <w:tc>
          <w:tcPr>
            <w:tcW w:w="2518" w:type="dxa"/>
            <w:shd w:val="clear" w:color="auto" w:fill="auto"/>
            <w:vAlign w:val="center"/>
          </w:tcPr>
          <w:p w14:paraId="06EB2016">
            <w:pPr>
              <w:keepNext w:val="0"/>
              <w:keepLines w:val="0"/>
              <w:widowControl/>
              <w:suppressLineNumbers w:val="0"/>
              <w:spacing w:line="240" w:lineRule="auto"/>
              <w:ind w:firstLine="0" w:firstLineChars="0"/>
              <w:jc w:val="left"/>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不含税配送</w:t>
            </w:r>
            <w:r>
              <w:rPr>
                <w:rStyle w:val="22"/>
                <w:rFonts w:hint="eastAsia" w:ascii="仿宋_GB2312" w:hAnsi="仿宋_GB2312" w:eastAsia="仿宋_GB2312" w:cs="仿宋_GB2312"/>
                <w:color w:val="auto"/>
                <w:sz w:val="21"/>
                <w:szCs w:val="21"/>
                <w:highlight w:val="none"/>
                <w:shd w:val="clear" w:color="auto" w:fill="FFFFFF"/>
                <w:lang w:val="en-US" w:eastAsia="zh-CN" w:bidi="ar"/>
              </w:rPr>
              <w:t>单价（元/件）</w:t>
            </w:r>
          </w:p>
        </w:tc>
        <w:tc>
          <w:tcPr>
            <w:tcW w:w="2282" w:type="dxa"/>
            <w:shd w:val="clear" w:color="auto" w:fill="auto"/>
            <w:vAlign w:val="center"/>
          </w:tcPr>
          <w:p w14:paraId="5AE0C881">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Fonts w:hint="eastAsia" w:ascii="仿宋_GB2312" w:hAnsi="仿宋_GB2312" w:eastAsia="仿宋_GB2312" w:cs="仿宋_GB2312"/>
                <w:color w:val="auto"/>
                <w:sz w:val="21"/>
                <w:szCs w:val="21"/>
                <w:highlight w:val="none"/>
                <w:shd w:val="clear" w:color="auto" w:fill="FFFFFF"/>
                <w:lang w:val="en-US" w:eastAsia="zh-CN" w:bidi="ar"/>
              </w:rPr>
              <w:t>预估业务占比</w:t>
            </w:r>
          </w:p>
        </w:tc>
      </w:tr>
      <w:tr w14:paraId="75E1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99" w:type="dxa"/>
            <w:shd w:val="clear" w:color="auto" w:fill="auto"/>
            <w:vAlign w:val="center"/>
          </w:tcPr>
          <w:p w14:paraId="37292132">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20 - 49件</w:t>
            </w:r>
          </w:p>
        </w:tc>
        <w:tc>
          <w:tcPr>
            <w:tcW w:w="2518" w:type="dxa"/>
            <w:shd w:val="clear" w:color="auto" w:fill="auto"/>
            <w:vAlign w:val="center"/>
          </w:tcPr>
          <w:p w14:paraId="2F8F6827">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Style w:val="22"/>
                <w:rFonts w:hint="eastAsia" w:ascii="仿宋_GB2312" w:hAnsi="仿宋_GB2312" w:eastAsia="仿宋_GB2312" w:cs="仿宋_GB2312"/>
                <w:color w:val="auto"/>
                <w:sz w:val="21"/>
                <w:szCs w:val="21"/>
                <w:highlight w:val="none"/>
                <w:shd w:val="clear" w:color="auto" w:fill="FFFFFF"/>
                <w:lang w:val="en-US" w:eastAsia="zh-CN" w:bidi="ar"/>
              </w:rPr>
              <w:t>​</w:t>
            </w:r>
          </w:p>
        </w:tc>
        <w:tc>
          <w:tcPr>
            <w:tcW w:w="2282" w:type="dxa"/>
            <w:shd w:val="clear" w:color="auto" w:fill="auto"/>
            <w:vAlign w:val="center"/>
          </w:tcPr>
          <w:p w14:paraId="3824AF8F">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30%</w:t>
            </w:r>
          </w:p>
        </w:tc>
      </w:tr>
      <w:tr w14:paraId="51C1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99" w:type="dxa"/>
            <w:shd w:val="clear" w:color="auto" w:fill="auto"/>
            <w:vAlign w:val="center"/>
          </w:tcPr>
          <w:p w14:paraId="692073AF">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50 - 199件</w:t>
            </w:r>
          </w:p>
        </w:tc>
        <w:tc>
          <w:tcPr>
            <w:tcW w:w="2518" w:type="dxa"/>
            <w:shd w:val="clear" w:color="auto" w:fill="auto"/>
            <w:vAlign w:val="center"/>
          </w:tcPr>
          <w:p w14:paraId="3831CC3C">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Style w:val="22"/>
                <w:rFonts w:hint="eastAsia" w:ascii="仿宋_GB2312" w:hAnsi="仿宋_GB2312" w:eastAsia="仿宋_GB2312" w:cs="仿宋_GB2312"/>
                <w:color w:val="auto"/>
                <w:sz w:val="21"/>
                <w:szCs w:val="21"/>
                <w:highlight w:val="none"/>
                <w:shd w:val="clear" w:color="auto" w:fill="FFFFFF"/>
                <w:lang w:val="en-US" w:eastAsia="zh-CN" w:bidi="ar"/>
              </w:rPr>
              <w:t>​</w:t>
            </w:r>
          </w:p>
        </w:tc>
        <w:tc>
          <w:tcPr>
            <w:tcW w:w="2282" w:type="dxa"/>
            <w:shd w:val="clear" w:color="auto" w:fill="auto"/>
            <w:vAlign w:val="center"/>
          </w:tcPr>
          <w:p w14:paraId="28B30F20">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sz w:val="21"/>
                <w:szCs w:val="21"/>
                <w:highlight w:val="none"/>
                <w:u w:val="none"/>
                <w:shd w:val="clear" w:color="auto" w:fill="FFFFFF"/>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65%</w:t>
            </w:r>
          </w:p>
        </w:tc>
      </w:tr>
      <w:tr w14:paraId="16ED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 w:hRule="atLeast"/>
        </w:trPr>
        <w:tc>
          <w:tcPr>
            <w:tcW w:w="2399" w:type="dxa"/>
            <w:shd w:val="clear" w:color="auto" w:fill="auto"/>
            <w:vAlign w:val="center"/>
          </w:tcPr>
          <w:p w14:paraId="1660F1E0">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200 - 599件</w:t>
            </w:r>
          </w:p>
        </w:tc>
        <w:tc>
          <w:tcPr>
            <w:tcW w:w="2518" w:type="dxa"/>
            <w:shd w:val="clear" w:color="auto" w:fill="auto"/>
            <w:vAlign w:val="center"/>
          </w:tcPr>
          <w:p w14:paraId="0E9E1145">
            <w:pPr>
              <w:keepNext w:val="0"/>
              <w:keepLines w:val="0"/>
              <w:widowControl/>
              <w:suppressLineNumbers w:val="0"/>
              <w:spacing w:line="240" w:lineRule="auto"/>
              <w:ind w:firstLine="0" w:firstLineChars="0"/>
              <w:jc w:val="center"/>
              <w:textAlignment w:val="auto"/>
              <w:rPr>
                <w:rStyle w:val="22"/>
                <w:rFonts w:hint="eastAsia" w:ascii="仿宋_GB2312" w:hAnsi="仿宋_GB2312" w:eastAsia="仿宋_GB2312" w:cs="仿宋_GB2312"/>
                <w:color w:val="auto"/>
                <w:sz w:val="21"/>
                <w:szCs w:val="21"/>
                <w:highlight w:val="none"/>
                <w:shd w:val="clear" w:color="auto" w:fill="FFFFFF"/>
                <w:lang w:val="en-US" w:eastAsia="zh-CN" w:bidi="ar"/>
              </w:rPr>
            </w:pPr>
          </w:p>
        </w:tc>
        <w:tc>
          <w:tcPr>
            <w:tcW w:w="2282" w:type="dxa"/>
            <w:shd w:val="clear" w:color="auto" w:fill="auto"/>
            <w:vAlign w:val="center"/>
          </w:tcPr>
          <w:p w14:paraId="642D6A68">
            <w:pPr>
              <w:keepNext w:val="0"/>
              <w:keepLines w:val="0"/>
              <w:widowControl/>
              <w:suppressLineNumbers w:val="0"/>
              <w:spacing w:line="240" w:lineRule="auto"/>
              <w:ind w:firstLine="0" w:firstLineChars="0"/>
              <w:jc w:val="center"/>
              <w:textAlignment w:val="auto"/>
              <w:rPr>
                <w:rFonts w:hint="default"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3%</w:t>
            </w:r>
          </w:p>
        </w:tc>
      </w:tr>
      <w:tr w14:paraId="5008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99" w:type="dxa"/>
            <w:shd w:val="clear" w:color="auto" w:fill="auto"/>
            <w:vAlign w:val="center"/>
          </w:tcPr>
          <w:p w14:paraId="6F653848">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600 - 999件</w:t>
            </w:r>
          </w:p>
        </w:tc>
        <w:tc>
          <w:tcPr>
            <w:tcW w:w="2518" w:type="dxa"/>
            <w:shd w:val="clear" w:color="auto" w:fill="auto"/>
            <w:vAlign w:val="center"/>
          </w:tcPr>
          <w:p w14:paraId="1A38B514">
            <w:pPr>
              <w:keepNext w:val="0"/>
              <w:keepLines w:val="0"/>
              <w:widowControl/>
              <w:suppressLineNumbers w:val="0"/>
              <w:spacing w:line="240" w:lineRule="auto"/>
              <w:ind w:firstLine="0" w:firstLineChars="0"/>
              <w:jc w:val="center"/>
              <w:textAlignment w:val="auto"/>
              <w:rPr>
                <w:rStyle w:val="22"/>
                <w:rFonts w:hint="eastAsia" w:ascii="仿宋_GB2312" w:hAnsi="仿宋_GB2312" w:eastAsia="仿宋_GB2312" w:cs="仿宋_GB2312"/>
                <w:color w:val="auto"/>
                <w:sz w:val="21"/>
                <w:szCs w:val="21"/>
                <w:highlight w:val="none"/>
                <w:shd w:val="clear" w:color="auto" w:fill="FFFFFF"/>
                <w:lang w:val="en-US" w:eastAsia="zh-CN" w:bidi="ar"/>
              </w:rPr>
            </w:pPr>
          </w:p>
        </w:tc>
        <w:tc>
          <w:tcPr>
            <w:tcW w:w="2282" w:type="dxa"/>
            <w:shd w:val="clear" w:color="auto" w:fill="auto"/>
            <w:vAlign w:val="center"/>
          </w:tcPr>
          <w:p w14:paraId="2116C433">
            <w:pPr>
              <w:keepNext w:val="0"/>
              <w:keepLines w:val="0"/>
              <w:widowControl/>
              <w:suppressLineNumbers w:val="0"/>
              <w:spacing w:line="240" w:lineRule="auto"/>
              <w:ind w:firstLine="0" w:firstLineChars="0"/>
              <w:jc w:val="center"/>
              <w:textAlignment w:val="auto"/>
              <w:rPr>
                <w:rFonts w:hint="default"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1%</w:t>
            </w:r>
          </w:p>
        </w:tc>
      </w:tr>
      <w:tr w14:paraId="1FF2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99" w:type="dxa"/>
            <w:shd w:val="clear" w:color="auto" w:fill="auto"/>
            <w:vAlign w:val="center"/>
          </w:tcPr>
          <w:p w14:paraId="40447C98">
            <w:pPr>
              <w:keepNext w:val="0"/>
              <w:keepLines w:val="0"/>
              <w:widowControl/>
              <w:suppressLineNumbers w:val="0"/>
              <w:spacing w:line="240" w:lineRule="auto"/>
              <w:ind w:firstLine="0" w:firstLineChars="0"/>
              <w:jc w:val="center"/>
              <w:textAlignment w:val="auto"/>
              <w:rPr>
                <w:rFonts w:hint="default"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1000件及以上</w:t>
            </w:r>
          </w:p>
        </w:tc>
        <w:tc>
          <w:tcPr>
            <w:tcW w:w="2518" w:type="dxa"/>
            <w:shd w:val="clear" w:color="auto" w:fill="auto"/>
            <w:vAlign w:val="center"/>
          </w:tcPr>
          <w:p w14:paraId="14DF229E">
            <w:pPr>
              <w:keepNext w:val="0"/>
              <w:keepLines w:val="0"/>
              <w:widowControl/>
              <w:suppressLineNumbers w:val="0"/>
              <w:spacing w:line="240" w:lineRule="auto"/>
              <w:ind w:firstLine="0" w:firstLineChars="0"/>
              <w:jc w:val="center"/>
              <w:textAlignment w:val="auto"/>
              <w:rPr>
                <w:rStyle w:val="22"/>
                <w:rFonts w:hint="eastAsia" w:ascii="仿宋_GB2312" w:hAnsi="仿宋_GB2312" w:eastAsia="仿宋_GB2312" w:cs="仿宋_GB2312"/>
                <w:color w:val="auto"/>
                <w:sz w:val="21"/>
                <w:szCs w:val="21"/>
                <w:highlight w:val="none"/>
                <w:shd w:val="clear" w:color="auto" w:fill="FFFFFF"/>
                <w:lang w:val="en-US" w:eastAsia="zh-CN" w:bidi="ar"/>
              </w:rPr>
            </w:pPr>
          </w:p>
        </w:tc>
        <w:tc>
          <w:tcPr>
            <w:tcW w:w="2282" w:type="dxa"/>
            <w:shd w:val="clear" w:color="auto" w:fill="auto"/>
            <w:vAlign w:val="center"/>
          </w:tcPr>
          <w:p w14:paraId="3A21D56B">
            <w:pPr>
              <w:keepNext w:val="0"/>
              <w:keepLines w:val="0"/>
              <w:widowControl/>
              <w:suppressLineNumbers w:val="0"/>
              <w:spacing w:line="240" w:lineRule="auto"/>
              <w:ind w:firstLine="0" w:firstLineChars="0"/>
              <w:jc w:val="center"/>
              <w:textAlignment w:val="auto"/>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1%</w:t>
            </w:r>
          </w:p>
        </w:tc>
      </w:tr>
      <w:bookmarkEnd w:id="34"/>
    </w:tbl>
    <w:p w14:paraId="105FD716">
      <w:pPr>
        <w:snapToGrid w:val="0"/>
        <w:spacing w:line="360" w:lineRule="auto"/>
        <w:ind w:firstLine="424" w:firstLineChars="202"/>
        <w:rPr>
          <w:rFonts w:hint="default" w:ascii="仿宋_GB2312" w:hAnsi="仿宋_GB2312" w:eastAsia="仿宋_GB2312" w:cs="仿宋_GB2312"/>
          <w:color w:val="auto"/>
          <w:szCs w:val="21"/>
          <w:highlight w:val="none"/>
          <w:shd w:val="clear" w:color="auto" w:fill="FFFFFF"/>
          <w:lang w:val="en-US" w:eastAsia="zh-CN"/>
        </w:rPr>
      </w:pPr>
      <w:r>
        <w:rPr>
          <w:rFonts w:hint="eastAsia" w:ascii="仿宋_GB2312" w:hAnsi="仿宋_GB2312" w:eastAsia="仿宋_GB2312" w:cs="仿宋_GB2312"/>
          <w:color w:val="auto"/>
          <w:szCs w:val="21"/>
          <w:highlight w:val="none"/>
          <w:shd w:val="clear" w:color="auto" w:fill="FFFFFF"/>
          <w:lang w:val="en-US" w:eastAsia="zh-CN"/>
        </w:rPr>
        <w:t>3.物流配送范围为：</w:t>
      </w:r>
      <w:r>
        <w:rPr>
          <w:rFonts w:hint="eastAsia" w:ascii="仿宋_GB2312" w:hAnsi="仿宋_GB2312" w:eastAsia="仿宋_GB2312" w:cs="仿宋_GB2312"/>
          <w:color w:val="auto"/>
          <w:kern w:val="2"/>
          <w:sz w:val="21"/>
          <w:szCs w:val="21"/>
          <w:highlight w:val="none"/>
          <w:shd w:val="clear" w:color="auto" w:fill="FFFFFF"/>
          <w:vertAlign w:val="baseline"/>
          <w:lang w:val="en-US" w:eastAsia="zh-CN" w:bidi="ar-SA"/>
        </w:rPr>
        <w:t>东莞市全市范围内。</w:t>
      </w:r>
    </w:p>
    <w:p w14:paraId="4923BC3B">
      <w:pPr>
        <w:spacing w:line="360" w:lineRule="auto"/>
        <w:ind w:firstLine="420" w:firstLineChars="200"/>
        <w:rPr>
          <w:rFonts w:hint="eastAsia" w:ascii="宋体" w:hAnsi="宋体" w:eastAsia="宋体" w:cs="宋体"/>
          <w:color w:val="auto"/>
          <w:highlight w:val="none"/>
        </w:rPr>
      </w:pPr>
      <w:r>
        <w:rPr>
          <w:rFonts w:hint="eastAsia" w:ascii="仿宋_GB2312" w:hAnsi="仿宋_GB2312" w:eastAsia="仿宋_GB2312" w:cs="仿宋_GB2312"/>
          <w:color w:val="auto"/>
          <w:kern w:val="2"/>
          <w:sz w:val="21"/>
          <w:szCs w:val="21"/>
          <w:highlight w:val="none"/>
          <w:shd w:val="clear" w:color="auto" w:fill="FFFFFF"/>
          <w:lang w:val="en-US" w:eastAsia="zh-CN" w:bidi="ar-SA"/>
        </w:rPr>
        <w:t>服务期限内，如甲方实际需要的物流配送服务未列入上述配送服务范围内，甲方参照当前市场价与乙方协商议定对应服务单价。</w:t>
      </w:r>
    </w:p>
    <w:p w14:paraId="66C99A91">
      <w:pPr>
        <w:snapToGrid w:val="0"/>
        <w:spacing w:line="360" w:lineRule="auto"/>
        <w:ind w:firstLine="424" w:firstLineChars="20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依法计得并根据本合同约定确定的销项税额由甲方承担。根据《中华人民共和国增值税暂行条例》（国务院令第691号修订版）及当前税务部门的相关规定，本合同项目的增值税率暂定为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none"/>
          <w:lang w:val="en-US" w:eastAsia="zh-CN"/>
        </w:rPr>
        <w:t>，乙方的增值税销项税额根据本合同约定按实结算。但因乙方未按合同约定按时按质提供服务、未根据合同约定提供合法、完整、准确的请款资料等乙方原因导致销项税额增加的，增加的税额及相应损失均由乙方承担</w:t>
      </w:r>
      <w:r>
        <w:rPr>
          <w:rFonts w:hint="eastAsia" w:ascii="仿宋_GB2312" w:hAnsi="仿宋_GB2312" w:eastAsia="仿宋_GB2312" w:cs="仿宋_GB2312"/>
          <w:color w:val="auto"/>
          <w:szCs w:val="21"/>
          <w:highlight w:val="none"/>
        </w:rPr>
        <w:t>。</w:t>
      </w:r>
    </w:p>
    <w:p w14:paraId="5E6E0E42">
      <w:pPr>
        <w:snapToGrid w:val="0"/>
        <w:spacing w:line="360" w:lineRule="auto"/>
        <w:ind w:firstLine="424" w:firstLineChars="202"/>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5.支付方式：甲方按月进行结算、支付，物流配送服务费根据桶装水、支装水</w:t>
      </w:r>
      <w:r>
        <w:rPr>
          <w:rFonts w:hint="eastAsia" w:ascii="仿宋_GB2312" w:hAnsi="仿宋_GB2312" w:eastAsia="仿宋_GB2312" w:cs="仿宋_GB2312"/>
          <w:color w:val="auto"/>
          <w:szCs w:val="21"/>
          <w:highlight w:val="none"/>
          <w:shd w:val="clear" w:color="auto" w:fill="FFFFFF"/>
          <w:lang w:val="en-US" w:eastAsia="zh-CN"/>
        </w:rPr>
        <w:t>实际送货数量配送结算，配送服务费用=（桶装水实际送货数量×不含税配送单价+支装水实际送货数量×不含税配送单价）×(1+增值税率），实际送货数量以双方确认为准。</w:t>
      </w:r>
      <w:r>
        <w:rPr>
          <w:rFonts w:hint="eastAsia" w:ascii="仿宋_GB2312" w:hAnsi="仿宋_GB2312" w:eastAsia="仿宋_GB2312" w:cs="仿宋_GB2312"/>
          <w:color w:val="auto"/>
          <w:szCs w:val="21"/>
          <w:highlight w:val="none"/>
          <w:lang w:val="en-US" w:eastAsia="zh-CN"/>
        </w:rPr>
        <w:t>乙方于次月提交上月物流配送服务请款报告和合法、有效、等额的</w:t>
      </w:r>
      <w:r>
        <w:rPr>
          <w:rFonts w:hint="eastAsia" w:ascii="仿宋_GB2312" w:hAnsi="仿宋_GB2312" w:eastAsia="仿宋_GB2312" w:cs="仿宋_GB2312"/>
          <w:color w:val="auto"/>
          <w:szCs w:val="21"/>
          <w:highlight w:val="none"/>
          <w:u w:val="single"/>
          <w:lang w:val="en-US" w:eastAsia="zh-CN"/>
        </w:rPr>
        <w:t>增值税专用发票</w:t>
      </w:r>
      <w:r>
        <w:rPr>
          <w:rFonts w:hint="eastAsia" w:ascii="仿宋_GB2312" w:hAnsi="仿宋_GB2312" w:eastAsia="仿宋_GB2312" w:cs="仿宋_GB2312"/>
          <w:color w:val="auto"/>
          <w:szCs w:val="21"/>
          <w:highlight w:val="none"/>
          <w:lang w:val="en-US" w:eastAsia="zh-CN"/>
        </w:rPr>
        <w:t>，甲方在收到前述材料并确认无误后15个工作日内，向乙方支付上月配送服务费的【100%】及对应税额。</w:t>
      </w:r>
    </w:p>
    <w:p w14:paraId="2436679E">
      <w:pPr>
        <w:snapToGrid w:val="0"/>
        <w:spacing w:line="360" w:lineRule="auto"/>
        <w:ind w:firstLine="424" w:firstLineChars="202"/>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如甲、乙双方对于实际送货数量认定不一致的，甲方可先行支付双方认可的部分款项，尚未认可的部分待双方再次确认后处理，甲方并不因此承担任何逾期付款的违约责任。</w:t>
      </w:r>
    </w:p>
    <w:p w14:paraId="21A6E376">
      <w:pPr>
        <w:snapToGrid w:val="0"/>
        <w:spacing w:line="360" w:lineRule="auto"/>
        <w:ind w:firstLine="424" w:firstLineChars="202"/>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6.不含税配送单价包括了乙方完成应承担合同义务的全部费用，包括但不限于：</w:t>
      </w:r>
    </w:p>
    <w:p w14:paraId="39A308D0">
      <w:pPr>
        <w:snapToGrid w:val="0"/>
        <w:spacing w:line="360" w:lineRule="auto"/>
        <w:ind w:firstLine="424" w:firstLineChars="202"/>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物流配送服务范围内所需的人工费（含加班）、车辆使用及燃油费（充电费）、包装水装车卸车的人工或器械作业费、物流配送过路桥费（含高速路费）、提供物流配送服务人员的工资、食宿、保险费（包括物流配送车辆交强险、第三者责任险等商业保险，乙方及其雇员社会保障资金、保险、第三者责任险等）、装卸费、搬运费、上楼等相关服务的费用；</w:t>
      </w:r>
    </w:p>
    <w:p w14:paraId="2F46245B">
      <w:pPr>
        <w:snapToGrid w:val="0"/>
        <w:spacing w:line="360" w:lineRule="auto"/>
        <w:ind w:firstLine="424" w:firstLineChars="202"/>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（2）合理利润、乙方销项税额以外的税费等；</w:t>
      </w:r>
    </w:p>
    <w:p w14:paraId="583733FB">
      <w:pPr>
        <w:snapToGrid w:val="0"/>
        <w:spacing w:line="360" w:lineRule="auto"/>
        <w:ind w:firstLine="424" w:firstLineChars="202"/>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（3）法律法规、商业公认、询价文件规定由乙方承担的其他费用。未经甲方书面同意，乙方（包括但不限于成交人指定的第三方）不得要求甲方另行支付其他任何费用。</w:t>
      </w:r>
    </w:p>
    <w:p w14:paraId="5F956D22">
      <w:pPr>
        <w:snapToGrid w:val="0"/>
        <w:spacing w:line="360" w:lineRule="auto"/>
        <w:ind w:firstLine="424" w:firstLineChars="202"/>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.以上款项由</w:t>
      </w:r>
      <w:r>
        <w:rPr>
          <w:rFonts w:hint="eastAsia" w:ascii="仿宋_GB2312" w:hAnsi="仿宋_GB2312" w:eastAsia="仿宋_GB2312" w:cs="仿宋_GB2312"/>
          <w:color w:val="auto"/>
          <w:szCs w:val="21"/>
          <w:highlight w:val="none"/>
          <w:lang w:val="en-US" w:eastAsia="zh-CN"/>
        </w:rPr>
        <w:t>甲方</w:t>
      </w:r>
      <w:r>
        <w:rPr>
          <w:rFonts w:hint="eastAsia" w:ascii="仿宋_GB2312" w:hAnsi="仿宋_GB2312" w:eastAsia="仿宋_GB2312" w:cs="仿宋_GB2312"/>
          <w:color w:val="auto"/>
          <w:szCs w:val="21"/>
          <w:highlight w:val="none"/>
        </w:rPr>
        <w:t>直接以银行转账形式支付给</w:t>
      </w:r>
      <w:r>
        <w:rPr>
          <w:rFonts w:hint="eastAsia" w:ascii="仿宋_GB2312" w:hAnsi="仿宋_GB2312" w:eastAsia="仿宋_GB2312" w:cs="仿宋_GB2312"/>
          <w:color w:val="auto"/>
          <w:szCs w:val="21"/>
          <w:highlight w:val="none"/>
          <w:lang w:val="en-US" w:eastAsia="zh-CN"/>
        </w:rPr>
        <w:t>乙方</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乙方</w:t>
      </w:r>
      <w:r>
        <w:rPr>
          <w:rFonts w:hint="eastAsia" w:ascii="仿宋_GB2312" w:hAnsi="仿宋_GB2312" w:eastAsia="仿宋_GB2312" w:cs="仿宋_GB2312"/>
          <w:color w:val="auto"/>
          <w:szCs w:val="21"/>
          <w:highlight w:val="none"/>
        </w:rPr>
        <w:t>逾期提交请款材料</w:t>
      </w:r>
      <w:r>
        <w:rPr>
          <w:rFonts w:hint="eastAsia" w:ascii="仿宋_GB2312" w:hAnsi="仿宋_GB2312" w:eastAsia="仿宋_GB2312" w:cs="仿宋_GB2312"/>
          <w:color w:val="auto"/>
          <w:szCs w:val="21"/>
          <w:highlight w:val="none"/>
          <w:lang w:val="en-US" w:eastAsia="zh-CN"/>
        </w:rPr>
        <w:t>或提交材料不符合甲方要求的，甲方</w:t>
      </w:r>
      <w:r>
        <w:rPr>
          <w:rFonts w:hint="eastAsia" w:ascii="仿宋_GB2312" w:hAnsi="仿宋_GB2312" w:eastAsia="仿宋_GB2312" w:cs="仿宋_GB2312"/>
          <w:color w:val="auto"/>
          <w:szCs w:val="21"/>
          <w:highlight w:val="none"/>
        </w:rPr>
        <w:t>有权顺延支付相应款项，并不承担逾期付款的违约责任，由于</w:t>
      </w:r>
      <w:r>
        <w:rPr>
          <w:rFonts w:hint="eastAsia" w:ascii="仿宋_GB2312" w:hAnsi="仿宋_GB2312" w:eastAsia="仿宋_GB2312" w:cs="仿宋_GB2312"/>
          <w:color w:val="auto"/>
          <w:szCs w:val="21"/>
          <w:highlight w:val="none"/>
          <w:lang w:val="en-US" w:eastAsia="zh-CN"/>
        </w:rPr>
        <w:t>乙方</w:t>
      </w:r>
      <w:r>
        <w:rPr>
          <w:rFonts w:hint="eastAsia" w:ascii="仿宋_GB2312" w:hAnsi="仿宋_GB2312" w:eastAsia="仿宋_GB2312" w:cs="仿宋_GB2312"/>
          <w:color w:val="auto"/>
          <w:szCs w:val="21"/>
          <w:highlight w:val="none"/>
        </w:rPr>
        <w:t>提供的发票不符合税法规定，给</w:t>
      </w:r>
      <w:r>
        <w:rPr>
          <w:rFonts w:hint="eastAsia" w:ascii="仿宋_GB2312" w:hAnsi="仿宋_GB2312" w:eastAsia="仿宋_GB2312" w:cs="仿宋_GB2312"/>
          <w:color w:val="auto"/>
          <w:szCs w:val="21"/>
          <w:highlight w:val="none"/>
          <w:lang w:val="en-US" w:eastAsia="zh-CN"/>
        </w:rPr>
        <w:t>甲方</w:t>
      </w:r>
      <w:r>
        <w:rPr>
          <w:rFonts w:hint="eastAsia" w:ascii="仿宋_GB2312" w:hAnsi="仿宋_GB2312" w:eastAsia="仿宋_GB2312" w:cs="仿宋_GB2312"/>
          <w:color w:val="auto"/>
          <w:szCs w:val="21"/>
          <w:highlight w:val="none"/>
        </w:rPr>
        <w:t>造成的损失由</w:t>
      </w:r>
      <w:r>
        <w:rPr>
          <w:rFonts w:hint="eastAsia" w:ascii="仿宋_GB2312" w:hAnsi="仿宋_GB2312" w:eastAsia="仿宋_GB2312" w:cs="仿宋_GB2312"/>
          <w:color w:val="auto"/>
          <w:szCs w:val="21"/>
          <w:highlight w:val="none"/>
          <w:lang w:val="en-US" w:eastAsia="zh-CN"/>
        </w:rPr>
        <w:t>乙方</w:t>
      </w:r>
      <w:r>
        <w:rPr>
          <w:rFonts w:hint="eastAsia" w:ascii="仿宋_GB2312" w:hAnsi="仿宋_GB2312" w:eastAsia="仿宋_GB2312" w:cs="仿宋_GB2312"/>
          <w:color w:val="auto"/>
          <w:szCs w:val="21"/>
          <w:highlight w:val="none"/>
        </w:rPr>
        <w:t>承担赔偿责任，</w:t>
      </w:r>
      <w:r>
        <w:rPr>
          <w:rFonts w:hint="eastAsia" w:ascii="仿宋_GB2312" w:hAnsi="仿宋_GB2312" w:eastAsia="仿宋_GB2312" w:cs="仿宋_GB2312"/>
          <w:color w:val="auto"/>
          <w:szCs w:val="21"/>
          <w:highlight w:val="none"/>
          <w:lang w:val="en-US" w:eastAsia="zh-CN"/>
        </w:rPr>
        <w:t>乙方</w:t>
      </w:r>
      <w:r>
        <w:rPr>
          <w:rFonts w:hint="eastAsia" w:ascii="仿宋_GB2312" w:hAnsi="仿宋_GB2312" w:eastAsia="仿宋_GB2312" w:cs="仿宋_GB2312"/>
          <w:color w:val="auto"/>
          <w:szCs w:val="21"/>
          <w:highlight w:val="none"/>
        </w:rPr>
        <w:t>不得以此</w:t>
      </w:r>
      <w:r>
        <w:rPr>
          <w:rFonts w:hint="eastAsia" w:ascii="仿宋_GB2312" w:hAnsi="仿宋_GB2312" w:eastAsia="仿宋_GB2312" w:cs="仿宋_GB2312"/>
          <w:color w:val="auto"/>
          <w:szCs w:val="21"/>
          <w:highlight w:val="none"/>
          <w:lang w:val="en-US" w:eastAsia="zh-CN"/>
        </w:rPr>
        <w:t>为由</w:t>
      </w:r>
      <w:r>
        <w:rPr>
          <w:rFonts w:hint="eastAsia" w:ascii="仿宋_GB2312" w:hAnsi="仿宋_GB2312" w:eastAsia="仿宋_GB2312" w:cs="仿宋_GB2312"/>
          <w:color w:val="auto"/>
          <w:szCs w:val="21"/>
          <w:highlight w:val="none"/>
        </w:rPr>
        <w:t>拒绝履行合同义务。</w:t>
      </w:r>
    </w:p>
    <w:p w14:paraId="066BBD7E">
      <w:pPr>
        <w:snapToGrid w:val="0"/>
        <w:spacing w:line="360" w:lineRule="auto"/>
        <w:ind w:firstLine="424" w:firstLineChars="202"/>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.乙方收款账户信息</w:t>
      </w:r>
    </w:p>
    <w:p w14:paraId="463EFD68">
      <w:pPr>
        <w:snapToGrid w:val="0"/>
        <w:spacing w:line="360" w:lineRule="auto"/>
        <w:ind w:firstLine="420" w:firstLineChars="200"/>
        <w:jc w:val="left"/>
        <w:rPr>
          <w:rFonts w:hint="default" w:ascii="仿宋_GB2312" w:hAnsi="仿宋_GB2312" w:eastAsia="仿宋_GB2312" w:cs="仿宋_GB2312"/>
          <w:color w:val="auto"/>
          <w:szCs w:val="21"/>
          <w:highlight w:val="none"/>
          <w:lang w:val="en-US"/>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lang w:val="en-US" w:eastAsia="zh-CN"/>
        </w:rPr>
        <w:t xml:space="preserve">                                      </w:t>
      </w:r>
    </w:p>
    <w:p w14:paraId="56F71650">
      <w:pPr>
        <w:snapToGrid w:val="0"/>
        <w:spacing w:line="360" w:lineRule="auto"/>
        <w:ind w:firstLine="420" w:firstLineChars="200"/>
        <w:jc w:val="left"/>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lang w:val="en-US" w:eastAsia="zh-CN"/>
        </w:rPr>
        <w:t xml:space="preserve">                                    </w:t>
      </w:r>
    </w:p>
    <w:p w14:paraId="16B13C21">
      <w:pPr>
        <w:snapToGrid w:val="0"/>
        <w:spacing w:line="360" w:lineRule="auto"/>
        <w:ind w:firstLine="420" w:firstLineChars="200"/>
        <w:jc w:val="left"/>
        <w:rPr>
          <w:rFonts w:hint="default"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账号：</w:t>
      </w:r>
      <w:r>
        <w:rPr>
          <w:rFonts w:hint="eastAsia" w:ascii="仿宋_GB2312" w:hAnsi="仿宋_GB2312" w:eastAsia="仿宋_GB2312" w:cs="仿宋_GB2312"/>
          <w:color w:val="auto"/>
          <w:szCs w:val="21"/>
          <w:highlight w:val="none"/>
          <w:u w:val="single"/>
          <w:lang w:val="en-US" w:eastAsia="zh-CN"/>
        </w:rPr>
        <w:t xml:space="preserve">                                      </w:t>
      </w:r>
    </w:p>
    <w:p w14:paraId="6215F745">
      <w:pPr>
        <w:keepNext/>
        <w:keepLines/>
        <w:adjustRightInd w:val="0"/>
        <w:snapToGrid w:val="0"/>
        <w:spacing w:line="360" w:lineRule="auto"/>
        <w:ind w:firstLine="422" w:firstLineChars="200"/>
        <w:outlineLvl w:val="1"/>
        <w:rPr>
          <w:rFonts w:hint="default" w:ascii="仿宋_GB2312" w:hAnsi="仿宋_GB2312" w:eastAsia="仿宋_GB2312" w:cs="仿宋_GB2312"/>
          <w:b/>
          <w:bCs/>
          <w:color w:val="auto"/>
          <w:szCs w:val="21"/>
          <w:highlight w:val="none"/>
          <w:shd w:val="clear" w:color="auto" w:fill="FFFFFF"/>
          <w:lang w:val="en-US" w:eastAsia="zh-CN"/>
        </w:rPr>
      </w:pPr>
      <w:bookmarkStart w:id="35" w:name="_Toc81879415"/>
      <w:bookmarkStart w:id="36" w:name="_Toc28599"/>
      <w:bookmarkStart w:id="37" w:name="_Toc196"/>
      <w:r>
        <w:rPr>
          <w:rFonts w:hint="eastAsia" w:ascii="仿宋_GB2312" w:hAnsi="仿宋_GB2312" w:eastAsia="仿宋_GB2312" w:cs="仿宋_GB2312"/>
          <w:b/>
          <w:bCs/>
          <w:color w:val="auto"/>
          <w:szCs w:val="21"/>
          <w:highlight w:val="none"/>
          <w:shd w:val="clear" w:color="auto" w:fill="FFFFFF"/>
        </w:rPr>
        <w:t>第</w:t>
      </w:r>
      <w:r>
        <w:rPr>
          <w:rFonts w:hint="eastAsia" w:ascii="仿宋_GB2312" w:hAnsi="仿宋_GB2312" w:eastAsia="仿宋_GB2312" w:cs="仿宋_GB2312"/>
          <w:b/>
          <w:bCs/>
          <w:color w:val="auto"/>
          <w:szCs w:val="21"/>
          <w:highlight w:val="none"/>
          <w:shd w:val="clear" w:color="auto" w:fill="FFFFFF"/>
          <w:lang w:val="en-US" w:eastAsia="zh-CN"/>
        </w:rPr>
        <w:t>五</w:t>
      </w:r>
      <w:r>
        <w:rPr>
          <w:rFonts w:hint="eastAsia" w:ascii="仿宋_GB2312" w:hAnsi="仿宋_GB2312" w:eastAsia="仿宋_GB2312" w:cs="仿宋_GB2312"/>
          <w:b/>
          <w:bCs/>
          <w:color w:val="auto"/>
          <w:szCs w:val="21"/>
          <w:highlight w:val="none"/>
          <w:shd w:val="clear" w:color="auto" w:fill="FFFFFF"/>
        </w:rPr>
        <w:t xml:space="preserve">条 </w:t>
      </w:r>
      <w:bookmarkEnd w:id="35"/>
      <w:bookmarkEnd w:id="36"/>
      <w:bookmarkEnd w:id="37"/>
      <w:r>
        <w:rPr>
          <w:rFonts w:hint="eastAsia" w:ascii="仿宋_GB2312" w:hAnsi="仿宋_GB2312" w:eastAsia="仿宋_GB2312" w:cs="仿宋_GB2312"/>
          <w:b/>
          <w:bCs/>
          <w:color w:val="auto"/>
          <w:szCs w:val="21"/>
          <w:highlight w:val="none"/>
          <w:shd w:val="clear" w:color="auto" w:fill="FFFFFF"/>
          <w:lang w:val="en-US" w:eastAsia="zh-CN"/>
        </w:rPr>
        <w:t>服务要求及权利义务</w:t>
      </w:r>
    </w:p>
    <w:p w14:paraId="6385FDC7">
      <w:pPr>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乙方物流司机须具备相应的货车驾照，车辆需为总质量4500KG以下的全关闭厢式货车，根据《中华人民共和国道路运输条例》的规定，乙方如使用总质量4500KG以上的货车进行配送，需取得道路运输经营许可证及车辆营运证，否则因违反《中华人民共和国道路运输条例》的规定产生的一切后果均由乙方承担。乙方日配送能力要求支装水不低于200件，桶装水不低于200桶，每次最低起送量为：瓶装水20件或桶装水20桶。车辆数量由乙方自行配置。</w:t>
      </w:r>
    </w:p>
    <w:p w14:paraId="01624503">
      <w:pPr>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乙方根据甲方的订单及派车要求，派驻物流司机或搬运工到指定位置负责完成包装水产品装车的工作。核对包装水装车数量，并由乙方司机或搬运工在甲方开出的《出库通知单》提货人一栏签名（要求字迹清楚，签全名）。在装车完成后，由甲方仓管员核对数量后签字确认。</w:t>
      </w:r>
    </w:p>
    <w:p w14:paraId="728EE5F3">
      <w:pPr>
        <w:snapToGrid w:val="0"/>
        <w:spacing w:line="360" w:lineRule="auto"/>
        <w:ind w:firstLine="420" w:firstLineChars="20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乙方也可以凭甲方开出的《预提单》，安排物流司机或搬运工到甲方指定仓库对货品进行预提，运输至乙方物流仓库暂存。直到乙方收到甲方的配送订单任务后，优先从预提单中的库存中出库配送。暂存期间货物所有权归属甲方，乙方不收取任何暂存费用。</w:t>
      </w:r>
    </w:p>
    <w:p w14:paraId="15DBE1DF">
      <w:pPr>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3.到达收货地点后，乙方物流司机或搬运工自行负责卸货的工作，并按甲方客户要求摆放至指定位置。若甲方客户存在1个或以上存放点，或者需要送货上楼的情况，乙方均应无偿送达。</w:t>
      </w:r>
    </w:p>
    <w:p w14:paraId="26885602">
      <w:pPr>
        <w:snapToGrid w:val="0"/>
        <w:spacing w:line="360" w:lineRule="auto"/>
        <w:ind w:firstLine="420" w:firstLineChars="20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4.乙方装卸货物时对产品要轻拿轻放、摆放整齐，如有损坏按照销售价赔偿。物流配送途中货物整齐牢固，关好车门，不超高超宽超重，以免货物撒漏破损，要保证物流配送全过程安全。</w:t>
      </w:r>
    </w:p>
    <w:p w14:paraId="3161D552">
      <w:pPr>
        <w:snapToGrid w:val="0"/>
        <w:spacing w:line="360" w:lineRule="auto"/>
        <w:ind w:firstLine="420" w:firstLineChars="20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乙方在服务中应注意维护甲方的企业形象、名誉。乙方应督促物流司机或搬运工禁止穿拖鞋上班、衣着要整齐、文明做事、礼貌待人、不得以任何原因与收货人产生争执，不得以任何理由向甲方客户索取物资，不得透露甲方物流配送产品的价格、数量等任何信息，否则甲方有权要求乙方更换司机、搬运工，并追究乙方的违约责任。</w:t>
      </w:r>
    </w:p>
    <w:p w14:paraId="0A2EB976">
      <w:pPr>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6.乙方接到订单后，须在24小时内送达。甲方有权对乙方承运的在途货物进行跟踪。没有甲方书面同意的情况下，乙方不能把甲方客户的库存产品退回甲方，否则甲方有权在乙方的物流配送服务费中直接扣除退回产品的出厂价。</w:t>
      </w:r>
    </w:p>
    <w:p w14:paraId="24E168F6">
      <w:pPr>
        <w:pStyle w:val="2"/>
        <w:rPr>
          <w:rFonts w:hint="default"/>
          <w:highlight w:val="none"/>
          <w:lang w:val="en-US" w:eastAsia="zh-CN"/>
        </w:rPr>
      </w:pPr>
      <w:r>
        <w:rPr>
          <w:rFonts w:hint="eastAsia" w:ascii="仿宋_GB2312" w:hAnsi="仿宋_GB2312" w:eastAsia="仿宋_GB2312" w:cs="仿宋_GB2312"/>
          <w:color w:val="auto"/>
          <w:szCs w:val="21"/>
          <w:highlight w:val="none"/>
          <w:lang w:val="en-US" w:eastAsia="zh-CN"/>
        </w:rPr>
        <w:t xml:space="preserve">    7.乙方应在国家法定节假日（包括但不限于春节、国庆节等）及客户指定的特殊日期期间，提前制定值班人员安排表，确保每日有足够人员值班。乙方应维持与平日相同的配送时效及覆盖范围，不得以节假日为由拒绝或延迟配送服务。</w:t>
      </w:r>
    </w:p>
    <w:p w14:paraId="0796080D">
      <w:pPr>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8.乙方必须按当天派单的顺序来完成当天的配送订单，不得故意不按时按点配送或因未完成当天的配送订单而造成客户投诉。如遇天气恶劣等原因确需推迟发车日期的，应在事先取得甲方同意的情况下，方可延迟一天配送订单。</w:t>
      </w:r>
    </w:p>
    <w:p w14:paraId="55964D24">
      <w:pPr>
        <w:snapToGrid w:val="0"/>
        <w:spacing w:line="360" w:lineRule="auto"/>
        <w:ind w:firstLine="420" w:firstLineChars="20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9.乙方须提供符合国家安全运输要求的运输工具，提供的运输车辆须证照及车辆保险等手续齐全。同时，乙方自愿承担整个运输过程的货物保险。自包装水完成出库后，货物毁损、灭失的风险由乙方承担。</w:t>
      </w:r>
    </w:p>
    <w:p w14:paraId="39D0F0FB">
      <w:pPr>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乙方在运输及装卸货过程中车辆发生交通事故、车辆故障、自燃、人员伤亡等意外情况，由乙方自行承担所有责任。在运输及装卸货过程中或货物预提暂存至乙方仓库中，由于乙方故意或重大过失造成甲方货物的损坏、丢失、被盗、被扣等损失的，均由乙方按发生损失时甲方的货物零售价进行赔偿</w:t>
      </w:r>
      <w:r>
        <w:rPr>
          <w:rFonts w:hint="eastAsia" w:ascii="仿宋_GB2312" w:hAnsi="仿宋_GB2312" w:eastAsia="仿宋_GB2312" w:cs="仿宋_GB2312"/>
          <w:color w:val="auto"/>
          <w:szCs w:val="21"/>
          <w:highlight w:val="none"/>
        </w:rPr>
        <w:t>。</w:t>
      </w:r>
    </w:p>
    <w:p w14:paraId="78A3AC1E">
      <w:pPr>
        <w:snapToGrid w:val="0"/>
        <w:spacing w:line="360" w:lineRule="auto"/>
        <w:ind w:firstLine="420" w:firstLineChars="200"/>
        <w:rPr>
          <w:rFonts w:hint="eastAsia" w:ascii="仿宋_GB2312" w:hAnsi="仿宋_GB2312" w:eastAsia="仿宋_GB2312" w:cs="仿宋_GB2312"/>
          <w:color w:val="auto"/>
          <w:szCs w:val="21"/>
          <w:highlight w:val="none"/>
        </w:rPr>
      </w:pPr>
      <w:bookmarkStart w:id="38" w:name="_Toc5797"/>
      <w:bookmarkStart w:id="39" w:name="_Toc10858"/>
      <w:bookmarkStart w:id="40" w:name="_Toc81879418"/>
      <w:r>
        <w:rPr>
          <w:rFonts w:hint="eastAsia" w:ascii="仿宋_GB2312" w:hAnsi="仿宋_GB2312" w:eastAsia="仿宋_GB2312" w:cs="仿宋_GB2312"/>
          <w:color w:val="auto"/>
          <w:szCs w:val="21"/>
          <w:highlight w:val="none"/>
          <w:lang w:val="en-US" w:eastAsia="zh-CN"/>
        </w:rPr>
        <w:t>11</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乙方如将货物错运地点或收货人，应立即无偿运至甲方指定的到货地点或收货人</w:t>
      </w:r>
      <w:r>
        <w:rPr>
          <w:rFonts w:hint="eastAsia" w:ascii="仿宋_GB2312" w:hAnsi="仿宋_GB2312" w:eastAsia="仿宋_GB2312" w:cs="仿宋_GB2312"/>
          <w:color w:val="auto"/>
          <w:szCs w:val="21"/>
          <w:highlight w:val="none"/>
        </w:rPr>
        <w:t>。</w:t>
      </w:r>
    </w:p>
    <w:p w14:paraId="6383823D">
      <w:pPr>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12.乙方在运输、装卸过程中发现或客户反映产品存在缺陷包括不限于漏水、收缩膜断裂、外包箱膜损坏，应免费运回给甲方。</w:t>
      </w:r>
    </w:p>
    <w:p w14:paraId="436F0606">
      <w:pPr>
        <w:snapToGrid w:val="0"/>
        <w:spacing w:line="360" w:lineRule="auto"/>
        <w:ind w:firstLine="420" w:firstLineChars="20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13.乙方应向甲方提供公司资质证照、运输车辆证照及其保险证明、司机证照及身份证、搬运人员身份证复印件（均需加盖乙方公章）等资质材料备案，合同履行期间前述证件、车辆、人员进行调整的，调整前向甲方更新报送备案材料。</w:t>
      </w:r>
    </w:p>
    <w:p w14:paraId="604293EC">
      <w:pPr>
        <w:keepNext/>
        <w:keepLines/>
        <w:adjustRightInd w:val="0"/>
        <w:snapToGrid w:val="0"/>
        <w:spacing w:line="360" w:lineRule="auto"/>
        <w:ind w:firstLine="422" w:firstLineChars="200"/>
        <w:outlineLvl w:val="1"/>
        <w:rPr>
          <w:rFonts w:ascii="仿宋_GB2312" w:hAnsi="仿宋_GB2312" w:eastAsia="仿宋_GB2312" w:cs="仿宋_GB2312"/>
          <w:b/>
          <w:bCs/>
          <w:color w:val="auto"/>
          <w:szCs w:val="21"/>
          <w:highlight w:val="none"/>
          <w:shd w:val="clear" w:color="auto" w:fill="FFFFFF"/>
        </w:rPr>
      </w:pPr>
      <w:r>
        <w:rPr>
          <w:rFonts w:hint="eastAsia" w:ascii="仿宋_GB2312" w:hAnsi="仿宋_GB2312" w:eastAsia="仿宋_GB2312" w:cs="仿宋_GB2312"/>
          <w:b/>
          <w:bCs/>
          <w:color w:val="auto"/>
          <w:szCs w:val="21"/>
          <w:highlight w:val="none"/>
          <w:shd w:val="clear" w:color="auto" w:fill="FFFFFF"/>
        </w:rPr>
        <w:t>第</w:t>
      </w:r>
      <w:r>
        <w:rPr>
          <w:rFonts w:hint="eastAsia" w:ascii="仿宋_GB2312" w:hAnsi="仿宋_GB2312" w:eastAsia="仿宋_GB2312" w:cs="仿宋_GB2312"/>
          <w:b/>
          <w:bCs/>
          <w:color w:val="auto"/>
          <w:szCs w:val="21"/>
          <w:highlight w:val="none"/>
          <w:shd w:val="clear" w:color="auto" w:fill="FFFFFF"/>
          <w:lang w:val="en-US" w:eastAsia="zh-CN"/>
        </w:rPr>
        <w:t>六</w:t>
      </w:r>
      <w:r>
        <w:rPr>
          <w:rFonts w:hint="eastAsia" w:ascii="仿宋_GB2312" w:hAnsi="仿宋_GB2312" w:eastAsia="仿宋_GB2312" w:cs="仿宋_GB2312"/>
          <w:b/>
          <w:bCs/>
          <w:color w:val="auto"/>
          <w:szCs w:val="21"/>
          <w:highlight w:val="none"/>
          <w:shd w:val="clear" w:color="auto" w:fill="FFFFFF"/>
        </w:rPr>
        <w:t>条 违约责任</w:t>
      </w:r>
      <w:bookmarkEnd w:id="38"/>
      <w:bookmarkEnd w:id="39"/>
      <w:bookmarkEnd w:id="40"/>
    </w:p>
    <w:p w14:paraId="56E77512">
      <w:pPr>
        <w:snapToGrid w:val="0"/>
        <w:spacing w:line="360" w:lineRule="auto"/>
        <w:ind w:firstLine="420" w:firstLineChars="200"/>
        <w:rPr>
          <w:rFonts w:hint="default" w:ascii="仿宋_GB2312" w:hAnsi="仿宋_GB2312" w:eastAsia="仿宋_GB2312" w:cs="仿宋_GB2312"/>
          <w:color w:val="auto"/>
          <w:szCs w:val="21"/>
          <w:highlight w:val="none"/>
          <w:lang w:val="en-US" w:eastAsia="zh-CN"/>
        </w:rPr>
      </w:pPr>
      <w:bookmarkStart w:id="41" w:name="_Toc81879419"/>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乙方收到甲方的取派件任务通知后，未按甲方要求提货、派送的，自甲方的取派件任务通知之日起超过两个工作日，乙方应按照对应取派件任务配送费用（含税）的10%向甲方支付违约金；超过三个工作日，甲方有权解除合同，乙方应按照对应取派件任务配送费用（含税）的20%向甲方支付违约金</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如因此造成客户投诉及甲方损失的，乙方还应向甲方承担赔偿责任。</w:t>
      </w:r>
    </w:p>
    <w:p w14:paraId="4A8AA89F">
      <w:pPr>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乙方应对其从甲方收到货物后至货物送达收货人整个过程中的货物安全、完整负责。在配送过程中，若发生货物损坏（包括但不限于漏水、收缩膜断裂、外包箱膜损坏等）或丢失的情况，乙方应按照货物的市场价值向甲方进行赔偿，甲方不予支付该货物的配送费用，同时，乙方应负责及时补货，确保客户能够按时收到足额的货物，补货配送费用由乙方承担。若因货物损坏或丢失导致甲方对客户承担违约责任，乙方应一并赔偿甲方因此遭受的全部损失（包括但不限于律师费、差旅费、鉴定费、公证费等）。</w:t>
      </w:r>
    </w:p>
    <w:p w14:paraId="4FE6140A">
      <w:pPr>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若乙方将包装饮用水送错收货人或送错货物规格、数量等，甲方不予支付该货物的配送服务费用，乙方应负责立即无偿运至正确的收货人或纠正货物规格、数量，并承担因此产生的配送服务费用（包括更换货物、补齐货物的配送服务费用）。同时，乙方应按照当次订单金额的10%向甲方支付违约金。若因配送错误给甲方造成客户投诉、索赔等损失，乙方应赔偿甲方因此遭受的全部损失。</w:t>
      </w:r>
    </w:p>
    <w:p w14:paraId="010DE9A3">
      <w:pPr>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因乙方不能按甲方客户要求返回签回单等单证，造成的有关款项无法收回或第三方要求甲方赔偿损失的或给甲方造成其他损失的，甲方因此受到的损失由乙方承担（包括但不限于甲方未能收回的款项、律师费、诉讼费、仲裁费、调查取证费等），同时乙方应按照500元/次的标准向甲方支付违约金。如乙方送货后客户签收签名不符合规范要求导致货款纠纷或损失的，乙方应当承担赔偿责任（包括但不限于甲方未能收回的款项、律师费、诉讼费、仲裁费、调查取证费等），同时乙方应按照200元/次的标准向甲方支付违约金</w:t>
      </w:r>
      <w:r>
        <w:rPr>
          <w:rFonts w:hint="eastAsia" w:ascii="仿宋_GB2312" w:hAnsi="仿宋_GB2312" w:eastAsia="仿宋_GB2312" w:cs="仿宋_GB2312"/>
          <w:color w:val="auto"/>
          <w:szCs w:val="21"/>
          <w:highlight w:val="none"/>
        </w:rPr>
        <w:t>。</w:t>
      </w:r>
    </w:p>
    <w:p w14:paraId="71BD771B">
      <w:pPr>
        <w:snapToGrid w:val="0"/>
        <w:spacing w:line="360" w:lineRule="auto"/>
        <w:ind w:firstLine="420" w:firstLineChars="20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若甲方收到客户关于乙方配送人员服务态度恶劣的有效投诉，乙方需向甲方按100元/次的标准支付违约金，并应立即对涉事人员进行批评教育或更换。</w:t>
      </w:r>
    </w:p>
    <w:p w14:paraId="3D9F0C2C">
      <w:pPr>
        <w:snapToGrid w:val="0"/>
        <w:spacing w:line="360" w:lineRule="auto"/>
        <w:ind w:firstLine="420" w:firstLineChars="20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6.乙方的配送人员在提货、运输、交付过程中，若出现违反甲方仓库管理规定、交通法规或其他相关规定的行为，乙方需承担因此产生的全部法律责任和经济赔偿责任。如因违规操作给甲方造成损失，乙方应全额赔偿甲方。</w:t>
      </w:r>
    </w:p>
    <w:p w14:paraId="5AFAC910">
      <w:pPr>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7.乙方应按照甲方要求及时反馈配送进度、货物交付情况等信息。若未按时反馈或反馈信息不准确，乙方应按照100元/次的标准向甲方支付违约金。若因信息反馈问题导致甲方决策失误或对客户服务不到位，乙方需承担甲方因此遭受的全部损失。</w:t>
      </w:r>
    </w:p>
    <w:p w14:paraId="4A6CB2B5">
      <w:pPr>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8.若乙方提供的物流车辆不符合合同约定的要求，或乙方安排的驾驶人员不具备相应资质，乙方车辆和人员因违反《中华人民共和国道路运输条例》等法律、法规产生的一切后果均由乙方承担，同时甲方有权要求乙方立即整改。若因车辆或人员问题导致发生安全事故或其他不良后果，乙方应承担全部法律责任和经济赔偿责任。</w:t>
      </w:r>
    </w:p>
    <w:p w14:paraId="05E7651F">
      <w:pPr>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.在合同履行期间，因</w:t>
      </w:r>
      <w:r>
        <w:rPr>
          <w:rFonts w:hint="eastAsia" w:ascii="仿宋_GB2312" w:hAnsi="仿宋_GB2312" w:eastAsia="仿宋_GB2312" w:cs="仿宋_GB2312"/>
          <w:color w:val="auto"/>
          <w:szCs w:val="21"/>
          <w:highlight w:val="none"/>
          <w:lang w:val="en-US" w:eastAsia="zh-CN"/>
        </w:rPr>
        <w:t>乙方</w:t>
      </w:r>
      <w:r>
        <w:rPr>
          <w:rFonts w:hint="eastAsia" w:ascii="仿宋_GB2312" w:hAnsi="仿宋_GB2312" w:eastAsia="仿宋_GB2312" w:cs="仿宋_GB2312"/>
          <w:color w:val="auto"/>
          <w:szCs w:val="21"/>
          <w:highlight w:val="none"/>
        </w:rPr>
        <w:t>违约而产生的违约金、赔偿、罚款或其他应付费用等款项，</w:t>
      </w:r>
      <w:r>
        <w:rPr>
          <w:rFonts w:hint="eastAsia" w:ascii="仿宋_GB2312" w:hAnsi="仿宋_GB2312" w:eastAsia="仿宋_GB2312" w:cs="仿宋_GB2312"/>
          <w:color w:val="auto"/>
          <w:szCs w:val="21"/>
          <w:highlight w:val="none"/>
          <w:lang w:val="en-US" w:eastAsia="zh-CN"/>
        </w:rPr>
        <w:t>甲方</w:t>
      </w:r>
      <w:r>
        <w:rPr>
          <w:rFonts w:hint="eastAsia" w:ascii="仿宋_GB2312" w:hAnsi="仿宋_GB2312" w:eastAsia="仿宋_GB2312" w:cs="仿宋_GB2312"/>
          <w:color w:val="auto"/>
          <w:szCs w:val="21"/>
          <w:highlight w:val="none"/>
        </w:rPr>
        <w:t>有权直接从未付</w:t>
      </w:r>
      <w:r>
        <w:rPr>
          <w:rFonts w:hint="eastAsia" w:ascii="仿宋_GB2312" w:hAnsi="仿宋_GB2312" w:eastAsia="仿宋_GB2312" w:cs="仿宋_GB2312"/>
          <w:color w:val="auto"/>
          <w:szCs w:val="21"/>
          <w:highlight w:val="none"/>
          <w:lang w:val="en-US" w:eastAsia="zh-CN"/>
        </w:rPr>
        <w:t>物流配送服务费</w:t>
      </w:r>
      <w:r>
        <w:rPr>
          <w:rFonts w:hint="eastAsia" w:ascii="仿宋_GB2312" w:hAnsi="仿宋_GB2312" w:eastAsia="仿宋_GB2312" w:cs="仿宋_GB2312"/>
          <w:color w:val="auto"/>
          <w:szCs w:val="21"/>
          <w:highlight w:val="none"/>
        </w:rPr>
        <w:t>中直接扣除。</w:t>
      </w:r>
    </w:p>
    <w:p w14:paraId="1E4F2353">
      <w:pPr>
        <w:pStyle w:val="8"/>
        <w:ind w:firstLine="422" w:firstLineChars="200"/>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第七条 不可抗力</w:t>
      </w:r>
    </w:p>
    <w:p w14:paraId="0AE25B39">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本合同项下不可抗力是指战争、动乱、瘟疫、洪水、地震或其他灾害，以及其他不可预见、不可防止并不能避免或克服的事件。</w:t>
      </w:r>
    </w:p>
    <w:p w14:paraId="072BD3BA">
      <w:pPr>
        <w:widowControl/>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任何一方因不可抗力引起的履行延迟或履行不能的，不需承担违约责任。但受不可抗力影响的一方应尽快通知另一方，并在不可抗力事件发生后7日内，提供</w:t>
      </w:r>
      <w:r>
        <w:rPr>
          <w:rFonts w:hint="eastAsia" w:ascii="仿宋_GB2312" w:hAnsi="仿宋_GB2312" w:eastAsia="仿宋_GB2312" w:cs="仿宋_GB2312"/>
          <w:color w:val="auto"/>
          <w:szCs w:val="21"/>
          <w:highlight w:val="none"/>
          <w:lang w:val="en-US" w:eastAsia="zh-CN"/>
        </w:rPr>
        <w:t>相关</w:t>
      </w:r>
      <w:r>
        <w:rPr>
          <w:rFonts w:hint="eastAsia" w:ascii="仿宋_GB2312" w:hAnsi="仿宋_GB2312" w:eastAsia="仿宋_GB2312" w:cs="仿宋_GB2312"/>
          <w:color w:val="auto"/>
          <w:szCs w:val="21"/>
          <w:highlight w:val="none"/>
        </w:rPr>
        <w:t>证明文件。除非</w:t>
      </w:r>
      <w:r>
        <w:rPr>
          <w:rFonts w:hint="eastAsia" w:ascii="仿宋_GB2312" w:hAnsi="仿宋_GB2312" w:eastAsia="仿宋_GB2312" w:cs="仿宋_GB2312"/>
          <w:color w:val="auto"/>
          <w:szCs w:val="21"/>
          <w:highlight w:val="none"/>
          <w:lang w:val="en-US" w:eastAsia="zh-CN"/>
        </w:rPr>
        <w:t>甲方</w:t>
      </w:r>
      <w:r>
        <w:rPr>
          <w:rFonts w:hint="eastAsia" w:ascii="仿宋_GB2312" w:hAnsi="仿宋_GB2312" w:eastAsia="仿宋_GB2312" w:cs="仿宋_GB2312"/>
          <w:color w:val="auto"/>
          <w:szCs w:val="21"/>
          <w:highlight w:val="none"/>
        </w:rPr>
        <w:t>书面另有要求，否则</w:t>
      </w:r>
      <w:r>
        <w:rPr>
          <w:rFonts w:hint="eastAsia" w:ascii="仿宋_GB2312" w:hAnsi="仿宋_GB2312" w:eastAsia="仿宋_GB2312" w:cs="仿宋_GB2312"/>
          <w:color w:val="auto"/>
          <w:szCs w:val="21"/>
          <w:highlight w:val="none"/>
          <w:lang w:val="en-US" w:eastAsia="zh-CN"/>
        </w:rPr>
        <w:t>乙方</w:t>
      </w:r>
      <w:r>
        <w:rPr>
          <w:rFonts w:hint="eastAsia" w:ascii="仿宋_GB2312" w:hAnsi="仿宋_GB2312" w:eastAsia="仿宋_GB2312" w:cs="仿宋_GB2312"/>
          <w:color w:val="auto"/>
          <w:szCs w:val="21"/>
          <w:highlight w:val="none"/>
        </w:rPr>
        <w:t>应尽可能继续履行合同义务，以及寻求合理的方案履行未受不可抗力影响的其它事项。</w:t>
      </w:r>
    </w:p>
    <w:p w14:paraId="7DAFA85A">
      <w:pPr>
        <w:adjustRightInd w:val="0"/>
        <w:snapToGrid w:val="0"/>
        <w:spacing w:line="360" w:lineRule="auto"/>
        <w:ind w:firstLine="422" w:firstLineChars="200"/>
        <w:rPr>
          <w:rFonts w:ascii="仿宋_GB2312" w:hAnsi="仿宋_GB2312" w:eastAsia="仿宋_GB2312" w:cs="仿宋_GB2312"/>
          <w:b/>
          <w:bCs/>
          <w:color w:val="auto"/>
          <w:szCs w:val="21"/>
          <w:highlight w:val="none"/>
          <w:shd w:val="clear" w:color="auto" w:fill="FFFFFF"/>
        </w:rPr>
      </w:pPr>
      <w:r>
        <w:rPr>
          <w:rFonts w:hint="eastAsia" w:ascii="仿宋_GB2312" w:hAnsi="仿宋_GB2312" w:eastAsia="仿宋_GB2312" w:cs="仿宋_GB2312"/>
          <w:b/>
          <w:color w:val="auto"/>
          <w:szCs w:val="21"/>
          <w:highlight w:val="none"/>
        </w:rPr>
        <w:t xml:space="preserve">第八条 </w:t>
      </w:r>
      <w:r>
        <w:rPr>
          <w:rFonts w:hint="eastAsia" w:ascii="仿宋_GB2312" w:hAnsi="仿宋_GB2312" w:eastAsia="仿宋_GB2312" w:cs="仿宋_GB2312"/>
          <w:b/>
          <w:bCs/>
          <w:color w:val="auto"/>
          <w:szCs w:val="21"/>
          <w:highlight w:val="none"/>
          <w:shd w:val="clear" w:color="auto" w:fill="FFFFFF"/>
        </w:rPr>
        <w:t>争议解决</w:t>
      </w:r>
    </w:p>
    <w:p w14:paraId="41F285F0">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双方因履行本合同发生的争议，首先应友好协商解决。如友好协商不能解决的，任何一方</w:t>
      </w:r>
      <w:r>
        <w:rPr>
          <w:rFonts w:hint="eastAsia" w:ascii="仿宋_GB2312" w:hAnsi="仿宋_GB2312" w:eastAsia="仿宋_GB2312" w:cs="仿宋_GB2312"/>
          <w:vanish/>
          <w:color w:val="auto"/>
          <w:szCs w:val="21"/>
          <w:highlight w:val="none"/>
        </w:rPr>
        <w:t>一方</w:t>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vanish/>
          <w:color w:val="auto"/>
          <w:szCs w:val="21"/>
          <w:highlight w:val="none"/>
        </w:rPr>
        <w:pgNum/>
      </w:r>
      <w:r>
        <w:rPr>
          <w:rFonts w:hint="eastAsia" w:ascii="仿宋_GB2312" w:hAnsi="仿宋_GB2312" w:eastAsia="仿宋_GB2312" w:cs="仿宋_GB2312"/>
          <w:color w:val="auto"/>
          <w:szCs w:val="21"/>
          <w:highlight w:val="none"/>
        </w:rPr>
        <w:t>均可向</w:t>
      </w:r>
      <w:r>
        <w:rPr>
          <w:rFonts w:hint="eastAsia" w:ascii="仿宋_GB2312" w:hAnsi="仿宋_GB2312" w:eastAsia="仿宋_GB2312" w:cs="仿宋_GB2312"/>
          <w:color w:val="auto"/>
          <w:szCs w:val="21"/>
          <w:highlight w:val="none"/>
          <w:lang w:val="en-US" w:eastAsia="zh-CN"/>
        </w:rPr>
        <w:t>甲方</w:t>
      </w:r>
      <w:r>
        <w:rPr>
          <w:rFonts w:hint="eastAsia" w:ascii="仿宋_GB2312" w:hAnsi="仿宋_GB2312" w:eastAsia="仿宋_GB2312" w:cs="仿宋_GB2312"/>
          <w:color w:val="auto"/>
          <w:szCs w:val="21"/>
          <w:highlight w:val="none"/>
        </w:rPr>
        <w:t>住所地有管辖权的人民法院提起诉讼解决。</w:t>
      </w:r>
    </w:p>
    <w:p w14:paraId="4F409668">
      <w:pPr>
        <w:adjustRightInd w:val="0"/>
        <w:snapToGrid w:val="0"/>
        <w:spacing w:line="360" w:lineRule="auto"/>
        <w:ind w:firstLine="422" w:firstLineChars="200"/>
        <w:rPr>
          <w:rFonts w:ascii="仿宋_GB2312" w:hAnsi="仿宋_GB2312" w:eastAsia="仿宋_GB2312" w:cs="仿宋_GB2312"/>
          <w:b/>
          <w:bCs/>
          <w:color w:val="auto"/>
          <w:szCs w:val="21"/>
          <w:highlight w:val="none"/>
          <w:shd w:val="clear" w:color="auto" w:fill="FFFFFF"/>
        </w:rPr>
      </w:pPr>
      <w:r>
        <w:rPr>
          <w:rFonts w:hint="eastAsia" w:ascii="仿宋_GB2312" w:hAnsi="仿宋_GB2312" w:eastAsia="仿宋_GB2312" w:cs="仿宋_GB2312"/>
          <w:b/>
          <w:color w:val="auto"/>
          <w:szCs w:val="21"/>
          <w:highlight w:val="none"/>
        </w:rPr>
        <w:t xml:space="preserve">第九条 </w:t>
      </w:r>
      <w:r>
        <w:rPr>
          <w:rFonts w:hint="eastAsia" w:ascii="仿宋_GB2312" w:hAnsi="仿宋_GB2312" w:eastAsia="仿宋_GB2312" w:cs="仿宋_GB2312"/>
          <w:b/>
          <w:bCs/>
          <w:color w:val="auto"/>
          <w:szCs w:val="21"/>
          <w:highlight w:val="none"/>
          <w:shd w:val="clear" w:color="auto" w:fill="FFFFFF"/>
        </w:rPr>
        <w:t>其他</w:t>
      </w:r>
    </w:p>
    <w:p w14:paraId="19F35B7F">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本合同自甲乙双方法定代表人或负责人或委托代理人签字并盖章之日起生效。</w:t>
      </w:r>
    </w:p>
    <w:p w14:paraId="391DAD87">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本合同生效后，甲乙双方对本合同中未约定或约定不明的内容可另行签订书面协议进行补充，补充协议与本合同同具法律效力。</w:t>
      </w:r>
    </w:p>
    <w:p w14:paraId="2EFB154F">
      <w:pPr>
        <w:pStyle w:val="8"/>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如</w:t>
      </w:r>
      <w:r>
        <w:rPr>
          <w:rFonts w:hint="eastAsia" w:ascii="仿宋_GB2312" w:hAnsi="仿宋_GB2312" w:eastAsia="仿宋_GB2312" w:cs="仿宋_GB2312"/>
          <w:color w:val="auto"/>
          <w:szCs w:val="21"/>
          <w:highlight w:val="none"/>
          <w:lang w:val="en-US" w:eastAsia="zh-CN"/>
        </w:rPr>
        <w:t>甲方</w:t>
      </w:r>
      <w:r>
        <w:rPr>
          <w:rFonts w:hint="eastAsia" w:ascii="仿宋_GB2312" w:hAnsi="仿宋_GB2312" w:eastAsia="仿宋_GB2312" w:cs="仿宋_GB2312"/>
          <w:color w:val="auto"/>
          <w:szCs w:val="21"/>
          <w:highlight w:val="none"/>
        </w:rPr>
        <w:t>有意放弃根据本协议的条款或条件享有的权利，则</w:t>
      </w:r>
      <w:r>
        <w:rPr>
          <w:rFonts w:hint="eastAsia" w:ascii="仿宋_GB2312" w:hAnsi="仿宋_GB2312" w:eastAsia="仿宋_GB2312" w:cs="仿宋_GB2312"/>
          <w:color w:val="auto"/>
          <w:szCs w:val="21"/>
          <w:highlight w:val="none"/>
          <w:lang w:val="en-US" w:eastAsia="zh-CN"/>
        </w:rPr>
        <w:t>甲方</w:t>
      </w:r>
      <w:r>
        <w:rPr>
          <w:rFonts w:hint="eastAsia" w:ascii="仿宋_GB2312" w:hAnsi="仿宋_GB2312" w:eastAsia="仿宋_GB2312" w:cs="仿宋_GB2312"/>
          <w:color w:val="auto"/>
          <w:szCs w:val="21"/>
          <w:highlight w:val="none"/>
        </w:rPr>
        <w:t>应签署书面的弃权书，并特别指明放弃何条款或条件中的权利，否则不视为弃权。</w:t>
      </w:r>
    </w:p>
    <w:p w14:paraId="2928466D">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本合同一式</w:t>
      </w:r>
      <w:r>
        <w:rPr>
          <w:rFonts w:hint="eastAsia" w:ascii="仿宋_GB2312" w:hAnsi="仿宋_GB2312" w:eastAsia="仿宋_GB2312" w:cs="仿宋_GB2312"/>
          <w:color w:val="auto"/>
          <w:szCs w:val="21"/>
          <w:highlight w:val="none"/>
          <w:u w:val="single"/>
          <w:lang w:val="en-US" w:eastAsia="zh-CN"/>
        </w:rPr>
        <w:t>伍</w:t>
      </w:r>
      <w:r>
        <w:rPr>
          <w:rFonts w:hint="eastAsia" w:ascii="仿宋_GB2312" w:hAnsi="仿宋_GB2312" w:eastAsia="仿宋_GB2312" w:cs="仿宋_GB2312"/>
          <w:color w:val="auto"/>
          <w:szCs w:val="21"/>
          <w:highlight w:val="none"/>
        </w:rPr>
        <w:t>份，</w:t>
      </w:r>
      <w:r>
        <w:rPr>
          <w:rFonts w:hint="eastAsia" w:ascii="仿宋_GB2312" w:hAnsi="仿宋_GB2312" w:eastAsia="仿宋_GB2312" w:cs="仿宋_GB2312"/>
          <w:color w:val="auto"/>
          <w:szCs w:val="21"/>
          <w:highlight w:val="none"/>
          <w:lang w:val="en-US" w:eastAsia="zh-CN"/>
        </w:rPr>
        <w:t>甲方</w:t>
      </w:r>
      <w:r>
        <w:rPr>
          <w:rFonts w:hint="eastAsia" w:ascii="仿宋_GB2312" w:hAnsi="仿宋_GB2312" w:eastAsia="仿宋_GB2312" w:cs="仿宋_GB2312"/>
          <w:color w:val="auto"/>
          <w:szCs w:val="21"/>
          <w:highlight w:val="none"/>
        </w:rPr>
        <w:t>执</w:t>
      </w:r>
      <w:r>
        <w:rPr>
          <w:rFonts w:hint="eastAsia" w:ascii="仿宋_GB2312" w:hAnsi="仿宋_GB2312" w:eastAsia="仿宋_GB2312" w:cs="仿宋_GB2312"/>
          <w:color w:val="auto"/>
          <w:szCs w:val="21"/>
          <w:highlight w:val="none"/>
          <w:u w:val="single"/>
          <w:lang w:val="en-US" w:eastAsia="zh-CN"/>
        </w:rPr>
        <w:t>叁</w:t>
      </w:r>
      <w:r>
        <w:rPr>
          <w:rFonts w:hint="eastAsia" w:ascii="仿宋_GB2312" w:hAnsi="仿宋_GB2312" w:eastAsia="仿宋_GB2312" w:cs="仿宋_GB2312"/>
          <w:color w:val="auto"/>
          <w:szCs w:val="21"/>
          <w:highlight w:val="none"/>
        </w:rPr>
        <w:t>份，</w:t>
      </w:r>
      <w:r>
        <w:rPr>
          <w:rFonts w:hint="eastAsia" w:ascii="仿宋_GB2312" w:hAnsi="仿宋_GB2312" w:eastAsia="仿宋_GB2312" w:cs="仿宋_GB2312"/>
          <w:color w:val="auto"/>
          <w:szCs w:val="21"/>
          <w:highlight w:val="none"/>
          <w:lang w:val="en-US" w:eastAsia="zh-CN"/>
        </w:rPr>
        <w:t>乙方</w:t>
      </w:r>
      <w:r>
        <w:rPr>
          <w:rFonts w:hint="eastAsia" w:ascii="仿宋_GB2312" w:hAnsi="仿宋_GB2312" w:eastAsia="仿宋_GB2312" w:cs="仿宋_GB2312"/>
          <w:color w:val="auto"/>
          <w:szCs w:val="21"/>
          <w:highlight w:val="none"/>
        </w:rPr>
        <w:t>执</w:t>
      </w:r>
      <w:r>
        <w:rPr>
          <w:rFonts w:hint="eastAsia" w:ascii="仿宋_GB2312" w:hAnsi="仿宋_GB2312" w:eastAsia="仿宋_GB2312" w:cs="仿宋_GB2312"/>
          <w:color w:val="auto"/>
          <w:szCs w:val="21"/>
          <w:highlight w:val="none"/>
          <w:u w:val="single"/>
          <w:lang w:val="en-US" w:eastAsia="zh-CN"/>
        </w:rPr>
        <w:t>贰</w:t>
      </w:r>
      <w:r>
        <w:rPr>
          <w:rFonts w:hint="eastAsia" w:ascii="仿宋_GB2312" w:hAnsi="仿宋_GB2312" w:eastAsia="仿宋_GB2312" w:cs="仿宋_GB2312"/>
          <w:color w:val="auto"/>
          <w:szCs w:val="21"/>
          <w:highlight w:val="none"/>
        </w:rPr>
        <w:t>份，均具有同等法律效力。</w:t>
      </w:r>
    </w:p>
    <w:bookmarkEnd w:id="41"/>
    <w:p w14:paraId="4513422C">
      <w:pPr>
        <w:pStyle w:val="8"/>
        <w:spacing w:line="360" w:lineRule="auto"/>
        <w:ind w:firstLine="420" w:firstLineChars="20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5.本合同附件是合同组成部分，与本合同同具法律效力，附件与本合同不一致的，以本合同约定为准。</w:t>
      </w:r>
    </w:p>
    <w:p w14:paraId="421643CE">
      <w:pPr>
        <w:tabs>
          <w:tab w:val="left" w:pos="4678"/>
        </w:tabs>
        <w:snapToGrid w:val="0"/>
        <w:spacing w:line="360" w:lineRule="auto"/>
        <w:ind w:firstLine="420" w:firstLineChars="200"/>
        <w:rPr>
          <w:rFonts w:hint="eastAsia" w:ascii="仿宋_GB2312" w:hAnsi="仿宋_GB2312" w:eastAsia="仿宋_GB2312" w:cs="仿宋_GB2312"/>
          <w:color w:val="auto"/>
          <w:szCs w:val="21"/>
          <w:highlight w:val="none"/>
        </w:rPr>
      </w:pPr>
    </w:p>
    <w:p w14:paraId="58692A3E">
      <w:pPr>
        <w:tabs>
          <w:tab w:val="left" w:pos="4678"/>
        </w:tabs>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附件1：阳光合作告知函</w:t>
      </w:r>
    </w:p>
    <w:p w14:paraId="12C52A6E">
      <w:pPr>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附件2：报价文件</w:t>
      </w:r>
    </w:p>
    <w:p w14:paraId="5A0A7115">
      <w:pPr>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附件3：用户需求书</w:t>
      </w:r>
    </w:p>
    <w:p w14:paraId="4F3F67CD">
      <w:pPr>
        <w:snapToGrid w:val="0"/>
        <w:spacing w:line="360" w:lineRule="auto"/>
        <w:rPr>
          <w:rFonts w:eastAsiaTheme="minorEastAsia"/>
          <w:color w:val="auto"/>
          <w:szCs w:val="21"/>
          <w:highlight w:val="none"/>
        </w:rPr>
      </w:pPr>
    </w:p>
    <w:p w14:paraId="18CC385D">
      <w:pPr>
        <w:snapToGrid w:val="0"/>
        <w:spacing w:line="360" w:lineRule="auto"/>
        <w:rPr>
          <w:rFonts w:eastAsiaTheme="minorEastAsia"/>
          <w:color w:val="auto"/>
          <w:szCs w:val="21"/>
          <w:highlight w:val="none"/>
        </w:rPr>
      </w:pPr>
      <w:r>
        <w:rPr>
          <w:rFonts w:eastAsiaTheme="minorEastAsia"/>
          <w:color w:val="auto"/>
          <w:szCs w:val="21"/>
          <w:highlight w:val="none"/>
        </w:rPr>
        <w:t>（以下无正文，为本合同签署栏）</w:t>
      </w:r>
    </w:p>
    <w:tbl>
      <w:tblPr>
        <w:tblStyle w:val="20"/>
        <w:tblW w:w="9974" w:type="dxa"/>
        <w:jc w:val="center"/>
        <w:tblLayout w:type="fixed"/>
        <w:tblCellMar>
          <w:top w:w="0" w:type="dxa"/>
          <w:left w:w="108" w:type="dxa"/>
          <w:bottom w:w="0" w:type="dxa"/>
          <w:right w:w="108" w:type="dxa"/>
        </w:tblCellMar>
      </w:tblPr>
      <w:tblGrid>
        <w:gridCol w:w="4832"/>
        <w:gridCol w:w="247"/>
        <w:gridCol w:w="4895"/>
      </w:tblGrid>
      <w:tr w14:paraId="5F121388">
        <w:tblPrEx>
          <w:tblCellMar>
            <w:top w:w="0" w:type="dxa"/>
            <w:left w:w="108" w:type="dxa"/>
            <w:bottom w:w="0" w:type="dxa"/>
            <w:right w:w="108" w:type="dxa"/>
          </w:tblCellMar>
        </w:tblPrEx>
        <w:trPr>
          <w:jc w:val="center"/>
        </w:trPr>
        <w:tc>
          <w:tcPr>
            <w:tcW w:w="4832" w:type="dxa"/>
          </w:tcPr>
          <w:p w14:paraId="46763350">
            <w:pPr>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甲方</w:t>
            </w:r>
            <w:r>
              <w:rPr>
                <w:rFonts w:hint="eastAsia" w:ascii="仿宋_GB2312" w:hAnsi="仿宋_GB2312" w:eastAsia="仿宋_GB2312" w:cs="仿宋_GB2312"/>
                <w:color w:val="auto"/>
                <w:szCs w:val="21"/>
                <w:highlight w:val="none"/>
              </w:rPr>
              <w:t>（盖章）：</w:t>
            </w:r>
            <w:r>
              <w:rPr>
                <w:rFonts w:hint="eastAsia" w:ascii="仿宋_GB2312" w:hAnsi="仿宋_GB2312" w:eastAsia="仿宋_GB2312" w:cs="仿宋_GB2312"/>
                <w:color w:val="auto"/>
                <w:szCs w:val="21"/>
                <w:highlight w:val="none"/>
                <w:lang w:val="en-US" w:eastAsia="zh-CN"/>
              </w:rPr>
              <w:t>东莞市福地饮用水有限公司</w:t>
            </w:r>
          </w:p>
          <w:p w14:paraId="4015398B">
            <w:pPr>
              <w:spacing w:line="360" w:lineRule="auto"/>
              <w:rPr>
                <w:rFonts w:ascii="仿宋_GB2312" w:hAnsi="仿宋_GB2312" w:eastAsia="仿宋_GB2312" w:cs="仿宋_GB2312"/>
                <w:color w:val="auto"/>
                <w:szCs w:val="21"/>
                <w:highlight w:val="none"/>
              </w:rPr>
            </w:pPr>
          </w:p>
          <w:p w14:paraId="4C44D392">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w:t>
            </w:r>
            <w:r>
              <w:rPr>
                <w:rFonts w:hint="eastAsia" w:ascii="仿宋_GB2312" w:hAnsi="仿宋_GB2312" w:eastAsia="仿宋_GB2312" w:cs="仿宋_GB2312"/>
                <w:color w:val="auto"/>
                <w:szCs w:val="21"/>
                <w:highlight w:val="none"/>
                <w:lang w:val="en-US" w:eastAsia="zh-CN"/>
              </w:rPr>
              <w:t>/负责人</w:t>
            </w:r>
            <w:r>
              <w:rPr>
                <w:rFonts w:hint="eastAsia" w:ascii="仿宋_GB2312" w:hAnsi="仿宋_GB2312" w:eastAsia="仿宋_GB2312" w:cs="仿宋_GB2312"/>
                <w:color w:val="auto"/>
                <w:szCs w:val="21"/>
                <w:highlight w:val="none"/>
              </w:rPr>
              <w:t>（或委托代理人）：</w:t>
            </w:r>
          </w:p>
          <w:p w14:paraId="2D7117FD">
            <w:pPr>
              <w:pStyle w:val="8"/>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（盖章或签字）                                     </w:t>
            </w:r>
          </w:p>
        </w:tc>
        <w:tc>
          <w:tcPr>
            <w:tcW w:w="247" w:type="dxa"/>
          </w:tcPr>
          <w:p w14:paraId="311FA83E">
            <w:pPr>
              <w:spacing w:line="360" w:lineRule="auto"/>
              <w:rPr>
                <w:rFonts w:ascii="仿宋_GB2312" w:hAnsi="仿宋_GB2312" w:eastAsia="仿宋_GB2312" w:cs="仿宋_GB2312"/>
                <w:color w:val="auto"/>
                <w:szCs w:val="21"/>
                <w:highlight w:val="none"/>
              </w:rPr>
            </w:pPr>
          </w:p>
        </w:tc>
        <w:tc>
          <w:tcPr>
            <w:tcW w:w="4895" w:type="dxa"/>
          </w:tcPr>
          <w:p w14:paraId="60B4E4C6">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乙方</w:t>
            </w:r>
            <w:r>
              <w:rPr>
                <w:rFonts w:hint="eastAsia" w:ascii="仿宋_GB2312" w:hAnsi="仿宋_GB2312" w:eastAsia="仿宋_GB2312" w:cs="仿宋_GB2312"/>
                <w:color w:val="auto"/>
                <w:szCs w:val="21"/>
                <w:highlight w:val="none"/>
              </w:rPr>
              <w:t>（盖章）：</w:t>
            </w:r>
          </w:p>
          <w:p w14:paraId="5E74131D">
            <w:pPr>
              <w:spacing w:line="360" w:lineRule="auto"/>
              <w:rPr>
                <w:rFonts w:ascii="仿宋_GB2312" w:hAnsi="仿宋_GB2312" w:eastAsia="仿宋_GB2312" w:cs="仿宋_GB2312"/>
                <w:color w:val="auto"/>
                <w:szCs w:val="21"/>
                <w:highlight w:val="none"/>
              </w:rPr>
            </w:pPr>
          </w:p>
          <w:p w14:paraId="194027D5">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法定代表人/负责人（或委托代理人）：</w:t>
            </w:r>
          </w:p>
          <w:p w14:paraId="410FE2BD">
            <w:pPr>
              <w:pStyle w:val="8"/>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（盖章或签字）</w:t>
            </w:r>
          </w:p>
        </w:tc>
      </w:tr>
      <w:tr w14:paraId="71656867">
        <w:tblPrEx>
          <w:tblCellMar>
            <w:top w:w="0" w:type="dxa"/>
            <w:left w:w="108" w:type="dxa"/>
            <w:bottom w:w="0" w:type="dxa"/>
            <w:right w:w="108" w:type="dxa"/>
          </w:tblCellMar>
        </w:tblPrEx>
        <w:trPr>
          <w:trHeight w:val="432" w:hRule="atLeast"/>
          <w:jc w:val="center"/>
        </w:trPr>
        <w:tc>
          <w:tcPr>
            <w:tcW w:w="4832" w:type="dxa"/>
          </w:tcPr>
          <w:p w14:paraId="75C55BA0">
            <w:pPr>
              <w:spacing w:line="360" w:lineRule="auto"/>
              <w:rPr>
                <w:rFonts w:ascii="仿宋_GB2312" w:hAnsi="仿宋_GB2312" w:eastAsia="仿宋_GB2312" w:cs="仿宋_GB2312"/>
                <w:color w:val="auto"/>
                <w:szCs w:val="21"/>
                <w:highlight w:val="none"/>
              </w:rPr>
            </w:pPr>
          </w:p>
          <w:p w14:paraId="220A56E7">
            <w:pPr>
              <w:spacing w:line="360" w:lineRule="auto"/>
              <w:rPr>
                <w:rFonts w:ascii="仿宋_GB2312" w:hAnsi="仿宋_GB2312" w:eastAsia="仿宋_GB2312" w:cs="仿宋_GB2312"/>
                <w:color w:val="auto"/>
                <w:szCs w:val="21"/>
                <w:highlight w:val="none"/>
              </w:rPr>
            </w:pPr>
          </w:p>
          <w:p w14:paraId="770D9064">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签订日期：</w:t>
            </w:r>
          </w:p>
        </w:tc>
        <w:tc>
          <w:tcPr>
            <w:tcW w:w="247" w:type="dxa"/>
          </w:tcPr>
          <w:p w14:paraId="7CE90B8A">
            <w:pPr>
              <w:spacing w:line="360" w:lineRule="auto"/>
              <w:rPr>
                <w:rFonts w:ascii="仿宋_GB2312" w:hAnsi="仿宋_GB2312" w:eastAsia="仿宋_GB2312" w:cs="仿宋_GB2312"/>
                <w:color w:val="auto"/>
                <w:szCs w:val="21"/>
                <w:highlight w:val="none"/>
              </w:rPr>
            </w:pPr>
          </w:p>
        </w:tc>
        <w:tc>
          <w:tcPr>
            <w:tcW w:w="4895" w:type="dxa"/>
          </w:tcPr>
          <w:p w14:paraId="56003BB4">
            <w:pPr>
              <w:spacing w:line="360" w:lineRule="auto"/>
              <w:rPr>
                <w:rFonts w:ascii="仿宋_GB2312" w:hAnsi="仿宋_GB2312" w:eastAsia="仿宋_GB2312" w:cs="仿宋_GB2312"/>
                <w:color w:val="auto"/>
                <w:szCs w:val="21"/>
                <w:highlight w:val="none"/>
              </w:rPr>
            </w:pPr>
          </w:p>
        </w:tc>
      </w:tr>
    </w:tbl>
    <w:p w14:paraId="4DA26CB6">
      <w:pPr>
        <w:keepNext w:val="0"/>
        <w:keepLines w:val="0"/>
        <w:pageBreakBefore/>
        <w:widowControl w:val="0"/>
        <w:tabs>
          <w:tab w:val="left" w:pos="540"/>
          <w:tab w:val="left" w:pos="780"/>
        </w:tabs>
        <w:kinsoku/>
        <w:wordWrap/>
        <w:overflowPunct/>
        <w:topLinePunct w:val="0"/>
        <w:autoSpaceDE/>
        <w:autoSpaceDN/>
        <w:bidi w:val="0"/>
        <w:adjustRightInd/>
        <w:snapToGrid/>
        <w:spacing w:line="360" w:lineRule="auto"/>
        <w:textAlignment w:val="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附件1：阳光合作告知函</w:t>
      </w:r>
    </w:p>
    <w:p w14:paraId="0CD7661A">
      <w:pPr>
        <w:spacing w:line="580" w:lineRule="exact"/>
        <w:jc w:val="center"/>
        <w:rPr>
          <w:rFonts w:eastAsia="方正小标宋简体"/>
          <w:bCs/>
          <w:color w:val="auto"/>
          <w:sz w:val="44"/>
          <w:szCs w:val="44"/>
          <w:highlight w:val="none"/>
        </w:rPr>
      </w:pPr>
      <w:r>
        <w:rPr>
          <w:rFonts w:eastAsia="方正小标宋简体"/>
          <w:bCs/>
          <w:color w:val="auto"/>
          <w:sz w:val="44"/>
          <w:szCs w:val="44"/>
          <w:highlight w:val="none"/>
        </w:rPr>
        <w:t>阳光合作告知函</w:t>
      </w:r>
    </w:p>
    <w:p w14:paraId="2ED4DB80">
      <w:pPr>
        <w:spacing w:line="560" w:lineRule="exact"/>
        <w:rPr>
          <w:rFonts w:eastAsia="仿宋_GB2312"/>
          <w:b/>
          <w:bCs/>
          <w:color w:val="auto"/>
          <w:sz w:val="32"/>
          <w:szCs w:val="32"/>
          <w:highlight w:val="none"/>
        </w:rPr>
      </w:pPr>
    </w:p>
    <w:p w14:paraId="1E5115D1">
      <w:pPr>
        <w:spacing w:line="56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项目名称：</w:t>
      </w:r>
      <w:r>
        <w:rPr>
          <w:rFonts w:hint="eastAsia" w:ascii="仿宋_GB2312" w:hAnsi="仿宋_GB2312" w:eastAsia="仿宋_GB2312" w:cs="仿宋_GB2312"/>
          <w:bCs/>
          <w:kern w:val="2"/>
          <w:sz w:val="21"/>
          <w:szCs w:val="21"/>
          <w:highlight w:val="none"/>
          <w:lang w:eastAsia="zh-CN"/>
        </w:rPr>
        <w:t>东莞市福地饮用水有限公司</w:t>
      </w:r>
      <w:r>
        <w:rPr>
          <w:rFonts w:hint="eastAsia" w:ascii="仿宋_GB2312" w:hAnsi="仿宋_GB2312" w:eastAsia="仿宋_GB2312" w:cs="仿宋_GB2312"/>
          <w:bCs/>
          <w:kern w:val="2"/>
          <w:sz w:val="21"/>
          <w:szCs w:val="21"/>
          <w:highlight w:val="none"/>
          <w:lang w:val="en-US" w:eastAsia="zh-CN"/>
        </w:rPr>
        <w:t>2025年</w:t>
      </w:r>
      <w:r>
        <w:rPr>
          <w:rFonts w:hint="eastAsia" w:ascii="仿宋_GB2312" w:hAnsi="仿宋_GB2312" w:eastAsia="仿宋_GB2312" w:cs="仿宋_GB2312"/>
          <w:bCs/>
          <w:kern w:val="2"/>
          <w:sz w:val="21"/>
          <w:szCs w:val="21"/>
          <w:highlight w:val="none"/>
          <w:lang w:eastAsia="zh-CN"/>
        </w:rPr>
        <w:t>包装水（</w:t>
      </w:r>
      <w:r>
        <w:rPr>
          <w:rFonts w:hint="eastAsia" w:ascii="仿宋_GB2312" w:hAnsi="仿宋_GB2312" w:eastAsia="仿宋_GB2312" w:cs="仿宋_GB2312"/>
          <w:bCs/>
          <w:szCs w:val="21"/>
          <w:highlight w:val="none"/>
        </w:rPr>
        <w:t>20件及以上</w:t>
      </w:r>
      <w:r>
        <w:rPr>
          <w:rFonts w:hint="eastAsia" w:ascii="仿宋_GB2312" w:hAnsi="仿宋_GB2312" w:eastAsia="仿宋_GB2312" w:cs="仿宋_GB2312"/>
          <w:bCs/>
          <w:kern w:val="2"/>
          <w:sz w:val="21"/>
          <w:szCs w:val="21"/>
          <w:highlight w:val="none"/>
          <w:lang w:eastAsia="zh-CN"/>
        </w:rPr>
        <w:t>）物流配送服务采购项目</w:t>
      </w:r>
      <w:r>
        <w:rPr>
          <w:rFonts w:hint="eastAsia" w:ascii="仿宋_GB2312" w:hAnsi="仿宋_GB2312" w:eastAsia="仿宋_GB2312" w:cs="仿宋_GB2312"/>
          <w:color w:val="auto"/>
          <w:szCs w:val="21"/>
          <w:highlight w:val="none"/>
        </w:rPr>
        <w:t xml:space="preserve"> （采购编号：</w:t>
      </w:r>
      <w:r>
        <w:rPr>
          <w:rFonts w:hint="eastAsia" w:ascii="仿宋_GB2312" w:hAnsi="仿宋_GB2312" w:eastAsia="仿宋_GB2312" w:cs="仿宋_GB2312"/>
          <w:bCs/>
          <w:szCs w:val="21"/>
          <w:highlight w:val="none"/>
          <w:u w:val="single"/>
        </w:rPr>
        <w:t>FDCG202500</w:t>
      </w:r>
      <w:r>
        <w:rPr>
          <w:rFonts w:hint="eastAsia" w:ascii="仿宋_GB2312" w:hAnsi="仿宋_GB2312" w:eastAsia="仿宋_GB2312" w:cs="仿宋_GB2312"/>
          <w:bCs/>
          <w:szCs w:val="21"/>
          <w:highlight w:val="none"/>
          <w:u w:val="single"/>
          <w:lang w:val="en-US" w:eastAsia="zh-CN"/>
        </w:rPr>
        <w:t>10</w:t>
      </w:r>
      <w:r>
        <w:rPr>
          <w:rFonts w:hint="eastAsia" w:ascii="仿宋_GB2312" w:hAnsi="仿宋_GB2312" w:eastAsia="仿宋_GB2312" w:cs="仿宋_GB2312"/>
          <w:color w:val="auto"/>
          <w:szCs w:val="21"/>
          <w:highlight w:val="none"/>
        </w:rPr>
        <w:t>）</w:t>
      </w:r>
    </w:p>
    <w:p w14:paraId="10608D59">
      <w:pPr>
        <w:pStyle w:val="55"/>
        <w:snapToGrid w:val="0"/>
        <w:spacing w:line="580" w:lineRule="exact"/>
        <w:ind w:firstLine="0"/>
        <w:rPr>
          <w:rFonts w:ascii="仿宋_GB2312" w:hAnsi="仿宋_GB2312" w:eastAsia="仿宋_GB2312" w:cs="仿宋_GB2312"/>
          <w:color w:val="auto"/>
          <w:highlight w:val="none"/>
          <w:u w:val="single"/>
        </w:rPr>
      </w:pPr>
      <w:r>
        <w:rPr>
          <w:rFonts w:hint="eastAsia" w:ascii="仿宋_GB2312" w:hAnsi="仿宋_GB2312" w:eastAsia="仿宋_GB2312" w:cs="仿宋_GB2312"/>
          <w:bCs/>
          <w:highlight w:val="none"/>
          <w:u w:val="single"/>
          <w:lang w:eastAsia="zh-CN"/>
        </w:rPr>
        <w:t xml:space="preserve"> </w:t>
      </w:r>
      <w:r>
        <w:rPr>
          <w:rFonts w:hint="eastAsia" w:ascii="仿宋_GB2312" w:hAnsi="仿宋_GB2312" w:eastAsia="仿宋_GB2312" w:cs="仿宋_GB2312"/>
          <w:bCs/>
          <w:highlight w:val="none"/>
          <w:u w:val="single"/>
          <w:lang w:val="en-US" w:eastAsia="zh-CN"/>
        </w:rPr>
        <w:t xml:space="preserve">      </w:t>
      </w:r>
      <w:r>
        <w:rPr>
          <w:rFonts w:hint="eastAsia" w:ascii="仿宋_GB2312" w:hAnsi="仿宋_GB2312" w:eastAsia="仿宋_GB2312" w:cs="仿宋_GB2312"/>
          <w:color w:val="auto"/>
          <w:highlight w:val="none"/>
        </w:rPr>
        <w:t xml:space="preserve">：                          </w:t>
      </w:r>
    </w:p>
    <w:p w14:paraId="774A7D33">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为保证我公司人员廉洁从业，规范和鼓励诚信交易行为，防止腐败和商业贿赂发生，推动双方建立阳光合作关系，现将我方推行阳光合作的相关管理规定函告如下：</w:t>
      </w:r>
    </w:p>
    <w:p w14:paraId="5EA8923B">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一、我方负责对本单位有关人员进行阳光合作教育和管理。</w:t>
      </w:r>
    </w:p>
    <w:p w14:paraId="6D3C2336">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二、我方人员有责任向贵方介绍本单位有关阳光合作的相关规定。</w:t>
      </w:r>
    </w:p>
    <w:p w14:paraId="6BCFEB58">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三、我方人员应本着诚实守信、公平公开、平等互利原则开展交易合作，遵守国家相关法律法规。</w:t>
      </w:r>
    </w:p>
    <w:p w14:paraId="23F35DA1">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四、我方人员应廉洁从业，自觉抵制商业贿赂及不正当交易行为，在交易业务中涉及本人、亲属或其他相关人员时，应主动提请回避。</w:t>
      </w:r>
    </w:p>
    <w:p w14:paraId="490E02EB">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五、在业务合作过程中，我方人员不得有以下违法违规行为：</w:t>
      </w:r>
    </w:p>
    <w:p w14:paraId="7E7EF9E0">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（一）合作过程中通过各种方式向贵方索贿、行贿，或为亲属、其他相关人员索取其他协助或服务； </w:t>
      </w:r>
    </w:p>
    <w:p w14:paraId="46712012">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合作过程中通过各种方式收受贵方财物、服务，或为他人谋取不正当利益，包括但不限于：实物、现金、有价证券、礼券等有价物品（以下统称“财物”），不得参加贵方提供的旅游或其他可能影响职务廉洁的活动；</w:t>
      </w:r>
    </w:p>
    <w:p w14:paraId="43E6E8AE">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（三）擅自截留、挪用或侵占贵方财物； </w:t>
      </w:r>
    </w:p>
    <w:p w14:paraId="1F368219">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（四）以各种形式参与民间借贷，帮助贵方过桥借贷； </w:t>
      </w:r>
    </w:p>
    <w:p w14:paraId="0CC784BD">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（五）参与黄、赌、毒等违法犯罪活动；</w:t>
      </w:r>
    </w:p>
    <w:p w14:paraId="353135AE">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（六）其他违反国家法律法规和违反廉洁从业的行为。 </w:t>
      </w:r>
    </w:p>
    <w:p w14:paraId="416A3DF3">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六、在业务合作期间，我方有权通过回访等方式监督阳光合作执行情况。贵方及贵方人员发现我方任何人员任何形式的行贿、索贿、受贿或其他违反阳光合作的行为，可及时向我方举报。</w:t>
      </w:r>
    </w:p>
    <w:p w14:paraId="3CF5C9C7">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七、烦请贵方及贵方人员在投诉举报时，积极配合我方的相关调查工作，并提供联系方式等，便于我方纪检监察机构联系与调查核实。我方承诺对贵方的投诉举报人进行保密。</w:t>
      </w:r>
    </w:p>
    <w:p w14:paraId="23F577A4">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八、贵方投诉举报的情况，经查证属实，我方将视情节轻重和影响恶劣程度对相关人员进行内部处理；构成犯罪的，依法移送司法机关处置，并将调查结果及时向贵方反馈。</w:t>
      </w:r>
    </w:p>
    <w:p w14:paraId="0F102E46">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九、如贵方经办人员或其他相关人员主动诱使我方人员作出本告知函第五点列明的违法违规行为的，我方有权终止双方的合作，由此造成的损失由贵方承担。</w:t>
      </w:r>
    </w:p>
    <w:p w14:paraId="4CF596DE">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十、我方对如实举报和严格遵守阳光合作精神的合作方，在同等条件下给予后续合作的优先权。</w:t>
      </w:r>
    </w:p>
    <w:p w14:paraId="12FFC85F">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十一、</w:t>
      </w:r>
      <w:bookmarkStart w:id="42" w:name="OLE_LINK1"/>
      <w:r>
        <w:rPr>
          <w:rFonts w:hint="eastAsia" w:ascii="仿宋_GB2312" w:hAnsi="仿宋_GB2312" w:eastAsia="仿宋_GB2312" w:cs="仿宋_GB2312"/>
          <w:color w:val="auto"/>
          <w:highlight w:val="none"/>
        </w:rPr>
        <w:t>其他</w:t>
      </w:r>
    </w:p>
    <w:p w14:paraId="7E41E828">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（一）本告知函所言“其他相关人员”是指经办人以外的与合作项目有直接或间接利益关系的人员，包括但不仅限于项目经办人的亲友。</w:t>
      </w:r>
    </w:p>
    <w:bookmarkEnd w:id="42"/>
    <w:p w14:paraId="320CB13D">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（二）我方常设投诉举报受理部门及联系方式： </w:t>
      </w:r>
    </w:p>
    <w:p w14:paraId="54C34792">
      <w:pPr>
        <w:pStyle w:val="55"/>
        <w:snapToGrid w:val="0"/>
        <w:spacing w:line="5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1.投诉举报受理部门：</w:t>
      </w:r>
      <w:r>
        <w:rPr>
          <w:rFonts w:hint="eastAsia" w:ascii="仿宋_GB2312" w:hAnsi="仿宋_GB2312" w:eastAsia="仿宋_GB2312" w:cs="仿宋_GB2312"/>
          <w:color w:val="auto"/>
          <w:highlight w:val="none"/>
        </w:rPr>
        <w:t>东莞市水务环境投资控股集团有限公司纪检监察部；</w:t>
      </w:r>
    </w:p>
    <w:p w14:paraId="37B24861">
      <w:pPr>
        <w:pStyle w:val="55"/>
        <w:snapToGrid w:val="0"/>
        <w:spacing w:line="5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2.投诉举报电话：</w:t>
      </w:r>
      <w:r>
        <w:rPr>
          <w:rFonts w:hint="eastAsia" w:ascii="仿宋_GB2312" w:hAnsi="仿宋_GB2312" w:eastAsia="仿宋_GB2312" w:cs="仿宋_GB2312"/>
          <w:color w:val="auto"/>
          <w:highlight w:val="none"/>
        </w:rPr>
        <w:t>0769–28823293（星期一至星期五：8:30-17:30）；</w:t>
      </w:r>
    </w:p>
    <w:p w14:paraId="6320EBA1">
      <w:pPr>
        <w:pStyle w:val="55"/>
        <w:snapToGrid w:val="0"/>
        <w:spacing w:line="5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3.联系地址：</w:t>
      </w:r>
      <w:r>
        <w:rPr>
          <w:rFonts w:hint="eastAsia" w:ascii="仿宋_GB2312" w:hAnsi="仿宋_GB2312" w:eastAsia="仿宋_GB2312" w:cs="仿宋_GB2312"/>
          <w:color w:val="auto"/>
          <w:highlight w:val="none"/>
        </w:rPr>
        <w:t>东莞市东城街道育华路1号；</w:t>
      </w:r>
    </w:p>
    <w:p w14:paraId="4A98C633">
      <w:pPr>
        <w:pStyle w:val="55"/>
        <w:snapToGrid w:val="0"/>
        <w:spacing w:line="5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4.邮编：</w:t>
      </w:r>
      <w:r>
        <w:rPr>
          <w:rFonts w:hint="eastAsia" w:ascii="仿宋_GB2312" w:hAnsi="仿宋_GB2312" w:eastAsia="仿宋_GB2312" w:cs="仿宋_GB2312"/>
          <w:color w:val="auto"/>
          <w:highlight w:val="none"/>
        </w:rPr>
        <w:t>523000。</w:t>
      </w:r>
    </w:p>
    <w:p w14:paraId="570155DF">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让我们共同为建立健康、公平的商业秩序和实现双赢而努力。</w:t>
      </w:r>
    </w:p>
    <w:p w14:paraId="35C7BAF3">
      <w:pPr>
        <w:pStyle w:val="55"/>
        <w:snapToGrid w:val="0"/>
        <w:spacing w:line="58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特此致函。</w:t>
      </w:r>
    </w:p>
    <w:p w14:paraId="53453E1E">
      <w:pPr>
        <w:pStyle w:val="55"/>
        <w:snapToGrid w:val="0"/>
        <w:spacing w:line="580" w:lineRule="exact"/>
        <w:ind w:firstLine="0"/>
        <w:rPr>
          <w:rFonts w:ascii="仿宋_GB2312" w:hAnsi="仿宋_GB2312" w:eastAsia="仿宋_GB2312" w:cs="仿宋_GB2312"/>
          <w:color w:val="auto"/>
          <w:highlight w:val="none"/>
        </w:rPr>
      </w:pPr>
    </w:p>
    <w:p w14:paraId="4939AB6D">
      <w:pPr>
        <w:pStyle w:val="55"/>
        <w:snapToGrid w:val="0"/>
        <w:spacing w:line="580" w:lineRule="exact"/>
        <w:ind w:left="630" w:leftChars="300" w:firstLine="3360" w:firstLineChars="1600"/>
        <w:jc w:val="righ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u w:val="single"/>
          <w:lang w:val="en-US" w:eastAsia="zh-CN"/>
        </w:rPr>
        <w:t>东莞市福地饮用水有限公司</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p>
    <w:p w14:paraId="42655B8D">
      <w:pPr>
        <w:pStyle w:val="55"/>
        <w:snapToGrid w:val="0"/>
        <w:spacing w:line="580" w:lineRule="exact"/>
        <w:ind w:left="630" w:leftChars="300" w:firstLine="3360" w:firstLineChars="1600"/>
        <w:jc w:val="righ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 xml:space="preserve"> 年  </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 xml:space="preserve"> 月 </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 xml:space="preserve"> 日</w:t>
      </w:r>
      <w:bookmarkStart w:id="43" w:name="设计变更通知单"/>
      <w:bookmarkEnd w:id="43"/>
      <w:bookmarkStart w:id="44" w:name="现场签证通知单"/>
      <w:bookmarkEnd w:id="44"/>
    </w:p>
    <w:p w14:paraId="1299DA08">
      <w:pPr>
        <w:pStyle w:val="55"/>
        <w:snapToGrid w:val="0"/>
        <w:spacing w:line="580" w:lineRule="exact"/>
        <w:ind w:firstLine="0"/>
        <w:jc w:val="center"/>
        <w:rPr>
          <w:rFonts w:ascii="仿宋_GB2312" w:hAnsi="Times New Roman" w:eastAsia="仿宋_GB2312"/>
          <w:color w:val="auto"/>
          <w:sz w:val="32"/>
          <w:szCs w:val="32"/>
          <w:highlight w:val="none"/>
        </w:rPr>
      </w:pPr>
    </w:p>
    <w:p w14:paraId="749B8E73">
      <w:pPr>
        <w:pStyle w:val="55"/>
        <w:snapToGrid w:val="0"/>
        <w:spacing w:line="580" w:lineRule="exact"/>
        <w:ind w:firstLine="0"/>
        <w:jc w:val="center"/>
        <w:rPr>
          <w:rFonts w:ascii="Times New Roman" w:hAnsi="Times New Roman" w:eastAsia="黑体"/>
          <w:color w:val="auto"/>
          <w:sz w:val="48"/>
          <w:szCs w:val="48"/>
          <w:highlight w:val="none"/>
          <w:lang w:val="zh-CN"/>
        </w:rPr>
      </w:pPr>
    </w:p>
    <w:p w14:paraId="5B4EC468">
      <w:pPr>
        <w:pStyle w:val="55"/>
        <w:snapToGrid w:val="0"/>
        <w:spacing w:line="580" w:lineRule="exact"/>
        <w:ind w:firstLine="0"/>
        <w:jc w:val="center"/>
        <w:rPr>
          <w:rFonts w:ascii="Times New Roman" w:hAnsi="Times New Roman" w:eastAsia="黑体"/>
          <w:color w:val="auto"/>
          <w:sz w:val="48"/>
          <w:szCs w:val="48"/>
          <w:highlight w:val="none"/>
          <w:lang w:val="zh-CN"/>
        </w:rPr>
      </w:pPr>
    </w:p>
    <w:p w14:paraId="1102607B">
      <w:pPr>
        <w:rPr>
          <w:rFonts w:hint="eastAsia" w:ascii="Times New Roman" w:hAnsi="Times New Roman" w:eastAsia="黑体"/>
          <w:color w:val="auto"/>
          <w:sz w:val="48"/>
          <w:szCs w:val="48"/>
          <w:highlight w:val="none"/>
          <w:lang w:val="zh-CN"/>
        </w:rPr>
      </w:pPr>
      <w:r>
        <w:rPr>
          <w:rFonts w:hint="eastAsia" w:ascii="Times New Roman" w:hAnsi="Times New Roman" w:eastAsia="黑体"/>
          <w:color w:val="auto"/>
          <w:sz w:val="48"/>
          <w:szCs w:val="48"/>
          <w:highlight w:val="none"/>
          <w:lang w:val="zh-CN"/>
        </w:rPr>
        <w:br w:type="page"/>
      </w:r>
    </w:p>
    <w:p w14:paraId="4C4ED3E0">
      <w:pPr>
        <w:pStyle w:val="55"/>
        <w:snapToGrid w:val="0"/>
        <w:spacing w:line="580" w:lineRule="exact"/>
        <w:ind w:firstLine="0"/>
        <w:jc w:val="center"/>
        <w:rPr>
          <w:rFonts w:ascii="Times New Roman" w:hAnsi="Times New Roman" w:eastAsia="黑体"/>
          <w:color w:val="auto"/>
          <w:sz w:val="48"/>
          <w:szCs w:val="48"/>
          <w:highlight w:val="none"/>
          <w:lang w:val="zh-CN"/>
        </w:rPr>
      </w:pPr>
      <w:r>
        <w:rPr>
          <w:rFonts w:hint="eastAsia" w:ascii="Times New Roman" w:hAnsi="Times New Roman" w:eastAsia="黑体"/>
          <w:color w:val="auto"/>
          <w:sz w:val="48"/>
          <w:szCs w:val="48"/>
          <w:highlight w:val="none"/>
          <w:lang w:val="zh-CN"/>
        </w:rPr>
        <w:t>阳光合作告知函回执</w:t>
      </w:r>
    </w:p>
    <w:p w14:paraId="7BF8637E">
      <w:pPr>
        <w:pStyle w:val="55"/>
        <w:snapToGrid w:val="0"/>
        <w:spacing w:line="580" w:lineRule="exact"/>
        <w:ind w:firstLine="0"/>
        <w:jc w:val="center"/>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 xml:space="preserve">                            </w:t>
      </w:r>
    </w:p>
    <w:p w14:paraId="28DEF8C4">
      <w:pPr>
        <w:pStyle w:val="55"/>
        <w:snapToGrid w:val="0"/>
        <w:spacing w:line="580" w:lineRule="exact"/>
        <w:ind w:firstLine="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zh-CN"/>
        </w:rPr>
        <w:t>编号：FDCG202500</w:t>
      </w:r>
      <w:r>
        <w:rPr>
          <w:rFonts w:hint="eastAsia" w:ascii="仿宋_GB2312" w:hAnsi="仿宋_GB2312" w:eastAsia="仿宋_GB2312" w:cs="仿宋_GB2312"/>
          <w:color w:val="auto"/>
          <w:highlight w:val="none"/>
          <w:lang w:val="en-US" w:eastAsia="zh-CN"/>
        </w:rPr>
        <w:t xml:space="preserve">10  </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 xml:space="preserve">   </w:t>
      </w:r>
    </w:p>
    <w:p w14:paraId="54661188">
      <w:pPr>
        <w:pStyle w:val="55"/>
        <w:snapToGrid w:val="0"/>
        <w:spacing w:line="580" w:lineRule="exact"/>
        <w:ind w:firstLine="0"/>
        <w:jc w:val="center"/>
        <w:rPr>
          <w:rFonts w:ascii="仿宋_GB2312" w:hAnsi="仿宋_GB2312" w:eastAsia="仿宋_GB2312" w:cs="仿宋_GB2312"/>
          <w:color w:val="auto"/>
          <w:highlight w:val="none"/>
          <w:lang w:val="zh-CN"/>
        </w:rPr>
      </w:pPr>
    </w:p>
    <w:p w14:paraId="697F56FC">
      <w:pPr>
        <w:autoSpaceDE w:val="0"/>
        <w:autoSpaceDN w:val="0"/>
        <w:adjustRightInd w:val="0"/>
        <w:spacing w:line="580" w:lineRule="exact"/>
        <w:ind w:firstLine="525" w:firstLineChars="250"/>
        <w:jc w:val="left"/>
        <w:rPr>
          <w:rFonts w:ascii="仿宋_GB2312" w:hAnsi="仿宋_GB2312" w:eastAsia="仿宋_GB2312" w:cs="仿宋_GB2312"/>
          <w:color w:val="auto"/>
          <w:kern w:val="0"/>
          <w:szCs w:val="21"/>
          <w:highlight w:val="none"/>
          <w:lang w:val="zh-CN"/>
        </w:rPr>
      </w:pPr>
      <w:r>
        <w:rPr>
          <w:rFonts w:hint="eastAsia" w:ascii="仿宋_GB2312" w:hAnsi="仿宋_GB2312" w:eastAsia="仿宋_GB2312" w:cs="仿宋_GB2312"/>
          <w:color w:val="auto"/>
          <w:szCs w:val="21"/>
          <w:highlight w:val="none"/>
          <w:lang w:val="zh-CN"/>
        </w:rPr>
        <w:t>我单位于</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lang w:val="zh-CN"/>
        </w:rPr>
        <w:t>年</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lang w:val="zh-CN"/>
        </w:rPr>
        <w:t>月</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lang w:val="zh-CN"/>
        </w:rPr>
        <w:t>日收到</w:t>
      </w:r>
      <w:r>
        <w:rPr>
          <w:rFonts w:hint="eastAsia" w:ascii="仿宋_GB2312" w:hAnsi="仿宋_GB2312" w:eastAsia="仿宋_GB2312" w:cs="仿宋_GB2312"/>
          <w:color w:val="auto"/>
          <w:szCs w:val="21"/>
          <w:highlight w:val="none"/>
          <w:u w:val="single"/>
          <w:lang w:val="en-US" w:eastAsia="zh-CN"/>
        </w:rPr>
        <w:t>东莞市福地饮用水有限公司</w:t>
      </w:r>
      <w:r>
        <w:rPr>
          <w:rFonts w:hint="eastAsia" w:ascii="仿宋_GB2312" w:hAnsi="仿宋_GB2312" w:eastAsia="仿宋_GB2312" w:cs="仿宋_GB2312"/>
          <w:color w:val="auto"/>
          <w:szCs w:val="21"/>
          <w:highlight w:val="none"/>
          <w:lang w:val="zh-CN"/>
        </w:rPr>
        <w:t>的《阳光合作告知</w:t>
      </w:r>
      <w:r>
        <w:rPr>
          <w:rFonts w:hint="eastAsia" w:ascii="仿宋_GB2312" w:hAnsi="仿宋_GB2312" w:eastAsia="仿宋_GB2312" w:cs="仿宋_GB2312"/>
          <w:color w:val="auto"/>
          <w:kern w:val="0"/>
          <w:szCs w:val="21"/>
          <w:highlight w:val="none"/>
          <w:lang w:val="zh-CN"/>
        </w:rPr>
        <w:t>函</w:t>
      </w:r>
      <w:r>
        <w:rPr>
          <w:rFonts w:hint="eastAsia" w:ascii="仿宋_GB2312" w:hAnsi="仿宋_GB2312" w:eastAsia="仿宋_GB2312" w:cs="仿宋_GB2312"/>
          <w:color w:val="auto"/>
          <w:szCs w:val="21"/>
          <w:highlight w:val="none"/>
          <w:lang w:val="zh-CN"/>
        </w:rPr>
        <w:t>》</w:t>
      </w:r>
      <w:r>
        <w:rPr>
          <w:rFonts w:hint="eastAsia" w:ascii="仿宋_GB2312" w:hAnsi="仿宋_GB2312" w:eastAsia="仿宋_GB2312" w:cs="仿宋_GB2312"/>
          <w:color w:val="auto"/>
          <w:kern w:val="0"/>
          <w:szCs w:val="21"/>
          <w:highlight w:val="none"/>
          <w:lang w:val="zh-CN"/>
        </w:rPr>
        <w:t>，承诺理解函告内容并告知相关人员严格执行其中规定。</w:t>
      </w:r>
    </w:p>
    <w:p w14:paraId="1117D2F8">
      <w:pPr>
        <w:autoSpaceDE w:val="0"/>
        <w:autoSpaceDN w:val="0"/>
        <w:adjustRightInd w:val="0"/>
        <w:snapToGrid w:val="0"/>
        <w:spacing w:line="580" w:lineRule="exact"/>
        <w:jc w:val="left"/>
        <w:rPr>
          <w:rFonts w:ascii="仿宋_GB2312" w:hAnsi="仿宋_GB2312" w:eastAsia="仿宋_GB2312" w:cs="仿宋_GB2312"/>
          <w:color w:val="auto"/>
          <w:szCs w:val="21"/>
          <w:highlight w:val="none"/>
          <w:lang w:val="zh-CN"/>
        </w:rPr>
      </w:pPr>
    </w:p>
    <w:p w14:paraId="5254DC79">
      <w:pPr>
        <w:autoSpaceDE w:val="0"/>
        <w:autoSpaceDN w:val="0"/>
        <w:adjustRightInd w:val="0"/>
        <w:snapToGrid w:val="0"/>
        <w:spacing w:line="580" w:lineRule="exact"/>
        <w:jc w:val="right"/>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 xml:space="preserve">                      </w:t>
      </w:r>
      <w:r>
        <w:rPr>
          <w:rFonts w:hint="eastAsia" w:ascii="仿宋_GB2312" w:hAnsi="仿宋_GB2312" w:eastAsia="仿宋_GB2312" w:cs="仿宋_GB2312"/>
          <w:bCs/>
          <w:color w:val="auto"/>
          <w:szCs w:val="21"/>
          <w:highlight w:val="none"/>
        </w:rPr>
        <w:t xml:space="preserve">          </w:t>
      </w:r>
      <w:r>
        <w:rPr>
          <w:rFonts w:hint="eastAsia" w:ascii="仿宋_GB2312" w:hAnsi="仿宋_GB2312" w:eastAsia="仿宋_GB2312" w:cs="仿宋_GB2312"/>
          <w:bCs/>
          <w:szCs w:val="21"/>
          <w:highlight w:val="none"/>
          <w:u w:val="single"/>
          <w:lang w:eastAsia="zh-CN"/>
        </w:rPr>
        <w:t xml:space="preserve"> </w:t>
      </w:r>
      <w:r>
        <w:rPr>
          <w:rFonts w:hint="eastAsia" w:ascii="仿宋_GB2312" w:hAnsi="仿宋_GB2312" w:eastAsia="仿宋_GB2312" w:cs="仿宋_GB2312"/>
          <w:bCs/>
          <w:szCs w:val="21"/>
          <w:highlight w:val="none"/>
          <w:u w:val="single"/>
          <w:lang w:val="en-US" w:eastAsia="zh-CN"/>
        </w:rPr>
        <w:t xml:space="preserve">                       </w:t>
      </w:r>
      <w:r>
        <w:rPr>
          <w:rFonts w:hint="eastAsia" w:ascii="仿宋_GB2312" w:hAnsi="仿宋_GB2312" w:eastAsia="仿宋_GB2312" w:cs="仿宋_GB2312"/>
          <w:color w:val="auto"/>
          <w:szCs w:val="21"/>
          <w:highlight w:val="none"/>
          <w:lang w:val="zh-CN"/>
        </w:rPr>
        <w:t>（盖章）</w:t>
      </w:r>
    </w:p>
    <w:p w14:paraId="07D86A9F">
      <w:pPr>
        <w:autoSpaceDE w:val="0"/>
        <w:autoSpaceDN w:val="0"/>
        <w:adjustRightInd w:val="0"/>
        <w:snapToGrid w:val="0"/>
        <w:spacing w:line="580" w:lineRule="exact"/>
        <w:jc w:val="right"/>
        <w:rPr>
          <w:rFonts w:ascii="仿宋_GB2312" w:hAnsi="仿宋_GB2312" w:eastAsia="仿宋_GB2312" w:cs="仿宋_GB2312"/>
          <w:color w:val="auto"/>
          <w:szCs w:val="21"/>
          <w:highlight w:val="none"/>
          <w:lang w:val="zh-CN"/>
        </w:rPr>
      </w:pPr>
    </w:p>
    <w:p w14:paraId="10E198BE">
      <w:pPr>
        <w:autoSpaceDE w:val="0"/>
        <w:autoSpaceDN w:val="0"/>
        <w:adjustRightInd w:val="0"/>
        <w:snapToGrid w:val="0"/>
        <w:spacing w:line="580" w:lineRule="exact"/>
        <w:ind w:right="1280" w:firstLine="3360" w:firstLineChars="160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法定代表人：</w:t>
      </w:r>
      <w:r>
        <w:rPr>
          <w:rFonts w:hint="eastAsia" w:ascii="仿宋_GB2312" w:hAnsi="仿宋_GB2312" w:eastAsia="仿宋_GB2312" w:cs="仿宋_GB2312"/>
          <w:color w:val="auto"/>
          <w:szCs w:val="21"/>
          <w:highlight w:val="none"/>
          <w:u w:val="single"/>
        </w:rPr>
        <w:t xml:space="preserve">           </w:t>
      </w:r>
    </w:p>
    <w:p w14:paraId="7CE00540">
      <w:pPr>
        <w:wordWrap w:val="0"/>
        <w:autoSpaceDE w:val="0"/>
        <w:autoSpaceDN w:val="0"/>
        <w:adjustRightInd w:val="0"/>
        <w:snapToGrid w:val="0"/>
        <w:spacing w:line="580" w:lineRule="exact"/>
        <w:jc w:val="righ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w:t>
      </w:r>
    </w:p>
    <w:p w14:paraId="70ACB82E">
      <w:pPr>
        <w:autoSpaceDE w:val="0"/>
        <w:autoSpaceDN w:val="0"/>
        <w:adjustRightInd w:val="0"/>
        <w:snapToGrid w:val="0"/>
        <w:spacing w:line="580" w:lineRule="exact"/>
        <w:jc w:val="righ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年    月    日</w:t>
      </w:r>
    </w:p>
    <w:p w14:paraId="2C1ECDB6">
      <w:pPr>
        <w:pStyle w:val="18"/>
        <w:pageBreakBefore/>
        <w:ind w:firstLine="3120" w:firstLineChars="1036"/>
        <w:jc w:val="both"/>
        <w:rPr>
          <w:rFonts w:hint="eastAsia"/>
          <w:b/>
          <w:bCs/>
          <w:color w:val="auto"/>
          <w:sz w:val="30"/>
          <w:szCs w:val="30"/>
          <w:highlight w:val="none"/>
          <w:shd w:val="clear" w:color="auto" w:fill="FFFFFF"/>
        </w:rPr>
      </w:pPr>
      <w:bookmarkStart w:id="45" w:name="_Toc1352"/>
      <w:r>
        <w:rPr>
          <w:rFonts w:hint="eastAsia" w:ascii="宋体" w:hAnsi="宋体"/>
          <w:color w:val="auto"/>
          <w:sz w:val="30"/>
          <w:szCs w:val="30"/>
          <w:highlight w:val="none"/>
          <w:lang w:val="zh-CN"/>
        </w:rPr>
        <w:t>第五篇 报价文件格式</w:t>
      </w:r>
      <w:bookmarkEnd w:id="45"/>
      <w:bookmarkStart w:id="46" w:name="_Toc50572123"/>
      <w:bookmarkStart w:id="47" w:name="_Toc51333928"/>
    </w:p>
    <w:bookmarkEnd w:id="46"/>
    <w:bookmarkEnd w:id="47"/>
    <w:p w14:paraId="4F903406">
      <w:pPr>
        <w:rPr>
          <w:rFonts w:ascii="Times New Roman" w:hAnsi="Times New Roman" w:eastAsia="宋体"/>
          <w:b/>
          <w:color w:val="000000"/>
          <w:sz w:val="28"/>
          <w:szCs w:val="28"/>
          <w:highlight w:val="none"/>
        </w:rPr>
      </w:pPr>
      <w:bookmarkStart w:id="48" w:name="_Toc34746360"/>
      <w:bookmarkStart w:id="49" w:name="_Toc24461"/>
      <w:bookmarkStart w:id="50" w:name="_Toc34746052"/>
      <w:bookmarkStart w:id="51" w:name="_Toc34745985"/>
      <w:bookmarkStart w:id="52" w:name="_Toc34752515"/>
      <w:r>
        <w:rPr>
          <w:rFonts w:hint="default" w:ascii="Times New Roman" w:hAnsi="Times New Roman" w:eastAsia="宋体"/>
          <w:b/>
          <w:color w:val="000000"/>
          <w:sz w:val="28"/>
          <w:szCs w:val="28"/>
          <w:highlight w:val="none"/>
        </w:rPr>
        <w:t>1</w:t>
      </w:r>
      <w:r>
        <w:rPr>
          <w:rFonts w:hint="eastAsia" w:eastAsia="宋体"/>
          <w:b/>
          <w:color w:val="000000"/>
          <w:sz w:val="28"/>
          <w:szCs w:val="28"/>
          <w:highlight w:val="none"/>
          <w:lang w:eastAsia="zh-CN"/>
        </w:rPr>
        <w:t>.</w:t>
      </w:r>
      <w:r>
        <w:rPr>
          <w:rFonts w:hint="default" w:ascii="Times New Roman" w:hAnsi="Times New Roman" w:eastAsia="宋体"/>
          <w:b/>
          <w:color w:val="000000"/>
          <w:sz w:val="28"/>
          <w:szCs w:val="28"/>
          <w:highlight w:val="none"/>
        </w:rPr>
        <w:t>报价表</w:t>
      </w:r>
      <w:bookmarkEnd w:id="48"/>
      <w:bookmarkEnd w:id="49"/>
      <w:bookmarkEnd w:id="50"/>
      <w:bookmarkEnd w:id="51"/>
      <w:bookmarkEnd w:id="52"/>
    </w:p>
    <w:p w14:paraId="6D027370">
      <w:pPr>
        <w:spacing w:line="360" w:lineRule="auto"/>
        <w:ind w:firstLine="5040" w:firstLineChars="2400"/>
        <w:jc w:val="right"/>
        <w:rPr>
          <w:rFonts w:ascii="宋体" w:hAnsi="宋体"/>
          <w:color w:val="auto"/>
          <w:szCs w:val="21"/>
          <w:highlight w:val="none"/>
          <w:lang w:val="zh-CN"/>
        </w:rPr>
      </w:pPr>
    </w:p>
    <w:tbl>
      <w:tblPr>
        <w:tblStyle w:val="20"/>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876"/>
        <w:gridCol w:w="3865"/>
        <w:gridCol w:w="1759"/>
      </w:tblGrid>
      <w:tr w14:paraId="712D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59" w:type="dxa"/>
            <w:vAlign w:val="center"/>
          </w:tcPr>
          <w:p w14:paraId="1133AF0F">
            <w:pPr>
              <w:jc w:val="center"/>
              <w:rPr>
                <w:rFonts w:ascii="宋体" w:hAnsi="宋体"/>
                <w:color w:val="auto"/>
                <w:szCs w:val="21"/>
                <w:highlight w:val="none"/>
              </w:rPr>
            </w:pPr>
            <w:r>
              <w:rPr>
                <w:rFonts w:hint="eastAsia" w:ascii="宋体" w:hAnsi="宋体"/>
                <w:color w:val="auto"/>
                <w:szCs w:val="21"/>
                <w:highlight w:val="none"/>
              </w:rPr>
              <w:t>项目名称</w:t>
            </w:r>
          </w:p>
        </w:tc>
        <w:tc>
          <w:tcPr>
            <w:tcW w:w="8500" w:type="dxa"/>
            <w:gridSpan w:val="3"/>
            <w:vAlign w:val="center"/>
          </w:tcPr>
          <w:p w14:paraId="3F766D94">
            <w:pPr>
              <w:jc w:val="center"/>
              <w:rPr>
                <w:rFonts w:hint="eastAsia" w:cs="Calibri" w:asciiTheme="minorEastAsia" w:hAnsiTheme="minorEastAsia"/>
                <w:color w:val="auto"/>
                <w:kern w:val="0"/>
                <w:highlight w:val="none"/>
              </w:rPr>
            </w:pPr>
            <w:r>
              <w:rPr>
                <w:rFonts w:hint="eastAsia" w:cs="Calibri" w:asciiTheme="minorEastAsia" w:hAnsiTheme="minorEastAsia"/>
                <w:color w:val="auto"/>
                <w:kern w:val="0"/>
                <w:highlight w:val="none"/>
              </w:rPr>
              <w:t>东莞市福地饮用水有限公司2025年包装水</w:t>
            </w:r>
            <w:r>
              <w:rPr>
                <w:rFonts w:hint="eastAsia" w:eastAsia="宋体" w:cs="Calibri" w:asciiTheme="minorEastAsia" w:hAnsiTheme="minorEastAsia"/>
                <w:b w:val="0"/>
                <w:bCs w:val="0"/>
                <w:color w:val="auto"/>
                <w:kern w:val="0"/>
                <w:sz w:val="21"/>
                <w:szCs w:val="24"/>
                <w:highlight w:val="none"/>
                <w:u w:val="none"/>
                <w:lang w:val="en-US" w:eastAsia="zh-CN"/>
              </w:rPr>
              <w:t>（</w:t>
            </w:r>
            <w:r>
              <w:rPr>
                <w:rFonts w:hint="eastAsia" w:cs="Calibri" w:asciiTheme="minorEastAsia" w:hAnsiTheme="minorEastAsia"/>
                <w:color w:val="auto"/>
                <w:kern w:val="0"/>
                <w:highlight w:val="none"/>
                <w:u w:val="none"/>
              </w:rPr>
              <w:t>20件及以上</w:t>
            </w:r>
            <w:r>
              <w:rPr>
                <w:rFonts w:hint="eastAsia" w:eastAsia="宋体" w:cs="Calibri" w:asciiTheme="minorEastAsia" w:hAnsiTheme="minorEastAsia"/>
                <w:b w:val="0"/>
                <w:bCs w:val="0"/>
                <w:color w:val="auto"/>
                <w:kern w:val="0"/>
                <w:sz w:val="21"/>
                <w:szCs w:val="24"/>
                <w:highlight w:val="none"/>
                <w:u w:val="none"/>
                <w:lang w:val="en-US" w:eastAsia="zh-CN"/>
              </w:rPr>
              <w:t>)</w:t>
            </w:r>
            <w:r>
              <w:rPr>
                <w:rFonts w:hint="eastAsia" w:cs="Calibri" w:asciiTheme="minorEastAsia" w:hAnsiTheme="minorEastAsia"/>
                <w:color w:val="auto"/>
                <w:kern w:val="0"/>
                <w:highlight w:val="none"/>
              </w:rPr>
              <w:t>物流配送服务采购项目</w:t>
            </w:r>
          </w:p>
        </w:tc>
      </w:tr>
      <w:tr w14:paraId="2595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59" w:type="dxa"/>
            <w:vMerge w:val="restart"/>
            <w:vAlign w:val="center"/>
          </w:tcPr>
          <w:p w14:paraId="14EAD894">
            <w:pPr>
              <w:jc w:val="center"/>
              <w:rPr>
                <w:rFonts w:hint="eastAsia"/>
                <w:color w:val="auto"/>
                <w:szCs w:val="21"/>
                <w:highlight w:val="none"/>
                <w:lang w:val="en-US" w:eastAsia="zh-CN"/>
              </w:rPr>
            </w:pPr>
            <w:r>
              <w:rPr>
                <w:rFonts w:hint="eastAsia"/>
                <w:color w:val="auto"/>
                <w:szCs w:val="21"/>
                <w:highlight w:val="none"/>
                <w:lang w:val="en-US" w:eastAsia="zh-CN"/>
              </w:rPr>
              <w:t>折扣率（%）</w:t>
            </w:r>
          </w:p>
          <w:p w14:paraId="2038B3B2">
            <w:pPr>
              <w:jc w:val="center"/>
              <w:rPr>
                <w:rFonts w:hint="default" w:ascii="宋体" w:hAnsi="宋体" w:eastAsia="宋体"/>
                <w:color w:val="auto"/>
                <w:szCs w:val="21"/>
                <w:highlight w:val="none"/>
                <w:lang w:val="en-US" w:eastAsia="zh-CN"/>
              </w:rPr>
            </w:pPr>
            <w:r>
              <w:rPr>
                <w:rFonts w:hint="eastAsia"/>
                <w:color w:val="auto"/>
                <w:szCs w:val="21"/>
                <w:highlight w:val="none"/>
                <w:lang w:val="en-US" w:eastAsia="zh-CN"/>
              </w:rPr>
              <w:t>保留小数点后两位</w:t>
            </w:r>
          </w:p>
        </w:tc>
        <w:tc>
          <w:tcPr>
            <w:tcW w:w="2876" w:type="dxa"/>
            <w:vAlign w:val="center"/>
          </w:tcPr>
          <w:p w14:paraId="2AFA026A">
            <w:pPr>
              <w:pStyle w:val="10"/>
              <w:spacing w:line="360" w:lineRule="auto"/>
              <w:jc w:val="center"/>
              <w:rPr>
                <w:rFonts w:hint="default" w:hAnsi="宋体" w:eastAsia="宋体"/>
                <w:color w:val="auto"/>
                <w:szCs w:val="21"/>
                <w:highlight w:val="none"/>
                <w:lang w:val="en-US" w:eastAsia="zh-CN"/>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w:t>
            </w:r>
            <w:r>
              <w:rPr>
                <w:rStyle w:val="22"/>
                <w:rFonts w:hint="eastAsia" w:ascii="仿宋_GB2312" w:hAnsi="仿宋_GB2312" w:eastAsia="仿宋_GB2312" w:cs="仿宋_GB2312"/>
                <w:color w:val="auto"/>
                <w:sz w:val="21"/>
                <w:szCs w:val="21"/>
                <w:highlight w:val="none"/>
                <w:shd w:val="clear" w:color="auto" w:fill="FFFFFF"/>
                <w:lang w:val="en-US" w:eastAsia="zh-CN" w:bidi="ar"/>
              </w:rPr>
              <w:t>配送件数梯度</w:t>
            </w:r>
          </w:p>
        </w:tc>
        <w:tc>
          <w:tcPr>
            <w:tcW w:w="3865" w:type="dxa"/>
            <w:vAlign w:val="center"/>
          </w:tcPr>
          <w:p w14:paraId="02FB828C">
            <w:pPr>
              <w:pStyle w:val="10"/>
              <w:spacing w:line="360" w:lineRule="auto"/>
              <w:jc w:val="center"/>
              <w:rPr>
                <w:rFonts w:ascii="Times New Roman" w:hAnsi="Times New Roman"/>
                <w:color w:val="auto"/>
                <w:szCs w:val="21"/>
                <w:highlight w:val="none"/>
                <w:u w:val="single"/>
              </w:rPr>
            </w:pPr>
            <w:r>
              <w:rPr>
                <w:rFonts w:hint="eastAsia" w:ascii="仿宋_GB2312" w:hAnsi="仿宋_GB2312" w:eastAsia="仿宋_GB2312" w:cs="仿宋_GB2312"/>
                <w:color w:val="auto"/>
                <w:szCs w:val="21"/>
                <w:highlight w:val="none"/>
                <w:u w:val="none"/>
                <w:shd w:val="clear" w:color="auto" w:fill="FFFFFF"/>
                <w:lang w:bidi="ar"/>
              </w:rPr>
              <w:t>折扣率（%）</w:t>
            </w:r>
            <w:r>
              <w:rPr>
                <w:rFonts w:hint="eastAsia" w:ascii="仿宋_GB2312" w:hAnsi="仿宋_GB2312" w:eastAsia="仿宋_GB2312" w:cs="仿宋_GB2312"/>
                <w:color w:val="auto"/>
                <w:szCs w:val="21"/>
                <w:highlight w:val="none"/>
                <w:u w:val="none"/>
                <w:shd w:val="clear" w:color="auto" w:fill="FFFFFF"/>
                <w:lang w:val="en-US" w:eastAsia="zh-CN" w:bidi="ar"/>
              </w:rPr>
              <w:t>及</w:t>
            </w: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不含税配送</w:t>
            </w:r>
            <w:r>
              <w:rPr>
                <w:rStyle w:val="22"/>
                <w:rFonts w:hint="eastAsia" w:ascii="仿宋_GB2312" w:hAnsi="仿宋_GB2312" w:eastAsia="仿宋_GB2312" w:cs="仿宋_GB2312"/>
                <w:color w:val="auto"/>
                <w:sz w:val="21"/>
                <w:szCs w:val="21"/>
                <w:highlight w:val="none"/>
                <w:shd w:val="clear" w:color="auto" w:fill="FFFFFF"/>
                <w:lang w:val="en-US" w:eastAsia="zh-CN" w:bidi="ar"/>
              </w:rPr>
              <w:t>单价（元/件）</w:t>
            </w:r>
          </w:p>
        </w:tc>
        <w:tc>
          <w:tcPr>
            <w:tcW w:w="1759" w:type="dxa"/>
            <w:vAlign w:val="center"/>
          </w:tcPr>
          <w:p w14:paraId="2E9AB909">
            <w:pPr>
              <w:pStyle w:val="10"/>
              <w:spacing w:line="360" w:lineRule="auto"/>
              <w:jc w:val="center"/>
              <w:rPr>
                <w:rFonts w:ascii="Times New Roman" w:hAnsi="Times New Roman"/>
                <w:color w:val="auto"/>
                <w:szCs w:val="21"/>
                <w:highlight w:val="none"/>
                <w:u w:val="single"/>
              </w:rPr>
            </w:pPr>
            <w:r>
              <w:rPr>
                <w:rFonts w:hint="eastAsia" w:ascii="仿宋_GB2312" w:hAnsi="仿宋_GB2312" w:eastAsia="仿宋_GB2312" w:cs="仿宋_GB2312"/>
                <w:color w:val="auto"/>
                <w:sz w:val="21"/>
                <w:szCs w:val="21"/>
                <w:highlight w:val="none"/>
                <w:shd w:val="clear" w:color="auto" w:fill="FFFFFF"/>
                <w:lang w:val="en-US" w:eastAsia="zh-CN" w:bidi="ar"/>
              </w:rPr>
              <w:t>预估业务占比</w:t>
            </w:r>
          </w:p>
        </w:tc>
      </w:tr>
      <w:tr w14:paraId="7EE2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259" w:type="dxa"/>
            <w:vMerge w:val="continue"/>
            <w:vAlign w:val="center"/>
          </w:tcPr>
          <w:p w14:paraId="7AD60C6A">
            <w:pPr>
              <w:jc w:val="center"/>
              <w:rPr>
                <w:rFonts w:hint="eastAsia"/>
                <w:color w:val="auto"/>
                <w:szCs w:val="21"/>
                <w:highlight w:val="none"/>
                <w:lang w:val="en-US" w:eastAsia="zh-CN"/>
              </w:rPr>
            </w:pPr>
          </w:p>
        </w:tc>
        <w:tc>
          <w:tcPr>
            <w:tcW w:w="2876" w:type="dxa"/>
            <w:vAlign w:val="center"/>
          </w:tcPr>
          <w:p w14:paraId="43EF88CC">
            <w:pPr>
              <w:pStyle w:val="10"/>
              <w:spacing w:line="360" w:lineRule="auto"/>
              <w:jc w:val="center"/>
              <w:rPr>
                <w:rFonts w:ascii="Times New Roman" w:hAnsi="Times New Roman"/>
                <w:color w:val="auto"/>
                <w:szCs w:val="21"/>
                <w:highlight w:val="none"/>
                <w:u w:val="single"/>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20 - 49件</w:t>
            </w:r>
          </w:p>
        </w:tc>
        <w:tc>
          <w:tcPr>
            <w:tcW w:w="3865" w:type="dxa"/>
            <w:vAlign w:val="center"/>
          </w:tcPr>
          <w:p w14:paraId="2B6AAEC1">
            <w:pPr>
              <w:pStyle w:val="10"/>
              <w:spacing w:line="240" w:lineRule="exact"/>
              <w:jc w:val="center"/>
              <w:rPr>
                <w:rFonts w:ascii="Times New Roman" w:hAnsi="Times New Roman"/>
                <w:color w:val="auto"/>
                <w:szCs w:val="21"/>
                <w:highlight w:val="none"/>
                <w:u w:val="single"/>
              </w:rPr>
            </w:pPr>
            <w:r>
              <w:rPr>
                <w:rFonts w:hint="eastAsia" w:ascii="仿宋_GB2312" w:hAnsi="仿宋_GB2312" w:eastAsia="仿宋_GB2312" w:cs="仿宋_GB2312"/>
                <w:color w:val="auto"/>
                <w:kern w:val="2"/>
                <w:sz w:val="21"/>
                <w:szCs w:val="21"/>
                <w:highlight w:val="none"/>
                <w:u w:val="single"/>
                <w:lang w:val="en-US" w:eastAsia="zh-CN" w:bidi="ar-SA"/>
              </w:rPr>
              <w:t xml:space="preserve">    </w:t>
            </w:r>
            <w:r>
              <w:rPr>
                <w:rFonts w:hint="eastAsia" w:ascii="Times New Roman" w:hAnsi="Times New Roman"/>
                <w:color w:val="auto"/>
                <w:szCs w:val="21"/>
                <w:highlight w:val="none"/>
                <w:u w:val="none"/>
                <w:lang w:val="en-US" w:eastAsia="zh-CN"/>
              </w:rPr>
              <w:t>%</w:t>
            </w:r>
            <w:r>
              <w:rPr>
                <w:rFonts w:hint="eastAsia" w:ascii="Times New Roman" w:hAnsi="Times New Roman"/>
                <w:bCs/>
                <w:color w:val="auto"/>
                <w:szCs w:val="21"/>
                <w:highlight w:val="none"/>
                <w:lang w:val="zh-CN"/>
              </w:rPr>
              <w:t xml:space="preserve"> </w:t>
            </w:r>
            <w:r>
              <w:rPr>
                <w:rFonts w:hint="eastAsia"/>
                <w:color w:val="auto"/>
                <w:szCs w:val="21"/>
                <w:highlight w:val="none"/>
              </w:rPr>
              <w:t>【</w:t>
            </w:r>
            <w:r>
              <w:rPr>
                <w:rFonts w:hint="eastAsia" w:hAnsi="宋体" w:cs="宋体"/>
              </w:rPr>
              <w:t>不含税配送单价=配送预算单价（不含税）×成交折扣率</w:t>
            </w:r>
            <w:r>
              <w:rPr>
                <w:rFonts w:hint="eastAsia"/>
                <w:color w:val="auto"/>
                <w:szCs w:val="21"/>
                <w:highlight w:val="none"/>
              </w:rPr>
              <w:t>】</w:t>
            </w:r>
            <w:r>
              <w:rPr>
                <w:rFonts w:hint="eastAsia"/>
                <w:color w:val="auto"/>
                <w:szCs w:val="21"/>
                <w:highlight w:val="none"/>
                <w:lang w:eastAsia="zh-CN"/>
              </w:rPr>
              <w:t>，</w:t>
            </w:r>
            <w:r>
              <w:rPr>
                <w:rFonts w:hint="eastAsia"/>
                <w:color w:val="auto"/>
                <w:szCs w:val="21"/>
                <w:highlight w:val="none"/>
                <w:lang w:val="en-US" w:eastAsia="zh-CN"/>
              </w:rPr>
              <w:t>不含税配送单价为</w:t>
            </w:r>
            <w:r>
              <w:rPr>
                <w:rFonts w:hint="eastAsia" w:ascii="仿宋_GB2312" w:hAnsi="仿宋_GB2312" w:eastAsia="仿宋_GB2312" w:cs="仿宋_GB2312"/>
                <w:color w:val="auto"/>
                <w:kern w:val="2"/>
                <w:sz w:val="21"/>
                <w:szCs w:val="21"/>
                <w:highlight w:val="none"/>
                <w:u w:val="single"/>
                <w:lang w:val="en-US" w:eastAsia="zh-CN" w:bidi="ar-SA"/>
              </w:rPr>
              <w:t xml:space="preserve">    </w:t>
            </w:r>
            <w:r>
              <w:rPr>
                <w:rFonts w:hint="eastAsia"/>
                <w:color w:val="auto"/>
                <w:szCs w:val="21"/>
                <w:highlight w:val="none"/>
                <w:lang w:val="en-US" w:eastAsia="zh-CN"/>
              </w:rPr>
              <w:t>元/件。</w:t>
            </w:r>
          </w:p>
        </w:tc>
        <w:tc>
          <w:tcPr>
            <w:tcW w:w="1759" w:type="dxa"/>
            <w:vAlign w:val="center"/>
          </w:tcPr>
          <w:p w14:paraId="54565AE2">
            <w:pPr>
              <w:pStyle w:val="10"/>
              <w:spacing w:line="360" w:lineRule="auto"/>
              <w:jc w:val="center"/>
              <w:rPr>
                <w:rFonts w:ascii="Times New Roman" w:hAnsi="Times New Roman"/>
                <w:color w:val="auto"/>
                <w:szCs w:val="21"/>
                <w:highlight w:val="none"/>
                <w:u w:val="single"/>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30%</w:t>
            </w:r>
          </w:p>
        </w:tc>
      </w:tr>
      <w:tr w14:paraId="22FB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259" w:type="dxa"/>
            <w:vMerge w:val="continue"/>
            <w:vAlign w:val="center"/>
          </w:tcPr>
          <w:p w14:paraId="2FF27D66">
            <w:pPr>
              <w:jc w:val="center"/>
              <w:rPr>
                <w:rFonts w:hint="eastAsia"/>
                <w:color w:val="auto"/>
                <w:szCs w:val="21"/>
                <w:highlight w:val="none"/>
                <w:lang w:val="en-US" w:eastAsia="zh-CN"/>
              </w:rPr>
            </w:pPr>
          </w:p>
        </w:tc>
        <w:tc>
          <w:tcPr>
            <w:tcW w:w="2876" w:type="dxa"/>
            <w:vAlign w:val="center"/>
          </w:tcPr>
          <w:p w14:paraId="4F182149">
            <w:pPr>
              <w:pStyle w:val="10"/>
              <w:spacing w:line="360" w:lineRule="auto"/>
              <w:jc w:val="center"/>
              <w:rPr>
                <w:rFonts w:ascii="Times New Roman" w:hAnsi="Times New Roman"/>
                <w:color w:val="auto"/>
                <w:szCs w:val="21"/>
                <w:highlight w:val="none"/>
                <w:u w:val="single"/>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50 - 199件</w:t>
            </w:r>
          </w:p>
        </w:tc>
        <w:tc>
          <w:tcPr>
            <w:tcW w:w="3865" w:type="dxa"/>
            <w:vAlign w:val="center"/>
          </w:tcPr>
          <w:p w14:paraId="79756D22">
            <w:pPr>
              <w:pStyle w:val="10"/>
              <w:spacing w:line="240" w:lineRule="exact"/>
              <w:jc w:val="center"/>
              <w:rPr>
                <w:rFonts w:ascii="Times New Roman" w:hAnsi="Times New Roman"/>
                <w:color w:val="auto"/>
                <w:szCs w:val="21"/>
                <w:highlight w:val="none"/>
                <w:u w:val="single"/>
              </w:rPr>
            </w:pPr>
            <w:r>
              <w:rPr>
                <w:rFonts w:hint="eastAsia" w:ascii="仿宋_GB2312" w:hAnsi="仿宋_GB2312" w:eastAsia="仿宋_GB2312" w:cs="仿宋_GB2312"/>
                <w:color w:val="auto"/>
                <w:kern w:val="2"/>
                <w:sz w:val="21"/>
                <w:szCs w:val="21"/>
                <w:highlight w:val="none"/>
                <w:u w:val="single"/>
                <w:lang w:val="en-US" w:eastAsia="zh-CN" w:bidi="ar-SA"/>
              </w:rPr>
              <w:t xml:space="preserve">    </w:t>
            </w:r>
            <w:r>
              <w:rPr>
                <w:rFonts w:hint="eastAsia" w:ascii="Times New Roman" w:hAnsi="Times New Roman"/>
                <w:color w:val="auto"/>
                <w:szCs w:val="21"/>
                <w:highlight w:val="none"/>
                <w:u w:val="none"/>
                <w:lang w:val="en-US" w:eastAsia="zh-CN"/>
              </w:rPr>
              <w:t>%</w:t>
            </w:r>
            <w:r>
              <w:rPr>
                <w:rFonts w:hint="eastAsia" w:ascii="Times New Roman" w:hAnsi="Times New Roman"/>
                <w:bCs/>
                <w:color w:val="auto"/>
                <w:szCs w:val="21"/>
                <w:highlight w:val="none"/>
                <w:lang w:val="zh-CN"/>
              </w:rPr>
              <w:t xml:space="preserve"> </w:t>
            </w:r>
            <w:r>
              <w:rPr>
                <w:rFonts w:hint="eastAsia"/>
                <w:color w:val="auto"/>
                <w:szCs w:val="21"/>
                <w:highlight w:val="none"/>
              </w:rPr>
              <w:t>【</w:t>
            </w:r>
            <w:r>
              <w:rPr>
                <w:rFonts w:hint="eastAsia" w:hAnsi="宋体" w:cs="宋体"/>
              </w:rPr>
              <w:t>不含税配送单价=配送预算单价（不含税）×成交折扣率</w:t>
            </w:r>
            <w:r>
              <w:rPr>
                <w:rFonts w:hint="eastAsia"/>
                <w:color w:val="auto"/>
                <w:szCs w:val="21"/>
                <w:highlight w:val="none"/>
              </w:rPr>
              <w:t>】</w:t>
            </w:r>
            <w:r>
              <w:rPr>
                <w:rFonts w:hint="eastAsia"/>
                <w:color w:val="auto"/>
                <w:szCs w:val="21"/>
                <w:highlight w:val="none"/>
                <w:lang w:eastAsia="zh-CN"/>
              </w:rPr>
              <w:t>，</w:t>
            </w:r>
            <w:r>
              <w:rPr>
                <w:rFonts w:hint="eastAsia"/>
                <w:color w:val="auto"/>
                <w:szCs w:val="21"/>
                <w:highlight w:val="none"/>
                <w:lang w:val="en-US" w:eastAsia="zh-CN"/>
              </w:rPr>
              <w:t>不含税配送单价为</w:t>
            </w:r>
            <w:r>
              <w:rPr>
                <w:rFonts w:hint="eastAsia" w:ascii="仿宋_GB2312" w:hAnsi="仿宋_GB2312" w:eastAsia="仿宋_GB2312" w:cs="仿宋_GB2312"/>
                <w:color w:val="auto"/>
                <w:kern w:val="2"/>
                <w:sz w:val="21"/>
                <w:szCs w:val="21"/>
                <w:highlight w:val="none"/>
                <w:u w:val="single"/>
                <w:lang w:val="en-US" w:eastAsia="zh-CN" w:bidi="ar-SA"/>
              </w:rPr>
              <w:t xml:space="preserve">    </w:t>
            </w:r>
            <w:r>
              <w:rPr>
                <w:rFonts w:hint="eastAsia"/>
                <w:color w:val="auto"/>
                <w:szCs w:val="21"/>
                <w:highlight w:val="none"/>
                <w:lang w:val="en-US" w:eastAsia="zh-CN"/>
              </w:rPr>
              <w:t>元/件。</w:t>
            </w:r>
          </w:p>
        </w:tc>
        <w:tc>
          <w:tcPr>
            <w:tcW w:w="1759" w:type="dxa"/>
            <w:vAlign w:val="center"/>
          </w:tcPr>
          <w:p w14:paraId="7543005A">
            <w:pPr>
              <w:pStyle w:val="10"/>
              <w:spacing w:line="360" w:lineRule="auto"/>
              <w:jc w:val="center"/>
              <w:rPr>
                <w:rFonts w:ascii="Times New Roman" w:hAnsi="Times New Roman"/>
                <w:color w:val="auto"/>
                <w:szCs w:val="21"/>
                <w:highlight w:val="none"/>
                <w:u w:val="single"/>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65%</w:t>
            </w:r>
          </w:p>
        </w:tc>
      </w:tr>
      <w:tr w14:paraId="0963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259" w:type="dxa"/>
            <w:vMerge w:val="continue"/>
            <w:vAlign w:val="center"/>
          </w:tcPr>
          <w:p w14:paraId="3408F99F">
            <w:pPr>
              <w:jc w:val="center"/>
              <w:rPr>
                <w:rFonts w:hint="eastAsia"/>
                <w:color w:val="auto"/>
                <w:szCs w:val="21"/>
                <w:highlight w:val="none"/>
                <w:lang w:val="en-US" w:eastAsia="zh-CN"/>
              </w:rPr>
            </w:pPr>
          </w:p>
        </w:tc>
        <w:tc>
          <w:tcPr>
            <w:tcW w:w="2876" w:type="dxa"/>
            <w:vAlign w:val="center"/>
          </w:tcPr>
          <w:p w14:paraId="0AA9C68F">
            <w:pPr>
              <w:pStyle w:val="10"/>
              <w:spacing w:line="360" w:lineRule="auto"/>
              <w:jc w:val="cente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200 - 599件</w:t>
            </w:r>
          </w:p>
        </w:tc>
        <w:tc>
          <w:tcPr>
            <w:tcW w:w="3865" w:type="dxa"/>
            <w:vAlign w:val="center"/>
          </w:tcPr>
          <w:p w14:paraId="54F82ADE">
            <w:pPr>
              <w:pStyle w:val="10"/>
              <w:spacing w:line="240" w:lineRule="exact"/>
              <w:jc w:val="center"/>
              <w:rPr>
                <w:rFonts w:hint="eastAsia" w:ascii="Times New Roman" w:hAnsi="Times New Roman"/>
                <w:color w:val="auto"/>
                <w:szCs w:val="21"/>
                <w:highlight w:val="none"/>
                <w:u w:val="single"/>
                <w:lang w:val="en-US" w:eastAsia="zh-CN"/>
              </w:rPr>
            </w:pPr>
            <w:r>
              <w:rPr>
                <w:rFonts w:hint="eastAsia" w:ascii="仿宋_GB2312" w:hAnsi="仿宋_GB2312" w:eastAsia="仿宋_GB2312" w:cs="仿宋_GB2312"/>
                <w:color w:val="auto"/>
                <w:kern w:val="2"/>
                <w:sz w:val="21"/>
                <w:szCs w:val="21"/>
                <w:highlight w:val="none"/>
                <w:u w:val="single"/>
                <w:lang w:val="en-US" w:eastAsia="zh-CN" w:bidi="ar-SA"/>
              </w:rPr>
              <w:t xml:space="preserve">    </w:t>
            </w:r>
            <w:r>
              <w:rPr>
                <w:rFonts w:hint="eastAsia" w:ascii="Times New Roman" w:hAnsi="Times New Roman"/>
                <w:color w:val="auto"/>
                <w:szCs w:val="21"/>
                <w:highlight w:val="none"/>
                <w:u w:val="none"/>
                <w:lang w:val="en-US" w:eastAsia="zh-CN"/>
              </w:rPr>
              <w:t>%</w:t>
            </w:r>
            <w:r>
              <w:rPr>
                <w:rFonts w:hint="eastAsia" w:ascii="Times New Roman" w:hAnsi="Times New Roman"/>
                <w:bCs/>
                <w:color w:val="auto"/>
                <w:szCs w:val="21"/>
                <w:highlight w:val="none"/>
                <w:lang w:val="zh-CN"/>
              </w:rPr>
              <w:t xml:space="preserve"> </w:t>
            </w:r>
            <w:r>
              <w:rPr>
                <w:rFonts w:hint="eastAsia"/>
                <w:color w:val="auto"/>
                <w:szCs w:val="21"/>
                <w:highlight w:val="none"/>
              </w:rPr>
              <w:t>【</w:t>
            </w:r>
            <w:r>
              <w:rPr>
                <w:rFonts w:hint="eastAsia" w:hAnsi="宋体" w:cs="宋体"/>
              </w:rPr>
              <w:t>不含税配送单价=配送预算单价（不含税）×成交折扣率</w:t>
            </w:r>
            <w:r>
              <w:rPr>
                <w:rFonts w:hint="eastAsia"/>
                <w:color w:val="auto"/>
                <w:szCs w:val="21"/>
                <w:highlight w:val="none"/>
              </w:rPr>
              <w:t>】</w:t>
            </w:r>
            <w:r>
              <w:rPr>
                <w:rFonts w:hint="eastAsia"/>
                <w:color w:val="auto"/>
                <w:szCs w:val="21"/>
                <w:highlight w:val="none"/>
                <w:lang w:eastAsia="zh-CN"/>
              </w:rPr>
              <w:t>，</w:t>
            </w:r>
            <w:r>
              <w:rPr>
                <w:rFonts w:hint="eastAsia"/>
                <w:color w:val="auto"/>
                <w:szCs w:val="21"/>
                <w:highlight w:val="none"/>
                <w:lang w:val="en-US" w:eastAsia="zh-CN"/>
              </w:rPr>
              <w:t>不含税配送单价为</w:t>
            </w:r>
            <w:r>
              <w:rPr>
                <w:rFonts w:hint="eastAsia" w:ascii="仿宋_GB2312" w:hAnsi="仿宋_GB2312" w:eastAsia="仿宋_GB2312" w:cs="仿宋_GB2312"/>
                <w:color w:val="auto"/>
                <w:kern w:val="2"/>
                <w:sz w:val="21"/>
                <w:szCs w:val="21"/>
                <w:highlight w:val="none"/>
                <w:u w:val="single"/>
                <w:lang w:val="en-US" w:eastAsia="zh-CN" w:bidi="ar-SA"/>
              </w:rPr>
              <w:t xml:space="preserve">    </w:t>
            </w:r>
            <w:r>
              <w:rPr>
                <w:rFonts w:hint="eastAsia"/>
                <w:color w:val="auto"/>
                <w:szCs w:val="21"/>
                <w:highlight w:val="none"/>
                <w:lang w:val="en-US" w:eastAsia="zh-CN"/>
              </w:rPr>
              <w:t>元/件。</w:t>
            </w:r>
          </w:p>
        </w:tc>
        <w:tc>
          <w:tcPr>
            <w:tcW w:w="1759" w:type="dxa"/>
            <w:vAlign w:val="center"/>
          </w:tcPr>
          <w:p w14:paraId="7E0990F5">
            <w:pPr>
              <w:pStyle w:val="10"/>
              <w:spacing w:line="360" w:lineRule="auto"/>
              <w:jc w:val="center"/>
              <w:rPr>
                <w:rFonts w:hint="default"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3%</w:t>
            </w:r>
          </w:p>
        </w:tc>
      </w:tr>
      <w:tr w14:paraId="6128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259" w:type="dxa"/>
            <w:vMerge w:val="continue"/>
            <w:vAlign w:val="center"/>
          </w:tcPr>
          <w:p w14:paraId="2752C49A">
            <w:pPr>
              <w:jc w:val="center"/>
              <w:rPr>
                <w:rFonts w:hint="eastAsia"/>
                <w:color w:val="auto"/>
                <w:szCs w:val="21"/>
                <w:highlight w:val="none"/>
                <w:lang w:val="en-US" w:eastAsia="zh-CN"/>
              </w:rPr>
            </w:pPr>
          </w:p>
        </w:tc>
        <w:tc>
          <w:tcPr>
            <w:tcW w:w="2876" w:type="dxa"/>
            <w:vAlign w:val="center"/>
          </w:tcPr>
          <w:p w14:paraId="2DEE5E06">
            <w:pPr>
              <w:pStyle w:val="10"/>
              <w:spacing w:line="360" w:lineRule="auto"/>
              <w:jc w:val="cente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600 - 999件</w:t>
            </w:r>
          </w:p>
        </w:tc>
        <w:tc>
          <w:tcPr>
            <w:tcW w:w="3865" w:type="dxa"/>
            <w:vAlign w:val="center"/>
          </w:tcPr>
          <w:p w14:paraId="509210D7">
            <w:pPr>
              <w:pStyle w:val="10"/>
              <w:spacing w:line="240" w:lineRule="exact"/>
              <w:jc w:val="center"/>
              <w:rPr>
                <w:rFonts w:hint="eastAsia" w:ascii="Times New Roman" w:hAnsi="Times New Roman"/>
                <w:color w:val="auto"/>
                <w:szCs w:val="21"/>
                <w:highlight w:val="none"/>
                <w:u w:val="single"/>
                <w:lang w:val="en-US" w:eastAsia="zh-CN"/>
              </w:rPr>
            </w:pPr>
            <w:r>
              <w:rPr>
                <w:rFonts w:hint="eastAsia" w:ascii="仿宋_GB2312" w:hAnsi="仿宋_GB2312" w:eastAsia="仿宋_GB2312" w:cs="仿宋_GB2312"/>
                <w:color w:val="auto"/>
                <w:kern w:val="2"/>
                <w:sz w:val="21"/>
                <w:szCs w:val="21"/>
                <w:highlight w:val="none"/>
                <w:u w:val="single"/>
                <w:lang w:val="en-US" w:eastAsia="zh-CN" w:bidi="ar-SA"/>
              </w:rPr>
              <w:t xml:space="preserve">    </w:t>
            </w:r>
            <w:r>
              <w:rPr>
                <w:rFonts w:hint="eastAsia" w:ascii="Times New Roman" w:hAnsi="Times New Roman"/>
                <w:color w:val="auto"/>
                <w:szCs w:val="21"/>
                <w:highlight w:val="none"/>
                <w:u w:val="none"/>
                <w:lang w:val="en-US" w:eastAsia="zh-CN"/>
              </w:rPr>
              <w:t>%</w:t>
            </w:r>
            <w:r>
              <w:rPr>
                <w:rFonts w:hint="eastAsia" w:ascii="Times New Roman" w:hAnsi="Times New Roman"/>
                <w:bCs/>
                <w:color w:val="auto"/>
                <w:szCs w:val="21"/>
                <w:highlight w:val="none"/>
                <w:lang w:val="zh-CN"/>
              </w:rPr>
              <w:t xml:space="preserve"> </w:t>
            </w:r>
            <w:r>
              <w:rPr>
                <w:rFonts w:hint="eastAsia"/>
                <w:color w:val="auto"/>
                <w:szCs w:val="21"/>
                <w:highlight w:val="none"/>
              </w:rPr>
              <w:t>【</w:t>
            </w:r>
            <w:r>
              <w:rPr>
                <w:rFonts w:hint="eastAsia" w:hAnsi="宋体" w:cs="宋体"/>
              </w:rPr>
              <w:t>不含税配送单价=配送预算单价（不含税）×成交折扣率</w:t>
            </w:r>
            <w:r>
              <w:rPr>
                <w:rFonts w:hint="eastAsia"/>
                <w:color w:val="auto"/>
                <w:szCs w:val="21"/>
                <w:highlight w:val="none"/>
              </w:rPr>
              <w:t>】</w:t>
            </w:r>
            <w:r>
              <w:rPr>
                <w:rFonts w:hint="eastAsia"/>
                <w:color w:val="auto"/>
                <w:szCs w:val="21"/>
                <w:highlight w:val="none"/>
                <w:lang w:eastAsia="zh-CN"/>
              </w:rPr>
              <w:t>，</w:t>
            </w:r>
            <w:r>
              <w:rPr>
                <w:rFonts w:hint="eastAsia"/>
                <w:color w:val="auto"/>
                <w:szCs w:val="21"/>
                <w:highlight w:val="none"/>
                <w:lang w:val="en-US" w:eastAsia="zh-CN"/>
              </w:rPr>
              <w:t>不含税配送单价为</w:t>
            </w:r>
            <w:r>
              <w:rPr>
                <w:rFonts w:hint="eastAsia" w:ascii="仿宋_GB2312" w:hAnsi="仿宋_GB2312" w:eastAsia="仿宋_GB2312" w:cs="仿宋_GB2312"/>
                <w:color w:val="auto"/>
                <w:kern w:val="2"/>
                <w:sz w:val="21"/>
                <w:szCs w:val="21"/>
                <w:highlight w:val="none"/>
                <w:u w:val="single"/>
                <w:lang w:val="en-US" w:eastAsia="zh-CN" w:bidi="ar-SA"/>
              </w:rPr>
              <w:t xml:space="preserve">    </w:t>
            </w:r>
            <w:r>
              <w:rPr>
                <w:rFonts w:hint="eastAsia"/>
                <w:color w:val="auto"/>
                <w:szCs w:val="21"/>
                <w:highlight w:val="none"/>
                <w:lang w:val="en-US" w:eastAsia="zh-CN"/>
              </w:rPr>
              <w:t>元/件。</w:t>
            </w:r>
          </w:p>
        </w:tc>
        <w:tc>
          <w:tcPr>
            <w:tcW w:w="1759" w:type="dxa"/>
            <w:vAlign w:val="center"/>
          </w:tcPr>
          <w:p w14:paraId="2A177EB5">
            <w:pPr>
              <w:pStyle w:val="10"/>
              <w:spacing w:line="360" w:lineRule="auto"/>
              <w:jc w:val="center"/>
              <w:rPr>
                <w:rFonts w:hint="default"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1%</w:t>
            </w:r>
          </w:p>
        </w:tc>
      </w:tr>
      <w:tr w14:paraId="6E3B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259" w:type="dxa"/>
            <w:vMerge w:val="continue"/>
            <w:vAlign w:val="center"/>
          </w:tcPr>
          <w:p w14:paraId="43A406EA">
            <w:pPr>
              <w:jc w:val="center"/>
              <w:rPr>
                <w:rFonts w:hint="eastAsia"/>
                <w:color w:val="auto"/>
                <w:szCs w:val="21"/>
                <w:highlight w:val="none"/>
                <w:lang w:val="en-US" w:eastAsia="zh-CN"/>
              </w:rPr>
            </w:pPr>
          </w:p>
        </w:tc>
        <w:tc>
          <w:tcPr>
            <w:tcW w:w="2876" w:type="dxa"/>
            <w:vAlign w:val="center"/>
          </w:tcPr>
          <w:p w14:paraId="4F4CCB60">
            <w:pPr>
              <w:pStyle w:val="10"/>
              <w:spacing w:line="360" w:lineRule="auto"/>
              <w:jc w:val="cente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color w:val="auto"/>
                <w:szCs w:val="21"/>
                <w:highlight w:val="none"/>
                <w:u w:val="none"/>
                <w:shd w:val="clear" w:color="auto" w:fill="FFFFFF"/>
                <w:lang w:bidi="ar"/>
              </w:rPr>
              <w:t>1000件及以上</w:t>
            </w:r>
          </w:p>
        </w:tc>
        <w:tc>
          <w:tcPr>
            <w:tcW w:w="3865" w:type="dxa"/>
            <w:vAlign w:val="center"/>
          </w:tcPr>
          <w:p w14:paraId="0C5C9E75">
            <w:pPr>
              <w:pStyle w:val="10"/>
              <w:spacing w:line="240" w:lineRule="exact"/>
              <w:jc w:val="center"/>
              <w:rPr>
                <w:rFonts w:hint="eastAsia" w:ascii="Times New Roman" w:hAnsi="Times New Roman"/>
                <w:color w:val="auto"/>
                <w:szCs w:val="21"/>
                <w:highlight w:val="none"/>
                <w:u w:val="single"/>
                <w:lang w:val="en-US" w:eastAsia="zh-CN"/>
              </w:rPr>
            </w:pPr>
            <w:r>
              <w:rPr>
                <w:rFonts w:hint="eastAsia" w:ascii="仿宋_GB2312" w:hAnsi="仿宋_GB2312" w:eastAsia="仿宋_GB2312" w:cs="仿宋_GB2312"/>
                <w:color w:val="auto"/>
                <w:kern w:val="2"/>
                <w:sz w:val="21"/>
                <w:szCs w:val="21"/>
                <w:highlight w:val="none"/>
                <w:u w:val="single"/>
                <w:lang w:val="en-US" w:eastAsia="zh-CN" w:bidi="ar-SA"/>
              </w:rPr>
              <w:t xml:space="preserve">    </w:t>
            </w:r>
            <w:r>
              <w:rPr>
                <w:rFonts w:hint="eastAsia" w:ascii="Times New Roman" w:hAnsi="Times New Roman"/>
                <w:color w:val="auto"/>
                <w:szCs w:val="21"/>
                <w:highlight w:val="none"/>
                <w:u w:val="none"/>
                <w:lang w:val="en-US" w:eastAsia="zh-CN"/>
              </w:rPr>
              <w:t>%</w:t>
            </w:r>
            <w:r>
              <w:rPr>
                <w:rFonts w:hint="eastAsia" w:ascii="Times New Roman" w:hAnsi="Times New Roman"/>
                <w:bCs/>
                <w:color w:val="auto"/>
                <w:szCs w:val="21"/>
                <w:highlight w:val="none"/>
                <w:lang w:val="zh-CN"/>
              </w:rPr>
              <w:t xml:space="preserve"> </w:t>
            </w:r>
            <w:r>
              <w:rPr>
                <w:rFonts w:hint="eastAsia"/>
                <w:color w:val="auto"/>
                <w:szCs w:val="21"/>
                <w:highlight w:val="none"/>
              </w:rPr>
              <w:t>【</w:t>
            </w:r>
            <w:r>
              <w:rPr>
                <w:rFonts w:hint="eastAsia" w:hAnsi="宋体" w:cs="宋体"/>
              </w:rPr>
              <w:t>不含税配送单价=配送预算单价（不含税）×成交折扣率</w:t>
            </w:r>
            <w:r>
              <w:rPr>
                <w:rFonts w:hint="eastAsia"/>
                <w:color w:val="auto"/>
                <w:szCs w:val="21"/>
                <w:highlight w:val="none"/>
              </w:rPr>
              <w:t>】</w:t>
            </w:r>
            <w:r>
              <w:rPr>
                <w:rFonts w:hint="eastAsia"/>
                <w:color w:val="auto"/>
                <w:szCs w:val="21"/>
                <w:highlight w:val="none"/>
                <w:lang w:eastAsia="zh-CN"/>
              </w:rPr>
              <w:t>，</w:t>
            </w:r>
            <w:r>
              <w:rPr>
                <w:rFonts w:hint="eastAsia"/>
                <w:color w:val="auto"/>
                <w:szCs w:val="21"/>
                <w:highlight w:val="none"/>
                <w:lang w:val="en-US" w:eastAsia="zh-CN"/>
              </w:rPr>
              <w:t>不含税配送单价为</w:t>
            </w:r>
            <w:r>
              <w:rPr>
                <w:rFonts w:hint="eastAsia" w:ascii="仿宋_GB2312" w:hAnsi="仿宋_GB2312" w:eastAsia="仿宋_GB2312" w:cs="仿宋_GB2312"/>
                <w:color w:val="auto"/>
                <w:kern w:val="2"/>
                <w:sz w:val="21"/>
                <w:szCs w:val="21"/>
                <w:highlight w:val="none"/>
                <w:u w:val="single"/>
                <w:lang w:val="en-US" w:eastAsia="zh-CN" w:bidi="ar-SA"/>
              </w:rPr>
              <w:t xml:space="preserve">    </w:t>
            </w:r>
            <w:r>
              <w:rPr>
                <w:rFonts w:hint="eastAsia"/>
                <w:color w:val="auto"/>
                <w:szCs w:val="21"/>
                <w:highlight w:val="none"/>
                <w:lang w:val="en-US" w:eastAsia="zh-CN"/>
              </w:rPr>
              <w:t>元/件。</w:t>
            </w:r>
          </w:p>
        </w:tc>
        <w:tc>
          <w:tcPr>
            <w:tcW w:w="1759" w:type="dxa"/>
            <w:vAlign w:val="center"/>
          </w:tcPr>
          <w:p w14:paraId="44D41E7B">
            <w:pPr>
              <w:pStyle w:val="10"/>
              <w:spacing w:line="360" w:lineRule="auto"/>
              <w:jc w:val="cente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pPr>
            <w:r>
              <w:rPr>
                <w:rFonts w:hint="eastAsia" w:ascii="仿宋_GB2312" w:hAnsi="仿宋_GB2312" w:eastAsia="仿宋_GB2312" w:cs="仿宋_GB2312"/>
                <w:i w:val="0"/>
                <w:iCs w:val="0"/>
                <w:color w:val="auto"/>
                <w:kern w:val="2"/>
                <w:sz w:val="21"/>
                <w:szCs w:val="21"/>
                <w:highlight w:val="none"/>
                <w:u w:val="none"/>
                <w:shd w:val="clear" w:color="auto" w:fill="FFFFFF"/>
                <w:lang w:val="en-US" w:eastAsia="zh-CN" w:bidi="ar"/>
              </w:rPr>
              <w:t>1%</w:t>
            </w:r>
          </w:p>
        </w:tc>
      </w:tr>
      <w:tr w14:paraId="663C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59" w:type="dxa"/>
            <w:vAlign w:val="center"/>
          </w:tcPr>
          <w:p w14:paraId="5FDB111B">
            <w:pPr>
              <w:jc w:val="center"/>
              <w:rPr>
                <w:rFonts w:hint="default"/>
                <w:color w:val="auto"/>
                <w:szCs w:val="21"/>
                <w:highlight w:val="none"/>
                <w:lang w:val="en-US" w:eastAsia="zh-CN"/>
              </w:rPr>
            </w:pPr>
            <w:r>
              <w:rPr>
                <w:rFonts w:hint="eastAsia"/>
                <w:color w:val="auto"/>
                <w:szCs w:val="21"/>
                <w:highlight w:val="none"/>
                <w:lang w:val="en-US" w:eastAsia="zh-CN"/>
              </w:rPr>
              <w:t>报价人纳税类型</w:t>
            </w:r>
          </w:p>
        </w:tc>
        <w:tc>
          <w:tcPr>
            <w:tcW w:w="8500" w:type="dxa"/>
            <w:gridSpan w:val="3"/>
            <w:vAlign w:val="center"/>
          </w:tcPr>
          <w:p w14:paraId="1ACA00BD">
            <w:pPr>
              <w:pStyle w:val="10"/>
              <w:spacing w:line="360" w:lineRule="auto"/>
              <w:rPr>
                <w:rFonts w:ascii="Times New Roman" w:hAnsi="Times New Roman"/>
                <w:color w:val="auto"/>
                <w:szCs w:val="21"/>
                <w:highlight w:val="none"/>
                <w:u w:val="single"/>
              </w:rPr>
            </w:pPr>
            <w:r>
              <w:rPr>
                <w:rFonts w:asciiTheme="minorEastAsia" w:hAnsiTheme="minorEastAsia" w:eastAsiaTheme="minorEastAsia"/>
                <w:color w:val="auto"/>
                <w:szCs w:val="21"/>
                <w:highlight w:val="none"/>
              </w:rPr>
              <w:t>□</w:t>
            </w:r>
            <w:r>
              <w:rPr>
                <w:rFonts w:ascii="Times New Roman" w:hAnsi="Times New Roman"/>
                <w:color w:val="auto"/>
                <w:szCs w:val="21"/>
                <w:highlight w:val="none"/>
              </w:rPr>
              <w:t>一般纳税人，增值税税率</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w:t>
            </w:r>
          </w:p>
          <w:p w14:paraId="0E3B785A">
            <w:pPr>
              <w:pStyle w:val="1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ascii="Times New Roman" w:hAnsi="Times New Roman"/>
                <w:color w:val="auto"/>
                <w:szCs w:val="21"/>
                <w:highlight w:val="none"/>
              </w:rPr>
              <w:t>小规模纳税人，增值税税率</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w:t>
            </w:r>
          </w:p>
        </w:tc>
      </w:tr>
      <w:tr w14:paraId="4E12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1259" w:type="dxa"/>
            <w:vAlign w:val="center"/>
          </w:tcPr>
          <w:p w14:paraId="2CA61D64">
            <w:pPr>
              <w:jc w:val="center"/>
              <w:rPr>
                <w:rFonts w:ascii="宋体" w:hAnsi="宋体"/>
                <w:color w:val="auto"/>
                <w:szCs w:val="21"/>
                <w:highlight w:val="none"/>
              </w:rPr>
            </w:pPr>
            <w:r>
              <w:rPr>
                <w:rFonts w:hint="eastAsia" w:ascii="宋体" w:hAnsi="宋体"/>
                <w:color w:val="auto"/>
                <w:szCs w:val="21"/>
                <w:highlight w:val="none"/>
              </w:rPr>
              <w:t>备注</w:t>
            </w:r>
          </w:p>
        </w:tc>
        <w:tc>
          <w:tcPr>
            <w:tcW w:w="8500" w:type="dxa"/>
            <w:gridSpan w:val="3"/>
            <w:vAlign w:val="center"/>
          </w:tcPr>
          <w:p w14:paraId="73532B11">
            <w:pPr>
              <w:pStyle w:val="8"/>
              <w:spacing w:line="240" w:lineRule="auto"/>
              <w:rPr>
                <w:rFonts w:hint="eastAsia" w:ascii="宋体" w:hAnsi="宋体" w:eastAsia="宋体" w:cs="宋体"/>
              </w:rPr>
            </w:pPr>
            <w:r>
              <w:rPr>
                <w:rFonts w:hint="eastAsia" w:ascii="宋体" w:hAnsi="宋体" w:eastAsia="宋体" w:cs="宋体"/>
                <w:color w:val="auto"/>
                <w:highlight w:val="none"/>
                <w:lang w:val="en-US" w:eastAsia="zh-CN"/>
              </w:rPr>
              <w:t>1.本项目的报价为“折扣率”，</w:t>
            </w:r>
            <w:r>
              <w:rPr>
                <w:rFonts w:hint="eastAsia" w:ascii="宋体" w:hAnsi="宋体" w:eastAsia="宋体" w:cs="宋体"/>
                <w:lang w:val="zh-CN"/>
              </w:rPr>
              <w:t>合同履约过程中，</w:t>
            </w:r>
            <w:r>
              <w:rPr>
                <w:rFonts w:hint="eastAsia" w:ascii="宋体" w:hAnsi="宋体" w:eastAsia="宋体" w:cs="宋体"/>
                <w:lang w:val="en-US" w:eastAsia="zh-CN"/>
              </w:rPr>
              <w:t>物流配送服务范围中</w:t>
            </w:r>
            <w:r>
              <w:rPr>
                <w:rFonts w:hint="eastAsia" w:ascii="宋体" w:hAnsi="宋体" w:eastAsia="宋体" w:cs="宋体"/>
              </w:rPr>
              <w:t>的</w:t>
            </w:r>
            <w:r>
              <w:rPr>
                <w:rFonts w:hint="eastAsia" w:ascii="宋体" w:hAnsi="宋体" w:eastAsia="宋体" w:cs="宋体"/>
                <w:lang w:val="en-US" w:eastAsia="zh-CN"/>
              </w:rPr>
              <w:t>客户收货地址所属镇街不含税配送</w:t>
            </w:r>
            <w:r>
              <w:rPr>
                <w:rFonts w:hint="eastAsia" w:ascii="宋体" w:hAnsi="宋体" w:eastAsia="宋体" w:cs="宋体"/>
              </w:rPr>
              <w:t>单价采用以下方式计算：</w:t>
            </w:r>
            <w:r>
              <w:rPr>
                <w:rFonts w:hint="eastAsia" w:ascii="宋体" w:hAnsi="宋体" w:eastAsia="宋体" w:cs="宋体"/>
                <w:lang w:val="en-US" w:eastAsia="zh-CN"/>
              </w:rPr>
              <w:t>不含税配送</w:t>
            </w:r>
            <w:r>
              <w:rPr>
                <w:rFonts w:hint="eastAsia" w:ascii="宋体" w:hAnsi="宋体" w:eastAsia="宋体" w:cs="宋体"/>
              </w:rPr>
              <w:t>单价=</w:t>
            </w:r>
            <w:r>
              <w:rPr>
                <w:rFonts w:hint="eastAsia" w:hAnsi="宋体" w:cs="宋体"/>
              </w:rPr>
              <w:t>配送预算单价（不含税）</w:t>
            </w:r>
            <w:r>
              <w:rPr>
                <w:rFonts w:hint="eastAsia" w:ascii="宋体" w:hAnsi="宋体" w:eastAsia="宋体" w:cs="宋体"/>
              </w:rPr>
              <w:t>×</w:t>
            </w:r>
            <w:r>
              <w:rPr>
                <w:rFonts w:hint="eastAsia" w:ascii="宋体" w:hAnsi="宋体" w:eastAsia="宋体" w:cs="宋体"/>
                <w:lang w:val="en-US" w:eastAsia="zh-CN"/>
              </w:rPr>
              <w:t>成交</w:t>
            </w:r>
            <w:r>
              <w:rPr>
                <w:rFonts w:hint="eastAsia" w:ascii="宋体" w:hAnsi="宋体" w:eastAsia="宋体" w:cs="宋体"/>
              </w:rPr>
              <w:t>折扣率，</w:t>
            </w:r>
            <w:r>
              <w:rPr>
                <w:rFonts w:hint="eastAsia" w:ascii="宋体" w:hAnsi="宋体" w:eastAsia="宋体" w:cs="宋体"/>
                <w:lang w:val="en-US" w:eastAsia="zh-CN"/>
              </w:rPr>
              <w:t>配送费用</w:t>
            </w:r>
            <w:r>
              <w:rPr>
                <w:rFonts w:hint="eastAsia" w:ascii="宋体" w:hAnsi="宋体" w:eastAsia="宋体" w:cs="宋体"/>
              </w:rPr>
              <w:t>以实际</w:t>
            </w:r>
            <w:r>
              <w:rPr>
                <w:rFonts w:hint="eastAsia" w:ascii="宋体" w:hAnsi="宋体" w:eastAsia="宋体" w:cs="宋体"/>
                <w:lang w:val="en-US" w:eastAsia="zh-CN"/>
              </w:rPr>
              <w:t>送货</w:t>
            </w:r>
            <w:r>
              <w:rPr>
                <w:rFonts w:hint="eastAsia" w:ascii="宋体" w:hAnsi="宋体" w:eastAsia="宋体" w:cs="宋体"/>
              </w:rPr>
              <w:t>数量进行结算。</w:t>
            </w:r>
          </w:p>
          <w:p w14:paraId="19DAC507">
            <w:pPr>
              <w:pStyle w:val="8"/>
              <w:spacing w:line="240" w:lineRule="auto"/>
              <w:rPr>
                <w:rFonts w:hint="eastAsia" w:ascii="宋体" w:hAnsi="宋体" w:eastAsia="宋体" w:cs="宋体"/>
                <w:lang w:val="en-US" w:eastAsia="zh-CN"/>
              </w:rPr>
            </w:pPr>
            <w:r>
              <w:rPr>
                <w:rFonts w:hint="eastAsia" w:ascii="宋体" w:hAnsi="宋体" w:eastAsia="宋体" w:cs="宋体"/>
                <w:lang w:val="en-US" w:eastAsia="zh-CN"/>
              </w:rPr>
              <w:t>2.报价</w:t>
            </w:r>
            <w:r>
              <w:rPr>
                <w:rFonts w:hint="eastAsia" w:ascii="宋体" w:hAnsi="宋体" w:eastAsia="宋体" w:cs="宋体"/>
                <w:lang w:val="zh-CN"/>
              </w:rPr>
              <w:t>包括采购人购买本合同项下货物及其服务所支付的全部价款，包括但不限于（1）</w:t>
            </w:r>
            <w:r>
              <w:rPr>
                <w:rFonts w:hint="eastAsia" w:ascii="宋体" w:hAnsi="宋体" w:eastAsia="宋体" w:cs="宋体"/>
                <w:lang w:val="en-US" w:eastAsia="zh-CN"/>
              </w:rPr>
              <w:t>物流配送服务</w:t>
            </w:r>
            <w:r>
              <w:rPr>
                <w:rFonts w:hint="eastAsia" w:ascii="宋体" w:hAnsi="宋体" w:eastAsia="宋体" w:cs="宋体"/>
                <w:lang w:val="zh-CN"/>
              </w:rPr>
              <w:t>范围内所</w:t>
            </w:r>
            <w:r>
              <w:rPr>
                <w:rFonts w:hint="eastAsia" w:ascii="宋体" w:hAnsi="宋体" w:eastAsia="宋体" w:cs="宋体"/>
                <w:lang w:val="en-US" w:eastAsia="zh-CN"/>
              </w:rPr>
              <w:t>需的人工费（含加班）、车辆使用及燃油费（充电费）、包装水装车卸车的人工或器械作业费、物流配送过路桥费（含高速路）、提供物流配送服务人员的工资、食宿、保险费（包括物流配送车辆交强险、第三者责任险等商业保险，成交人及其雇员社会保障资金、保险、第三者责任险等）</w:t>
            </w:r>
            <w:r>
              <w:rPr>
                <w:rFonts w:hint="eastAsia" w:ascii="宋体" w:hAnsi="宋体" w:eastAsia="宋体" w:cs="宋体"/>
                <w:lang w:val="zh-CN"/>
              </w:rPr>
              <w:t>、装卸费、搬运费、</w:t>
            </w:r>
            <w:r>
              <w:rPr>
                <w:rFonts w:hint="eastAsia" w:ascii="宋体" w:hAnsi="宋体" w:eastAsia="宋体" w:cs="宋体"/>
                <w:lang w:val="en-US" w:eastAsia="zh-CN"/>
              </w:rPr>
              <w:t>上楼</w:t>
            </w:r>
            <w:r>
              <w:rPr>
                <w:rFonts w:hint="eastAsia" w:ascii="宋体" w:hAnsi="宋体" w:eastAsia="宋体" w:cs="宋体"/>
                <w:lang w:val="zh-CN"/>
              </w:rPr>
              <w:t>等相关服务的费用；（</w:t>
            </w:r>
            <w:r>
              <w:rPr>
                <w:rFonts w:hint="eastAsia" w:ascii="宋体" w:hAnsi="宋体" w:eastAsia="宋体" w:cs="宋体"/>
                <w:lang w:val="en-US" w:eastAsia="zh-CN"/>
              </w:rPr>
              <w:t>2</w:t>
            </w:r>
            <w:r>
              <w:rPr>
                <w:rFonts w:hint="eastAsia" w:ascii="宋体" w:hAnsi="宋体" w:eastAsia="宋体" w:cs="宋体"/>
                <w:lang w:val="zh-CN"/>
              </w:rPr>
              <w:t>）合理利润、</w:t>
            </w:r>
            <w:r>
              <w:rPr>
                <w:rFonts w:hint="eastAsia" w:ascii="宋体" w:hAnsi="宋体" w:eastAsia="宋体" w:cs="宋体"/>
                <w:lang w:val="en-US" w:eastAsia="zh-CN"/>
              </w:rPr>
              <w:t>报价人销项税额以外的税费等</w:t>
            </w:r>
            <w:r>
              <w:rPr>
                <w:rFonts w:hint="eastAsia" w:ascii="宋体" w:hAnsi="宋体" w:eastAsia="宋体" w:cs="宋体"/>
                <w:lang w:val="zh-CN"/>
              </w:rPr>
              <w:t>；（</w:t>
            </w:r>
            <w:r>
              <w:rPr>
                <w:rFonts w:hint="eastAsia" w:ascii="宋体" w:hAnsi="宋体" w:eastAsia="宋体" w:cs="宋体"/>
                <w:lang w:val="en-US" w:eastAsia="zh-CN"/>
              </w:rPr>
              <w:t>3</w:t>
            </w:r>
            <w:r>
              <w:rPr>
                <w:rFonts w:hint="eastAsia" w:ascii="宋体" w:hAnsi="宋体" w:eastAsia="宋体" w:cs="宋体"/>
                <w:lang w:val="zh-CN"/>
              </w:rPr>
              <w:t>）法律法规、商业公认、询价文件规定由</w:t>
            </w:r>
            <w:r>
              <w:rPr>
                <w:rFonts w:hint="eastAsia" w:ascii="宋体" w:hAnsi="宋体" w:eastAsia="宋体" w:cs="宋体"/>
                <w:lang w:val="en-US" w:eastAsia="zh-CN"/>
              </w:rPr>
              <w:t>成交</w:t>
            </w:r>
            <w:r>
              <w:rPr>
                <w:rFonts w:hint="eastAsia" w:ascii="宋体" w:hAnsi="宋体" w:eastAsia="宋体" w:cs="宋体"/>
                <w:lang w:val="zh-CN"/>
              </w:rPr>
              <w:t>人承担的其他费用。未经采购人书面同意，成交人（包括但不限于成交人指定的第三方）不得要求采购人另行支付其他任何费用。</w:t>
            </w:r>
          </w:p>
        </w:tc>
      </w:tr>
    </w:tbl>
    <w:p w14:paraId="42329F9C">
      <w:pPr>
        <w:pStyle w:val="8"/>
        <w:rPr>
          <w:color w:val="auto"/>
          <w:highlight w:val="none"/>
        </w:rPr>
      </w:pPr>
    </w:p>
    <w:p w14:paraId="189C6FE0">
      <w:pPr>
        <w:pStyle w:val="10"/>
        <w:spacing w:line="360" w:lineRule="auto"/>
        <w:ind w:left="0" w:leftChars="0" w:firstLine="240" w:firstLineChars="1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联系人：                          联系电话：</w:t>
      </w:r>
    </w:p>
    <w:p w14:paraId="1FFE94FB">
      <w:pPr>
        <w:pStyle w:val="10"/>
        <w:spacing w:line="360" w:lineRule="auto"/>
        <w:ind w:left="0" w:leftChars="0" w:firstLine="240" w:firstLineChars="1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联系地址：</w:t>
      </w:r>
    </w:p>
    <w:p w14:paraId="7B7C8724">
      <w:pPr>
        <w:pStyle w:val="10"/>
        <w:spacing w:line="360" w:lineRule="auto"/>
        <w:rPr>
          <w:rFonts w:hint="default" w:ascii="Times New Roman" w:hAnsi="Times New Roman" w:cs="Times New Roman"/>
          <w:color w:val="000000"/>
          <w:sz w:val="24"/>
          <w:szCs w:val="28"/>
          <w:highlight w:val="none"/>
        </w:rPr>
      </w:pPr>
    </w:p>
    <w:p w14:paraId="141A4DF1">
      <w:pPr>
        <w:ind w:left="0" w:leftChars="0" w:firstLine="4410" w:firstLineChars="2100"/>
        <w:rPr>
          <w:rFonts w:hint="default" w:ascii="Times New Roman" w:hAnsi="Times New Roman" w:cs="Times New Roman"/>
          <w:szCs w:val="21"/>
          <w:highlight w:val="none"/>
        </w:rPr>
      </w:pPr>
      <w:r>
        <w:rPr>
          <w:rFonts w:hint="default" w:ascii="Times New Roman" w:hAnsi="Times New Roman" w:cs="Times New Roman"/>
          <w:szCs w:val="21"/>
          <w:highlight w:val="none"/>
        </w:rPr>
        <w:t>供应商名称（加盖公章）：</w:t>
      </w:r>
    </w:p>
    <w:p w14:paraId="3B72E66A">
      <w:pPr>
        <w:ind w:firstLine="4410" w:firstLineChars="2100"/>
        <w:jc w:val="left"/>
        <w:rPr>
          <w:rFonts w:hint="default" w:ascii="Times New Roman" w:hAnsi="Times New Roman" w:cs="Times New Roman"/>
          <w:color w:val="000000"/>
          <w:kern w:val="2"/>
          <w:szCs w:val="28"/>
          <w:highlight w:val="none"/>
          <w:lang w:val="zh-CN"/>
        </w:rPr>
      </w:pPr>
      <w:r>
        <w:rPr>
          <w:rFonts w:hint="default" w:ascii="Times New Roman" w:hAnsi="Times New Roman" w:cs="Times New Roman"/>
          <w:szCs w:val="21"/>
          <w:highlight w:val="none"/>
        </w:rPr>
        <w:t>日期：    年  月  日</w:t>
      </w:r>
      <w:bookmarkStart w:id="53" w:name="_Toc34746361"/>
      <w:bookmarkStart w:id="54" w:name="_Toc34746053"/>
      <w:bookmarkStart w:id="55" w:name="_Toc34745986"/>
    </w:p>
    <w:p w14:paraId="3AB4A725">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br w:type="page"/>
      </w:r>
    </w:p>
    <w:p w14:paraId="706266D6">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2.</w:t>
      </w:r>
      <w:bookmarkStart w:id="56" w:name="_Hlk40432212"/>
      <w:r>
        <w:rPr>
          <w:rFonts w:hint="default" w:ascii="Times New Roman" w:hAnsi="Times New Roman" w:cs="Times New Roman"/>
          <w:b/>
          <w:color w:val="000000"/>
          <w:sz w:val="28"/>
          <w:szCs w:val="28"/>
          <w:highlight w:val="none"/>
        </w:rPr>
        <w:t>项目响应声明</w:t>
      </w:r>
      <w:bookmarkEnd w:id="56"/>
    </w:p>
    <w:p w14:paraId="2A10A284">
      <w:pPr>
        <w:spacing w:line="360" w:lineRule="auto"/>
        <w:ind w:firstLine="420" w:firstLineChars="200"/>
        <w:rPr>
          <w:rFonts w:hint="default" w:ascii="Times New Roman" w:hAnsi="Times New Roman" w:cs="Times New Roman"/>
          <w:color w:val="000000"/>
          <w:sz w:val="21"/>
          <w:szCs w:val="21"/>
          <w:highlight w:val="none"/>
        </w:rPr>
      </w:pPr>
    </w:p>
    <w:p w14:paraId="0BA8E9EF">
      <w:pPr>
        <w:spacing w:line="360" w:lineRule="auto"/>
        <w:ind w:left="-2" w:leftChars="-1" w:firstLine="1"/>
        <w:jc w:val="center"/>
        <w:rPr>
          <w:rFonts w:hint="default" w:ascii="Times New Roman" w:hAnsi="Times New Roman" w:cs="Times New Roman"/>
          <w:b/>
          <w:bCs/>
          <w:kern w:val="2"/>
          <w:sz w:val="32"/>
          <w:szCs w:val="32"/>
          <w:highlight w:val="none"/>
          <w:lang w:val="zh-CN"/>
        </w:rPr>
      </w:pPr>
    </w:p>
    <w:p w14:paraId="7FB805AB">
      <w:pPr>
        <w:spacing w:line="360" w:lineRule="auto"/>
        <w:ind w:left="-2" w:leftChars="-1" w:firstLine="1"/>
        <w:jc w:val="center"/>
        <w:rPr>
          <w:rFonts w:hint="default" w:ascii="Times New Roman" w:hAnsi="Times New Roman" w:cs="Times New Roman"/>
          <w:b/>
          <w:bCs/>
          <w:kern w:val="2"/>
          <w:sz w:val="28"/>
          <w:szCs w:val="28"/>
          <w:highlight w:val="none"/>
          <w:lang w:val="zh-CN"/>
        </w:rPr>
      </w:pPr>
      <w:r>
        <w:rPr>
          <w:rFonts w:hint="default" w:ascii="Times New Roman" w:hAnsi="Times New Roman" w:cs="Times New Roman"/>
          <w:b/>
          <w:bCs/>
          <w:kern w:val="2"/>
          <w:sz w:val="28"/>
          <w:szCs w:val="28"/>
          <w:highlight w:val="none"/>
          <w:lang w:val="zh-CN"/>
        </w:rPr>
        <w:t>响应声明</w:t>
      </w:r>
    </w:p>
    <w:p w14:paraId="35B0A6B2">
      <w:pPr>
        <w:spacing w:line="360" w:lineRule="auto"/>
        <w:ind w:firstLine="424" w:firstLineChars="202"/>
        <w:rPr>
          <w:rFonts w:hint="default" w:ascii="Times New Roman" w:hAnsi="Times New Roman" w:cs="Times New Roman"/>
          <w:highlight w:val="none"/>
        </w:rPr>
      </w:pPr>
      <w:r>
        <w:rPr>
          <w:rFonts w:hint="default" w:ascii="Times New Roman" w:hAnsi="Times New Roman" w:cs="Times New Roman"/>
          <w:highlight w:val="none"/>
        </w:rPr>
        <w:t>我方已详细查阅了询价文件的所有内容，对询价文件中的“第三篇 用户需求”和“第四篇 合同条款”完全响应。一旦我方成交，将保证按质、按量、按期地完成项目中的全部责任和义务。我方在接收成交通知书（直接送达或邮寄方式，以实际收到的时间为送达时间）或成交邮件送达（发出之日即视为送达）后，愿意按询价文件中的合同条款执行。</w:t>
      </w:r>
    </w:p>
    <w:p w14:paraId="68FF1658">
      <w:pPr>
        <w:spacing w:line="360" w:lineRule="auto"/>
        <w:ind w:firstLine="424" w:firstLineChars="202"/>
        <w:rPr>
          <w:rFonts w:hint="default" w:ascii="Times New Roman" w:hAnsi="Times New Roman" w:cs="Times New Roman"/>
          <w:highlight w:val="none"/>
        </w:rPr>
      </w:pPr>
      <w:r>
        <w:rPr>
          <w:rFonts w:hint="default" w:ascii="Times New Roman" w:hAnsi="Times New Roman" w:cs="Times New Roman"/>
          <w:highlight w:val="none"/>
        </w:rPr>
        <w:t>特此声明！</w:t>
      </w:r>
    </w:p>
    <w:p w14:paraId="6230106A">
      <w:pPr>
        <w:spacing w:line="360" w:lineRule="auto"/>
        <w:ind w:firstLine="420" w:firstLineChars="200"/>
        <w:rPr>
          <w:rFonts w:hint="default" w:ascii="Times New Roman" w:hAnsi="Times New Roman" w:cs="Times New Roman"/>
          <w:color w:val="000000"/>
          <w:highlight w:val="none"/>
        </w:rPr>
      </w:pPr>
    </w:p>
    <w:p w14:paraId="277E79F4">
      <w:pPr>
        <w:spacing w:line="360" w:lineRule="auto"/>
        <w:ind w:firstLine="4464" w:firstLineChars="2126"/>
        <w:rPr>
          <w:rFonts w:hint="default" w:ascii="Times New Roman" w:hAnsi="Times New Roman" w:cs="Times New Roman"/>
          <w:highlight w:val="none"/>
        </w:rPr>
      </w:pPr>
      <w:r>
        <w:rPr>
          <w:rFonts w:hint="default" w:ascii="Times New Roman" w:hAnsi="Times New Roman" w:cs="Times New Roman"/>
          <w:highlight w:val="none"/>
        </w:rPr>
        <w:t>供应商名称（加盖公章）：</w:t>
      </w:r>
    </w:p>
    <w:p w14:paraId="66FA6F3D">
      <w:pPr>
        <w:spacing w:line="360" w:lineRule="auto"/>
        <w:ind w:firstLine="4464" w:firstLineChars="2126"/>
        <w:rPr>
          <w:rFonts w:hint="default" w:ascii="Times New Roman" w:hAnsi="Times New Roman" w:cs="Times New Roman"/>
          <w:color w:val="FF0000"/>
          <w:highlight w:val="none"/>
        </w:rPr>
      </w:pPr>
      <w:r>
        <w:rPr>
          <w:rFonts w:hint="default" w:ascii="Times New Roman" w:hAnsi="Times New Roman" w:cs="Times New Roman"/>
          <w:highlight w:val="none"/>
        </w:rPr>
        <w:t>日期：    年  月  日</w:t>
      </w:r>
    </w:p>
    <w:p w14:paraId="47BB2ECA">
      <w:pPr>
        <w:spacing w:line="360" w:lineRule="auto"/>
        <w:rPr>
          <w:rFonts w:hint="default" w:ascii="Times New Roman" w:hAnsi="Times New Roman" w:cs="Times New Roman"/>
          <w:color w:val="FF0000"/>
          <w:szCs w:val="22"/>
          <w:highlight w:val="none"/>
        </w:rPr>
      </w:pPr>
    </w:p>
    <w:p w14:paraId="44D7CD1F">
      <w:pPr>
        <w:spacing w:line="360" w:lineRule="auto"/>
        <w:rPr>
          <w:rFonts w:hint="default" w:ascii="Times New Roman" w:hAnsi="Times New Roman" w:cs="Times New Roman"/>
          <w:color w:val="FF0000"/>
          <w:szCs w:val="22"/>
          <w:highlight w:val="none"/>
        </w:rPr>
      </w:pPr>
    </w:p>
    <w:p w14:paraId="044934CC">
      <w:pPr>
        <w:spacing w:line="360" w:lineRule="auto"/>
        <w:rPr>
          <w:rFonts w:hint="default" w:ascii="Times New Roman" w:hAnsi="Times New Roman" w:cs="Times New Roman"/>
          <w:color w:val="FF0000"/>
          <w:szCs w:val="22"/>
          <w:highlight w:val="none"/>
        </w:rPr>
      </w:pPr>
    </w:p>
    <w:p w14:paraId="3ACC6725">
      <w:pPr>
        <w:spacing w:line="360" w:lineRule="auto"/>
        <w:jc w:val="center"/>
        <w:rPr>
          <w:rFonts w:hint="default" w:ascii="Times New Roman" w:hAnsi="Times New Roman" w:cs="Times New Roman"/>
          <w:color w:val="FF0000"/>
          <w:szCs w:val="22"/>
          <w:highlight w:val="none"/>
        </w:rPr>
      </w:pPr>
    </w:p>
    <w:p w14:paraId="66CC6A08">
      <w:pPr>
        <w:spacing w:line="360" w:lineRule="auto"/>
        <w:jc w:val="center"/>
        <w:rPr>
          <w:rFonts w:hint="default" w:ascii="Times New Roman" w:hAnsi="Times New Roman" w:cs="Times New Roman"/>
          <w:color w:val="FF0000"/>
          <w:szCs w:val="22"/>
          <w:highlight w:val="none"/>
        </w:rPr>
      </w:pPr>
    </w:p>
    <w:p w14:paraId="012ED9C5">
      <w:pPr>
        <w:spacing w:line="360" w:lineRule="auto"/>
        <w:rPr>
          <w:rFonts w:hint="default" w:ascii="Times New Roman" w:hAnsi="Times New Roman" w:cs="Times New Roman"/>
          <w:sz w:val="32"/>
          <w:szCs w:val="28"/>
          <w:highlight w:val="none"/>
        </w:rPr>
      </w:pPr>
    </w:p>
    <w:p w14:paraId="67F0B4CD">
      <w:pPr>
        <w:spacing w:line="360" w:lineRule="auto"/>
        <w:ind w:firstLine="640" w:firstLineChars="200"/>
        <w:rPr>
          <w:rFonts w:hint="default" w:ascii="Times New Roman" w:hAnsi="Times New Roman" w:cs="Times New Roman"/>
          <w:sz w:val="32"/>
          <w:szCs w:val="28"/>
          <w:highlight w:val="none"/>
        </w:rPr>
        <w:sectPr>
          <w:footerReference r:id="rId3" w:type="default"/>
          <w:pgSz w:w="11906" w:h="16838"/>
          <w:pgMar w:top="1418" w:right="1134" w:bottom="1134" w:left="1134" w:header="851" w:footer="992" w:gutter="0"/>
          <w:pgBorders>
            <w:top w:val="none" w:sz="0" w:space="0"/>
            <w:left w:val="none" w:sz="0" w:space="0"/>
            <w:bottom w:val="none" w:sz="0" w:space="0"/>
            <w:right w:val="none" w:sz="0" w:space="0"/>
          </w:pgBorders>
          <w:cols w:space="425" w:num="1"/>
          <w:docGrid w:linePitch="326" w:charSpace="0"/>
        </w:sectPr>
      </w:pPr>
    </w:p>
    <w:p w14:paraId="7BC253DE">
      <w:pPr>
        <w:rPr>
          <w:rFonts w:hint="default" w:ascii="Times New Roman" w:hAnsi="Times New Roman" w:cs="Times New Roman"/>
          <w:b/>
          <w:color w:val="000000"/>
          <w:sz w:val="28"/>
          <w:szCs w:val="28"/>
          <w:highlight w:val="none"/>
        </w:rPr>
      </w:pPr>
      <w:bookmarkStart w:id="57" w:name="_Toc29476709"/>
      <w:bookmarkStart w:id="58" w:name="_Toc27494836"/>
      <w:bookmarkStart w:id="59" w:name="_Toc27494730"/>
      <w:bookmarkStart w:id="60" w:name="_Toc27491776"/>
      <w:bookmarkStart w:id="61" w:name="_Hlk27495409"/>
      <w:r>
        <w:rPr>
          <w:rFonts w:hint="default" w:ascii="Times New Roman" w:hAnsi="Times New Roman" w:cs="Times New Roman"/>
          <w:b/>
          <w:color w:val="000000"/>
          <w:sz w:val="28"/>
          <w:szCs w:val="28"/>
          <w:highlight w:val="none"/>
        </w:rPr>
        <w:t>3.</w:t>
      </w:r>
      <w:bookmarkStart w:id="62" w:name="_Hlk39768853"/>
      <w:r>
        <w:rPr>
          <w:rFonts w:hint="default" w:ascii="Times New Roman" w:hAnsi="Times New Roman" w:cs="Times New Roman"/>
          <w:b/>
          <w:color w:val="000000"/>
          <w:sz w:val="28"/>
          <w:szCs w:val="28"/>
          <w:highlight w:val="none"/>
        </w:rPr>
        <w:t>营业执照</w:t>
      </w:r>
      <w:bookmarkStart w:id="63" w:name="_Hlk39769813"/>
      <w:r>
        <w:rPr>
          <w:rFonts w:hint="default" w:ascii="Times New Roman" w:hAnsi="Times New Roman" w:cs="Times New Roman"/>
          <w:b/>
          <w:color w:val="000000"/>
          <w:sz w:val="28"/>
          <w:szCs w:val="28"/>
          <w:highlight w:val="none"/>
        </w:rPr>
        <w:t>及相关资质证书</w:t>
      </w:r>
      <w:bookmarkEnd w:id="62"/>
      <w:bookmarkEnd w:id="63"/>
    </w:p>
    <w:p w14:paraId="7F1E1A13">
      <w:pPr>
        <w:jc w:val="center"/>
        <w:rPr>
          <w:rFonts w:hint="default" w:ascii="Times New Roman" w:hAnsi="Times New Roman" w:cs="Times New Roman"/>
          <w:bCs/>
          <w:color w:val="FF0000"/>
          <w:highlight w:val="none"/>
        </w:rPr>
      </w:pPr>
    </w:p>
    <w:p w14:paraId="70CD8A37">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w:t>
      </w:r>
      <w:r>
        <w:rPr>
          <w:rFonts w:hint="default" w:ascii="Times New Roman" w:hAnsi="Times New Roman" w:cs="Times New Roman"/>
          <w:color w:val="FF0000"/>
          <w:highlight w:val="none"/>
        </w:rPr>
        <w:t>请附上营业执照及相关资质证书，需加盖公章</w:t>
      </w:r>
      <w:r>
        <w:rPr>
          <w:rFonts w:hint="default" w:ascii="Times New Roman" w:hAnsi="Times New Roman" w:cs="Times New Roman"/>
          <w:bCs/>
          <w:color w:val="FF0000"/>
          <w:highlight w:val="none"/>
        </w:rPr>
        <w:t>）</w:t>
      </w:r>
    </w:p>
    <w:p w14:paraId="53A9D812">
      <w:pPr>
        <w:jc w:val="center"/>
        <w:rPr>
          <w:rFonts w:hint="default" w:ascii="Times New Roman" w:hAnsi="Times New Roman" w:cs="Times New Roman"/>
          <w:bCs/>
          <w:color w:val="FF0000"/>
          <w:highlight w:val="none"/>
        </w:rPr>
      </w:pPr>
    </w:p>
    <w:p w14:paraId="11574226">
      <w:pPr>
        <w:widowControl/>
        <w:autoSpaceDE/>
        <w:autoSpaceDN/>
        <w:adjustRightInd/>
        <w:rPr>
          <w:rFonts w:hint="default" w:ascii="Times New Roman" w:hAnsi="Times New Roman" w:cs="Times New Roman"/>
          <w:bCs/>
          <w:color w:val="FF000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2170AE0">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4.开户信息及开户许可证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550"/>
        <w:gridCol w:w="3419"/>
        <w:gridCol w:w="2205"/>
      </w:tblGrid>
      <w:tr w14:paraId="5038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22" w:type="dxa"/>
            <w:vAlign w:val="center"/>
          </w:tcPr>
          <w:p w14:paraId="3FD2051E">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序号</w:t>
            </w:r>
          </w:p>
        </w:tc>
        <w:tc>
          <w:tcPr>
            <w:tcW w:w="1550" w:type="dxa"/>
            <w:vAlign w:val="center"/>
          </w:tcPr>
          <w:p w14:paraId="50318AD6">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信息名称</w:t>
            </w:r>
          </w:p>
        </w:tc>
        <w:tc>
          <w:tcPr>
            <w:tcW w:w="3419" w:type="dxa"/>
            <w:vAlign w:val="center"/>
          </w:tcPr>
          <w:p w14:paraId="22948A09">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信息内容</w:t>
            </w:r>
          </w:p>
        </w:tc>
        <w:tc>
          <w:tcPr>
            <w:tcW w:w="2205" w:type="dxa"/>
            <w:vAlign w:val="center"/>
          </w:tcPr>
          <w:p w14:paraId="515709E9">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备注</w:t>
            </w:r>
          </w:p>
        </w:tc>
      </w:tr>
      <w:tr w14:paraId="0D3B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2" w:type="dxa"/>
            <w:vAlign w:val="center"/>
          </w:tcPr>
          <w:p w14:paraId="62D4F165">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1</w:t>
            </w:r>
          </w:p>
        </w:tc>
        <w:tc>
          <w:tcPr>
            <w:tcW w:w="1550" w:type="dxa"/>
            <w:vAlign w:val="center"/>
          </w:tcPr>
          <w:p w14:paraId="6C614CC3">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开户名</w:t>
            </w:r>
          </w:p>
        </w:tc>
        <w:tc>
          <w:tcPr>
            <w:tcW w:w="3419" w:type="dxa"/>
            <w:vAlign w:val="center"/>
          </w:tcPr>
          <w:p w14:paraId="14746EC9">
            <w:pPr>
              <w:widowControl/>
              <w:autoSpaceDE/>
              <w:autoSpaceDN/>
              <w:adjustRightInd/>
              <w:jc w:val="center"/>
              <w:rPr>
                <w:rFonts w:hint="default" w:ascii="Times New Roman" w:hAnsi="Times New Roman" w:cs="Times New Roman"/>
                <w:bCs/>
                <w:highlight w:val="none"/>
              </w:rPr>
            </w:pPr>
          </w:p>
        </w:tc>
        <w:tc>
          <w:tcPr>
            <w:tcW w:w="2205" w:type="dxa"/>
            <w:vAlign w:val="center"/>
          </w:tcPr>
          <w:p w14:paraId="66C2286F">
            <w:pPr>
              <w:widowControl/>
              <w:autoSpaceDE/>
              <w:autoSpaceDN/>
              <w:adjustRightInd/>
              <w:jc w:val="center"/>
              <w:rPr>
                <w:rFonts w:hint="default" w:ascii="Times New Roman" w:hAnsi="Times New Roman" w:cs="Times New Roman"/>
                <w:bCs/>
                <w:highlight w:val="none"/>
              </w:rPr>
            </w:pPr>
          </w:p>
        </w:tc>
      </w:tr>
      <w:tr w14:paraId="5887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2" w:type="dxa"/>
            <w:vAlign w:val="center"/>
          </w:tcPr>
          <w:p w14:paraId="2624C424">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2</w:t>
            </w:r>
          </w:p>
        </w:tc>
        <w:tc>
          <w:tcPr>
            <w:tcW w:w="1550" w:type="dxa"/>
            <w:vAlign w:val="center"/>
          </w:tcPr>
          <w:p w14:paraId="46C61B69">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开户行</w:t>
            </w:r>
          </w:p>
        </w:tc>
        <w:tc>
          <w:tcPr>
            <w:tcW w:w="3419" w:type="dxa"/>
            <w:vAlign w:val="center"/>
          </w:tcPr>
          <w:p w14:paraId="3B27D99A">
            <w:pPr>
              <w:widowControl/>
              <w:autoSpaceDE/>
              <w:autoSpaceDN/>
              <w:adjustRightInd/>
              <w:jc w:val="center"/>
              <w:rPr>
                <w:rFonts w:hint="default" w:ascii="Times New Roman" w:hAnsi="Times New Roman" w:cs="Times New Roman"/>
                <w:bCs/>
                <w:highlight w:val="none"/>
              </w:rPr>
            </w:pPr>
          </w:p>
        </w:tc>
        <w:tc>
          <w:tcPr>
            <w:tcW w:w="2205" w:type="dxa"/>
            <w:vAlign w:val="center"/>
          </w:tcPr>
          <w:p w14:paraId="77B85B82">
            <w:pPr>
              <w:widowControl/>
              <w:autoSpaceDE/>
              <w:autoSpaceDN/>
              <w:adjustRightInd/>
              <w:jc w:val="center"/>
              <w:rPr>
                <w:rFonts w:hint="default" w:ascii="Times New Roman" w:hAnsi="Times New Roman" w:cs="Times New Roman"/>
                <w:bCs/>
                <w:highlight w:val="none"/>
              </w:rPr>
            </w:pPr>
          </w:p>
        </w:tc>
      </w:tr>
      <w:tr w14:paraId="5D3D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22" w:type="dxa"/>
            <w:vAlign w:val="center"/>
          </w:tcPr>
          <w:p w14:paraId="49A6CB45">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3</w:t>
            </w:r>
          </w:p>
        </w:tc>
        <w:tc>
          <w:tcPr>
            <w:tcW w:w="1550" w:type="dxa"/>
            <w:vAlign w:val="center"/>
          </w:tcPr>
          <w:p w14:paraId="5B267F59">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开户账号</w:t>
            </w:r>
          </w:p>
        </w:tc>
        <w:tc>
          <w:tcPr>
            <w:tcW w:w="3419" w:type="dxa"/>
            <w:vAlign w:val="center"/>
          </w:tcPr>
          <w:p w14:paraId="646B20CE">
            <w:pPr>
              <w:widowControl/>
              <w:autoSpaceDE/>
              <w:autoSpaceDN/>
              <w:adjustRightInd/>
              <w:jc w:val="center"/>
              <w:rPr>
                <w:rFonts w:hint="default" w:ascii="Times New Roman" w:hAnsi="Times New Roman" w:cs="Times New Roman"/>
                <w:bCs/>
                <w:highlight w:val="none"/>
              </w:rPr>
            </w:pPr>
          </w:p>
        </w:tc>
        <w:tc>
          <w:tcPr>
            <w:tcW w:w="2205" w:type="dxa"/>
            <w:vAlign w:val="center"/>
          </w:tcPr>
          <w:p w14:paraId="0A41D900">
            <w:pPr>
              <w:widowControl/>
              <w:autoSpaceDE/>
              <w:autoSpaceDN/>
              <w:adjustRightInd/>
              <w:jc w:val="center"/>
              <w:rPr>
                <w:rFonts w:hint="default" w:ascii="Times New Roman" w:hAnsi="Times New Roman" w:cs="Times New Roman"/>
                <w:bCs/>
                <w:highlight w:val="none"/>
              </w:rPr>
            </w:pPr>
          </w:p>
        </w:tc>
      </w:tr>
    </w:tbl>
    <w:p w14:paraId="30BA8166">
      <w:pPr>
        <w:widowControl/>
        <w:autoSpaceDE/>
        <w:autoSpaceDN/>
        <w:adjustRightInd/>
        <w:rPr>
          <w:rFonts w:hint="default" w:ascii="Times New Roman" w:hAnsi="Times New Roman" w:cs="Times New Roman"/>
          <w:bCs/>
          <w:color w:val="FF0000"/>
          <w:highlight w:val="none"/>
        </w:rPr>
      </w:pPr>
    </w:p>
    <w:p w14:paraId="02716CDD">
      <w:pPr>
        <w:widowControl/>
        <w:autoSpaceDE/>
        <w:autoSpaceDN/>
        <w:adjustRightInd/>
        <w:rPr>
          <w:rFonts w:hint="default" w:ascii="Times New Roman" w:hAnsi="Times New Roman" w:cs="Times New Roman"/>
          <w:bCs/>
          <w:color w:val="FF0000"/>
          <w:highlight w:val="none"/>
        </w:rPr>
      </w:pPr>
    </w:p>
    <w:p w14:paraId="60565C9B">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w:t>
      </w:r>
      <w:r>
        <w:rPr>
          <w:rFonts w:hint="default" w:ascii="Times New Roman" w:hAnsi="Times New Roman" w:cs="Times New Roman"/>
          <w:color w:val="FF0000"/>
          <w:highlight w:val="none"/>
        </w:rPr>
        <w:t>请附上开户许可证，需加盖公章</w:t>
      </w:r>
      <w:r>
        <w:rPr>
          <w:rFonts w:hint="default" w:ascii="Times New Roman" w:hAnsi="Times New Roman" w:cs="Times New Roman"/>
          <w:bCs/>
          <w:color w:val="FF0000"/>
          <w:highlight w:val="none"/>
        </w:rPr>
        <w:t>）</w:t>
      </w:r>
    </w:p>
    <w:p w14:paraId="35A15D62">
      <w:pPr>
        <w:widowControl/>
        <w:autoSpaceDE/>
        <w:autoSpaceDN/>
        <w:adjustRightInd/>
        <w:rPr>
          <w:rFonts w:hint="default" w:ascii="Times New Roman" w:hAnsi="Times New Roman" w:cs="Times New Roman"/>
          <w:bCs/>
          <w:color w:val="FF0000"/>
          <w:highlight w:val="none"/>
        </w:rPr>
      </w:pPr>
    </w:p>
    <w:p w14:paraId="7DF6B71D">
      <w:pPr>
        <w:rPr>
          <w:rFonts w:hint="eastAsia" w:ascii="Times New Roman" w:cs="Times New Roman"/>
          <w:b/>
          <w:color w:val="000000"/>
          <w:sz w:val="28"/>
          <w:szCs w:val="28"/>
          <w:highlight w:val="none"/>
          <w:lang w:val="en-US" w:eastAsia="zh-CN"/>
        </w:rPr>
      </w:pPr>
    </w:p>
    <w:p w14:paraId="0593E4A6">
      <w:pPr>
        <w:rPr>
          <w:rFonts w:hint="default" w:ascii="Times New Roman" w:cs="Times New Roman"/>
          <w:b/>
          <w:color w:val="000000"/>
          <w:sz w:val="28"/>
          <w:szCs w:val="28"/>
          <w:highlight w:val="none"/>
          <w:lang w:val="en-US" w:eastAsia="zh-CN"/>
        </w:rPr>
      </w:pPr>
      <w:r>
        <w:rPr>
          <w:rFonts w:hint="default" w:ascii="Times New Roman" w:cs="Times New Roman"/>
          <w:b/>
          <w:color w:val="000000"/>
          <w:sz w:val="28"/>
          <w:szCs w:val="28"/>
          <w:highlight w:val="none"/>
          <w:lang w:val="en-US" w:eastAsia="zh-CN"/>
        </w:rPr>
        <w:br w:type="page"/>
      </w:r>
    </w:p>
    <w:p w14:paraId="451DF8CF">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5.</w:t>
      </w:r>
      <w:r>
        <w:rPr>
          <w:rFonts w:hint="default" w:ascii="Times New Roman" w:hAnsi="Times New Roman" w:cs="Times New Roman"/>
          <w:b/>
          <w:color w:val="000000"/>
          <w:sz w:val="28"/>
          <w:szCs w:val="28"/>
          <w:highlight w:val="none"/>
        </w:rPr>
        <w:t>回 执（格式）</w:t>
      </w:r>
      <w:bookmarkEnd w:id="57"/>
      <w:bookmarkEnd w:id="58"/>
      <w:bookmarkEnd w:id="59"/>
      <w:bookmarkEnd w:id="60"/>
    </w:p>
    <w:p w14:paraId="734BB52F">
      <w:pPr>
        <w:spacing w:line="360" w:lineRule="auto"/>
        <w:ind w:left="-2" w:leftChars="-1" w:firstLine="1"/>
        <w:jc w:val="center"/>
        <w:rPr>
          <w:rFonts w:hint="default" w:ascii="Times New Roman" w:hAnsi="Times New Roman" w:cs="Times New Roman"/>
          <w:b/>
          <w:bCs/>
          <w:kern w:val="2"/>
          <w:sz w:val="32"/>
          <w:szCs w:val="32"/>
          <w:highlight w:val="none"/>
        </w:rPr>
      </w:pPr>
    </w:p>
    <w:p w14:paraId="262D1A36">
      <w:pPr>
        <w:spacing w:line="360" w:lineRule="auto"/>
        <w:ind w:left="-2" w:leftChars="-1" w:firstLine="1"/>
        <w:jc w:val="center"/>
        <w:rPr>
          <w:rFonts w:hint="default" w:ascii="Times New Roman" w:hAnsi="Times New Roman" w:cs="Times New Roman"/>
          <w:b/>
          <w:bCs/>
          <w:kern w:val="2"/>
          <w:sz w:val="32"/>
          <w:szCs w:val="32"/>
          <w:highlight w:val="none"/>
          <w:lang w:val="zh-CN"/>
        </w:rPr>
      </w:pPr>
      <w:r>
        <w:rPr>
          <w:rFonts w:hint="default" w:ascii="Times New Roman" w:hAnsi="Times New Roman" w:cs="Times New Roman"/>
          <w:b/>
          <w:bCs/>
          <w:kern w:val="2"/>
          <w:sz w:val="32"/>
          <w:szCs w:val="32"/>
          <w:highlight w:val="none"/>
          <w:lang w:val="zh-CN"/>
        </w:rPr>
        <w:t>回  执</w:t>
      </w:r>
    </w:p>
    <w:p w14:paraId="1855706C">
      <w:pPr>
        <w:spacing w:line="360" w:lineRule="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致：东莞市福地饮用水有限公司</w:t>
      </w:r>
    </w:p>
    <w:p w14:paraId="6DBD5B8B">
      <w:pPr>
        <w:spacing w:line="360" w:lineRule="auto"/>
        <w:ind w:firstLine="565" w:firstLineChars="20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lang w:val="en-US" w:eastAsia="zh-CN"/>
        </w:rPr>
        <w:t>我方</w:t>
      </w:r>
      <w:r>
        <w:rPr>
          <w:rFonts w:hint="default" w:ascii="Times New Roman" w:hAnsi="Times New Roman" w:cs="Times New Roman"/>
          <w:sz w:val="28"/>
          <w:szCs w:val="28"/>
          <w:highlight w:val="none"/>
        </w:rPr>
        <w:t>收到贵司</w:t>
      </w:r>
      <w:r>
        <w:rPr>
          <w:rFonts w:hint="default" w:ascii="Times New Roman" w:hAnsi="Times New Roman" w:cs="Times New Roman"/>
          <w:sz w:val="28"/>
          <w:szCs w:val="28"/>
          <w:highlight w:val="none"/>
          <w:lang w:eastAsia="zh-CN"/>
        </w:rPr>
        <w:t>202</w:t>
      </w:r>
      <w:r>
        <w:rPr>
          <w:rFonts w:hint="eastAsia" w:ascii="Times New Roman" w:cs="Times New Roman"/>
          <w:sz w:val="28"/>
          <w:szCs w:val="28"/>
          <w:highlight w:val="none"/>
          <w:lang w:val="en-US" w:eastAsia="zh-CN"/>
        </w:rPr>
        <w:t>5</w:t>
      </w:r>
      <w:r>
        <w:rPr>
          <w:rFonts w:hint="default" w:ascii="Times New Roman" w:hAnsi="Times New Roman" w:cs="Times New Roman"/>
          <w:sz w:val="28"/>
          <w:szCs w:val="28"/>
          <w:highlight w:val="none"/>
        </w:rPr>
        <w:t>年</w:t>
      </w:r>
      <w:r>
        <w:rPr>
          <w:rFonts w:hint="eastAsia" w:cs="Times New Roman"/>
          <w:sz w:val="28"/>
          <w:szCs w:val="28"/>
          <w:highlight w:val="none"/>
          <w:lang w:val="en-US" w:eastAsia="zh-CN"/>
        </w:rPr>
        <w:t>10</w:t>
      </w:r>
      <w:r>
        <w:rPr>
          <w:rFonts w:hint="eastAsia" w:ascii="Times New Roman" w:cs="Times New Roman"/>
          <w:sz w:val="28"/>
          <w:szCs w:val="28"/>
          <w:highlight w:val="none"/>
          <w:lang w:val="en-US" w:eastAsia="zh-CN"/>
        </w:rPr>
        <w:t>月</w:t>
      </w:r>
      <w:r>
        <w:rPr>
          <w:rFonts w:hint="eastAsia" w:cs="Times New Roman"/>
          <w:sz w:val="28"/>
          <w:szCs w:val="28"/>
          <w:highlight w:val="none"/>
          <w:lang w:val="en-US" w:eastAsia="zh-CN"/>
        </w:rPr>
        <w:t>15</w:t>
      </w:r>
      <w:r>
        <w:rPr>
          <w:rFonts w:hint="eastAsia" w:ascii="Times New Roman" w:cs="Times New Roman"/>
          <w:sz w:val="28"/>
          <w:szCs w:val="28"/>
          <w:highlight w:val="none"/>
          <w:lang w:val="en-US" w:eastAsia="zh-CN"/>
        </w:rPr>
        <w:t>日</w:t>
      </w:r>
      <w:r>
        <w:rPr>
          <w:rFonts w:hint="default" w:ascii="Times New Roman" w:hAnsi="Times New Roman" w:cs="Times New Roman"/>
          <w:sz w:val="28"/>
          <w:szCs w:val="28"/>
          <w:highlight w:val="none"/>
        </w:rPr>
        <w:t>发出</w:t>
      </w:r>
      <w:r>
        <w:rPr>
          <w:rFonts w:hint="eastAsia" w:ascii="Times New Roman" w:hAnsi="Times New Roman" w:eastAsia="宋体" w:cs="Times New Roman"/>
          <w:sz w:val="28"/>
          <w:szCs w:val="28"/>
          <w:highlight w:val="none"/>
        </w:rPr>
        <w:t>的“</w:t>
      </w:r>
      <w:r>
        <w:rPr>
          <w:rFonts w:hint="eastAsia" w:ascii="Times New Roman" w:hAnsi="Times New Roman" w:eastAsia="宋体" w:cs="Times New Roman"/>
          <w:bCs w:val="0"/>
          <w:sz w:val="28"/>
          <w:szCs w:val="28"/>
          <w:highlight w:val="none"/>
        </w:rPr>
        <w:t>东莞市福地饮用水有限公司2025年包装水</w:t>
      </w:r>
      <w:r>
        <w:rPr>
          <w:rFonts w:hint="eastAsia" w:ascii="Times New Roman" w:hAnsi="Times New Roman" w:eastAsia="宋体" w:cs="Times New Roman"/>
          <w:b w:val="0"/>
          <w:bCs w:val="0"/>
          <w:color w:val="auto"/>
          <w:sz w:val="28"/>
          <w:szCs w:val="28"/>
          <w:highlight w:val="none"/>
          <w:u w:val="none"/>
          <w:lang w:val="en-US" w:eastAsia="zh-CN"/>
        </w:rPr>
        <w:t>（20件及以上)</w:t>
      </w:r>
      <w:r>
        <w:rPr>
          <w:rFonts w:hint="eastAsia" w:ascii="Times New Roman" w:hAnsi="Times New Roman" w:eastAsia="宋体" w:cs="Times New Roman"/>
          <w:bCs w:val="0"/>
          <w:sz w:val="28"/>
          <w:szCs w:val="28"/>
          <w:highlight w:val="none"/>
        </w:rPr>
        <w:t>物流配送服务</w:t>
      </w:r>
      <w:r>
        <w:rPr>
          <w:rFonts w:hint="eastAsia" w:ascii="Times New Roman" w:hAnsi="Times New Roman" w:eastAsia="宋体" w:cs="Times New Roman"/>
          <w:bCs w:val="0"/>
          <w:kern w:val="2"/>
          <w:sz w:val="28"/>
          <w:szCs w:val="28"/>
          <w:highlight w:val="none"/>
          <w:lang w:eastAsia="zh-CN"/>
        </w:rPr>
        <w:t>采购项目</w:t>
      </w:r>
      <w:r>
        <w:rPr>
          <w:rFonts w:hint="eastAsia" w:ascii="Times New Roman" w:hAnsi="Times New Roman" w:eastAsia="宋体" w:cs="Times New Roman"/>
          <w:sz w:val="28"/>
          <w:szCs w:val="28"/>
          <w:highlight w:val="none"/>
        </w:rPr>
        <w:t>”的询价文件</w:t>
      </w:r>
      <w:r>
        <w:rPr>
          <w:rFonts w:hint="default" w:ascii="Times New Roman" w:hAnsi="Times New Roman" w:cs="Times New Roman"/>
          <w:sz w:val="28"/>
          <w:szCs w:val="28"/>
          <w:highlight w:val="none"/>
        </w:rPr>
        <w:t>。</w:t>
      </w:r>
    </w:p>
    <w:p w14:paraId="23B44077">
      <w:pPr>
        <w:spacing w:line="360" w:lineRule="auto"/>
        <w:ind w:firstLine="565" w:firstLineChars="20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特此函告！</w:t>
      </w:r>
    </w:p>
    <w:p w14:paraId="3A45F9F4">
      <w:pPr>
        <w:ind w:firstLine="435"/>
        <w:rPr>
          <w:rFonts w:hint="default" w:ascii="Times New Roman" w:hAnsi="Times New Roman" w:cs="Times New Roman"/>
          <w:sz w:val="28"/>
          <w:szCs w:val="28"/>
          <w:highlight w:val="none"/>
        </w:rPr>
      </w:pPr>
      <w:bookmarkStart w:id="64" w:name="_GoBack"/>
      <w:bookmarkEnd w:id="64"/>
    </w:p>
    <w:p w14:paraId="1585BB8E">
      <w:pPr>
        <w:spacing w:line="360" w:lineRule="auto"/>
        <w:ind w:firstLine="6658" w:firstLineChars="2378"/>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公司盖章</w:t>
      </w:r>
    </w:p>
    <w:p w14:paraId="03DE1519">
      <w:pPr>
        <w:spacing w:line="360" w:lineRule="auto"/>
        <w:ind w:firstLine="6378" w:firstLineChars="2278"/>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年  月  日</w:t>
      </w:r>
    </w:p>
    <w:p w14:paraId="1D830688">
      <w:pPr>
        <w:rPr>
          <w:rFonts w:hint="default" w:ascii="Times New Roman" w:hAnsi="Times New Roman" w:cs="Times New Roman"/>
          <w:highlight w:val="none"/>
        </w:rPr>
      </w:pPr>
    </w:p>
    <w:p w14:paraId="6781CB99">
      <w:pPr>
        <w:rPr>
          <w:rFonts w:hint="default" w:ascii="Times New Roman" w:hAnsi="Times New Roman" w:cs="Times New Roman"/>
          <w:highlight w:val="none"/>
        </w:rPr>
      </w:pPr>
    </w:p>
    <w:p w14:paraId="53463746">
      <w:pPr>
        <w:rPr>
          <w:rFonts w:hint="default" w:ascii="Times New Roman" w:hAnsi="Times New Roman" w:cs="Times New Roman"/>
          <w:highlight w:val="none"/>
        </w:rPr>
      </w:pPr>
    </w:p>
    <w:p w14:paraId="1161DDEB">
      <w:pPr>
        <w:rPr>
          <w:rFonts w:hint="default" w:ascii="Times New Roman" w:hAnsi="Times New Roman" w:cs="Times New Roman"/>
          <w:highlight w:val="none"/>
        </w:rPr>
      </w:pPr>
    </w:p>
    <w:bookmarkEnd w:id="61"/>
    <w:p w14:paraId="67F58844">
      <w:pPr>
        <w:jc w:val="center"/>
        <w:rPr>
          <w:rFonts w:hint="default" w:ascii="Times New Roman" w:hAnsi="Times New Roman" w:cs="Times New Roman"/>
          <w:color w:val="FF0000"/>
          <w:highlight w:val="none"/>
        </w:rPr>
      </w:pPr>
      <w:r>
        <w:rPr>
          <w:rFonts w:hint="default" w:ascii="Times New Roman" w:hAnsi="Times New Roman" w:cs="Times New Roman"/>
          <w:color w:val="FF0000"/>
          <w:highlight w:val="none"/>
        </w:rPr>
        <w:t>（不参与报价，请备注说明情况）</w:t>
      </w:r>
    </w:p>
    <w:p w14:paraId="75017FE6">
      <w:pPr>
        <w:jc w:val="center"/>
        <w:rPr>
          <w:rFonts w:hint="default" w:ascii="Times New Roman" w:hAnsi="Times New Roman" w:cs="Times New Roman"/>
          <w:color w:val="FF0000"/>
          <w:highlight w:val="none"/>
        </w:rPr>
      </w:pPr>
    </w:p>
    <w:p w14:paraId="41159FD9">
      <w:pPr>
        <w:jc w:val="center"/>
        <w:rPr>
          <w:rFonts w:hint="default" w:ascii="Times New Roman" w:hAnsi="Times New Roman" w:cs="Times New Roman"/>
          <w:color w:val="FF0000"/>
          <w:highlight w:val="none"/>
        </w:rPr>
      </w:pPr>
    </w:p>
    <w:bookmarkEnd w:id="53"/>
    <w:bookmarkEnd w:id="54"/>
    <w:bookmarkEnd w:id="55"/>
    <w:p w14:paraId="6F830636">
      <w:pPr>
        <w:rPr>
          <w:rFonts w:ascii="宋体" w:hAnsi="宋体"/>
          <w:color w:val="auto"/>
          <w:highlight w:val="none"/>
        </w:rPr>
      </w:pPr>
    </w:p>
    <w:sectPr>
      <w:headerReference r:id="rId4" w:type="default"/>
      <w:footerReference r:id="rId5" w:type="default"/>
      <w:footerReference r:id="rId6" w:type="even"/>
      <w:pgSz w:w="11906" w:h="16838"/>
      <w:pgMar w:top="1440" w:right="1983" w:bottom="1440" w:left="162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7305209"/>
      <w:docPartObj>
        <w:docPartGallery w:val="autotext"/>
      </w:docPartObj>
    </w:sdtPr>
    <w:sdtContent>
      <w:p w14:paraId="0D5AD86B">
        <w:pPr>
          <w:pStyle w:val="13"/>
          <w:jc w:val="center"/>
        </w:pPr>
        <w:r>
          <w:fldChar w:fldCharType="begin"/>
        </w:r>
        <w:r>
          <w:instrText xml:space="preserve">PAGE   \* MERGEFORMAT</w:instrText>
        </w:r>
        <w:r>
          <w:fldChar w:fldCharType="separate"/>
        </w:r>
        <w:r>
          <w:rPr>
            <w:lang w:val="zh-CN"/>
          </w:rPr>
          <w:t>11</w:t>
        </w:r>
        <w:r>
          <w:fldChar w:fldCharType="end"/>
        </w:r>
      </w:p>
    </w:sdtContent>
  </w:sdt>
  <w:p w14:paraId="25EBB64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11146">
    <w:pPr>
      <w:pStyle w:val="13"/>
      <w:jc w:val="center"/>
    </w:pPr>
    <w:r>
      <w:fldChar w:fldCharType="begin"/>
    </w:r>
    <w:r>
      <w:instrText xml:space="preserve">PAGE   \* MERGEFORMAT</w:instrText>
    </w:r>
    <w:r>
      <w:fldChar w:fldCharType="separate"/>
    </w:r>
    <w:r>
      <w:rPr>
        <w:lang w:val="zh-CN"/>
      </w:rPr>
      <w:t>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841F">
    <w:pPr>
      <w:pStyle w:val="13"/>
      <w:framePr w:wrap="around" w:vAnchor="text" w:hAnchor="margin" w:xAlign="center" w:y="1"/>
      <w:jc w:val="center"/>
      <w:rPr>
        <w:rStyle w:val="23"/>
      </w:rPr>
    </w:pPr>
    <w:r>
      <w:fldChar w:fldCharType="begin"/>
    </w:r>
    <w:r>
      <w:rPr>
        <w:rStyle w:val="23"/>
      </w:rPr>
      <w:instrText xml:space="preserve">PAGE  </w:instrText>
    </w:r>
    <w:r>
      <w:fldChar w:fldCharType="end"/>
    </w:r>
  </w:p>
  <w:p w14:paraId="1D5A44DE">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01C7">
    <w:pPr>
      <w:pStyle w:val="14"/>
      <w:rPr>
        <w:rFonts w:hint="eastAsia" w:cs="Calibri" w:asciiTheme="minorEastAsia" w:hAnsiTheme="minorEastAsia"/>
        <w:color w:val="000000"/>
        <w:kern w:val="0"/>
        <w:lang w:eastAsia="zh-CN"/>
      </w:rPr>
    </w:pPr>
    <w:r>
      <w:rPr>
        <w:rFonts w:hint="eastAsia" w:cs="Calibri" w:asciiTheme="minorEastAsia" w:hAnsiTheme="minorEastAsia"/>
        <w:color w:val="000000"/>
        <w:kern w:val="0"/>
        <w:lang w:eastAsia="zh-CN"/>
      </w:rPr>
      <w:t>东莞市福地饮用水有限公司包装水物流配送服务采购项目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Mjk1Y2NjNDFjYjg4NTA2YWZjZmU3YmU0M2Q3ZTUifQ=="/>
  </w:docVars>
  <w:rsids>
    <w:rsidRoot w:val="006821B7"/>
    <w:rsid w:val="00002255"/>
    <w:rsid w:val="00002D33"/>
    <w:rsid w:val="000063B8"/>
    <w:rsid w:val="00010FA5"/>
    <w:rsid w:val="000143BD"/>
    <w:rsid w:val="00023C04"/>
    <w:rsid w:val="00031998"/>
    <w:rsid w:val="000319AB"/>
    <w:rsid w:val="00032993"/>
    <w:rsid w:val="00032C0A"/>
    <w:rsid w:val="000346F5"/>
    <w:rsid w:val="0003577B"/>
    <w:rsid w:val="00035B3E"/>
    <w:rsid w:val="00036A26"/>
    <w:rsid w:val="000370A9"/>
    <w:rsid w:val="00037B36"/>
    <w:rsid w:val="00037B60"/>
    <w:rsid w:val="000433EE"/>
    <w:rsid w:val="0004448C"/>
    <w:rsid w:val="000459E1"/>
    <w:rsid w:val="00046838"/>
    <w:rsid w:val="00046A5B"/>
    <w:rsid w:val="00046BC0"/>
    <w:rsid w:val="00046BC1"/>
    <w:rsid w:val="00051FFE"/>
    <w:rsid w:val="0005490D"/>
    <w:rsid w:val="000565B8"/>
    <w:rsid w:val="00062090"/>
    <w:rsid w:val="00066AD6"/>
    <w:rsid w:val="0006716D"/>
    <w:rsid w:val="00067776"/>
    <w:rsid w:val="0007043B"/>
    <w:rsid w:val="00073E70"/>
    <w:rsid w:val="000746BC"/>
    <w:rsid w:val="00074719"/>
    <w:rsid w:val="00080CD3"/>
    <w:rsid w:val="000832C8"/>
    <w:rsid w:val="000839BA"/>
    <w:rsid w:val="000843DF"/>
    <w:rsid w:val="00085ED5"/>
    <w:rsid w:val="00087B7B"/>
    <w:rsid w:val="000904C2"/>
    <w:rsid w:val="0009307F"/>
    <w:rsid w:val="00093EE9"/>
    <w:rsid w:val="000979EE"/>
    <w:rsid w:val="000A0536"/>
    <w:rsid w:val="000A0B4E"/>
    <w:rsid w:val="000A5FEB"/>
    <w:rsid w:val="000B0D09"/>
    <w:rsid w:val="000B3892"/>
    <w:rsid w:val="000B4A0F"/>
    <w:rsid w:val="000B58DC"/>
    <w:rsid w:val="000B6658"/>
    <w:rsid w:val="000B79CA"/>
    <w:rsid w:val="000C1A3C"/>
    <w:rsid w:val="000C1D56"/>
    <w:rsid w:val="000C1D83"/>
    <w:rsid w:val="000C3280"/>
    <w:rsid w:val="000C43BA"/>
    <w:rsid w:val="000D4E1C"/>
    <w:rsid w:val="000D50BF"/>
    <w:rsid w:val="000D6C42"/>
    <w:rsid w:val="000F098A"/>
    <w:rsid w:val="000F112D"/>
    <w:rsid w:val="000F4EF0"/>
    <w:rsid w:val="000F5C2A"/>
    <w:rsid w:val="000F7014"/>
    <w:rsid w:val="0010351F"/>
    <w:rsid w:val="001037BB"/>
    <w:rsid w:val="00103E50"/>
    <w:rsid w:val="001045B4"/>
    <w:rsid w:val="001050B0"/>
    <w:rsid w:val="001056B9"/>
    <w:rsid w:val="00105856"/>
    <w:rsid w:val="00107267"/>
    <w:rsid w:val="00110B09"/>
    <w:rsid w:val="00110E89"/>
    <w:rsid w:val="001115D5"/>
    <w:rsid w:val="001165D2"/>
    <w:rsid w:val="00116603"/>
    <w:rsid w:val="0012157D"/>
    <w:rsid w:val="001231D7"/>
    <w:rsid w:val="00124102"/>
    <w:rsid w:val="00124E92"/>
    <w:rsid w:val="001260AE"/>
    <w:rsid w:val="00127604"/>
    <w:rsid w:val="00131300"/>
    <w:rsid w:val="00135B4A"/>
    <w:rsid w:val="00142750"/>
    <w:rsid w:val="001439FB"/>
    <w:rsid w:val="00147E11"/>
    <w:rsid w:val="00150CA9"/>
    <w:rsid w:val="001511D6"/>
    <w:rsid w:val="00154242"/>
    <w:rsid w:val="0015743C"/>
    <w:rsid w:val="001602AA"/>
    <w:rsid w:val="0016242B"/>
    <w:rsid w:val="00167FC1"/>
    <w:rsid w:val="00171AA4"/>
    <w:rsid w:val="00173CE4"/>
    <w:rsid w:val="00176B0E"/>
    <w:rsid w:val="00176BA4"/>
    <w:rsid w:val="001771AC"/>
    <w:rsid w:val="00180B96"/>
    <w:rsid w:val="0018443D"/>
    <w:rsid w:val="0018485B"/>
    <w:rsid w:val="00190457"/>
    <w:rsid w:val="00192562"/>
    <w:rsid w:val="00192618"/>
    <w:rsid w:val="001952A2"/>
    <w:rsid w:val="00195C1D"/>
    <w:rsid w:val="001975E3"/>
    <w:rsid w:val="001A1558"/>
    <w:rsid w:val="001A31D5"/>
    <w:rsid w:val="001A68F7"/>
    <w:rsid w:val="001B171F"/>
    <w:rsid w:val="001B6379"/>
    <w:rsid w:val="001B6875"/>
    <w:rsid w:val="001B7F42"/>
    <w:rsid w:val="001C2C37"/>
    <w:rsid w:val="001D05B2"/>
    <w:rsid w:val="001D10DB"/>
    <w:rsid w:val="001D2388"/>
    <w:rsid w:val="001D2432"/>
    <w:rsid w:val="001D56AF"/>
    <w:rsid w:val="001E0122"/>
    <w:rsid w:val="001E105C"/>
    <w:rsid w:val="001E40C6"/>
    <w:rsid w:val="001E5572"/>
    <w:rsid w:val="001E71C0"/>
    <w:rsid w:val="001F5240"/>
    <w:rsid w:val="001F6E53"/>
    <w:rsid w:val="001F7A2B"/>
    <w:rsid w:val="0020493A"/>
    <w:rsid w:val="00212470"/>
    <w:rsid w:val="00215185"/>
    <w:rsid w:val="002152DD"/>
    <w:rsid w:val="002159FF"/>
    <w:rsid w:val="002177F2"/>
    <w:rsid w:val="002231A7"/>
    <w:rsid w:val="00226754"/>
    <w:rsid w:val="002345E7"/>
    <w:rsid w:val="0023619A"/>
    <w:rsid w:val="002366FC"/>
    <w:rsid w:val="002376EB"/>
    <w:rsid w:val="00241923"/>
    <w:rsid w:val="00242C7B"/>
    <w:rsid w:val="002447E5"/>
    <w:rsid w:val="0025198E"/>
    <w:rsid w:val="00256551"/>
    <w:rsid w:val="002614FE"/>
    <w:rsid w:val="00267516"/>
    <w:rsid w:val="00267D31"/>
    <w:rsid w:val="00277D60"/>
    <w:rsid w:val="00280366"/>
    <w:rsid w:val="00281D54"/>
    <w:rsid w:val="00285152"/>
    <w:rsid w:val="00286F31"/>
    <w:rsid w:val="0029079F"/>
    <w:rsid w:val="0029319C"/>
    <w:rsid w:val="00294955"/>
    <w:rsid w:val="00297041"/>
    <w:rsid w:val="00297891"/>
    <w:rsid w:val="002A3015"/>
    <w:rsid w:val="002A3E70"/>
    <w:rsid w:val="002A6767"/>
    <w:rsid w:val="002A6CCF"/>
    <w:rsid w:val="002A72C3"/>
    <w:rsid w:val="002A7C36"/>
    <w:rsid w:val="002B0348"/>
    <w:rsid w:val="002B4E99"/>
    <w:rsid w:val="002C2180"/>
    <w:rsid w:val="002C21F3"/>
    <w:rsid w:val="002C2D9F"/>
    <w:rsid w:val="002C41EC"/>
    <w:rsid w:val="002C4A22"/>
    <w:rsid w:val="002C7E37"/>
    <w:rsid w:val="002D0D59"/>
    <w:rsid w:val="002D6CE2"/>
    <w:rsid w:val="002D7C1A"/>
    <w:rsid w:val="002E002A"/>
    <w:rsid w:val="002E052C"/>
    <w:rsid w:val="002F111C"/>
    <w:rsid w:val="002F3369"/>
    <w:rsid w:val="002F5386"/>
    <w:rsid w:val="002F5ED7"/>
    <w:rsid w:val="002F7464"/>
    <w:rsid w:val="00302626"/>
    <w:rsid w:val="003105AA"/>
    <w:rsid w:val="003112CB"/>
    <w:rsid w:val="00312F99"/>
    <w:rsid w:val="00313208"/>
    <w:rsid w:val="00314C39"/>
    <w:rsid w:val="00325423"/>
    <w:rsid w:val="0033340B"/>
    <w:rsid w:val="0033656B"/>
    <w:rsid w:val="00344F0E"/>
    <w:rsid w:val="00352382"/>
    <w:rsid w:val="003536F9"/>
    <w:rsid w:val="003540C9"/>
    <w:rsid w:val="00354597"/>
    <w:rsid w:val="00360013"/>
    <w:rsid w:val="0036102D"/>
    <w:rsid w:val="003615AE"/>
    <w:rsid w:val="0036180D"/>
    <w:rsid w:val="00363B45"/>
    <w:rsid w:val="003645E9"/>
    <w:rsid w:val="00365024"/>
    <w:rsid w:val="003715DD"/>
    <w:rsid w:val="00371E2C"/>
    <w:rsid w:val="0037277F"/>
    <w:rsid w:val="00372B75"/>
    <w:rsid w:val="003748F2"/>
    <w:rsid w:val="003752FD"/>
    <w:rsid w:val="0037717D"/>
    <w:rsid w:val="0037763E"/>
    <w:rsid w:val="00377683"/>
    <w:rsid w:val="003810CC"/>
    <w:rsid w:val="003820F6"/>
    <w:rsid w:val="00390D6D"/>
    <w:rsid w:val="0039692A"/>
    <w:rsid w:val="00396C8E"/>
    <w:rsid w:val="0039729B"/>
    <w:rsid w:val="003A0AF7"/>
    <w:rsid w:val="003A1EA3"/>
    <w:rsid w:val="003A57B4"/>
    <w:rsid w:val="003A76D1"/>
    <w:rsid w:val="003B1678"/>
    <w:rsid w:val="003B5922"/>
    <w:rsid w:val="003B5FE2"/>
    <w:rsid w:val="003B6242"/>
    <w:rsid w:val="003C018C"/>
    <w:rsid w:val="003C06C9"/>
    <w:rsid w:val="003C14CE"/>
    <w:rsid w:val="003C3EA5"/>
    <w:rsid w:val="003D10F7"/>
    <w:rsid w:val="003D2A14"/>
    <w:rsid w:val="003D3A30"/>
    <w:rsid w:val="003D59B2"/>
    <w:rsid w:val="003D5EB6"/>
    <w:rsid w:val="003E0860"/>
    <w:rsid w:val="003F12BC"/>
    <w:rsid w:val="003F1839"/>
    <w:rsid w:val="003F2208"/>
    <w:rsid w:val="003F3784"/>
    <w:rsid w:val="003F40A9"/>
    <w:rsid w:val="00412562"/>
    <w:rsid w:val="0042243F"/>
    <w:rsid w:val="00422947"/>
    <w:rsid w:val="004257B2"/>
    <w:rsid w:val="00425EDC"/>
    <w:rsid w:val="0042725D"/>
    <w:rsid w:val="00427582"/>
    <w:rsid w:val="004305E6"/>
    <w:rsid w:val="00432BDE"/>
    <w:rsid w:val="004425C5"/>
    <w:rsid w:val="00442A4B"/>
    <w:rsid w:val="004434CB"/>
    <w:rsid w:val="00444BAF"/>
    <w:rsid w:val="00446CEA"/>
    <w:rsid w:val="00447537"/>
    <w:rsid w:val="00447FFB"/>
    <w:rsid w:val="00466FDD"/>
    <w:rsid w:val="004702CA"/>
    <w:rsid w:val="00475745"/>
    <w:rsid w:val="004810DE"/>
    <w:rsid w:val="004824B8"/>
    <w:rsid w:val="00483C73"/>
    <w:rsid w:val="00485D98"/>
    <w:rsid w:val="00486F50"/>
    <w:rsid w:val="00495A56"/>
    <w:rsid w:val="00495D22"/>
    <w:rsid w:val="00497C56"/>
    <w:rsid w:val="004A2839"/>
    <w:rsid w:val="004A2C69"/>
    <w:rsid w:val="004A63C3"/>
    <w:rsid w:val="004B2687"/>
    <w:rsid w:val="004B4B67"/>
    <w:rsid w:val="004B7880"/>
    <w:rsid w:val="004C1476"/>
    <w:rsid w:val="004C1CEB"/>
    <w:rsid w:val="004C2560"/>
    <w:rsid w:val="004C3682"/>
    <w:rsid w:val="004C3E15"/>
    <w:rsid w:val="004D5779"/>
    <w:rsid w:val="004E239E"/>
    <w:rsid w:val="004F5EA3"/>
    <w:rsid w:val="004F796B"/>
    <w:rsid w:val="00502289"/>
    <w:rsid w:val="005025BE"/>
    <w:rsid w:val="00503173"/>
    <w:rsid w:val="0050612D"/>
    <w:rsid w:val="00507248"/>
    <w:rsid w:val="00507976"/>
    <w:rsid w:val="005079C1"/>
    <w:rsid w:val="0051623A"/>
    <w:rsid w:val="005168B3"/>
    <w:rsid w:val="00521CC6"/>
    <w:rsid w:val="00532AAA"/>
    <w:rsid w:val="00536CA9"/>
    <w:rsid w:val="00537A45"/>
    <w:rsid w:val="0054338B"/>
    <w:rsid w:val="00544AD8"/>
    <w:rsid w:val="00547EE0"/>
    <w:rsid w:val="00554E5B"/>
    <w:rsid w:val="00562C6F"/>
    <w:rsid w:val="00563D82"/>
    <w:rsid w:val="00564142"/>
    <w:rsid w:val="005654E7"/>
    <w:rsid w:val="005712AE"/>
    <w:rsid w:val="005717BF"/>
    <w:rsid w:val="005745AD"/>
    <w:rsid w:val="00580A1C"/>
    <w:rsid w:val="00582D04"/>
    <w:rsid w:val="00585ED1"/>
    <w:rsid w:val="00586C96"/>
    <w:rsid w:val="0059394A"/>
    <w:rsid w:val="00595006"/>
    <w:rsid w:val="005958F6"/>
    <w:rsid w:val="00596D33"/>
    <w:rsid w:val="00596F61"/>
    <w:rsid w:val="005976C2"/>
    <w:rsid w:val="005A66E9"/>
    <w:rsid w:val="005B3685"/>
    <w:rsid w:val="005C0480"/>
    <w:rsid w:val="005C1D25"/>
    <w:rsid w:val="005C24C1"/>
    <w:rsid w:val="005C31E4"/>
    <w:rsid w:val="005C35B5"/>
    <w:rsid w:val="005C3F58"/>
    <w:rsid w:val="005C4D7D"/>
    <w:rsid w:val="005C4E63"/>
    <w:rsid w:val="005D08D9"/>
    <w:rsid w:val="005D1913"/>
    <w:rsid w:val="005D26F4"/>
    <w:rsid w:val="005D55C3"/>
    <w:rsid w:val="005E0907"/>
    <w:rsid w:val="005E103C"/>
    <w:rsid w:val="005E7646"/>
    <w:rsid w:val="005E7969"/>
    <w:rsid w:val="005E7C33"/>
    <w:rsid w:val="005F7816"/>
    <w:rsid w:val="0060335E"/>
    <w:rsid w:val="00604681"/>
    <w:rsid w:val="00606D2D"/>
    <w:rsid w:val="00607543"/>
    <w:rsid w:val="00613EE9"/>
    <w:rsid w:val="00615086"/>
    <w:rsid w:val="00617104"/>
    <w:rsid w:val="00620843"/>
    <w:rsid w:val="006237C5"/>
    <w:rsid w:val="00625ABA"/>
    <w:rsid w:val="00625DFE"/>
    <w:rsid w:val="00627F04"/>
    <w:rsid w:val="0063111D"/>
    <w:rsid w:val="006312AA"/>
    <w:rsid w:val="00631862"/>
    <w:rsid w:val="006346E5"/>
    <w:rsid w:val="006412C1"/>
    <w:rsid w:val="00642D13"/>
    <w:rsid w:val="00643150"/>
    <w:rsid w:val="00643B86"/>
    <w:rsid w:val="00643CBD"/>
    <w:rsid w:val="00647F1A"/>
    <w:rsid w:val="006521C2"/>
    <w:rsid w:val="006607EC"/>
    <w:rsid w:val="0066094D"/>
    <w:rsid w:val="00661045"/>
    <w:rsid w:val="00663347"/>
    <w:rsid w:val="0066353A"/>
    <w:rsid w:val="00667ED1"/>
    <w:rsid w:val="006701D5"/>
    <w:rsid w:val="00672ACD"/>
    <w:rsid w:val="006821B7"/>
    <w:rsid w:val="00682DCB"/>
    <w:rsid w:val="00683CF1"/>
    <w:rsid w:val="00685A47"/>
    <w:rsid w:val="006904DF"/>
    <w:rsid w:val="006909F7"/>
    <w:rsid w:val="0069143A"/>
    <w:rsid w:val="006954F0"/>
    <w:rsid w:val="00695AAB"/>
    <w:rsid w:val="006970BC"/>
    <w:rsid w:val="00697BE0"/>
    <w:rsid w:val="006A0154"/>
    <w:rsid w:val="006A0FAE"/>
    <w:rsid w:val="006A3442"/>
    <w:rsid w:val="006A5218"/>
    <w:rsid w:val="006A7D08"/>
    <w:rsid w:val="006B0144"/>
    <w:rsid w:val="006B1AA2"/>
    <w:rsid w:val="006B1FF4"/>
    <w:rsid w:val="006B4636"/>
    <w:rsid w:val="006B49D7"/>
    <w:rsid w:val="006B70F0"/>
    <w:rsid w:val="006B7C97"/>
    <w:rsid w:val="006C0901"/>
    <w:rsid w:val="006C224A"/>
    <w:rsid w:val="006C56B4"/>
    <w:rsid w:val="006D06E1"/>
    <w:rsid w:val="006D090B"/>
    <w:rsid w:val="006D17FD"/>
    <w:rsid w:val="006D2590"/>
    <w:rsid w:val="006D2E47"/>
    <w:rsid w:val="006D5EB1"/>
    <w:rsid w:val="006D6AB2"/>
    <w:rsid w:val="006E3010"/>
    <w:rsid w:val="006E4FB7"/>
    <w:rsid w:val="006E544E"/>
    <w:rsid w:val="006F0EC3"/>
    <w:rsid w:val="006F1C1F"/>
    <w:rsid w:val="006F1FC4"/>
    <w:rsid w:val="006F3EAD"/>
    <w:rsid w:val="006F6E0B"/>
    <w:rsid w:val="0070341F"/>
    <w:rsid w:val="00704ED1"/>
    <w:rsid w:val="0070692E"/>
    <w:rsid w:val="00713317"/>
    <w:rsid w:val="00721FF9"/>
    <w:rsid w:val="00724767"/>
    <w:rsid w:val="00727403"/>
    <w:rsid w:val="00732ECB"/>
    <w:rsid w:val="00737B5F"/>
    <w:rsid w:val="00741632"/>
    <w:rsid w:val="007428FB"/>
    <w:rsid w:val="00745C4B"/>
    <w:rsid w:val="00745EC7"/>
    <w:rsid w:val="0075121E"/>
    <w:rsid w:val="007523CA"/>
    <w:rsid w:val="00754B9D"/>
    <w:rsid w:val="00755FC7"/>
    <w:rsid w:val="00756923"/>
    <w:rsid w:val="00757718"/>
    <w:rsid w:val="0076022E"/>
    <w:rsid w:val="007618A4"/>
    <w:rsid w:val="007623F1"/>
    <w:rsid w:val="007654ED"/>
    <w:rsid w:val="00765FBF"/>
    <w:rsid w:val="007667F9"/>
    <w:rsid w:val="007701A3"/>
    <w:rsid w:val="007706BB"/>
    <w:rsid w:val="00776352"/>
    <w:rsid w:val="00782C67"/>
    <w:rsid w:val="00783E47"/>
    <w:rsid w:val="00786F44"/>
    <w:rsid w:val="0079157B"/>
    <w:rsid w:val="00792213"/>
    <w:rsid w:val="00792815"/>
    <w:rsid w:val="00794F9E"/>
    <w:rsid w:val="00795865"/>
    <w:rsid w:val="007A085F"/>
    <w:rsid w:val="007A2EAF"/>
    <w:rsid w:val="007A5DA0"/>
    <w:rsid w:val="007A7930"/>
    <w:rsid w:val="007B422D"/>
    <w:rsid w:val="007B50E9"/>
    <w:rsid w:val="007B655F"/>
    <w:rsid w:val="007B76BE"/>
    <w:rsid w:val="007C0353"/>
    <w:rsid w:val="007C1CBC"/>
    <w:rsid w:val="007C37BE"/>
    <w:rsid w:val="007C3CD9"/>
    <w:rsid w:val="007C3FFA"/>
    <w:rsid w:val="007C4DDE"/>
    <w:rsid w:val="007C7BD3"/>
    <w:rsid w:val="007D120D"/>
    <w:rsid w:val="007D16B6"/>
    <w:rsid w:val="007D1828"/>
    <w:rsid w:val="007D3814"/>
    <w:rsid w:val="007D6935"/>
    <w:rsid w:val="007D7C44"/>
    <w:rsid w:val="007E13F4"/>
    <w:rsid w:val="007F15A1"/>
    <w:rsid w:val="007F32B3"/>
    <w:rsid w:val="007F3504"/>
    <w:rsid w:val="007F464A"/>
    <w:rsid w:val="007F585F"/>
    <w:rsid w:val="00802F1B"/>
    <w:rsid w:val="00805016"/>
    <w:rsid w:val="00806201"/>
    <w:rsid w:val="008111DB"/>
    <w:rsid w:val="00813423"/>
    <w:rsid w:val="00822B27"/>
    <w:rsid w:val="00823C97"/>
    <w:rsid w:val="00823EF8"/>
    <w:rsid w:val="00830286"/>
    <w:rsid w:val="00830F82"/>
    <w:rsid w:val="00832DF0"/>
    <w:rsid w:val="00833E58"/>
    <w:rsid w:val="008346A4"/>
    <w:rsid w:val="00836D74"/>
    <w:rsid w:val="008424B2"/>
    <w:rsid w:val="008441CB"/>
    <w:rsid w:val="00850725"/>
    <w:rsid w:val="00853017"/>
    <w:rsid w:val="00854D29"/>
    <w:rsid w:val="00860CBF"/>
    <w:rsid w:val="00860E1D"/>
    <w:rsid w:val="0086424B"/>
    <w:rsid w:val="00870F9B"/>
    <w:rsid w:val="00871BE0"/>
    <w:rsid w:val="008753D9"/>
    <w:rsid w:val="008760B0"/>
    <w:rsid w:val="00876421"/>
    <w:rsid w:val="008819D8"/>
    <w:rsid w:val="008831A4"/>
    <w:rsid w:val="00883589"/>
    <w:rsid w:val="00885A55"/>
    <w:rsid w:val="00885AB0"/>
    <w:rsid w:val="008877F9"/>
    <w:rsid w:val="00890B9B"/>
    <w:rsid w:val="008917C6"/>
    <w:rsid w:val="00892A5E"/>
    <w:rsid w:val="00897067"/>
    <w:rsid w:val="008A1A38"/>
    <w:rsid w:val="008A4C32"/>
    <w:rsid w:val="008A5F94"/>
    <w:rsid w:val="008A70DC"/>
    <w:rsid w:val="008B2555"/>
    <w:rsid w:val="008B323F"/>
    <w:rsid w:val="008B60D1"/>
    <w:rsid w:val="008C0B5B"/>
    <w:rsid w:val="008C19C5"/>
    <w:rsid w:val="008C2030"/>
    <w:rsid w:val="008C2B7C"/>
    <w:rsid w:val="008C4C76"/>
    <w:rsid w:val="008C54BC"/>
    <w:rsid w:val="008D0E9F"/>
    <w:rsid w:val="008D1F4E"/>
    <w:rsid w:val="008D5472"/>
    <w:rsid w:val="008D5AE5"/>
    <w:rsid w:val="008D5F63"/>
    <w:rsid w:val="008D6E87"/>
    <w:rsid w:val="008D7D29"/>
    <w:rsid w:val="008E325A"/>
    <w:rsid w:val="008E4BE9"/>
    <w:rsid w:val="008E7616"/>
    <w:rsid w:val="008E7F6F"/>
    <w:rsid w:val="008F4F61"/>
    <w:rsid w:val="008F5D02"/>
    <w:rsid w:val="008F6EB2"/>
    <w:rsid w:val="008F7040"/>
    <w:rsid w:val="008F73ED"/>
    <w:rsid w:val="009011FF"/>
    <w:rsid w:val="0090192D"/>
    <w:rsid w:val="00901A5D"/>
    <w:rsid w:val="00904404"/>
    <w:rsid w:val="0090473B"/>
    <w:rsid w:val="00904EA6"/>
    <w:rsid w:val="009061A0"/>
    <w:rsid w:val="00906814"/>
    <w:rsid w:val="00910429"/>
    <w:rsid w:val="009148F3"/>
    <w:rsid w:val="00915FD4"/>
    <w:rsid w:val="0091764B"/>
    <w:rsid w:val="00922827"/>
    <w:rsid w:val="00922B6B"/>
    <w:rsid w:val="0092469F"/>
    <w:rsid w:val="00930F55"/>
    <w:rsid w:val="009334E0"/>
    <w:rsid w:val="0093614C"/>
    <w:rsid w:val="00936E2D"/>
    <w:rsid w:val="009419B0"/>
    <w:rsid w:val="009428B3"/>
    <w:rsid w:val="009462F6"/>
    <w:rsid w:val="009466F7"/>
    <w:rsid w:val="00946BAF"/>
    <w:rsid w:val="009534C0"/>
    <w:rsid w:val="009566D9"/>
    <w:rsid w:val="00956816"/>
    <w:rsid w:val="0097262B"/>
    <w:rsid w:val="00975409"/>
    <w:rsid w:val="00975435"/>
    <w:rsid w:val="0097710D"/>
    <w:rsid w:val="0098255D"/>
    <w:rsid w:val="00983CAA"/>
    <w:rsid w:val="00987C17"/>
    <w:rsid w:val="0099161F"/>
    <w:rsid w:val="009939F4"/>
    <w:rsid w:val="00994C73"/>
    <w:rsid w:val="009A0271"/>
    <w:rsid w:val="009A08E1"/>
    <w:rsid w:val="009A188C"/>
    <w:rsid w:val="009A44B8"/>
    <w:rsid w:val="009A4EB4"/>
    <w:rsid w:val="009B3FFB"/>
    <w:rsid w:val="009B4044"/>
    <w:rsid w:val="009B4692"/>
    <w:rsid w:val="009B4B77"/>
    <w:rsid w:val="009C6713"/>
    <w:rsid w:val="009D18A7"/>
    <w:rsid w:val="009D346B"/>
    <w:rsid w:val="009D67B1"/>
    <w:rsid w:val="009E12B3"/>
    <w:rsid w:val="009F0DEE"/>
    <w:rsid w:val="009F2125"/>
    <w:rsid w:val="009F2B02"/>
    <w:rsid w:val="009F2F49"/>
    <w:rsid w:val="009F50DA"/>
    <w:rsid w:val="009F6B97"/>
    <w:rsid w:val="00A00ACA"/>
    <w:rsid w:val="00A01613"/>
    <w:rsid w:val="00A030C0"/>
    <w:rsid w:val="00A0464B"/>
    <w:rsid w:val="00A04E90"/>
    <w:rsid w:val="00A06095"/>
    <w:rsid w:val="00A103A4"/>
    <w:rsid w:val="00A111D0"/>
    <w:rsid w:val="00A12F98"/>
    <w:rsid w:val="00A15B85"/>
    <w:rsid w:val="00A20919"/>
    <w:rsid w:val="00A24142"/>
    <w:rsid w:val="00A241D4"/>
    <w:rsid w:val="00A2441F"/>
    <w:rsid w:val="00A25D61"/>
    <w:rsid w:val="00A26980"/>
    <w:rsid w:val="00A27C63"/>
    <w:rsid w:val="00A31C5D"/>
    <w:rsid w:val="00A34F61"/>
    <w:rsid w:val="00A362C5"/>
    <w:rsid w:val="00A364B9"/>
    <w:rsid w:val="00A40AFC"/>
    <w:rsid w:val="00A440BB"/>
    <w:rsid w:val="00A463D2"/>
    <w:rsid w:val="00A50CF1"/>
    <w:rsid w:val="00A52866"/>
    <w:rsid w:val="00A5462A"/>
    <w:rsid w:val="00A60C3F"/>
    <w:rsid w:val="00A61F8A"/>
    <w:rsid w:val="00A61F9E"/>
    <w:rsid w:val="00A701CF"/>
    <w:rsid w:val="00A70B14"/>
    <w:rsid w:val="00A71857"/>
    <w:rsid w:val="00A72840"/>
    <w:rsid w:val="00A744E6"/>
    <w:rsid w:val="00A746A5"/>
    <w:rsid w:val="00A769C0"/>
    <w:rsid w:val="00A776BD"/>
    <w:rsid w:val="00A779F5"/>
    <w:rsid w:val="00A82156"/>
    <w:rsid w:val="00A83ED0"/>
    <w:rsid w:val="00A84125"/>
    <w:rsid w:val="00A90135"/>
    <w:rsid w:val="00A93EF0"/>
    <w:rsid w:val="00AA02DD"/>
    <w:rsid w:val="00AA0BA2"/>
    <w:rsid w:val="00AA46C0"/>
    <w:rsid w:val="00AA548F"/>
    <w:rsid w:val="00AB103A"/>
    <w:rsid w:val="00AB1CD7"/>
    <w:rsid w:val="00AB3462"/>
    <w:rsid w:val="00AB45C2"/>
    <w:rsid w:val="00AB686C"/>
    <w:rsid w:val="00AC1A48"/>
    <w:rsid w:val="00AC2241"/>
    <w:rsid w:val="00AC4641"/>
    <w:rsid w:val="00AC758E"/>
    <w:rsid w:val="00AC78C8"/>
    <w:rsid w:val="00AC7B37"/>
    <w:rsid w:val="00AD67CC"/>
    <w:rsid w:val="00AD71C6"/>
    <w:rsid w:val="00AD79F0"/>
    <w:rsid w:val="00AE0351"/>
    <w:rsid w:val="00AE44D6"/>
    <w:rsid w:val="00AF08AC"/>
    <w:rsid w:val="00AF2203"/>
    <w:rsid w:val="00AF3B00"/>
    <w:rsid w:val="00AF4DC3"/>
    <w:rsid w:val="00B05CC6"/>
    <w:rsid w:val="00B05D84"/>
    <w:rsid w:val="00B06E7C"/>
    <w:rsid w:val="00B11985"/>
    <w:rsid w:val="00B13693"/>
    <w:rsid w:val="00B20FC3"/>
    <w:rsid w:val="00B2197E"/>
    <w:rsid w:val="00B23DC4"/>
    <w:rsid w:val="00B24A67"/>
    <w:rsid w:val="00B2572E"/>
    <w:rsid w:val="00B31DC4"/>
    <w:rsid w:val="00B41629"/>
    <w:rsid w:val="00B43EC1"/>
    <w:rsid w:val="00B511ED"/>
    <w:rsid w:val="00B54A37"/>
    <w:rsid w:val="00B551D9"/>
    <w:rsid w:val="00B55F68"/>
    <w:rsid w:val="00B567C2"/>
    <w:rsid w:val="00B61CA0"/>
    <w:rsid w:val="00B63233"/>
    <w:rsid w:val="00B63853"/>
    <w:rsid w:val="00B675D8"/>
    <w:rsid w:val="00B679E5"/>
    <w:rsid w:val="00B81581"/>
    <w:rsid w:val="00B82025"/>
    <w:rsid w:val="00B82E05"/>
    <w:rsid w:val="00B83A27"/>
    <w:rsid w:val="00B83AB9"/>
    <w:rsid w:val="00B86158"/>
    <w:rsid w:val="00B92E4C"/>
    <w:rsid w:val="00B93F26"/>
    <w:rsid w:val="00B94AA2"/>
    <w:rsid w:val="00B960CA"/>
    <w:rsid w:val="00B975D7"/>
    <w:rsid w:val="00BA2C57"/>
    <w:rsid w:val="00BA5334"/>
    <w:rsid w:val="00BA5559"/>
    <w:rsid w:val="00BA7B76"/>
    <w:rsid w:val="00BB0757"/>
    <w:rsid w:val="00BB5B13"/>
    <w:rsid w:val="00BB5DA1"/>
    <w:rsid w:val="00BC432E"/>
    <w:rsid w:val="00BD1DF8"/>
    <w:rsid w:val="00BD2554"/>
    <w:rsid w:val="00BD5CC8"/>
    <w:rsid w:val="00BD680A"/>
    <w:rsid w:val="00BD74B4"/>
    <w:rsid w:val="00BE1500"/>
    <w:rsid w:val="00BE346F"/>
    <w:rsid w:val="00BE3656"/>
    <w:rsid w:val="00BE4C69"/>
    <w:rsid w:val="00C01090"/>
    <w:rsid w:val="00C036C6"/>
    <w:rsid w:val="00C05428"/>
    <w:rsid w:val="00C07BBA"/>
    <w:rsid w:val="00C10476"/>
    <w:rsid w:val="00C11D6A"/>
    <w:rsid w:val="00C13ED2"/>
    <w:rsid w:val="00C15D73"/>
    <w:rsid w:val="00C22510"/>
    <w:rsid w:val="00C234AF"/>
    <w:rsid w:val="00C23EA9"/>
    <w:rsid w:val="00C2429E"/>
    <w:rsid w:val="00C249DB"/>
    <w:rsid w:val="00C25AD2"/>
    <w:rsid w:val="00C27EDE"/>
    <w:rsid w:val="00C309D9"/>
    <w:rsid w:val="00C30C43"/>
    <w:rsid w:val="00C30D10"/>
    <w:rsid w:val="00C30DB2"/>
    <w:rsid w:val="00C32D93"/>
    <w:rsid w:val="00C3583C"/>
    <w:rsid w:val="00C358B1"/>
    <w:rsid w:val="00C35CD9"/>
    <w:rsid w:val="00C400D0"/>
    <w:rsid w:val="00C41200"/>
    <w:rsid w:val="00C4128A"/>
    <w:rsid w:val="00C4430A"/>
    <w:rsid w:val="00C46CB4"/>
    <w:rsid w:val="00C50DFB"/>
    <w:rsid w:val="00C52664"/>
    <w:rsid w:val="00C572EF"/>
    <w:rsid w:val="00C57691"/>
    <w:rsid w:val="00C6385D"/>
    <w:rsid w:val="00C64A3C"/>
    <w:rsid w:val="00C66595"/>
    <w:rsid w:val="00C70AC7"/>
    <w:rsid w:val="00C7540F"/>
    <w:rsid w:val="00C763D1"/>
    <w:rsid w:val="00C8060A"/>
    <w:rsid w:val="00C8087E"/>
    <w:rsid w:val="00C813C1"/>
    <w:rsid w:val="00C82DDD"/>
    <w:rsid w:val="00C862FC"/>
    <w:rsid w:val="00C87761"/>
    <w:rsid w:val="00CA31E7"/>
    <w:rsid w:val="00CA436E"/>
    <w:rsid w:val="00CA53F3"/>
    <w:rsid w:val="00CB16FB"/>
    <w:rsid w:val="00CB4778"/>
    <w:rsid w:val="00CB7B9E"/>
    <w:rsid w:val="00CC5633"/>
    <w:rsid w:val="00CC5814"/>
    <w:rsid w:val="00CC661E"/>
    <w:rsid w:val="00CD0C66"/>
    <w:rsid w:val="00CD2403"/>
    <w:rsid w:val="00CD5E14"/>
    <w:rsid w:val="00CE08B5"/>
    <w:rsid w:val="00CE0DF9"/>
    <w:rsid w:val="00CE4A27"/>
    <w:rsid w:val="00CE7299"/>
    <w:rsid w:val="00CE7BCF"/>
    <w:rsid w:val="00CF08EE"/>
    <w:rsid w:val="00CF1115"/>
    <w:rsid w:val="00D022EA"/>
    <w:rsid w:val="00D03F90"/>
    <w:rsid w:val="00D04D6C"/>
    <w:rsid w:val="00D07A38"/>
    <w:rsid w:val="00D1155B"/>
    <w:rsid w:val="00D11714"/>
    <w:rsid w:val="00D11DF1"/>
    <w:rsid w:val="00D1329D"/>
    <w:rsid w:val="00D143AF"/>
    <w:rsid w:val="00D15481"/>
    <w:rsid w:val="00D21DC7"/>
    <w:rsid w:val="00D2466C"/>
    <w:rsid w:val="00D2515C"/>
    <w:rsid w:val="00D31321"/>
    <w:rsid w:val="00D32C1B"/>
    <w:rsid w:val="00D33E1E"/>
    <w:rsid w:val="00D40EDC"/>
    <w:rsid w:val="00D41021"/>
    <w:rsid w:val="00D5041B"/>
    <w:rsid w:val="00D5043C"/>
    <w:rsid w:val="00D51564"/>
    <w:rsid w:val="00D52A8D"/>
    <w:rsid w:val="00D53EDE"/>
    <w:rsid w:val="00D56A62"/>
    <w:rsid w:val="00D57CE0"/>
    <w:rsid w:val="00D637D0"/>
    <w:rsid w:val="00D66E2F"/>
    <w:rsid w:val="00D7627E"/>
    <w:rsid w:val="00D7656F"/>
    <w:rsid w:val="00D77B60"/>
    <w:rsid w:val="00D77C2E"/>
    <w:rsid w:val="00D80280"/>
    <w:rsid w:val="00D8099B"/>
    <w:rsid w:val="00D822DC"/>
    <w:rsid w:val="00D872C2"/>
    <w:rsid w:val="00D87419"/>
    <w:rsid w:val="00D92320"/>
    <w:rsid w:val="00D94DD0"/>
    <w:rsid w:val="00DA0DF3"/>
    <w:rsid w:val="00DA4C6E"/>
    <w:rsid w:val="00DA7DEC"/>
    <w:rsid w:val="00DB02B6"/>
    <w:rsid w:val="00DB0C45"/>
    <w:rsid w:val="00DB0FAE"/>
    <w:rsid w:val="00DB1AF8"/>
    <w:rsid w:val="00DB28A6"/>
    <w:rsid w:val="00DB50BD"/>
    <w:rsid w:val="00DB5344"/>
    <w:rsid w:val="00DB587E"/>
    <w:rsid w:val="00DB6C71"/>
    <w:rsid w:val="00DC1DCB"/>
    <w:rsid w:val="00DC21E9"/>
    <w:rsid w:val="00DD22C4"/>
    <w:rsid w:val="00DE0FC1"/>
    <w:rsid w:val="00DE23BC"/>
    <w:rsid w:val="00DE398C"/>
    <w:rsid w:val="00DE628C"/>
    <w:rsid w:val="00DF3FC8"/>
    <w:rsid w:val="00DF7107"/>
    <w:rsid w:val="00E01CA9"/>
    <w:rsid w:val="00E020A2"/>
    <w:rsid w:val="00E059A5"/>
    <w:rsid w:val="00E11EC1"/>
    <w:rsid w:val="00E12956"/>
    <w:rsid w:val="00E15FF7"/>
    <w:rsid w:val="00E16907"/>
    <w:rsid w:val="00E17A07"/>
    <w:rsid w:val="00E200E5"/>
    <w:rsid w:val="00E26FA7"/>
    <w:rsid w:val="00E278C2"/>
    <w:rsid w:val="00E31AD6"/>
    <w:rsid w:val="00E31FBD"/>
    <w:rsid w:val="00E3796A"/>
    <w:rsid w:val="00E37AC5"/>
    <w:rsid w:val="00E40435"/>
    <w:rsid w:val="00E42671"/>
    <w:rsid w:val="00E43CFD"/>
    <w:rsid w:val="00E44190"/>
    <w:rsid w:val="00E538AA"/>
    <w:rsid w:val="00E60770"/>
    <w:rsid w:val="00E6339B"/>
    <w:rsid w:val="00E63AFC"/>
    <w:rsid w:val="00E640EB"/>
    <w:rsid w:val="00E64E9E"/>
    <w:rsid w:val="00E72C55"/>
    <w:rsid w:val="00E76846"/>
    <w:rsid w:val="00E85F95"/>
    <w:rsid w:val="00E8644F"/>
    <w:rsid w:val="00E9226D"/>
    <w:rsid w:val="00E94936"/>
    <w:rsid w:val="00E95351"/>
    <w:rsid w:val="00E95C0F"/>
    <w:rsid w:val="00E96AE6"/>
    <w:rsid w:val="00EA5569"/>
    <w:rsid w:val="00EA708B"/>
    <w:rsid w:val="00EB4244"/>
    <w:rsid w:val="00EB4D9C"/>
    <w:rsid w:val="00EB524E"/>
    <w:rsid w:val="00EC6BEA"/>
    <w:rsid w:val="00EC746C"/>
    <w:rsid w:val="00EC7618"/>
    <w:rsid w:val="00ED152E"/>
    <w:rsid w:val="00EE0177"/>
    <w:rsid w:val="00EE3F18"/>
    <w:rsid w:val="00EE449C"/>
    <w:rsid w:val="00EE48AE"/>
    <w:rsid w:val="00EE5DAB"/>
    <w:rsid w:val="00EE70AF"/>
    <w:rsid w:val="00EE73B3"/>
    <w:rsid w:val="00EF30A9"/>
    <w:rsid w:val="00EF48DA"/>
    <w:rsid w:val="00EF4F06"/>
    <w:rsid w:val="00EF6E2E"/>
    <w:rsid w:val="00F10E9F"/>
    <w:rsid w:val="00F13E68"/>
    <w:rsid w:val="00F15B74"/>
    <w:rsid w:val="00F233D0"/>
    <w:rsid w:val="00F24AAA"/>
    <w:rsid w:val="00F271C0"/>
    <w:rsid w:val="00F33950"/>
    <w:rsid w:val="00F34A4A"/>
    <w:rsid w:val="00F35669"/>
    <w:rsid w:val="00F4187B"/>
    <w:rsid w:val="00F438B7"/>
    <w:rsid w:val="00F44F3F"/>
    <w:rsid w:val="00F465C0"/>
    <w:rsid w:val="00F55956"/>
    <w:rsid w:val="00F578BF"/>
    <w:rsid w:val="00F57ADB"/>
    <w:rsid w:val="00F61C07"/>
    <w:rsid w:val="00F70C56"/>
    <w:rsid w:val="00F71D05"/>
    <w:rsid w:val="00F7420F"/>
    <w:rsid w:val="00F772A5"/>
    <w:rsid w:val="00F8061A"/>
    <w:rsid w:val="00F82718"/>
    <w:rsid w:val="00F8419C"/>
    <w:rsid w:val="00F86168"/>
    <w:rsid w:val="00F87FAF"/>
    <w:rsid w:val="00F922D5"/>
    <w:rsid w:val="00F95B61"/>
    <w:rsid w:val="00F95F8B"/>
    <w:rsid w:val="00F96A1E"/>
    <w:rsid w:val="00FA0301"/>
    <w:rsid w:val="00FA6E89"/>
    <w:rsid w:val="00FA71EB"/>
    <w:rsid w:val="00FB3872"/>
    <w:rsid w:val="00FB4A4E"/>
    <w:rsid w:val="00FC0C9B"/>
    <w:rsid w:val="00FC102A"/>
    <w:rsid w:val="00FC18A4"/>
    <w:rsid w:val="00FC5A5A"/>
    <w:rsid w:val="00FD01B9"/>
    <w:rsid w:val="00FD0867"/>
    <w:rsid w:val="00FD1A80"/>
    <w:rsid w:val="00FD1D06"/>
    <w:rsid w:val="00FD3AC2"/>
    <w:rsid w:val="00FD5DA9"/>
    <w:rsid w:val="00FD6130"/>
    <w:rsid w:val="00FD6569"/>
    <w:rsid w:val="00FD7533"/>
    <w:rsid w:val="00FE285C"/>
    <w:rsid w:val="00FE3396"/>
    <w:rsid w:val="00FE54D9"/>
    <w:rsid w:val="00FF1F8D"/>
    <w:rsid w:val="00FF2333"/>
    <w:rsid w:val="00FF500A"/>
    <w:rsid w:val="00FF515D"/>
    <w:rsid w:val="00FF5780"/>
    <w:rsid w:val="00FF5C4E"/>
    <w:rsid w:val="00FF5E6E"/>
    <w:rsid w:val="01473B13"/>
    <w:rsid w:val="017B5688"/>
    <w:rsid w:val="01974DE5"/>
    <w:rsid w:val="02A813BE"/>
    <w:rsid w:val="03215DBB"/>
    <w:rsid w:val="033578FA"/>
    <w:rsid w:val="035D5442"/>
    <w:rsid w:val="038D16A3"/>
    <w:rsid w:val="03CB5F98"/>
    <w:rsid w:val="04575F38"/>
    <w:rsid w:val="045B64CD"/>
    <w:rsid w:val="048900BC"/>
    <w:rsid w:val="04B213C1"/>
    <w:rsid w:val="04E83035"/>
    <w:rsid w:val="050E411D"/>
    <w:rsid w:val="05415488"/>
    <w:rsid w:val="054B1B12"/>
    <w:rsid w:val="058F40B3"/>
    <w:rsid w:val="05E51FE4"/>
    <w:rsid w:val="06530982"/>
    <w:rsid w:val="06A50C23"/>
    <w:rsid w:val="06B807E5"/>
    <w:rsid w:val="06BC4ED0"/>
    <w:rsid w:val="06C62F02"/>
    <w:rsid w:val="06F1065B"/>
    <w:rsid w:val="071874D5"/>
    <w:rsid w:val="073D0CEA"/>
    <w:rsid w:val="073E0AC1"/>
    <w:rsid w:val="07EB15C4"/>
    <w:rsid w:val="08143C2A"/>
    <w:rsid w:val="083D1A72"/>
    <w:rsid w:val="08512C9F"/>
    <w:rsid w:val="08713EBD"/>
    <w:rsid w:val="08B96833"/>
    <w:rsid w:val="08FA3336"/>
    <w:rsid w:val="0958005D"/>
    <w:rsid w:val="097951E0"/>
    <w:rsid w:val="0A52450C"/>
    <w:rsid w:val="0A5B7DD0"/>
    <w:rsid w:val="0AAE4AD0"/>
    <w:rsid w:val="0B0220BB"/>
    <w:rsid w:val="0B1C137E"/>
    <w:rsid w:val="0B24469B"/>
    <w:rsid w:val="0B32384A"/>
    <w:rsid w:val="0B8D0492"/>
    <w:rsid w:val="0B976326"/>
    <w:rsid w:val="0BEE162F"/>
    <w:rsid w:val="0C654DF9"/>
    <w:rsid w:val="0CCD2981"/>
    <w:rsid w:val="0D3678AD"/>
    <w:rsid w:val="0D43599F"/>
    <w:rsid w:val="0D605384"/>
    <w:rsid w:val="0DA85CA6"/>
    <w:rsid w:val="0DBE1C14"/>
    <w:rsid w:val="0DEA598B"/>
    <w:rsid w:val="0DFB537D"/>
    <w:rsid w:val="0E1331F5"/>
    <w:rsid w:val="0E4B1576"/>
    <w:rsid w:val="0E71409B"/>
    <w:rsid w:val="0F4D37BA"/>
    <w:rsid w:val="0F5B2655"/>
    <w:rsid w:val="0FE97C61"/>
    <w:rsid w:val="10402AC9"/>
    <w:rsid w:val="10655129"/>
    <w:rsid w:val="107F4CF8"/>
    <w:rsid w:val="10DD167F"/>
    <w:rsid w:val="10DD77C5"/>
    <w:rsid w:val="112179BF"/>
    <w:rsid w:val="116F3FC8"/>
    <w:rsid w:val="121865DB"/>
    <w:rsid w:val="12487DDB"/>
    <w:rsid w:val="13280AA0"/>
    <w:rsid w:val="13F111F5"/>
    <w:rsid w:val="141F00B4"/>
    <w:rsid w:val="14270D58"/>
    <w:rsid w:val="14DE1D5E"/>
    <w:rsid w:val="154C0F75"/>
    <w:rsid w:val="154F7C69"/>
    <w:rsid w:val="159A0C03"/>
    <w:rsid w:val="159E329B"/>
    <w:rsid w:val="15A308B2"/>
    <w:rsid w:val="15C50828"/>
    <w:rsid w:val="1643128F"/>
    <w:rsid w:val="16A07660"/>
    <w:rsid w:val="16A42B33"/>
    <w:rsid w:val="16AC543F"/>
    <w:rsid w:val="16C531D6"/>
    <w:rsid w:val="16DE18DD"/>
    <w:rsid w:val="170340EA"/>
    <w:rsid w:val="17091311"/>
    <w:rsid w:val="170E3180"/>
    <w:rsid w:val="178F5592"/>
    <w:rsid w:val="17B16D61"/>
    <w:rsid w:val="17F03127"/>
    <w:rsid w:val="180C6316"/>
    <w:rsid w:val="1872050C"/>
    <w:rsid w:val="187736FD"/>
    <w:rsid w:val="187D188E"/>
    <w:rsid w:val="18836C66"/>
    <w:rsid w:val="189E5351"/>
    <w:rsid w:val="18A42854"/>
    <w:rsid w:val="19746A29"/>
    <w:rsid w:val="1A136006"/>
    <w:rsid w:val="1A1A1BD8"/>
    <w:rsid w:val="1A7D7923"/>
    <w:rsid w:val="1AA17AB6"/>
    <w:rsid w:val="1AED4B38"/>
    <w:rsid w:val="1B1738D4"/>
    <w:rsid w:val="1B6A063C"/>
    <w:rsid w:val="1B940D77"/>
    <w:rsid w:val="1BC021BE"/>
    <w:rsid w:val="1BC85FA4"/>
    <w:rsid w:val="1BEC6B0F"/>
    <w:rsid w:val="1C105D34"/>
    <w:rsid w:val="1C16314D"/>
    <w:rsid w:val="1C382524"/>
    <w:rsid w:val="1C434466"/>
    <w:rsid w:val="1CE92A10"/>
    <w:rsid w:val="1D534C64"/>
    <w:rsid w:val="1D9F1315"/>
    <w:rsid w:val="1E0738E5"/>
    <w:rsid w:val="1E201B9E"/>
    <w:rsid w:val="1E462C80"/>
    <w:rsid w:val="1E6029D2"/>
    <w:rsid w:val="1ED41ADC"/>
    <w:rsid w:val="1EF53F2C"/>
    <w:rsid w:val="1F0B19A2"/>
    <w:rsid w:val="1F1C595D"/>
    <w:rsid w:val="1F4E749F"/>
    <w:rsid w:val="1F501C38"/>
    <w:rsid w:val="1F673F85"/>
    <w:rsid w:val="1F7946A8"/>
    <w:rsid w:val="1FE43FA1"/>
    <w:rsid w:val="200563F1"/>
    <w:rsid w:val="201D0697"/>
    <w:rsid w:val="202820DF"/>
    <w:rsid w:val="202F7912"/>
    <w:rsid w:val="20457135"/>
    <w:rsid w:val="2052555B"/>
    <w:rsid w:val="21B52099"/>
    <w:rsid w:val="22553D29"/>
    <w:rsid w:val="22943A5C"/>
    <w:rsid w:val="22A334B0"/>
    <w:rsid w:val="22D24CAD"/>
    <w:rsid w:val="22E07461"/>
    <w:rsid w:val="22E9024C"/>
    <w:rsid w:val="23103A2A"/>
    <w:rsid w:val="233E2D80"/>
    <w:rsid w:val="2370208A"/>
    <w:rsid w:val="23AE3635"/>
    <w:rsid w:val="23D64F4F"/>
    <w:rsid w:val="248B0E8F"/>
    <w:rsid w:val="249B2C10"/>
    <w:rsid w:val="24B86128"/>
    <w:rsid w:val="24B866C3"/>
    <w:rsid w:val="24DA53F4"/>
    <w:rsid w:val="253D0E1C"/>
    <w:rsid w:val="25772E03"/>
    <w:rsid w:val="25781D85"/>
    <w:rsid w:val="259F4BF2"/>
    <w:rsid w:val="26076608"/>
    <w:rsid w:val="26355721"/>
    <w:rsid w:val="263E643D"/>
    <w:rsid w:val="26502390"/>
    <w:rsid w:val="26517B98"/>
    <w:rsid w:val="26A050C5"/>
    <w:rsid w:val="26A84219"/>
    <w:rsid w:val="26F50752"/>
    <w:rsid w:val="27147861"/>
    <w:rsid w:val="274A5031"/>
    <w:rsid w:val="276E0D20"/>
    <w:rsid w:val="278407FB"/>
    <w:rsid w:val="280F0E6B"/>
    <w:rsid w:val="283A32F8"/>
    <w:rsid w:val="28732536"/>
    <w:rsid w:val="28CA1820"/>
    <w:rsid w:val="28E82D54"/>
    <w:rsid w:val="28EC566D"/>
    <w:rsid w:val="29341AF5"/>
    <w:rsid w:val="295757E3"/>
    <w:rsid w:val="2999547A"/>
    <w:rsid w:val="299B7100"/>
    <w:rsid w:val="29CF0173"/>
    <w:rsid w:val="2A2C7F02"/>
    <w:rsid w:val="2AD678EF"/>
    <w:rsid w:val="2B5D17D7"/>
    <w:rsid w:val="2B8A1EA0"/>
    <w:rsid w:val="2BAE2033"/>
    <w:rsid w:val="2BE041B6"/>
    <w:rsid w:val="2C0D32A5"/>
    <w:rsid w:val="2C1319B2"/>
    <w:rsid w:val="2C567FD4"/>
    <w:rsid w:val="2CD4797C"/>
    <w:rsid w:val="2D360531"/>
    <w:rsid w:val="2D5C5ABE"/>
    <w:rsid w:val="2D914A72"/>
    <w:rsid w:val="2E19303F"/>
    <w:rsid w:val="2F55416A"/>
    <w:rsid w:val="2FBA494F"/>
    <w:rsid w:val="30077F63"/>
    <w:rsid w:val="3038011D"/>
    <w:rsid w:val="30693D73"/>
    <w:rsid w:val="30BF3162"/>
    <w:rsid w:val="32110C25"/>
    <w:rsid w:val="3216623C"/>
    <w:rsid w:val="321E3342"/>
    <w:rsid w:val="32960DFA"/>
    <w:rsid w:val="32973B96"/>
    <w:rsid w:val="32F065B0"/>
    <w:rsid w:val="330D3AE3"/>
    <w:rsid w:val="33596AB8"/>
    <w:rsid w:val="340053F5"/>
    <w:rsid w:val="34060532"/>
    <w:rsid w:val="34090758"/>
    <w:rsid w:val="344D6838"/>
    <w:rsid w:val="34980AE0"/>
    <w:rsid w:val="34D8363B"/>
    <w:rsid w:val="34E15227"/>
    <w:rsid w:val="35390EE7"/>
    <w:rsid w:val="355619D4"/>
    <w:rsid w:val="357177FF"/>
    <w:rsid w:val="35747B1F"/>
    <w:rsid w:val="35897434"/>
    <w:rsid w:val="35DA66E8"/>
    <w:rsid w:val="365437D6"/>
    <w:rsid w:val="366E2AEA"/>
    <w:rsid w:val="368F2BB5"/>
    <w:rsid w:val="369A461D"/>
    <w:rsid w:val="36F44ACE"/>
    <w:rsid w:val="371C6C99"/>
    <w:rsid w:val="3724064A"/>
    <w:rsid w:val="379C4E4D"/>
    <w:rsid w:val="37DA6B90"/>
    <w:rsid w:val="37DE37E1"/>
    <w:rsid w:val="37E852EE"/>
    <w:rsid w:val="37F90D08"/>
    <w:rsid w:val="382B585D"/>
    <w:rsid w:val="38380AAD"/>
    <w:rsid w:val="38663F9A"/>
    <w:rsid w:val="38E57969"/>
    <w:rsid w:val="392C2A90"/>
    <w:rsid w:val="3993325E"/>
    <w:rsid w:val="39CE564E"/>
    <w:rsid w:val="3A195611"/>
    <w:rsid w:val="3A783974"/>
    <w:rsid w:val="3AEF3DAF"/>
    <w:rsid w:val="3AF722B0"/>
    <w:rsid w:val="3B1D063B"/>
    <w:rsid w:val="3B292E53"/>
    <w:rsid w:val="3B677B08"/>
    <w:rsid w:val="3B837C6D"/>
    <w:rsid w:val="3B985F13"/>
    <w:rsid w:val="3BA50630"/>
    <w:rsid w:val="3BEE558A"/>
    <w:rsid w:val="3C00262B"/>
    <w:rsid w:val="3C3629DD"/>
    <w:rsid w:val="3C414629"/>
    <w:rsid w:val="3C592D3F"/>
    <w:rsid w:val="3C642299"/>
    <w:rsid w:val="3C6A3D54"/>
    <w:rsid w:val="3C8D359F"/>
    <w:rsid w:val="3CDE2504"/>
    <w:rsid w:val="3CE46170"/>
    <w:rsid w:val="3D175F78"/>
    <w:rsid w:val="3D192343"/>
    <w:rsid w:val="3D606765"/>
    <w:rsid w:val="3D6967B2"/>
    <w:rsid w:val="3D804CB1"/>
    <w:rsid w:val="3DA140AA"/>
    <w:rsid w:val="3DBD46F4"/>
    <w:rsid w:val="3DCB0822"/>
    <w:rsid w:val="3DFD29A6"/>
    <w:rsid w:val="3DFD6502"/>
    <w:rsid w:val="3E5527E2"/>
    <w:rsid w:val="3E82530D"/>
    <w:rsid w:val="3EA350F2"/>
    <w:rsid w:val="3EA80CBF"/>
    <w:rsid w:val="3ED252AB"/>
    <w:rsid w:val="3F165ACD"/>
    <w:rsid w:val="3F3660CC"/>
    <w:rsid w:val="3F760C61"/>
    <w:rsid w:val="3FB2105A"/>
    <w:rsid w:val="3FD22A9E"/>
    <w:rsid w:val="407D2605"/>
    <w:rsid w:val="40B732E0"/>
    <w:rsid w:val="40CA3013"/>
    <w:rsid w:val="41006A35"/>
    <w:rsid w:val="411424E0"/>
    <w:rsid w:val="41856F3A"/>
    <w:rsid w:val="41F97033"/>
    <w:rsid w:val="42C628C5"/>
    <w:rsid w:val="42FF2D1C"/>
    <w:rsid w:val="43600C36"/>
    <w:rsid w:val="44316F05"/>
    <w:rsid w:val="44472BCC"/>
    <w:rsid w:val="44494651"/>
    <w:rsid w:val="444B0E4F"/>
    <w:rsid w:val="44637E9B"/>
    <w:rsid w:val="44B8461E"/>
    <w:rsid w:val="44DA33D0"/>
    <w:rsid w:val="44EA2AB7"/>
    <w:rsid w:val="44F31239"/>
    <w:rsid w:val="44F71559"/>
    <w:rsid w:val="450802D5"/>
    <w:rsid w:val="451F4F4C"/>
    <w:rsid w:val="45372C41"/>
    <w:rsid w:val="453945F1"/>
    <w:rsid w:val="458E18CE"/>
    <w:rsid w:val="458F0387"/>
    <w:rsid w:val="45DB35CC"/>
    <w:rsid w:val="45F12DF0"/>
    <w:rsid w:val="461A0599"/>
    <w:rsid w:val="46380A1F"/>
    <w:rsid w:val="464E4599"/>
    <w:rsid w:val="4661409B"/>
    <w:rsid w:val="46735944"/>
    <w:rsid w:val="46A377BC"/>
    <w:rsid w:val="46C6427C"/>
    <w:rsid w:val="46D149CF"/>
    <w:rsid w:val="473D3173"/>
    <w:rsid w:val="474E7DCE"/>
    <w:rsid w:val="47BC742D"/>
    <w:rsid w:val="482C2540"/>
    <w:rsid w:val="482E20C0"/>
    <w:rsid w:val="48D367DD"/>
    <w:rsid w:val="49137521"/>
    <w:rsid w:val="491906C2"/>
    <w:rsid w:val="49217C8F"/>
    <w:rsid w:val="49792B95"/>
    <w:rsid w:val="497C13F6"/>
    <w:rsid w:val="4A31571D"/>
    <w:rsid w:val="4A3A1ADE"/>
    <w:rsid w:val="4B1A0571"/>
    <w:rsid w:val="4B5454BD"/>
    <w:rsid w:val="4BDC009E"/>
    <w:rsid w:val="4BF523ED"/>
    <w:rsid w:val="4BFA6B23"/>
    <w:rsid w:val="4C003290"/>
    <w:rsid w:val="4C261319"/>
    <w:rsid w:val="4C53424A"/>
    <w:rsid w:val="4C756432"/>
    <w:rsid w:val="4CBE77A4"/>
    <w:rsid w:val="4D3708C2"/>
    <w:rsid w:val="4D6319D5"/>
    <w:rsid w:val="4E221C46"/>
    <w:rsid w:val="4E485E81"/>
    <w:rsid w:val="4E564138"/>
    <w:rsid w:val="4E90378B"/>
    <w:rsid w:val="4EC77B79"/>
    <w:rsid w:val="4EDF237F"/>
    <w:rsid w:val="4F607C3C"/>
    <w:rsid w:val="4F993153"/>
    <w:rsid w:val="4FB03FD0"/>
    <w:rsid w:val="4FE217E6"/>
    <w:rsid w:val="500208DE"/>
    <w:rsid w:val="5039400D"/>
    <w:rsid w:val="50395ABF"/>
    <w:rsid w:val="507538CB"/>
    <w:rsid w:val="50B32844"/>
    <w:rsid w:val="50E06768"/>
    <w:rsid w:val="5111148D"/>
    <w:rsid w:val="51142088"/>
    <w:rsid w:val="51C72A55"/>
    <w:rsid w:val="52570187"/>
    <w:rsid w:val="52A225E9"/>
    <w:rsid w:val="52D14CD6"/>
    <w:rsid w:val="52DC2732"/>
    <w:rsid w:val="534D76FB"/>
    <w:rsid w:val="536D782E"/>
    <w:rsid w:val="53715570"/>
    <w:rsid w:val="53B06098"/>
    <w:rsid w:val="53C439C2"/>
    <w:rsid w:val="53D77AC9"/>
    <w:rsid w:val="53EC4BF7"/>
    <w:rsid w:val="53F91DFC"/>
    <w:rsid w:val="541E7772"/>
    <w:rsid w:val="54557693"/>
    <w:rsid w:val="54632F33"/>
    <w:rsid w:val="54664028"/>
    <w:rsid w:val="54F239E2"/>
    <w:rsid w:val="54FC13C2"/>
    <w:rsid w:val="557D64FE"/>
    <w:rsid w:val="562803B5"/>
    <w:rsid w:val="562C1C22"/>
    <w:rsid w:val="565847C5"/>
    <w:rsid w:val="56596FC8"/>
    <w:rsid w:val="56637A98"/>
    <w:rsid w:val="56C6554D"/>
    <w:rsid w:val="56FC04D0"/>
    <w:rsid w:val="57035A47"/>
    <w:rsid w:val="571A045F"/>
    <w:rsid w:val="572E1C13"/>
    <w:rsid w:val="578F58FF"/>
    <w:rsid w:val="57B8459F"/>
    <w:rsid w:val="57DA1A83"/>
    <w:rsid w:val="589776C4"/>
    <w:rsid w:val="58A67F87"/>
    <w:rsid w:val="58B032AD"/>
    <w:rsid w:val="58C63C68"/>
    <w:rsid w:val="593A5EB6"/>
    <w:rsid w:val="596353BD"/>
    <w:rsid w:val="5979577F"/>
    <w:rsid w:val="598454B4"/>
    <w:rsid w:val="59957BA3"/>
    <w:rsid w:val="59CD742D"/>
    <w:rsid w:val="59DB028E"/>
    <w:rsid w:val="5A2570B4"/>
    <w:rsid w:val="5A517EA9"/>
    <w:rsid w:val="5A6E0A5B"/>
    <w:rsid w:val="5A70032F"/>
    <w:rsid w:val="5AD05272"/>
    <w:rsid w:val="5AD07020"/>
    <w:rsid w:val="5B040EE3"/>
    <w:rsid w:val="5B690172"/>
    <w:rsid w:val="5BA90BEB"/>
    <w:rsid w:val="5BB10BFF"/>
    <w:rsid w:val="5BBB382C"/>
    <w:rsid w:val="5BC57C52"/>
    <w:rsid w:val="5C6A5252"/>
    <w:rsid w:val="5C6D77C9"/>
    <w:rsid w:val="5C7752AC"/>
    <w:rsid w:val="5CC00E9C"/>
    <w:rsid w:val="5CFB1CCD"/>
    <w:rsid w:val="5CFF599B"/>
    <w:rsid w:val="5D005D18"/>
    <w:rsid w:val="5D1F7DEB"/>
    <w:rsid w:val="5D9E4FC5"/>
    <w:rsid w:val="5DD60DF1"/>
    <w:rsid w:val="5E320CBA"/>
    <w:rsid w:val="5E6A126D"/>
    <w:rsid w:val="5E7D126D"/>
    <w:rsid w:val="5EAA35A6"/>
    <w:rsid w:val="5EE44E48"/>
    <w:rsid w:val="5F0E7548"/>
    <w:rsid w:val="5F5441E8"/>
    <w:rsid w:val="5F5E3606"/>
    <w:rsid w:val="5F645F89"/>
    <w:rsid w:val="5FBE1535"/>
    <w:rsid w:val="5FE5531C"/>
    <w:rsid w:val="5FF11F12"/>
    <w:rsid w:val="5FF8696F"/>
    <w:rsid w:val="5FF94273"/>
    <w:rsid w:val="60830691"/>
    <w:rsid w:val="60C2565D"/>
    <w:rsid w:val="60C856EA"/>
    <w:rsid w:val="60CD62A7"/>
    <w:rsid w:val="60F14AC8"/>
    <w:rsid w:val="61141E2A"/>
    <w:rsid w:val="613A1F23"/>
    <w:rsid w:val="616541C3"/>
    <w:rsid w:val="61B14546"/>
    <w:rsid w:val="61B91585"/>
    <w:rsid w:val="61D56418"/>
    <w:rsid w:val="61FE26C5"/>
    <w:rsid w:val="622A465E"/>
    <w:rsid w:val="62465E1A"/>
    <w:rsid w:val="62BD2580"/>
    <w:rsid w:val="62DE42A4"/>
    <w:rsid w:val="62F259CB"/>
    <w:rsid w:val="63224191"/>
    <w:rsid w:val="636B3D52"/>
    <w:rsid w:val="642B042C"/>
    <w:rsid w:val="643D30F8"/>
    <w:rsid w:val="644665A5"/>
    <w:rsid w:val="645066B3"/>
    <w:rsid w:val="64535BAC"/>
    <w:rsid w:val="645F7290"/>
    <w:rsid w:val="646A497D"/>
    <w:rsid w:val="64CB4D1D"/>
    <w:rsid w:val="6522491C"/>
    <w:rsid w:val="6558008C"/>
    <w:rsid w:val="656C7056"/>
    <w:rsid w:val="65A02EC1"/>
    <w:rsid w:val="660179E7"/>
    <w:rsid w:val="66225BA7"/>
    <w:rsid w:val="66DA04BD"/>
    <w:rsid w:val="67421DFE"/>
    <w:rsid w:val="680B1B92"/>
    <w:rsid w:val="68297D70"/>
    <w:rsid w:val="68386D3E"/>
    <w:rsid w:val="68425862"/>
    <w:rsid w:val="687C07E7"/>
    <w:rsid w:val="68863414"/>
    <w:rsid w:val="689526D7"/>
    <w:rsid w:val="69066F6D"/>
    <w:rsid w:val="69085BD7"/>
    <w:rsid w:val="690F51B7"/>
    <w:rsid w:val="69220DF6"/>
    <w:rsid w:val="69421FF4"/>
    <w:rsid w:val="69855891"/>
    <w:rsid w:val="69C65AD3"/>
    <w:rsid w:val="6A4805A1"/>
    <w:rsid w:val="6A9E4E62"/>
    <w:rsid w:val="6AB60966"/>
    <w:rsid w:val="6AFD7A33"/>
    <w:rsid w:val="6B105489"/>
    <w:rsid w:val="6B2E422E"/>
    <w:rsid w:val="6B4A0729"/>
    <w:rsid w:val="6B5F6C36"/>
    <w:rsid w:val="6B6F63E1"/>
    <w:rsid w:val="6B757AC3"/>
    <w:rsid w:val="6BC95AF1"/>
    <w:rsid w:val="6C1D5E3D"/>
    <w:rsid w:val="6C40749D"/>
    <w:rsid w:val="6C5E257D"/>
    <w:rsid w:val="6C6E6699"/>
    <w:rsid w:val="6C877A8D"/>
    <w:rsid w:val="6D0773A5"/>
    <w:rsid w:val="6D851EEC"/>
    <w:rsid w:val="6DB1683D"/>
    <w:rsid w:val="6E0B0D13"/>
    <w:rsid w:val="6E14501E"/>
    <w:rsid w:val="6E204CFA"/>
    <w:rsid w:val="6E2844F9"/>
    <w:rsid w:val="6E4373BA"/>
    <w:rsid w:val="6EA23374"/>
    <w:rsid w:val="6EA25D30"/>
    <w:rsid w:val="6F08742C"/>
    <w:rsid w:val="6F1E43A6"/>
    <w:rsid w:val="6F2319BD"/>
    <w:rsid w:val="6F8D6FED"/>
    <w:rsid w:val="6F953657"/>
    <w:rsid w:val="6FB940CF"/>
    <w:rsid w:val="6FBB127E"/>
    <w:rsid w:val="6FD44168"/>
    <w:rsid w:val="70413D51"/>
    <w:rsid w:val="709E5118"/>
    <w:rsid w:val="70D97D2C"/>
    <w:rsid w:val="71737246"/>
    <w:rsid w:val="71A37250"/>
    <w:rsid w:val="71CA7D6E"/>
    <w:rsid w:val="71D855D4"/>
    <w:rsid w:val="71ED62B2"/>
    <w:rsid w:val="72283DDB"/>
    <w:rsid w:val="72444124"/>
    <w:rsid w:val="724E6D50"/>
    <w:rsid w:val="72A434DA"/>
    <w:rsid w:val="72ED1126"/>
    <w:rsid w:val="73005444"/>
    <w:rsid w:val="737D2038"/>
    <w:rsid w:val="74100036"/>
    <w:rsid w:val="74316E9D"/>
    <w:rsid w:val="74617488"/>
    <w:rsid w:val="749B1FF5"/>
    <w:rsid w:val="74E97FDD"/>
    <w:rsid w:val="757365DD"/>
    <w:rsid w:val="75890700"/>
    <w:rsid w:val="758A7662"/>
    <w:rsid w:val="75D4756D"/>
    <w:rsid w:val="76387213"/>
    <w:rsid w:val="76AF40FE"/>
    <w:rsid w:val="76F12CEC"/>
    <w:rsid w:val="77512E53"/>
    <w:rsid w:val="77585F7B"/>
    <w:rsid w:val="77B84D8E"/>
    <w:rsid w:val="77CB0E43"/>
    <w:rsid w:val="77DE2925"/>
    <w:rsid w:val="780F140D"/>
    <w:rsid w:val="78A23952"/>
    <w:rsid w:val="78AA6C17"/>
    <w:rsid w:val="78E51463"/>
    <w:rsid w:val="79080911"/>
    <w:rsid w:val="79440545"/>
    <w:rsid w:val="798C7645"/>
    <w:rsid w:val="79E36E65"/>
    <w:rsid w:val="7A096B0B"/>
    <w:rsid w:val="7A3E3B4E"/>
    <w:rsid w:val="7A3F3423"/>
    <w:rsid w:val="7AC04356"/>
    <w:rsid w:val="7ADB7A2C"/>
    <w:rsid w:val="7AE2097E"/>
    <w:rsid w:val="7AFB0C03"/>
    <w:rsid w:val="7B083DE4"/>
    <w:rsid w:val="7B2125FC"/>
    <w:rsid w:val="7B2B1DC3"/>
    <w:rsid w:val="7B2C39A7"/>
    <w:rsid w:val="7B5D6256"/>
    <w:rsid w:val="7BA275E4"/>
    <w:rsid w:val="7BA53B14"/>
    <w:rsid w:val="7C0C5586"/>
    <w:rsid w:val="7C484EC4"/>
    <w:rsid w:val="7C4E06B1"/>
    <w:rsid w:val="7C8B0BA1"/>
    <w:rsid w:val="7CB15751"/>
    <w:rsid w:val="7D0818B3"/>
    <w:rsid w:val="7D384885"/>
    <w:rsid w:val="7D566C57"/>
    <w:rsid w:val="7D9127E8"/>
    <w:rsid w:val="7DBA45B5"/>
    <w:rsid w:val="7DEA5BDC"/>
    <w:rsid w:val="7E0E1A8A"/>
    <w:rsid w:val="7E140BC2"/>
    <w:rsid w:val="7E880EC6"/>
    <w:rsid w:val="7E9374BB"/>
    <w:rsid w:val="7F2B1A18"/>
    <w:rsid w:val="7F3B68AE"/>
    <w:rsid w:val="7F662CE2"/>
    <w:rsid w:val="7FC44608"/>
    <w:rsid w:val="7FEB7A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51"/>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spacing w:line="360" w:lineRule="auto"/>
    </w:pPr>
    <w:rPr>
      <w:rFonts w:cs="Arial"/>
      <w:bCs/>
    </w:rPr>
  </w:style>
  <w:style w:type="paragraph" w:styleId="6">
    <w:name w:val="toa heading"/>
    <w:basedOn w:val="1"/>
    <w:next w:val="1"/>
    <w:qFormat/>
    <w:uiPriority w:val="0"/>
    <w:pPr>
      <w:snapToGrid w:val="0"/>
      <w:spacing w:before="120" w:line="360" w:lineRule="auto"/>
    </w:pPr>
    <w:rPr>
      <w:rFonts w:ascii="Arial" w:hAnsi="Arial"/>
      <w:snapToGrid w:val="0"/>
      <w:color w:val="000000"/>
      <w:szCs w:val="20"/>
    </w:rPr>
  </w:style>
  <w:style w:type="paragraph" w:styleId="7">
    <w:name w:val="annotation text"/>
    <w:basedOn w:val="1"/>
    <w:link w:val="31"/>
    <w:qFormat/>
    <w:uiPriority w:val="0"/>
    <w:pPr>
      <w:jc w:val="left"/>
    </w:pPr>
  </w:style>
  <w:style w:type="paragraph" w:styleId="8">
    <w:name w:val="Body Text"/>
    <w:basedOn w:val="1"/>
    <w:next w:val="9"/>
    <w:link w:val="30"/>
    <w:qFormat/>
    <w:uiPriority w:val="0"/>
    <w:pPr>
      <w:spacing w:after="120"/>
    </w:pPr>
  </w:style>
  <w:style w:type="paragraph" w:styleId="9">
    <w:name w:val="Body Text First Indent"/>
    <w:basedOn w:val="8"/>
    <w:unhideWhenUsed/>
    <w:qFormat/>
    <w:uiPriority w:val="99"/>
    <w:pPr>
      <w:ind w:firstLine="420" w:firstLineChars="100"/>
    </w:pPr>
  </w:style>
  <w:style w:type="paragraph" w:styleId="10">
    <w:name w:val="Plain Text"/>
    <w:basedOn w:val="1"/>
    <w:link w:val="32"/>
    <w:qFormat/>
    <w:uiPriority w:val="0"/>
    <w:rPr>
      <w:rFonts w:ascii="宋体" w:hAnsi="Courier New"/>
      <w:szCs w:val="20"/>
    </w:rPr>
  </w:style>
  <w:style w:type="paragraph" w:styleId="11">
    <w:name w:val="Date"/>
    <w:basedOn w:val="1"/>
    <w:next w:val="1"/>
    <w:link w:val="49"/>
    <w:semiHidden/>
    <w:unhideWhenUsed/>
    <w:qFormat/>
    <w:uiPriority w:val="99"/>
    <w:pPr>
      <w:ind w:left="100" w:leftChars="2500"/>
    </w:pPr>
  </w:style>
  <w:style w:type="paragraph" w:styleId="12">
    <w:name w:val="Balloon Text"/>
    <w:basedOn w:val="1"/>
    <w:link w:val="38"/>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qFormat/>
    <w:uiPriority w:val="39"/>
    <w:pPr>
      <w:tabs>
        <w:tab w:val="left" w:pos="1260"/>
        <w:tab w:val="right" w:leader="dot" w:pos="8722"/>
      </w:tabs>
      <w:adjustRightInd w:val="0"/>
      <w:spacing w:line="480" w:lineRule="auto"/>
      <w:textAlignment w:val="baseline"/>
    </w:pPr>
    <w:rPr>
      <w:b/>
      <w:kern w:val="0"/>
      <w:sz w:val="24"/>
      <w:szCs w:val="20"/>
    </w:rPr>
  </w:style>
  <w:style w:type="paragraph" w:styleId="16">
    <w:name w:val="toc 2"/>
    <w:basedOn w:val="1"/>
    <w:next w:val="1"/>
    <w:qFormat/>
    <w:uiPriority w:val="39"/>
    <w:pPr>
      <w:tabs>
        <w:tab w:val="right" w:leader="dot" w:pos="8722"/>
      </w:tabs>
      <w:adjustRightInd w:val="0"/>
      <w:spacing w:before="60" w:after="60" w:line="360" w:lineRule="atLeast"/>
      <w:ind w:left="180" w:leftChars="75"/>
      <w:textAlignment w:val="baseline"/>
    </w:pPr>
    <w:rPr>
      <w:kern w:val="0"/>
      <w:sz w:val="24"/>
      <w:szCs w:val="20"/>
    </w:rPr>
  </w:style>
  <w:style w:type="paragraph" w:styleId="17">
    <w:name w:val="Normal (Web)"/>
    <w:basedOn w:val="1"/>
    <w:qFormat/>
    <w:uiPriority w:val="0"/>
    <w:pPr>
      <w:spacing w:beforeAutospacing="1" w:afterAutospacing="1"/>
      <w:jc w:val="left"/>
    </w:pPr>
    <w:rPr>
      <w:kern w:val="0"/>
      <w:sz w:val="24"/>
    </w:rPr>
  </w:style>
  <w:style w:type="paragraph" w:styleId="18">
    <w:name w:val="Title"/>
    <w:basedOn w:val="1"/>
    <w:next w:val="1"/>
    <w:link w:val="33"/>
    <w:qFormat/>
    <w:uiPriority w:val="10"/>
    <w:pPr>
      <w:autoSpaceDE w:val="0"/>
      <w:autoSpaceDN w:val="0"/>
      <w:adjustRightInd w:val="0"/>
      <w:spacing w:before="240" w:after="60"/>
      <w:jc w:val="center"/>
      <w:outlineLvl w:val="0"/>
    </w:pPr>
    <w:rPr>
      <w:rFonts w:ascii="Cambria" w:hAnsi="Cambria"/>
      <w:b/>
      <w:bCs/>
      <w:kern w:val="0"/>
      <w:sz w:val="32"/>
      <w:szCs w:val="32"/>
    </w:rPr>
  </w:style>
  <w:style w:type="paragraph" w:styleId="19">
    <w:name w:val="annotation subject"/>
    <w:basedOn w:val="7"/>
    <w:next w:val="7"/>
    <w:link w:val="43"/>
    <w:semiHidden/>
    <w:unhideWhenUsed/>
    <w:qFormat/>
    <w:uiPriority w:val="99"/>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Hyperlink"/>
    <w:qFormat/>
    <w:uiPriority w:val="99"/>
    <w:rPr>
      <w:color w:val="0000FF"/>
      <w:u w:val="single"/>
    </w:rPr>
  </w:style>
  <w:style w:type="character" w:styleId="26">
    <w:name w:val="annotation reference"/>
    <w:basedOn w:val="22"/>
    <w:qFormat/>
    <w:uiPriority w:val="0"/>
    <w:rPr>
      <w:sz w:val="21"/>
      <w:szCs w:val="21"/>
    </w:rPr>
  </w:style>
  <w:style w:type="character" w:customStyle="1" w:styleId="27">
    <w:name w:val="页眉 字符"/>
    <w:basedOn w:val="22"/>
    <w:link w:val="14"/>
    <w:qFormat/>
    <w:uiPriority w:val="99"/>
    <w:rPr>
      <w:sz w:val="18"/>
      <w:szCs w:val="18"/>
    </w:rPr>
  </w:style>
  <w:style w:type="character" w:customStyle="1" w:styleId="28">
    <w:name w:val="页脚 字符"/>
    <w:basedOn w:val="22"/>
    <w:link w:val="13"/>
    <w:qFormat/>
    <w:uiPriority w:val="99"/>
    <w:rPr>
      <w:sz w:val="18"/>
      <w:szCs w:val="18"/>
    </w:rPr>
  </w:style>
  <w:style w:type="character" w:customStyle="1" w:styleId="29">
    <w:name w:val="标题 2 字符"/>
    <w:basedOn w:val="22"/>
    <w:link w:val="4"/>
    <w:qFormat/>
    <w:uiPriority w:val="0"/>
    <w:rPr>
      <w:rFonts w:ascii="Arial" w:hAnsi="Arial" w:eastAsia="黑体" w:cs="Times New Roman"/>
      <w:b/>
      <w:kern w:val="0"/>
      <w:sz w:val="32"/>
      <w:szCs w:val="20"/>
    </w:rPr>
  </w:style>
  <w:style w:type="character" w:customStyle="1" w:styleId="30">
    <w:name w:val="正文文本 字符"/>
    <w:basedOn w:val="22"/>
    <w:link w:val="8"/>
    <w:qFormat/>
    <w:uiPriority w:val="0"/>
    <w:rPr>
      <w:rFonts w:ascii="Times New Roman" w:hAnsi="Times New Roman" w:eastAsia="宋体" w:cs="Times New Roman"/>
      <w:szCs w:val="24"/>
    </w:rPr>
  </w:style>
  <w:style w:type="character" w:customStyle="1" w:styleId="31">
    <w:name w:val="批注文字 字符"/>
    <w:basedOn w:val="22"/>
    <w:link w:val="7"/>
    <w:qFormat/>
    <w:uiPriority w:val="0"/>
    <w:rPr>
      <w:rFonts w:ascii="Times New Roman" w:hAnsi="Times New Roman" w:eastAsia="宋体" w:cs="Times New Roman"/>
      <w:szCs w:val="24"/>
    </w:rPr>
  </w:style>
  <w:style w:type="character" w:customStyle="1" w:styleId="32">
    <w:name w:val="纯文本 字符"/>
    <w:basedOn w:val="22"/>
    <w:link w:val="10"/>
    <w:qFormat/>
    <w:uiPriority w:val="0"/>
    <w:rPr>
      <w:rFonts w:ascii="宋体" w:hAnsi="Courier New" w:eastAsia="宋体" w:cs="Times New Roman"/>
      <w:szCs w:val="20"/>
    </w:rPr>
  </w:style>
  <w:style w:type="character" w:customStyle="1" w:styleId="33">
    <w:name w:val="标题 字符"/>
    <w:basedOn w:val="22"/>
    <w:link w:val="18"/>
    <w:qFormat/>
    <w:uiPriority w:val="10"/>
    <w:rPr>
      <w:rFonts w:ascii="Cambria" w:hAnsi="Cambria" w:eastAsia="宋体" w:cs="Times New Roman"/>
      <w:b/>
      <w:bCs/>
      <w:kern w:val="0"/>
      <w:sz w:val="32"/>
      <w:szCs w:val="32"/>
    </w:rPr>
  </w:style>
  <w:style w:type="paragraph" w:customStyle="1" w:styleId="34">
    <w:name w:val="_Style 109"/>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35">
    <w:name w:val="页眉 Char1"/>
    <w:qFormat/>
    <w:uiPriority w:val="0"/>
    <w:rPr>
      <w:kern w:val="2"/>
      <w:sz w:val="18"/>
      <w:szCs w:val="18"/>
    </w:rPr>
  </w:style>
  <w:style w:type="character" w:customStyle="1" w:styleId="36">
    <w:name w:val="页脚 Char1"/>
    <w:qFormat/>
    <w:uiPriority w:val="0"/>
    <w:rPr>
      <w:kern w:val="2"/>
      <w:sz w:val="18"/>
      <w:szCs w:val="18"/>
    </w:rPr>
  </w:style>
  <w:style w:type="character" w:customStyle="1" w:styleId="37">
    <w:name w:val="标题 1 字符"/>
    <w:basedOn w:val="22"/>
    <w:link w:val="3"/>
    <w:qFormat/>
    <w:uiPriority w:val="9"/>
    <w:rPr>
      <w:rFonts w:ascii="Times New Roman" w:hAnsi="Times New Roman" w:eastAsia="宋体" w:cs="Times New Roman"/>
      <w:b/>
      <w:bCs/>
      <w:kern w:val="44"/>
      <w:sz w:val="44"/>
      <w:szCs w:val="44"/>
    </w:rPr>
  </w:style>
  <w:style w:type="character" w:customStyle="1" w:styleId="38">
    <w:name w:val="批注框文本 字符"/>
    <w:basedOn w:val="22"/>
    <w:link w:val="12"/>
    <w:semiHidden/>
    <w:qFormat/>
    <w:uiPriority w:val="99"/>
    <w:rPr>
      <w:rFonts w:ascii="Times New Roman" w:hAnsi="Times New Roman" w:eastAsia="宋体" w:cs="Times New Roman"/>
      <w:sz w:val="18"/>
      <w:szCs w:val="18"/>
    </w:rPr>
  </w:style>
  <w:style w:type="paragraph" w:styleId="39">
    <w:name w:val="List Paragraph"/>
    <w:basedOn w:val="1"/>
    <w:qFormat/>
    <w:uiPriority w:val="34"/>
    <w:pPr>
      <w:ind w:firstLine="420" w:firstLineChars="200"/>
    </w:pPr>
    <w:rPr>
      <w:rFonts w:ascii="Calibri" w:hAnsi="Calibri"/>
      <w:szCs w:val="22"/>
    </w:rPr>
  </w:style>
  <w:style w:type="paragraph" w:customStyle="1" w:styleId="40">
    <w:name w:val="列出段落1"/>
    <w:basedOn w:val="1"/>
    <w:link w:val="42"/>
    <w:qFormat/>
    <w:uiPriority w:val="34"/>
    <w:pPr>
      <w:ind w:firstLine="420" w:firstLineChars="200"/>
    </w:pPr>
    <w:rPr>
      <w:rFonts w:ascii="Calibri" w:hAnsi="Calibri"/>
      <w:szCs w:val="22"/>
      <w:lang w:val="zh-CN"/>
    </w:rPr>
  </w:style>
  <w:style w:type="paragraph" w:customStyle="1" w:styleId="41">
    <w:name w:val="p0"/>
    <w:basedOn w:val="1"/>
    <w:qFormat/>
    <w:uiPriority w:val="99"/>
    <w:pPr>
      <w:widowControl/>
    </w:pPr>
    <w:rPr>
      <w:rFonts w:hAnsi="Calibri"/>
      <w:kern w:val="0"/>
      <w:szCs w:val="20"/>
    </w:rPr>
  </w:style>
  <w:style w:type="character" w:customStyle="1" w:styleId="42">
    <w:name w:val="List Paragraph Char"/>
    <w:link w:val="40"/>
    <w:qFormat/>
    <w:locked/>
    <w:uiPriority w:val="34"/>
    <w:rPr>
      <w:rFonts w:ascii="Calibri" w:hAnsi="Calibri" w:eastAsia="宋体" w:cs="Times New Roman"/>
      <w:lang w:val="zh-CN" w:eastAsia="zh-CN"/>
    </w:rPr>
  </w:style>
  <w:style w:type="character" w:customStyle="1" w:styleId="43">
    <w:name w:val="批注主题 字符"/>
    <w:basedOn w:val="31"/>
    <w:link w:val="19"/>
    <w:semiHidden/>
    <w:qFormat/>
    <w:uiPriority w:val="99"/>
    <w:rPr>
      <w:rFonts w:ascii="Times New Roman" w:hAnsi="Times New Roman" w:eastAsia="宋体" w:cs="Times New Roman"/>
      <w:b/>
      <w:bCs/>
      <w:szCs w:val="24"/>
    </w:rPr>
  </w:style>
  <w:style w:type="paragraph" w:customStyle="1" w:styleId="4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5">
    <w:name w:val="正文缩进2格 Char"/>
    <w:link w:val="46"/>
    <w:qFormat/>
    <w:uiPriority w:val="0"/>
    <w:rPr>
      <w:rFonts w:ascii="仿宋_GB2312" w:hAnsi="宋体" w:eastAsia="仿宋_GB2312"/>
      <w:sz w:val="31"/>
      <w:szCs w:val="28"/>
    </w:rPr>
  </w:style>
  <w:style w:type="paragraph" w:customStyle="1" w:styleId="46">
    <w:name w:val="正文缩进2格"/>
    <w:basedOn w:val="1"/>
    <w:link w:val="45"/>
    <w:qFormat/>
    <w:uiPriority w:val="0"/>
    <w:pPr>
      <w:spacing w:line="600" w:lineRule="exact"/>
      <w:ind w:firstLine="639" w:firstLineChars="206"/>
    </w:pPr>
    <w:rPr>
      <w:rFonts w:ascii="仿宋_GB2312" w:hAnsi="宋体" w:eastAsia="仿宋_GB2312" w:cstheme="minorBidi"/>
      <w:sz w:val="31"/>
      <w:szCs w:val="28"/>
    </w:rPr>
  </w:style>
  <w:style w:type="character" w:customStyle="1" w:styleId="47">
    <w:name w:val="纯文本 字符1"/>
    <w:basedOn w:val="22"/>
    <w:qFormat/>
    <w:uiPriority w:val="0"/>
    <w:rPr>
      <w:rFonts w:ascii="宋体" w:hAnsi="Courier New" w:eastAsia="宋体" w:cs="Times New Roman"/>
      <w:szCs w:val="20"/>
    </w:rPr>
  </w:style>
  <w:style w:type="character" w:customStyle="1" w:styleId="48">
    <w:name w:val="正文文本 字符1"/>
    <w:basedOn w:val="22"/>
    <w:qFormat/>
    <w:uiPriority w:val="0"/>
    <w:rPr>
      <w:rFonts w:ascii="Times New Roman" w:hAnsi="Times New Roman" w:eastAsia="宋体" w:cs="Times New Roman"/>
      <w:szCs w:val="24"/>
    </w:rPr>
  </w:style>
  <w:style w:type="character" w:customStyle="1" w:styleId="49">
    <w:name w:val="日期 字符"/>
    <w:basedOn w:val="22"/>
    <w:link w:val="11"/>
    <w:semiHidden/>
    <w:qFormat/>
    <w:uiPriority w:val="99"/>
    <w:rPr>
      <w:rFonts w:ascii="Times New Roman" w:hAnsi="Times New Roman" w:eastAsia="宋体" w:cs="Times New Roman"/>
      <w:szCs w:val="24"/>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1">
    <w:name w:val="标题 3 字符"/>
    <w:basedOn w:val="22"/>
    <w:link w:val="5"/>
    <w:semiHidden/>
    <w:qFormat/>
    <w:uiPriority w:val="9"/>
    <w:rPr>
      <w:b/>
      <w:bCs/>
      <w:kern w:val="2"/>
      <w:sz w:val="32"/>
      <w:szCs w:val="32"/>
    </w:rPr>
  </w:style>
  <w:style w:type="character" w:customStyle="1" w:styleId="52">
    <w:name w:val="纯文本 Char1"/>
    <w:qFormat/>
    <w:uiPriority w:val="0"/>
    <w:rPr>
      <w:rFonts w:ascii="宋体" w:hAnsi="Courier New" w:eastAsia="宋体" w:cs="Times New Roman"/>
      <w:szCs w:val="20"/>
      <w:lang w:val="en-US" w:eastAsia="zh-CN"/>
    </w:rPr>
  </w:style>
  <w:style w:type="character" w:customStyle="1" w:styleId="53">
    <w:name w:val="font01"/>
    <w:basedOn w:val="22"/>
    <w:qFormat/>
    <w:uiPriority w:val="0"/>
    <w:rPr>
      <w:rFonts w:hint="eastAsia" w:ascii="宋体" w:hAnsi="宋体" w:eastAsia="宋体" w:cs="宋体"/>
      <w:color w:val="000000"/>
      <w:sz w:val="22"/>
      <w:szCs w:val="22"/>
      <w:u w:val="none"/>
    </w:rPr>
  </w:style>
  <w:style w:type="paragraph" w:customStyle="1" w:styleId="54">
    <w:name w:val="样式 宋体 行距: 1.5 倍行距"/>
    <w:basedOn w:val="1"/>
    <w:qFormat/>
    <w:uiPriority w:val="0"/>
    <w:pPr>
      <w:jc w:val="center"/>
    </w:pPr>
    <w:rPr>
      <w:b/>
    </w:rPr>
  </w:style>
  <w:style w:type="paragraph" w:customStyle="1" w:styleId="55">
    <w:name w:val="正文文本缩进 21"/>
    <w:basedOn w:val="1"/>
    <w:qFormat/>
    <w:uiPriority w:val="0"/>
    <w:pPr>
      <w:adjustRightInd w:val="0"/>
      <w:spacing w:line="480" w:lineRule="auto"/>
      <w:ind w:firstLine="540"/>
      <w:textAlignment w:val="baseline"/>
    </w:pPr>
    <w:rPr>
      <w:rFonts w:ascii="Calibri" w:hAnsi="Calibri"/>
      <w:szCs w:val="21"/>
    </w:rPr>
  </w:style>
  <w:style w:type="paragraph" w:customStyle="1" w:styleId="5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641CF-6923-482C-BE84-42F297877961}">
  <ds:schemaRefs/>
</ds:datastoreItem>
</file>

<file path=docProps/app.xml><?xml version="1.0" encoding="utf-8"?>
<Properties xmlns="http://schemas.openxmlformats.org/officeDocument/2006/extended-properties" xmlns:vt="http://schemas.openxmlformats.org/officeDocument/2006/docPropsVTypes">
  <Template>Normal</Template>
  <Pages>21</Pages>
  <Words>2589</Words>
  <Characters>2834</Characters>
  <Lines>200</Lines>
  <Paragraphs>56</Paragraphs>
  <TotalTime>19</TotalTime>
  <ScaleCrop>false</ScaleCrop>
  <LinksUpToDate>false</LinksUpToDate>
  <CharactersWithSpaces>2949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2020-05-01T07:01:00Z</dcterms:created>
  <dc:creator>廖 懿富</dc:creator>
  <cp:lastModifiedBy>袁建文</cp:lastModifiedBy>
  <cp:lastPrinted>2023-09-01T07:12:00Z</cp:lastPrinted>
  <dcterms:modified xsi:type="dcterms:W3CDTF">2025-10-15T14:08:46Z</dcterms:modified>
  <cp:revision>689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A0BCA01C29264ACFA26834A7F09031D8</vt:lpwstr>
  </property>
  <property fmtid="{D5CDD505-2E9C-101B-9397-08002B2CF9AE}" pid="4" name="KSOTemplateDocerSaveRecord">
    <vt:lpwstr>eyJoZGlkIjoiOTQ0ODg4Yzk4YWY1NDU5M2E2MTNkOWE2OWIwNzI5N2YiLCJ1c2VySWQiOiIxNjE2ODE5MDI4In0=</vt:lpwstr>
  </property>
</Properties>
</file>