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1C5049">
      <w:pPr>
        <w:pageBreakBefore/>
        <w:tabs>
          <w:tab w:val="left" w:pos="1080"/>
        </w:tabs>
        <w:autoSpaceDE w:val="0"/>
        <w:autoSpaceDN w:val="0"/>
        <w:adjustRightInd w:val="0"/>
        <w:spacing w:line="360" w:lineRule="auto"/>
        <w:ind w:left="357" w:leftChars="-100" w:hanging="567"/>
        <w:jc w:val="center"/>
        <w:outlineLvl w:val="0"/>
        <w:rPr>
          <w:rFonts w:ascii="宋体" w:hAnsi="宋体" w:eastAsia="宋体" w:cs="宋体"/>
          <w:b/>
          <w:bCs/>
          <w:color w:val="auto"/>
          <w:kern w:val="44"/>
          <w:sz w:val="32"/>
          <w:szCs w:val="32"/>
          <w:highlight w:val="none"/>
          <w:lang w:val="zh-CN"/>
        </w:rPr>
      </w:pPr>
      <w:bookmarkStart w:id="0" w:name="_Toc4386"/>
      <w:bookmarkStart w:id="1" w:name="_Toc142508358"/>
      <w:bookmarkStart w:id="2" w:name="_Toc27939_WPSOffice_Level1"/>
      <w:bookmarkStart w:id="3" w:name="_Toc26850"/>
      <w:bookmarkStart w:id="4" w:name="_Toc486167706"/>
      <w:bookmarkStart w:id="5" w:name="_Toc21446"/>
      <w:bookmarkStart w:id="6" w:name="_Toc14879"/>
      <w:bookmarkStart w:id="7" w:name="_Toc450662891"/>
      <w:r>
        <w:rPr>
          <w:rFonts w:hint="eastAsia" w:ascii="宋体" w:hAnsi="宋体" w:eastAsia="宋体" w:cs="宋体"/>
          <w:b/>
          <w:bCs/>
          <w:color w:val="auto"/>
          <w:kern w:val="44"/>
          <w:sz w:val="32"/>
          <w:szCs w:val="32"/>
          <w:highlight w:val="none"/>
          <w:lang w:val="zh-CN"/>
        </w:rPr>
        <w:t>用户需求书</w:t>
      </w:r>
      <w:bookmarkEnd w:id="0"/>
      <w:bookmarkEnd w:id="1"/>
      <w:bookmarkEnd w:id="2"/>
      <w:bookmarkEnd w:id="3"/>
      <w:bookmarkEnd w:id="4"/>
      <w:bookmarkEnd w:id="5"/>
      <w:bookmarkEnd w:id="6"/>
      <w:bookmarkEnd w:id="7"/>
    </w:p>
    <w:p w14:paraId="6A1AB0B4">
      <w:pPr>
        <w:autoSpaceDE w:val="0"/>
        <w:autoSpaceDN w:val="0"/>
        <w:adjustRightInd w:val="0"/>
        <w:snapToGrid w:val="0"/>
        <w:spacing w:line="360" w:lineRule="auto"/>
        <w:ind w:firstLine="420"/>
        <w:contextualSpacing/>
        <w:jc w:val="left"/>
        <w:outlineLvl w:val="9"/>
        <w:rPr>
          <w:rFonts w:ascii="宋体" w:hAnsi="宋体" w:eastAsia="宋体" w:cs="宋体"/>
          <w:color w:val="auto"/>
          <w:kern w:val="0"/>
          <w:sz w:val="24"/>
          <w:szCs w:val="21"/>
          <w:highlight w:val="none"/>
        </w:rPr>
      </w:pPr>
      <w:bookmarkStart w:id="8" w:name="_Toc6474_WPSOffice_Level2"/>
      <w:bookmarkStart w:id="9" w:name="_Toc23768_WPSOffice_Level2"/>
      <w:r>
        <w:rPr>
          <w:rFonts w:hint="eastAsia" w:ascii="宋体" w:hAnsi="宋体" w:eastAsia="宋体" w:cs="宋体"/>
          <w:color w:val="auto"/>
          <w:kern w:val="0"/>
          <w:szCs w:val="21"/>
          <w:highlight w:val="none"/>
        </w:rPr>
        <w:t>一、</w:t>
      </w:r>
      <w:r>
        <w:rPr>
          <w:rFonts w:hint="eastAsia" w:ascii="宋体" w:hAnsi="宋体" w:eastAsia="宋体" w:cs="宋体"/>
          <w:b/>
          <w:color w:val="auto"/>
          <w:kern w:val="0"/>
          <w:szCs w:val="21"/>
          <w:highlight w:val="none"/>
        </w:rPr>
        <w:t>项目概况</w:t>
      </w:r>
      <w:bookmarkEnd w:id="8"/>
      <w:bookmarkEnd w:id="9"/>
    </w:p>
    <w:p w14:paraId="727EB6F0">
      <w:pPr>
        <w:widowControl/>
        <w:autoSpaceDE w:val="0"/>
        <w:autoSpaceDN w:val="0"/>
        <w:adjustRightInd w:val="0"/>
        <w:snapToGrid w:val="0"/>
        <w:spacing w:line="360" w:lineRule="auto"/>
        <w:ind w:firstLine="420"/>
        <w:contextualSpacing/>
        <w:jc w:val="left"/>
        <w:outlineLvl w:val="9"/>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bookmarkStart w:id="10" w:name="_Hlk131664256"/>
      <w:r>
        <w:rPr>
          <w:rFonts w:hint="eastAsia" w:ascii="宋体" w:hAnsi="宋体" w:eastAsia="宋体" w:cs="宋体"/>
          <w:color w:val="auto"/>
          <w:kern w:val="0"/>
          <w:szCs w:val="21"/>
          <w:highlight w:val="none"/>
        </w:rPr>
        <w:t>根据工作部署，东莞市众源环境投资有限公司（下称“招标人”）将逐步承接东莞市水务集团净水有限公司下属污水处理厂内污泥脱水减项目（下称“污泥项目”）的自主运营生产工作。本次</w:t>
      </w:r>
      <w:r>
        <w:rPr>
          <w:rFonts w:hint="eastAsia" w:ascii="宋体" w:hAnsi="宋体" w:eastAsia="宋体" w:cs="宋体"/>
          <w:color w:val="auto"/>
          <w:kern w:val="0"/>
          <w:szCs w:val="21"/>
          <w:highlight w:val="none"/>
          <w:lang w:val="en-US" w:eastAsia="zh-CN"/>
        </w:rPr>
        <w:t>共涉及25个项目点，</w:t>
      </w:r>
      <w:r>
        <w:rPr>
          <w:rFonts w:hint="eastAsia" w:ascii="宋体" w:hAnsi="宋体" w:eastAsia="宋体" w:cs="宋体"/>
          <w:color w:val="auto"/>
          <w:kern w:val="0"/>
          <w:szCs w:val="21"/>
          <w:highlight w:val="none"/>
        </w:rPr>
        <w:t>招标人以公开招标的方式，确定</w:t>
      </w:r>
      <w:r>
        <w:rPr>
          <w:rFonts w:hint="eastAsia" w:ascii="宋体" w:hAnsi="宋体" w:eastAsia="宋体" w:cs="宋体"/>
          <w:color w:val="auto"/>
          <w:kern w:val="0"/>
          <w:szCs w:val="21"/>
          <w:highlight w:val="none"/>
          <w:lang w:val="en-US" w:eastAsia="zh-CN"/>
        </w:rPr>
        <w:t>1家</w:t>
      </w:r>
      <w:r>
        <w:rPr>
          <w:rFonts w:hint="eastAsia" w:ascii="宋体" w:hAnsi="宋体" w:eastAsia="宋体" w:cs="宋体"/>
          <w:color w:val="auto"/>
          <w:kern w:val="0"/>
          <w:szCs w:val="21"/>
          <w:highlight w:val="none"/>
        </w:rPr>
        <w:t>服务单位。中标人使用招标人提供的设备及配套设施、药剂，为招标人提供污泥脱水减量配合服务。</w:t>
      </w:r>
      <w:bookmarkEnd w:id="10"/>
    </w:p>
    <w:p w14:paraId="05978A4C">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2、本概况介绍的配合服务情况仅为了便于投标人了解项目情况使用，不作为招标人针对某个项目点最终委托服务</w:t>
      </w:r>
      <w:r>
        <w:rPr>
          <w:rFonts w:hint="eastAsia" w:ascii="宋体" w:hAnsi="宋体" w:eastAsia="宋体" w:cs="宋体"/>
          <w:color w:val="auto"/>
          <w:kern w:val="0"/>
          <w:szCs w:val="21"/>
          <w:highlight w:val="none"/>
          <w:lang w:val="en-US" w:eastAsia="zh-CN"/>
        </w:rPr>
        <w:t>时</w:t>
      </w:r>
      <w:r>
        <w:rPr>
          <w:rFonts w:hint="eastAsia" w:ascii="宋体" w:hAnsi="宋体" w:eastAsia="宋体" w:cs="宋体"/>
          <w:color w:val="auto"/>
          <w:kern w:val="0"/>
          <w:szCs w:val="21"/>
          <w:highlight w:val="none"/>
        </w:rPr>
        <w:t>长和污泥产量的保证。最终按实际各项目点含水率要求和污泥产量结算，中标人不得因项目服务时长比预期短或污泥产量减少而要求提供任何形式的补偿或赔偿。</w:t>
      </w:r>
    </w:p>
    <w:p w14:paraId="4C3F83CE">
      <w:pPr>
        <w:widowControl/>
        <w:autoSpaceDE w:val="0"/>
        <w:autoSpaceDN w:val="0"/>
        <w:adjustRightInd w:val="0"/>
        <w:snapToGrid w:val="0"/>
        <w:spacing w:line="360" w:lineRule="auto"/>
        <w:ind w:firstLine="420"/>
        <w:contextualSpacing/>
        <w:jc w:val="left"/>
        <w:outlineLvl w:val="9"/>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二、采购范围、服务期限及</w:t>
      </w:r>
      <w:r>
        <w:rPr>
          <w:rFonts w:hint="eastAsia" w:ascii="宋体" w:hAnsi="宋体" w:eastAsia="宋体" w:cs="宋体"/>
          <w:b/>
          <w:bCs/>
          <w:color w:val="auto"/>
          <w:kern w:val="0"/>
          <w:szCs w:val="21"/>
          <w:highlight w:val="none"/>
          <w:lang w:val="en-US" w:eastAsia="zh-CN"/>
        </w:rPr>
        <w:t>处理</w:t>
      </w:r>
      <w:r>
        <w:rPr>
          <w:rFonts w:hint="eastAsia" w:ascii="宋体" w:hAnsi="宋体" w:eastAsia="宋体" w:cs="宋体"/>
          <w:b/>
          <w:bCs/>
          <w:color w:val="auto"/>
          <w:kern w:val="0"/>
          <w:szCs w:val="21"/>
          <w:highlight w:val="none"/>
        </w:rPr>
        <w:t>量</w:t>
      </w:r>
    </w:p>
    <w:p w14:paraId="5F9F900D">
      <w:pPr>
        <w:widowControl/>
        <w:autoSpaceDE w:val="0"/>
        <w:autoSpaceDN w:val="0"/>
        <w:adjustRightInd w:val="0"/>
        <w:snapToGrid w:val="0"/>
        <w:spacing w:line="360" w:lineRule="auto"/>
        <w:ind w:firstLine="420"/>
        <w:contextualSpacing/>
        <w:jc w:val="left"/>
        <w:outlineLvl w:val="9"/>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1、采购范围：</w:t>
      </w:r>
    </w:p>
    <w:p w14:paraId="376650AE">
      <w:pPr>
        <w:widowControl/>
        <w:autoSpaceDE w:val="0"/>
        <w:autoSpaceDN w:val="0"/>
        <w:adjustRightInd w:val="0"/>
        <w:snapToGrid w:val="0"/>
        <w:spacing w:line="360" w:lineRule="auto"/>
        <w:ind w:firstLine="420"/>
        <w:contextualSpacing/>
        <w:jc w:val="left"/>
        <w:outlineLvl w:val="9"/>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在招标人指定的污水处理厂或其他地方，使用招标人的设备及配套设施、药剂，为招标人提供生产运营</w:t>
      </w:r>
      <w:r>
        <w:rPr>
          <w:rFonts w:hint="eastAsia" w:ascii="宋体" w:hAnsi="宋体" w:eastAsia="宋体" w:cs="宋体"/>
          <w:color w:val="auto"/>
          <w:kern w:val="0"/>
          <w:szCs w:val="21"/>
          <w:highlight w:val="none"/>
          <w:lang w:val="en-US" w:eastAsia="zh-CN"/>
        </w:rPr>
        <w:t>配合</w:t>
      </w:r>
      <w:r>
        <w:rPr>
          <w:rFonts w:hint="eastAsia" w:ascii="宋体" w:hAnsi="宋体" w:eastAsia="宋体" w:cs="宋体"/>
          <w:color w:val="auto"/>
          <w:kern w:val="0"/>
          <w:szCs w:val="21"/>
          <w:highlight w:val="none"/>
        </w:rPr>
        <w:t>服务，主要为将污水处理厂的剩余污泥</w:t>
      </w:r>
      <w:r>
        <w:rPr>
          <w:rFonts w:hint="eastAsia" w:ascii="宋体" w:hAnsi="宋体" w:eastAsia="宋体" w:cs="宋体"/>
          <w:color w:val="auto"/>
          <w:kern w:val="0"/>
          <w:szCs w:val="21"/>
          <w:highlight w:val="none"/>
          <w:lang w:val="en-US" w:eastAsia="zh-CN"/>
        </w:rPr>
        <w:t>通过</w:t>
      </w:r>
      <w:r>
        <w:rPr>
          <w:rFonts w:hint="eastAsia" w:ascii="宋体" w:hAnsi="宋体" w:eastAsia="宋体" w:cs="宋体"/>
          <w:color w:val="auto"/>
          <w:kern w:val="0"/>
          <w:szCs w:val="21"/>
          <w:highlight w:val="none"/>
        </w:rPr>
        <w:t>脱水减量</w:t>
      </w:r>
      <w:r>
        <w:rPr>
          <w:rFonts w:hint="eastAsia" w:ascii="宋体" w:hAnsi="宋体" w:eastAsia="宋体" w:cs="宋体"/>
          <w:color w:val="auto"/>
          <w:kern w:val="0"/>
          <w:szCs w:val="21"/>
          <w:highlight w:val="none"/>
          <w:lang w:val="en-US" w:eastAsia="zh-CN"/>
        </w:rPr>
        <w:t>措施，降</w:t>
      </w:r>
      <w:r>
        <w:rPr>
          <w:rFonts w:hint="eastAsia" w:ascii="宋体" w:hAnsi="宋体" w:eastAsia="宋体" w:cs="宋体"/>
          <w:color w:val="auto"/>
          <w:kern w:val="0"/>
          <w:szCs w:val="21"/>
          <w:highlight w:val="none"/>
        </w:rPr>
        <w:t>至</w:t>
      </w:r>
      <w:r>
        <w:rPr>
          <w:rFonts w:hint="eastAsia" w:ascii="宋体" w:hAnsi="宋体" w:eastAsia="宋体" w:cs="宋体"/>
          <w:color w:val="auto"/>
          <w:kern w:val="0"/>
          <w:szCs w:val="21"/>
          <w:highlight w:val="none"/>
          <w:lang w:val="en-US" w:eastAsia="zh-CN"/>
        </w:rPr>
        <w:t>约定的</w:t>
      </w:r>
      <w:r>
        <w:rPr>
          <w:rFonts w:hint="eastAsia" w:ascii="宋体" w:hAnsi="宋体" w:eastAsia="宋体" w:cs="宋体"/>
          <w:color w:val="auto"/>
          <w:kern w:val="0"/>
          <w:szCs w:val="21"/>
          <w:highlight w:val="none"/>
        </w:rPr>
        <w:t>含水率</w:t>
      </w:r>
      <w:r>
        <w:rPr>
          <w:rFonts w:hint="eastAsia" w:ascii="宋体" w:hAnsi="宋体" w:eastAsia="宋体" w:cs="宋体"/>
          <w:color w:val="auto"/>
          <w:kern w:val="0"/>
          <w:szCs w:val="21"/>
          <w:highlight w:val="none"/>
          <w:lang w:val="en-US" w:eastAsia="zh-CN"/>
        </w:rPr>
        <w:t>以下（含水率标准参考表1，各项目点的实际含水率标准以合同约定或招标人书面通知为准）</w:t>
      </w:r>
      <w:r>
        <w:rPr>
          <w:rFonts w:hint="eastAsia" w:ascii="宋体" w:hAnsi="宋体" w:eastAsia="宋体" w:cs="宋体"/>
          <w:color w:val="auto"/>
          <w:kern w:val="0"/>
          <w:szCs w:val="21"/>
          <w:highlight w:val="none"/>
        </w:rPr>
        <w:t>。</w:t>
      </w:r>
    </w:p>
    <w:tbl>
      <w:tblPr>
        <w:tblStyle w:val="39"/>
        <w:tblW w:w="93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89"/>
        <w:gridCol w:w="2268"/>
      </w:tblGrid>
      <w:tr w14:paraId="5066E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7089" w:type="dxa"/>
            <w:vAlign w:val="center"/>
          </w:tcPr>
          <w:p w14:paraId="65A6C565">
            <w:pPr>
              <w:autoSpaceDE w:val="0"/>
              <w:autoSpaceDN w:val="0"/>
              <w:adjustRightInd w:val="0"/>
              <w:spacing w:line="240" w:lineRule="auto"/>
              <w:jc w:val="center"/>
              <w:outlineLvl w:val="9"/>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项目点</w:t>
            </w:r>
          </w:p>
        </w:tc>
        <w:tc>
          <w:tcPr>
            <w:tcW w:w="2268" w:type="dxa"/>
            <w:vAlign w:val="center"/>
          </w:tcPr>
          <w:p w14:paraId="7DA912D0">
            <w:pPr>
              <w:autoSpaceDE w:val="0"/>
              <w:autoSpaceDN w:val="0"/>
              <w:adjustRightInd w:val="0"/>
              <w:spacing w:line="240" w:lineRule="auto"/>
              <w:jc w:val="center"/>
              <w:outlineLvl w:val="9"/>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含水率标准 （上限值）</w:t>
            </w:r>
          </w:p>
        </w:tc>
      </w:tr>
      <w:tr w14:paraId="2D9E5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9" w:type="dxa"/>
            <w:vAlign w:val="center"/>
          </w:tcPr>
          <w:p w14:paraId="50DF9A01">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市区厂众源移动式（含一二期和三期）</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长安新区众源移动式</w:t>
            </w:r>
          </w:p>
        </w:tc>
        <w:tc>
          <w:tcPr>
            <w:tcW w:w="2268" w:type="dxa"/>
            <w:vAlign w:val="center"/>
          </w:tcPr>
          <w:p w14:paraId="19543789">
            <w:pPr>
              <w:autoSpaceDE w:val="0"/>
              <w:autoSpaceDN w:val="0"/>
              <w:adjustRightInd w:val="0"/>
              <w:spacing w:line="240" w:lineRule="auto"/>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55</w:t>
            </w:r>
            <w:r>
              <w:rPr>
                <w:rFonts w:hint="eastAsia" w:ascii="宋体" w:hAnsi="宋体" w:eastAsia="宋体" w:cs="宋体"/>
                <w:color w:val="auto"/>
                <w:kern w:val="0"/>
                <w:szCs w:val="21"/>
                <w:highlight w:val="none"/>
              </w:rPr>
              <w:t xml:space="preserve">% </w:t>
            </w:r>
          </w:p>
        </w:tc>
      </w:tr>
      <w:tr w14:paraId="502D5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7089" w:type="dxa"/>
            <w:shd w:val="clear" w:color="auto" w:fill="auto"/>
            <w:vAlign w:val="center"/>
          </w:tcPr>
          <w:p w14:paraId="5CE60AE6">
            <w:pPr>
              <w:autoSpaceDE w:val="0"/>
              <w:autoSpaceDN w:val="0"/>
              <w:adjustRightInd w:val="0"/>
              <w:spacing w:line="360" w:lineRule="auto"/>
              <w:jc w:val="left"/>
              <w:outlineLvl w:val="9"/>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Cs w:val="21"/>
                <w:highlight w:val="none"/>
                <w:lang w:val="en-US" w:eastAsia="zh-CN"/>
              </w:rPr>
              <w:t>黄江二期、寮步三期、温塘二期、横沥东坑二期、常平东二期、常平西二期、黄江梅塘南部厂、松山湖科学城厂、茶山改扩建项目、麻涌二期、中堂二期、石碣二期、万江二期、高埗二期、长安新区厂、牛山二期、大岭山二期、沙田二期、虎门宁洲三期、塘厦白泥湖项目、凤岗竹塘三期、清溪厦坭二期</w:t>
            </w:r>
          </w:p>
        </w:tc>
        <w:tc>
          <w:tcPr>
            <w:tcW w:w="2268" w:type="dxa"/>
            <w:shd w:val="clear" w:color="auto" w:fill="auto"/>
            <w:vAlign w:val="center"/>
          </w:tcPr>
          <w:p w14:paraId="5F22F712">
            <w:pPr>
              <w:autoSpaceDE w:val="0"/>
              <w:autoSpaceDN w:val="0"/>
              <w:adjustRightInd w:val="0"/>
              <w:spacing w:line="240" w:lineRule="auto"/>
              <w:jc w:val="center"/>
              <w:outlineLvl w:val="9"/>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Cs w:val="21"/>
                <w:highlight w:val="none"/>
              </w:rPr>
              <w:t xml:space="preserve">60% </w:t>
            </w:r>
          </w:p>
        </w:tc>
      </w:tr>
      <w:tr w14:paraId="46B45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7089" w:type="dxa"/>
            <w:shd w:val="clear" w:color="auto" w:fill="auto"/>
            <w:vAlign w:val="center"/>
          </w:tcPr>
          <w:p w14:paraId="29826970">
            <w:pPr>
              <w:autoSpaceDE w:val="0"/>
              <w:autoSpaceDN w:val="0"/>
              <w:adjustRightInd w:val="0"/>
              <w:spacing w:line="240" w:lineRule="auto"/>
              <w:jc w:val="center"/>
              <w:outlineLvl w:val="9"/>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Cs w:val="21"/>
                <w:highlight w:val="none"/>
              </w:rPr>
              <w:t>凤岗竹塘二期</w:t>
            </w:r>
          </w:p>
        </w:tc>
        <w:tc>
          <w:tcPr>
            <w:tcW w:w="2268" w:type="dxa"/>
            <w:shd w:val="clear" w:color="auto" w:fill="auto"/>
            <w:vAlign w:val="center"/>
          </w:tcPr>
          <w:p w14:paraId="3761AEDB">
            <w:pPr>
              <w:autoSpaceDE w:val="0"/>
              <w:autoSpaceDN w:val="0"/>
              <w:adjustRightInd w:val="0"/>
              <w:spacing w:line="240" w:lineRule="auto"/>
              <w:jc w:val="center"/>
              <w:outlineLvl w:val="9"/>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Cs w:val="21"/>
                <w:highlight w:val="none"/>
              </w:rPr>
              <w:t>80%</w:t>
            </w:r>
          </w:p>
        </w:tc>
      </w:tr>
    </w:tbl>
    <w:p w14:paraId="079959FF">
      <w:pPr>
        <w:autoSpaceDE w:val="0"/>
        <w:autoSpaceDN w:val="0"/>
        <w:adjustRightInd w:val="0"/>
        <w:spacing w:line="360" w:lineRule="auto"/>
        <w:ind w:firstLine="420" w:firstLineChars="200"/>
        <w:jc w:val="left"/>
        <w:outlineLvl w:val="9"/>
        <w:rPr>
          <w:rFonts w:hint="default" w:ascii="宋体" w:hAnsi="宋体" w:eastAsia="宋体" w:cs="宋体"/>
          <w:b/>
          <w:bCs/>
          <w:color w:val="auto"/>
          <w:kern w:val="0"/>
          <w:szCs w:val="21"/>
          <w:highlight w:val="none"/>
          <w:lang w:val="en-US" w:eastAsia="zh-CN"/>
        </w:rPr>
      </w:pPr>
      <w:r>
        <w:rPr>
          <w:rFonts w:hint="eastAsia" w:ascii="宋体" w:hAnsi="宋体" w:eastAsia="宋体" w:cs="宋体"/>
          <w:b w:val="0"/>
          <w:bCs w:val="0"/>
          <w:color w:val="auto"/>
          <w:kern w:val="0"/>
          <w:szCs w:val="21"/>
          <w:highlight w:val="none"/>
        </w:rPr>
        <w:t>备注： 含水率标准以设备设计能力及招标人与污水处理厂的约定为设定依据，为污泥脱水减量工作的验收、结算的合格线，具体结算方式详见第六款第2条。不同项目点的含水率标准存在不一致的情况。</w:t>
      </w:r>
      <w:r>
        <w:rPr>
          <w:rFonts w:hint="eastAsia" w:ascii="宋体" w:hAnsi="宋体" w:eastAsia="宋体" w:cs="宋体"/>
          <w:b w:val="0"/>
          <w:bCs w:val="0"/>
          <w:color w:val="auto"/>
          <w:kern w:val="0"/>
          <w:szCs w:val="21"/>
          <w:highlight w:val="none"/>
          <w:lang w:val="en-US" w:eastAsia="zh-CN"/>
        </w:rPr>
        <w:t>服务期内，若招标人需增加项目点时，招标人将根据合同价格承接，增加项目点以招标人书面通知为准。</w:t>
      </w:r>
    </w:p>
    <w:p w14:paraId="16FDD479">
      <w:pPr>
        <w:keepNext w:val="0"/>
        <w:keepLines w:val="0"/>
        <w:pageBreakBefore w:val="0"/>
        <w:widowControl w:val="0"/>
        <w:kinsoku/>
        <w:wordWrap/>
        <w:overflowPunct/>
        <w:topLinePunct w:val="0"/>
        <w:autoSpaceDE w:val="0"/>
        <w:autoSpaceDN w:val="0"/>
        <w:bidi w:val="0"/>
        <w:adjustRightInd w:val="0"/>
        <w:snapToGrid w:val="0"/>
        <w:spacing w:line="360" w:lineRule="auto"/>
        <w:ind w:firstLine="420"/>
        <w:contextualSpacing/>
        <w:jc w:val="left"/>
        <w:textAlignment w:val="auto"/>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2、服务期限：</w:t>
      </w:r>
    </w:p>
    <w:p w14:paraId="2E2133AE">
      <w:pPr>
        <w:keepNext w:val="0"/>
        <w:keepLines w:val="0"/>
        <w:pageBreakBefore w:val="0"/>
        <w:widowControl w:val="0"/>
        <w:kinsoku/>
        <w:wordWrap/>
        <w:overflowPunct/>
        <w:topLinePunct w:val="0"/>
        <w:autoSpaceDE w:val="0"/>
        <w:autoSpaceDN w:val="0"/>
        <w:bidi w:val="0"/>
        <w:adjustRightInd w:val="0"/>
        <w:snapToGrid w:val="0"/>
        <w:spacing w:line="360" w:lineRule="auto"/>
        <w:ind w:firstLine="420"/>
        <w:contextualSpacing/>
        <w:jc w:val="left"/>
        <w:textAlignment w:val="auto"/>
        <w:outlineLvl w:val="9"/>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各污水处理厂污泥脱水减量项目配合服务服务限期</w:t>
      </w:r>
      <w:r>
        <w:rPr>
          <w:rFonts w:hint="eastAsia" w:ascii="宋体" w:hAnsi="宋体" w:eastAsia="宋体" w:cs="宋体"/>
          <w:color w:val="auto"/>
          <w:kern w:val="0"/>
          <w:szCs w:val="21"/>
          <w:highlight w:val="none"/>
          <w:lang w:val="en-US" w:eastAsia="zh-CN"/>
        </w:rPr>
        <w:t>自</w:t>
      </w:r>
      <w:r>
        <w:rPr>
          <w:rFonts w:hint="eastAsia" w:ascii="宋体" w:hAnsi="宋体" w:eastAsia="宋体" w:cs="宋体"/>
          <w:color w:val="auto"/>
          <w:kern w:val="0"/>
          <w:szCs w:val="21"/>
          <w:highlight w:val="none"/>
        </w:rPr>
        <w:t>招标人</w:t>
      </w:r>
      <w:r>
        <w:rPr>
          <w:rFonts w:hint="eastAsia" w:ascii="宋体" w:hAnsi="宋体" w:eastAsia="宋体" w:cs="宋体"/>
          <w:color w:val="auto"/>
          <w:kern w:val="0"/>
          <w:szCs w:val="21"/>
          <w:highlight w:val="none"/>
          <w:lang w:val="en-US" w:eastAsia="zh-CN"/>
        </w:rPr>
        <w:t>发出《进场通知书》</w:t>
      </w:r>
      <w:r>
        <w:rPr>
          <w:rFonts w:hint="eastAsia" w:ascii="宋体" w:hAnsi="宋体" w:eastAsia="宋体" w:cs="宋体"/>
          <w:color w:val="auto"/>
          <w:kern w:val="0"/>
          <w:szCs w:val="21"/>
          <w:highlight w:val="none"/>
        </w:rPr>
        <w:t>之日起至202</w:t>
      </w: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年12月31日止。服务期满后，双方经友好协商一致后，可在保持综合单价不变的情况下，签订补充协议延长服务期限，延长的服务期原则上不超过三个月。</w:t>
      </w:r>
    </w:p>
    <w:p w14:paraId="589EFF96">
      <w:pPr>
        <w:widowControl/>
        <w:autoSpaceDE w:val="0"/>
        <w:autoSpaceDN w:val="0"/>
        <w:adjustRightInd w:val="0"/>
        <w:snapToGrid w:val="0"/>
        <w:spacing w:line="360" w:lineRule="auto"/>
        <w:ind w:firstLine="420"/>
        <w:contextualSpacing/>
        <w:jc w:val="left"/>
        <w:outlineLvl w:val="9"/>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处理</w:t>
      </w:r>
      <w:r>
        <w:rPr>
          <w:rFonts w:hint="eastAsia" w:ascii="宋体" w:hAnsi="宋体" w:eastAsia="宋体" w:cs="宋体"/>
          <w:color w:val="auto"/>
          <w:kern w:val="0"/>
          <w:szCs w:val="21"/>
          <w:highlight w:val="none"/>
        </w:rPr>
        <w:t>量</w:t>
      </w:r>
    </w:p>
    <w:p w14:paraId="4464F936">
      <w:pPr>
        <w:widowControl/>
        <w:autoSpaceDE w:val="0"/>
        <w:autoSpaceDN w:val="0"/>
        <w:adjustRightInd w:val="0"/>
        <w:snapToGrid w:val="0"/>
        <w:spacing w:line="360" w:lineRule="auto"/>
        <w:ind w:firstLine="420"/>
        <w:contextualSpacing/>
        <w:jc w:val="left"/>
        <w:outlineLvl w:val="9"/>
        <w:rPr>
          <w:rFonts w:ascii="宋体" w:hAnsi="宋体" w:eastAsia="宋体" w:cs="宋体"/>
          <w:color w:val="auto"/>
          <w:kern w:val="0"/>
          <w:szCs w:val="21"/>
          <w:highlight w:val="none"/>
        </w:rPr>
      </w:pPr>
      <w:bookmarkStart w:id="11" w:name="_Toc1332"/>
      <w:bookmarkStart w:id="12" w:name="_Toc24054"/>
      <w:r>
        <w:rPr>
          <w:rFonts w:hint="eastAsia" w:ascii="宋体" w:hAnsi="宋体" w:eastAsia="宋体" w:cs="宋体"/>
          <w:color w:val="auto"/>
          <w:kern w:val="0"/>
          <w:szCs w:val="21"/>
          <w:highlight w:val="none"/>
        </w:rPr>
        <w:t>预计陆续投产</w:t>
      </w:r>
      <w:r>
        <w:rPr>
          <w:rFonts w:hint="eastAsia" w:ascii="宋体" w:hAnsi="宋体" w:eastAsia="宋体" w:cs="宋体"/>
          <w:color w:val="auto"/>
          <w:kern w:val="0"/>
          <w:szCs w:val="21"/>
          <w:highlight w:val="none"/>
          <w:lang w:val="en-US" w:eastAsia="zh-CN"/>
        </w:rPr>
        <w:t>25</w:t>
      </w:r>
      <w:r>
        <w:rPr>
          <w:rFonts w:hint="eastAsia" w:ascii="宋体" w:hAnsi="宋体" w:eastAsia="宋体" w:cs="宋体"/>
          <w:color w:val="auto"/>
          <w:kern w:val="0"/>
          <w:szCs w:val="21"/>
          <w:highlight w:val="none"/>
        </w:rPr>
        <w:t>个项目点（详见附件），预计服务期内总产量约</w:t>
      </w:r>
      <w:r>
        <w:rPr>
          <w:rFonts w:hint="eastAsia" w:ascii="宋体" w:hAnsi="宋体" w:eastAsia="宋体" w:cs="宋体"/>
          <w:color w:val="auto"/>
          <w:kern w:val="0"/>
          <w:szCs w:val="21"/>
          <w:highlight w:val="none"/>
          <w:lang w:val="en-US" w:eastAsia="zh-CN"/>
        </w:rPr>
        <w:t>243,530.00</w:t>
      </w:r>
      <w:r>
        <w:rPr>
          <w:rFonts w:hint="eastAsia" w:ascii="宋体" w:hAnsi="宋体" w:eastAsia="宋体" w:cs="宋体"/>
          <w:color w:val="auto"/>
          <w:kern w:val="0"/>
          <w:szCs w:val="21"/>
          <w:highlight w:val="none"/>
        </w:rPr>
        <w:t>吨（含水率80%计算）。以上为预计产量，应以实际产泥量为准。</w:t>
      </w:r>
      <w:bookmarkEnd w:id="11"/>
      <w:bookmarkEnd w:id="12"/>
      <w:bookmarkStart w:id="13" w:name="_Toc17256"/>
      <w:bookmarkStart w:id="14" w:name="_Toc5313"/>
    </w:p>
    <w:bookmarkEnd w:id="13"/>
    <w:bookmarkEnd w:id="14"/>
    <w:p w14:paraId="3EA7FD3D">
      <w:pPr>
        <w:widowControl/>
        <w:autoSpaceDE w:val="0"/>
        <w:autoSpaceDN w:val="0"/>
        <w:adjustRightInd w:val="0"/>
        <w:snapToGrid w:val="0"/>
        <w:spacing w:line="360" w:lineRule="auto"/>
        <w:ind w:firstLine="420"/>
        <w:contextualSpacing/>
        <w:jc w:val="left"/>
        <w:outlineLvl w:val="9"/>
        <w:rPr>
          <w:rFonts w:hint="default" w:ascii="宋体" w:hAnsi="宋体" w:eastAsia="宋体" w:cs="宋体"/>
          <w:b/>
          <w:bCs/>
          <w:color w:val="auto"/>
          <w:kern w:val="0"/>
          <w:szCs w:val="21"/>
          <w:highlight w:val="none"/>
          <w:lang w:val="en-US" w:eastAsia="zh-CN"/>
        </w:rPr>
      </w:pPr>
      <w:r>
        <w:rPr>
          <w:rFonts w:hint="eastAsia" w:ascii="宋体" w:hAnsi="宋体" w:eastAsia="宋体" w:cs="宋体"/>
          <w:b/>
          <w:bCs/>
          <w:color w:val="auto"/>
          <w:kern w:val="0"/>
          <w:szCs w:val="21"/>
          <w:highlight w:val="none"/>
        </w:rPr>
        <w:t>三、</w:t>
      </w:r>
      <w:r>
        <w:rPr>
          <w:rFonts w:hint="eastAsia" w:ascii="宋体" w:hAnsi="宋体" w:eastAsia="宋体" w:cs="宋体"/>
          <w:b/>
          <w:bCs/>
          <w:color w:val="auto"/>
          <w:kern w:val="0"/>
          <w:szCs w:val="21"/>
          <w:highlight w:val="none"/>
          <w:lang w:val="en-US" w:eastAsia="zh-CN"/>
        </w:rPr>
        <w:t>服务费支付及考核标准</w:t>
      </w:r>
    </w:p>
    <w:p w14:paraId="5A7C308D">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1、服务费按月支付，招标人和中标人双方在每月15日前完成上月应付款项核算工作，中标人必须开具合法有效的增值税专用发票，</w:t>
      </w:r>
      <w:r>
        <w:rPr>
          <w:rFonts w:hint="eastAsia" w:ascii="宋体" w:hAnsi="宋体" w:eastAsia="宋体" w:cs="宋体"/>
          <w:color w:val="auto"/>
          <w:kern w:val="0"/>
          <w:szCs w:val="21"/>
          <w:highlight w:val="none"/>
          <w:lang w:val="en-US" w:eastAsia="zh-CN"/>
        </w:rPr>
        <w:t>中标人向招标人提交完整的</w:t>
      </w:r>
      <w:r>
        <w:rPr>
          <w:rFonts w:hint="eastAsia" w:ascii="宋体" w:hAnsi="宋体" w:eastAsia="宋体" w:cs="宋体"/>
          <w:color w:val="auto"/>
          <w:kern w:val="0"/>
          <w:szCs w:val="21"/>
          <w:highlight w:val="none"/>
        </w:rPr>
        <w:t>请款材料并</w:t>
      </w:r>
      <w:r>
        <w:rPr>
          <w:rFonts w:hint="eastAsia" w:ascii="宋体" w:hAnsi="宋体" w:eastAsia="宋体" w:cs="宋体"/>
          <w:color w:val="auto"/>
          <w:kern w:val="0"/>
          <w:szCs w:val="21"/>
          <w:highlight w:val="none"/>
          <w:lang w:val="en-US" w:eastAsia="zh-CN"/>
        </w:rPr>
        <w:t>经招标人</w:t>
      </w:r>
      <w:r>
        <w:rPr>
          <w:rFonts w:hint="eastAsia" w:ascii="宋体" w:hAnsi="宋体" w:eastAsia="宋体" w:cs="宋体"/>
          <w:color w:val="auto"/>
          <w:kern w:val="0"/>
          <w:szCs w:val="21"/>
          <w:highlight w:val="none"/>
        </w:rPr>
        <w:t>确认无误后30个工作日内</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招标人采用</w:t>
      </w:r>
      <w:r>
        <w:rPr>
          <w:rFonts w:hint="eastAsia" w:ascii="宋体" w:hAnsi="宋体" w:eastAsia="宋体" w:cs="宋体"/>
          <w:color w:val="auto"/>
          <w:kern w:val="0"/>
          <w:szCs w:val="21"/>
          <w:highlight w:val="none"/>
        </w:rPr>
        <w:t>银行承兑汇票或商业承兑汇票</w:t>
      </w:r>
      <w:r>
        <w:rPr>
          <w:rFonts w:hint="eastAsia" w:ascii="宋体" w:hAnsi="宋体" w:eastAsia="宋体" w:cs="宋体"/>
          <w:color w:val="auto"/>
          <w:kern w:val="0"/>
          <w:szCs w:val="21"/>
          <w:highlight w:val="none"/>
          <w:lang w:val="en-US" w:eastAsia="zh-CN"/>
        </w:rPr>
        <w:t>向中标人</w:t>
      </w:r>
      <w:r>
        <w:rPr>
          <w:rFonts w:hint="eastAsia" w:ascii="宋体" w:hAnsi="宋体" w:eastAsia="宋体" w:cs="宋体"/>
          <w:color w:val="auto"/>
          <w:kern w:val="0"/>
          <w:szCs w:val="21"/>
          <w:highlight w:val="none"/>
        </w:rPr>
        <w:t>支付请款金额的50%；在前述款项支付后三个月内，</w:t>
      </w:r>
      <w:r>
        <w:rPr>
          <w:rFonts w:hint="eastAsia" w:ascii="宋体" w:hAnsi="宋体" w:eastAsia="宋体" w:cs="宋体"/>
          <w:color w:val="auto"/>
          <w:kern w:val="0"/>
          <w:szCs w:val="21"/>
          <w:highlight w:val="none"/>
          <w:lang w:val="en-US" w:eastAsia="zh-CN"/>
        </w:rPr>
        <w:t>招标人</w:t>
      </w:r>
      <w:r>
        <w:rPr>
          <w:rFonts w:hint="eastAsia" w:ascii="宋体" w:hAnsi="宋体" w:eastAsia="宋体" w:cs="宋体"/>
          <w:color w:val="auto"/>
          <w:kern w:val="0"/>
          <w:szCs w:val="21"/>
          <w:highlight w:val="none"/>
        </w:rPr>
        <w:t>通过银行转账方式或汇款方式向</w:t>
      </w:r>
      <w:r>
        <w:rPr>
          <w:rFonts w:hint="eastAsia" w:ascii="宋体" w:hAnsi="宋体" w:eastAsia="宋体" w:cs="宋体"/>
          <w:color w:val="auto"/>
          <w:kern w:val="0"/>
          <w:szCs w:val="21"/>
          <w:highlight w:val="none"/>
          <w:lang w:val="en-US" w:eastAsia="zh-CN"/>
        </w:rPr>
        <w:t>中标人</w:t>
      </w:r>
      <w:r>
        <w:rPr>
          <w:rFonts w:hint="eastAsia" w:ascii="宋体" w:hAnsi="宋体" w:eastAsia="宋体" w:cs="宋体"/>
          <w:color w:val="auto"/>
          <w:kern w:val="0"/>
          <w:szCs w:val="21"/>
          <w:highlight w:val="none"/>
        </w:rPr>
        <w:t>支付至请款金额的100%（具体请款材料以合同约定为准）。</w:t>
      </w:r>
    </w:p>
    <w:p w14:paraId="29AB38EF">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配合</w:t>
      </w:r>
      <w:r>
        <w:rPr>
          <w:rFonts w:hint="eastAsia" w:ascii="宋体" w:hAnsi="宋体" w:eastAsia="宋体" w:cs="宋体"/>
          <w:color w:val="auto"/>
          <w:kern w:val="0"/>
          <w:szCs w:val="21"/>
          <w:highlight w:val="none"/>
        </w:rPr>
        <w:t>服务</w:t>
      </w:r>
      <w:r>
        <w:rPr>
          <w:rFonts w:hint="eastAsia" w:ascii="宋体" w:hAnsi="宋体" w:eastAsia="宋体" w:cs="宋体"/>
          <w:color w:val="auto"/>
          <w:kern w:val="0"/>
          <w:szCs w:val="21"/>
          <w:highlight w:val="none"/>
          <w:lang w:val="en-US" w:eastAsia="zh-CN"/>
        </w:rPr>
        <w:t>综合</w:t>
      </w:r>
      <w:r>
        <w:rPr>
          <w:rFonts w:hint="eastAsia" w:ascii="宋体" w:hAnsi="宋体" w:eastAsia="宋体" w:cs="宋体"/>
          <w:color w:val="auto"/>
          <w:kern w:val="0"/>
          <w:szCs w:val="21"/>
          <w:highlight w:val="none"/>
        </w:rPr>
        <w:t>单价按含水率80%的湿泥计价（元/吨），当车污泥通过双方认可的电子地磅称重为计价重量（按吨计，精确到0.01吨）。</w:t>
      </w:r>
    </w:p>
    <w:p w14:paraId="36A56FBE">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val="en-US" w:eastAsia="zh-CN"/>
        </w:rPr>
        <w:t>配合服务</w:t>
      </w:r>
      <w:r>
        <w:rPr>
          <w:rFonts w:hint="eastAsia" w:ascii="宋体" w:hAnsi="宋体" w:eastAsia="宋体" w:cs="宋体"/>
          <w:color w:val="auto"/>
          <w:kern w:val="0"/>
          <w:szCs w:val="21"/>
          <w:highlight w:val="none"/>
        </w:rPr>
        <w:t>综合单价：（1）当项目约定的含水率标准</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上限值</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为80%时，相应的服务费按含水率80%的湿泥计费，计费数量以称重数据为准；（2）当项目有其他约定含水率标准时，按照当车污泥称重数据及对应含水率标准（含水率不高于约定标准的，统一按含水率标准计）折算成含水率80%的湿泥重量，具体折算公式为（1-含水率标准）/（1-80%），</w:t>
      </w:r>
      <w:r>
        <w:rPr>
          <w:rFonts w:hint="eastAsia" w:ascii="宋体" w:hAnsi="宋体" w:eastAsia="宋体" w:cs="宋体"/>
          <w:color w:val="auto"/>
          <w:kern w:val="0"/>
          <w:szCs w:val="21"/>
          <w:highlight w:val="none"/>
          <w:lang w:val="en-US" w:eastAsia="zh-CN"/>
        </w:rPr>
        <w:t>例如</w:t>
      </w:r>
      <w:r>
        <w:rPr>
          <w:rFonts w:hint="eastAsia" w:ascii="宋体" w:hAnsi="宋体" w:eastAsia="宋体" w:cs="宋体"/>
          <w:color w:val="auto"/>
          <w:kern w:val="0"/>
          <w:szCs w:val="21"/>
          <w:highlight w:val="none"/>
        </w:rPr>
        <w:t>当含水率标准</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上限值</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为60%时，对应折算系数为2</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当有新含水率标准时，招标人再书面通知，相应折算系数按照折算公式计算</w:t>
      </w:r>
      <w:r>
        <w:rPr>
          <w:rFonts w:hint="eastAsia" w:ascii="宋体" w:hAnsi="宋体" w:eastAsia="宋体" w:cs="宋体"/>
          <w:color w:val="auto"/>
          <w:kern w:val="0"/>
          <w:szCs w:val="21"/>
          <w:highlight w:val="none"/>
          <w:lang w:eastAsia="zh-CN"/>
        </w:rPr>
        <w:t>。</w:t>
      </w:r>
    </w:p>
    <w:p w14:paraId="796DE586">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3、每车次外运污泥含水率以污水处理厂化验室检测的结果为计费依据。含水率取样方式为用不锈钢采样器，</w:t>
      </w:r>
      <w:r>
        <w:rPr>
          <w:rFonts w:hint="eastAsia" w:ascii="宋体" w:hAnsi="宋体" w:eastAsia="宋体" w:cs="宋体"/>
          <w:color w:val="auto"/>
          <w:kern w:val="0"/>
          <w:szCs w:val="21"/>
          <w:highlight w:val="none"/>
          <w:lang w:val="en-US" w:eastAsia="zh-CN"/>
        </w:rPr>
        <w:t>由运输车司机</w:t>
      </w:r>
      <w:r>
        <w:rPr>
          <w:rFonts w:hint="eastAsia" w:ascii="宋体" w:hAnsi="宋体" w:eastAsia="宋体" w:cs="宋体"/>
          <w:color w:val="auto"/>
          <w:kern w:val="0"/>
          <w:szCs w:val="21"/>
          <w:highlight w:val="none"/>
        </w:rPr>
        <w:t>在污泥运输车上3个不同位置采集，并充分混合，分为三份，分别交中标人、招标人及化验室。采样方式亦可能会因主管部门颁布的政策法规或行业标准、规范而调整，或经与项目所在厂区</w:t>
      </w:r>
      <w:r>
        <w:rPr>
          <w:rFonts w:hint="eastAsia" w:ascii="宋体" w:hAnsi="宋体" w:eastAsia="宋体" w:cs="宋体"/>
          <w:color w:val="auto"/>
          <w:kern w:val="0"/>
          <w:szCs w:val="21"/>
          <w:highlight w:val="none"/>
          <w:lang w:val="en-US" w:eastAsia="zh-CN"/>
        </w:rPr>
        <w:t>权属单位或运营单位或行政主管部门</w:t>
      </w:r>
      <w:r>
        <w:rPr>
          <w:rFonts w:hint="eastAsia" w:ascii="宋体" w:hAnsi="宋体" w:eastAsia="宋体" w:cs="宋体"/>
          <w:color w:val="auto"/>
          <w:kern w:val="0"/>
          <w:szCs w:val="21"/>
          <w:highlight w:val="none"/>
        </w:rPr>
        <w:t>沟通后双方认可的方式进行调整。</w:t>
      </w:r>
    </w:p>
    <w:p w14:paraId="2C57CDA0">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4、招标人每季度第三个月对</w:t>
      </w:r>
      <w:r>
        <w:rPr>
          <w:rFonts w:hint="eastAsia" w:ascii="宋体" w:hAnsi="宋体" w:eastAsia="宋体" w:cs="宋体"/>
          <w:color w:val="auto"/>
          <w:kern w:val="0"/>
          <w:szCs w:val="21"/>
          <w:highlight w:val="none"/>
          <w:lang w:val="en-US" w:eastAsia="zh-CN"/>
        </w:rPr>
        <w:t>中标人提供配合服务的</w:t>
      </w:r>
      <w:r>
        <w:rPr>
          <w:rFonts w:hint="eastAsia" w:ascii="宋体" w:hAnsi="宋体" w:eastAsia="宋体" w:cs="宋体"/>
          <w:color w:val="auto"/>
          <w:kern w:val="0"/>
          <w:szCs w:val="21"/>
          <w:highlight w:val="none"/>
        </w:rPr>
        <w:t>每个项目点的履约情况进行逐一评价，填写《履约评价表》（详见附件），对于评审结论为不合格的项目点，</w:t>
      </w:r>
      <w:r>
        <w:rPr>
          <w:rFonts w:hint="eastAsia" w:ascii="宋体" w:hAnsi="宋体" w:eastAsia="宋体" w:cs="宋体"/>
          <w:color w:val="auto"/>
          <w:kern w:val="0"/>
          <w:szCs w:val="21"/>
          <w:highlight w:val="none"/>
          <w:lang w:val="en-US" w:eastAsia="zh-CN"/>
        </w:rPr>
        <w:t>招标人</w:t>
      </w:r>
      <w:r>
        <w:rPr>
          <w:rFonts w:hint="eastAsia" w:ascii="宋体" w:hAnsi="宋体" w:eastAsia="宋体" w:cs="宋体"/>
          <w:color w:val="auto"/>
          <w:kern w:val="0"/>
          <w:szCs w:val="21"/>
          <w:highlight w:val="none"/>
        </w:rPr>
        <w:t>将从该项目点的该季度第三个月的服务费中扣除违约金（如</w:t>
      </w:r>
      <w:r>
        <w:rPr>
          <w:rFonts w:hint="eastAsia" w:ascii="宋体" w:hAnsi="宋体" w:eastAsia="宋体" w:cs="宋体"/>
          <w:color w:val="auto"/>
          <w:kern w:val="0"/>
          <w:szCs w:val="21"/>
          <w:highlight w:val="none"/>
          <w:lang w:val="en-US" w:eastAsia="zh-CN"/>
        </w:rPr>
        <w:t>第三个月的</w:t>
      </w:r>
      <w:r>
        <w:rPr>
          <w:rFonts w:hint="eastAsia" w:ascii="宋体" w:hAnsi="宋体" w:eastAsia="宋体" w:cs="宋体"/>
          <w:color w:val="auto"/>
          <w:kern w:val="0"/>
          <w:szCs w:val="21"/>
          <w:highlight w:val="none"/>
        </w:rPr>
        <w:t>服务费不足以扣除，</w:t>
      </w:r>
      <w:r>
        <w:rPr>
          <w:rFonts w:hint="eastAsia" w:ascii="宋体" w:hAnsi="宋体" w:eastAsia="宋体" w:cs="宋体"/>
          <w:color w:val="auto"/>
          <w:kern w:val="0"/>
          <w:szCs w:val="21"/>
          <w:highlight w:val="none"/>
          <w:lang w:val="en-US" w:eastAsia="zh-CN"/>
        </w:rPr>
        <w:t>招标人将</w:t>
      </w:r>
      <w:r>
        <w:rPr>
          <w:rFonts w:hint="eastAsia" w:ascii="宋体" w:hAnsi="宋体" w:eastAsia="宋体" w:cs="宋体"/>
          <w:color w:val="auto"/>
          <w:kern w:val="0"/>
          <w:szCs w:val="21"/>
          <w:highlight w:val="none"/>
        </w:rPr>
        <w:t>从履约</w:t>
      </w:r>
      <w:r>
        <w:rPr>
          <w:rFonts w:hint="eastAsia" w:ascii="宋体" w:hAnsi="宋体" w:eastAsia="宋体" w:cs="宋体"/>
          <w:color w:val="auto"/>
          <w:kern w:val="0"/>
          <w:szCs w:val="21"/>
          <w:highlight w:val="none"/>
          <w:lang w:val="en-US" w:eastAsia="zh-CN"/>
        </w:rPr>
        <w:t>担保</w:t>
      </w:r>
      <w:r>
        <w:rPr>
          <w:rFonts w:hint="eastAsia" w:ascii="宋体" w:hAnsi="宋体" w:eastAsia="宋体" w:cs="宋体"/>
          <w:color w:val="auto"/>
          <w:kern w:val="0"/>
          <w:szCs w:val="21"/>
          <w:highlight w:val="none"/>
        </w:rPr>
        <w:t>中扣除）。合同期内</w:t>
      </w:r>
      <w:r>
        <w:rPr>
          <w:rFonts w:hint="eastAsia" w:ascii="宋体" w:hAnsi="宋体" w:eastAsia="宋体" w:cs="宋体"/>
          <w:color w:val="auto"/>
          <w:kern w:val="0"/>
          <w:szCs w:val="21"/>
          <w:highlight w:val="none"/>
          <w:lang w:val="en-US" w:eastAsia="zh-CN"/>
        </w:rPr>
        <w:t>单个项目点</w:t>
      </w:r>
      <w:r>
        <w:rPr>
          <w:rFonts w:hint="eastAsia" w:ascii="宋体" w:hAnsi="宋体" w:eastAsia="宋体" w:cs="宋体"/>
          <w:color w:val="auto"/>
          <w:kern w:val="0"/>
          <w:szCs w:val="21"/>
          <w:highlight w:val="none"/>
        </w:rPr>
        <w:t>首次评价不合格扣除违约金1万元，</w:t>
      </w:r>
      <w:r>
        <w:rPr>
          <w:rFonts w:hint="eastAsia" w:ascii="宋体" w:hAnsi="宋体" w:eastAsia="宋体" w:cs="宋体"/>
          <w:color w:val="auto"/>
          <w:kern w:val="0"/>
          <w:szCs w:val="21"/>
          <w:highlight w:val="none"/>
          <w:lang w:val="en-US" w:eastAsia="zh-CN"/>
        </w:rPr>
        <w:t>合同期内单个项目点</w:t>
      </w:r>
      <w:r>
        <w:rPr>
          <w:rFonts w:hint="eastAsia" w:ascii="宋体" w:hAnsi="宋体" w:eastAsia="宋体" w:cs="宋体"/>
          <w:color w:val="auto"/>
          <w:kern w:val="0"/>
          <w:szCs w:val="21"/>
          <w:highlight w:val="none"/>
        </w:rPr>
        <w:t>第二次不合格扣除违约金2万元，</w:t>
      </w:r>
      <w:r>
        <w:rPr>
          <w:rFonts w:hint="eastAsia" w:ascii="宋体" w:hAnsi="宋体" w:eastAsia="宋体" w:cs="宋体"/>
          <w:color w:val="auto"/>
          <w:kern w:val="0"/>
          <w:szCs w:val="21"/>
          <w:highlight w:val="none"/>
          <w:lang w:val="en-US" w:eastAsia="zh-CN"/>
        </w:rPr>
        <w:t>合同期内单个项目点</w:t>
      </w:r>
      <w:r>
        <w:rPr>
          <w:rFonts w:hint="eastAsia" w:ascii="宋体" w:hAnsi="宋体" w:eastAsia="宋体" w:cs="宋体"/>
          <w:color w:val="auto"/>
          <w:kern w:val="0"/>
          <w:szCs w:val="21"/>
          <w:highlight w:val="none"/>
        </w:rPr>
        <w:t>第三次不合格扣除违约金4万元，</w:t>
      </w:r>
      <w:r>
        <w:rPr>
          <w:rFonts w:hint="eastAsia" w:ascii="宋体" w:hAnsi="宋体" w:eastAsia="宋体" w:cs="宋体"/>
          <w:color w:val="auto"/>
          <w:kern w:val="0"/>
          <w:szCs w:val="21"/>
          <w:highlight w:val="none"/>
          <w:lang w:val="en-US" w:eastAsia="zh-CN"/>
        </w:rPr>
        <w:t>合同期内单个项目点</w:t>
      </w:r>
      <w:r>
        <w:rPr>
          <w:rFonts w:hint="eastAsia" w:ascii="宋体" w:hAnsi="宋体" w:eastAsia="宋体" w:cs="宋体"/>
          <w:color w:val="auto"/>
          <w:kern w:val="0"/>
          <w:szCs w:val="21"/>
          <w:highlight w:val="none"/>
        </w:rPr>
        <w:t>第四次不合格扣除违约金8万元，</w:t>
      </w:r>
      <w:r>
        <w:rPr>
          <w:rFonts w:hint="eastAsia" w:ascii="宋体" w:hAnsi="宋体" w:eastAsia="宋体" w:cs="宋体"/>
          <w:color w:val="auto"/>
          <w:kern w:val="0"/>
          <w:szCs w:val="21"/>
          <w:highlight w:val="none"/>
          <w:lang w:val="en-US" w:eastAsia="zh-CN"/>
        </w:rPr>
        <w:t>合同期内单个项目点出现</w:t>
      </w:r>
      <w:r>
        <w:rPr>
          <w:rFonts w:hint="eastAsia" w:ascii="宋体" w:hAnsi="宋体" w:eastAsia="宋体" w:cs="宋体"/>
          <w:color w:val="auto"/>
          <w:kern w:val="0"/>
          <w:szCs w:val="21"/>
          <w:highlight w:val="none"/>
        </w:rPr>
        <w:t>第四次不合格情况之后</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招标人</w:t>
      </w:r>
      <w:r>
        <w:rPr>
          <w:rFonts w:hint="eastAsia" w:ascii="宋体" w:hAnsi="宋体" w:eastAsia="宋体" w:cs="宋体"/>
          <w:color w:val="auto"/>
          <w:kern w:val="0"/>
          <w:szCs w:val="21"/>
          <w:highlight w:val="none"/>
          <w:lang w:eastAsia="zh-CN"/>
        </w:rPr>
        <w:t>有权</w:t>
      </w:r>
      <w:r>
        <w:rPr>
          <w:rFonts w:hint="eastAsia" w:ascii="宋体" w:hAnsi="宋体" w:eastAsia="宋体" w:cs="宋体"/>
          <w:color w:val="auto"/>
          <w:kern w:val="0"/>
          <w:szCs w:val="21"/>
          <w:highlight w:val="none"/>
          <w:lang w:val="en-US" w:eastAsia="zh-CN"/>
        </w:rPr>
        <w:t>单方解除合同</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中标人</w:t>
      </w:r>
      <w:r>
        <w:rPr>
          <w:rFonts w:hint="eastAsia" w:ascii="宋体" w:hAnsi="宋体" w:eastAsia="宋体" w:cs="宋体"/>
          <w:color w:val="auto"/>
          <w:kern w:val="0"/>
          <w:szCs w:val="21"/>
          <w:highlight w:val="none"/>
          <w:lang w:eastAsia="zh-CN"/>
        </w:rPr>
        <w:t>还需向</w:t>
      </w:r>
      <w:r>
        <w:rPr>
          <w:rFonts w:hint="eastAsia" w:ascii="宋体" w:hAnsi="宋体" w:eastAsia="宋体" w:cs="宋体"/>
          <w:color w:val="auto"/>
          <w:kern w:val="0"/>
          <w:szCs w:val="21"/>
          <w:highlight w:val="none"/>
          <w:lang w:val="en-US" w:eastAsia="zh-CN"/>
        </w:rPr>
        <w:t>招标人</w:t>
      </w:r>
      <w:r>
        <w:rPr>
          <w:rFonts w:hint="eastAsia" w:ascii="宋体" w:hAnsi="宋体" w:eastAsia="宋体" w:cs="宋体"/>
          <w:color w:val="auto"/>
          <w:kern w:val="0"/>
          <w:szCs w:val="21"/>
          <w:highlight w:val="none"/>
          <w:lang w:eastAsia="zh-CN"/>
        </w:rPr>
        <w:t>支付</w:t>
      </w:r>
      <w:r>
        <w:rPr>
          <w:rFonts w:hint="eastAsia" w:ascii="宋体" w:hAnsi="宋体" w:eastAsia="宋体" w:cs="宋体"/>
          <w:color w:val="auto"/>
          <w:kern w:val="0"/>
          <w:szCs w:val="21"/>
          <w:highlight w:val="none"/>
          <w:lang w:val="en-US" w:eastAsia="zh-CN"/>
        </w:rPr>
        <w:t>10</w:t>
      </w:r>
      <w:r>
        <w:rPr>
          <w:rFonts w:hint="eastAsia" w:ascii="宋体" w:hAnsi="宋体" w:eastAsia="宋体" w:cs="宋体"/>
          <w:color w:val="auto"/>
          <w:kern w:val="0"/>
          <w:szCs w:val="21"/>
          <w:highlight w:val="none"/>
          <w:lang w:eastAsia="zh-CN"/>
        </w:rPr>
        <w:t>0,000元的违约金</w:t>
      </w:r>
      <w:r>
        <w:rPr>
          <w:rFonts w:hint="eastAsia" w:ascii="宋体" w:hAnsi="宋体" w:eastAsia="宋体" w:cs="宋体"/>
          <w:color w:val="auto"/>
          <w:kern w:val="0"/>
          <w:szCs w:val="21"/>
          <w:highlight w:val="none"/>
        </w:rPr>
        <w:t>。</w:t>
      </w:r>
    </w:p>
    <w:p w14:paraId="7613780A">
      <w:pPr>
        <w:autoSpaceDE w:val="0"/>
        <w:autoSpaceDN w:val="0"/>
        <w:adjustRightInd w:val="0"/>
        <w:spacing w:line="360" w:lineRule="auto"/>
        <w:ind w:firstLine="422" w:firstLineChars="200"/>
        <w:jc w:val="left"/>
        <w:outlineLvl w:val="9"/>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四、服务内容</w:t>
      </w:r>
    </w:p>
    <w:p w14:paraId="67E78EC4">
      <w:pPr>
        <w:autoSpaceDE w:val="0"/>
        <w:autoSpaceDN w:val="0"/>
        <w:adjustRightInd w:val="0"/>
        <w:spacing w:line="360" w:lineRule="auto"/>
        <w:ind w:firstLine="420" w:firstLineChars="200"/>
        <w:jc w:val="left"/>
        <w:outlineLvl w:val="9"/>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1、中标人应按照招标人制定的设备生产工艺参数执行落实，保证满足污泥处理量</w:t>
      </w:r>
      <w:r>
        <w:rPr>
          <w:rFonts w:hint="eastAsia" w:ascii="宋体" w:hAnsi="宋体" w:eastAsia="宋体" w:cs="宋体"/>
          <w:bCs/>
          <w:color w:val="auto"/>
          <w:kern w:val="0"/>
          <w:szCs w:val="21"/>
          <w:highlight w:val="none"/>
          <w:lang w:val="en-US" w:eastAsia="zh-CN"/>
        </w:rPr>
        <w:t>要求</w:t>
      </w:r>
      <w:r>
        <w:rPr>
          <w:rFonts w:hint="eastAsia" w:ascii="宋体" w:hAnsi="宋体" w:eastAsia="宋体" w:cs="宋体"/>
          <w:bCs/>
          <w:color w:val="auto"/>
          <w:kern w:val="0"/>
          <w:szCs w:val="21"/>
          <w:highlight w:val="none"/>
        </w:rPr>
        <w:t>及含水率标准，各工艺段的设备类型详见附件。</w:t>
      </w:r>
    </w:p>
    <w:p w14:paraId="47381238">
      <w:pPr>
        <w:autoSpaceDE w:val="0"/>
        <w:autoSpaceDN w:val="0"/>
        <w:adjustRightInd w:val="0"/>
        <w:spacing w:line="360" w:lineRule="auto"/>
        <w:ind w:firstLine="420" w:firstLineChars="200"/>
        <w:jc w:val="left"/>
        <w:outlineLvl w:val="9"/>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2、中标人</w:t>
      </w:r>
      <w:r>
        <w:rPr>
          <w:rFonts w:hint="eastAsia" w:ascii="宋体" w:hAnsi="宋体" w:eastAsia="宋体" w:cs="宋体"/>
          <w:bCs/>
          <w:color w:val="auto"/>
          <w:kern w:val="0"/>
          <w:szCs w:val="21"/>
          <w:highlight w:val="none"/>
          <w:lang w:val="en-US" w:eastAsia="zh-CN"/>
        </w:rPr>
        <w:t>配合服务设备操作人员</w:t>
      </w:r>
      <w:r>
        <w:rPr>
          <w:rFonts w:hint="eastAsia" w:ascii="宋体" w:hAnsi="宋体" w:eastAsia="宋体" w:cs="宋体"/>
          <w:bCs/>
          <w:color w:val="auto"/>
          <w:kern w:val="0"/>
          <w:szCs w:val="21"/>
          <w:highlight w:val="none"/>
        </w:rPr>
        <w:t>应根据运输计划，保证现场运作顺畅，指引车辆到达指定装卸地点进行装车，装车完毕后配合项目所在厂区和招标人进行取样。完成取样后，监督车辆盖上帆布，满足要求后放行。其中，外运装车取样的含水率由所在厂区的化验室进行检测，由</w:t>
      </w:r>
      <w:r>
        <w:rPr>
          <w:rFonts w:hint="eastAsia" w:ascii="宋体" w:hAnsi="宋体" w:eastAsia="宋体" w:cs="宋体"/>
          <w:bCs/>
          <w:color w:val="auto"/>
          <w:kern w:val="0"/>
          <w:szCs w:val="21"/>
          <w:highlight w:val="none"/>
          <w:lang w:val="en-US" w:eastAsia="zh-CN"/>
        </w:rPr>
        <w:t>中标人</w:t>
      </w:r>
      <w:r>
        <w:rPr>
          <w:rFonts w:hint="eastAsia" w:ascii="宋体" w:hAnsi="宋体" w:eastAsia="宋体" w:cs="宋体"/>
          <w:bCs/>
          <w:color w:val="auto"/>
          <w:kern w:val="0"/>
          <w:szCs w:val="21"/>
          <w:highlight w:val="none"/>
        </w:rPr>
        <w:t>填写《含水率检测统计台账》，该《含水率检测统计台账》作为服务费结算依据。</w:t>
      </w:r>
    </w:p>
    <w:p w14:paraId="41946030">
      <w:pPr>
        <w:autoSpaceDE w:val="0"/>
        <w:autoSpaceDN w:val="0"/>
        <w:adjustRightInd w:val="0"/>
        <w:spacing w:line="360" w:lineRule="auto"/>
        <w:ind w:firstLine="420" w:firstLineChars="200"/>
        <w:jc w:val="left"/>
        <w:outlineLvl w:val="9"/>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3、中标人</w:t>
      </w:r>
      <w:r>
        <w:rPr>
          <w:rFonts w:hint="eastAsia" w:ascii="宋体" w:hAnsi="宋体" w:eastAsia="宋体" w:cs="宋体"/>
          <w:bCs/>
          <w:color w:val="auto"/>
          <w:kern w:val="0"/>
          <w:szCs w:val="21"/>
          <w:highlight w:val="none"/>
          <w:lang w:val="en-US" w:eastAsia="zh-CN"/>
        </w:rPr>
        <w:t>配合服务设备操作人员</w:t>
      </w:r>
      <w:r>
        <w:rPr>
          <w:rFonts w:hint="eastAsia" w:ascii="宋体" w:hAnsi="宋体" w:eastAsia="宋体" w:cs="宋体"/>
          <w:bCs/>
          <w:color w:val="auto"/>
          <w:kern w:val="0"/>
          <w:szCs w:val="21"/>
          <w:highlight w:val="none"/>
        </w:rPr>
        <w:t xml:space="preserve">应根据招标人的要求，在生产过程中定期使用含水率检测仪测量泥饼含水率，并记录于《生产日报表》，便于对生产工艺调整。 </w:t>
      </w:r>
    </w:p>
    <w:p w14:paraId="289AD343">
      <w:pPr>
        <w:autoSpaceDE w:val="0"/>
        <w:autoSpaceDN w:val="0"/>
        <w:adjustRightInd w:val="0"/>
        <w:spacing w:line="360" w:lineRule="auto"/>
        <w:ind w:firstLine="420" w:firstLineChars="200"/>
        <w:jc w:val="left"/>
        <w:outlineLvl w:val="9"/>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4、中标人</w:t>
      </w:r>
      <w:r>
        <w:rPr>
          <w:rFonts w:hint="eastAsia" w:ascii="宋体" w:hAnsi="宋体" w:eastAsia="宋体" w:cs="宋体"/>
          <w:bCs/>
          <w:color w:val="auto"/>
          <w:kern w:val="0"/>
          <w:szCs w:val="21"/>
          <w:highlight w:val="none"/>
          <w:lang w:val="en-US" w:eastAsia="zh-CN"/>
        </w:rPr>
        <w:t>配合服务设备操作人员</w:t>
      </w:r>
      <w:r>
        <w:rPr>
          <w:rFonts w:hint="eastAsia" w:ascii="宋体" w:hAnsi="宋体" w:eastAsia="宋体" w:cs="宋体"/>
          <w:bCs/>
          <w:color w:val="auto"/>
          <w:kern w:val="0"/>
          <w:szCs w:val="21"/>
          <w:highlight w:val="none"/>
        </w:rPr>
        <w:t>应根据招标人的要求，如实记录《生产日报表》，《生产日报表》</w:t>
      </w:r>
      <w:r>
        <w:rPr>
          <w:rFonts w:hint="eastAsia" w:ascii="宋体" w:hAnsi="宋体" w:eastAsia="宋体" w:cs="宋体"/>
          <w:bCs/>
          <w:color w:val="auto"/>
          <w:kern w:val="0"/>
          <w:szCs w:val="21"/>
          <w:highlight w:val="none"/>
          <w:lang w:val="en-US" w:eastAsia="zh-CN"/>
        </w:rPr>
        <w:t>应</w:t>
      </w:r>
      <w:r>
        <w:rPr>
          <w:rFonts w:hint="eastAsia" w:ascii="宋体" w:hAnsi="宋体" w:eastAsia="宋体" w:cs="宋体"/>
          <w:bCs/>
          <w:color w:val="auto"/>
          <w:kern w:val="0"/>
          <w:szCs w:val="21"/>
          <w:highlight w:val="none"/>
        </w:rPr>
        <w:t>包含日常生产中的主要设备及配套设备的运行参数、处理量、药剂使用量、能源使用量、泥饼产生量、含水率等。 每月10号前各项目点《生产日报表》统一交由</w:t>
      </w:r>
      <w:r>
        <w:rPr>
          <w:rFonts w:hint="eastAsia" w:ascii="宋体" w:hAnsi="宋体" w:eastAsia="宋体" w:cs="宋体"/>
          <w:bCs/>
          <w:color w:val="auto"/>
          <w:kern w:val="0"/>
          <w:szCs w:val="21"/>
          <w:highlight w:val="none"/>
          <w:lang w:val="en-US" w:eastAsia="zh-CN"/>
        </w:rPr>
        <w:t>招标人</w:t>
      </w:r>
      <w:r>
        <w:rPr>
          <w:rFonts w:hint="eastAsia" w:ascii="宋体" w:hAnsi="宋体" w:eastAsia="宋体" w:cs="宋体"/>
          <w:bCs/>
          <w:color w:val="auto"/>
          <w:kern w:val="0"/>
          <w:szCs w:val="21"/>
          <w:highlight w:val="none"/>
        </w:rPr>
        <w:t>保存。</w:t>
      </w:r>
    </w:p>
    <w:p w14:paraId="6DB92FEC">
      <w:pPr>
        <w:autoSpaceDE w:val="0"/>
        <w:autoSpaceDN w:val="0"/>
        <w:adjustRightInd w:val="0"/>
        <w:spacing w:line="360" w:lineRule="auto"/>
        <w:ind w:firstLine="420" w:firstLineChars="200"/>
        <w:jc w:val="left"/>
        <w:outlineLvl w:val="9"/>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5、中标人</w:t>
      </w:r>
      <w:r>
        <w:rPr>
          <w:rFonts w:hint="eastAsia" w:ascii="宋体" w:hAnsi="宋体" w:eastAsia="宋体" w:cs="宋体"/>
          <w:bCs/>
          <w:color w:val="auto"/>
          <w:kern w:val="0"/>
          <w:szCs w:val="21"/>
          <w:highlight w:val="none"/>
          <w:lang w:val="en-US" w:eastAsia="zh-CN"/>
        </w:rPr>
        <w:t>配合服务设备操作人员</w:t>
      </w:r>
      <w:r>
        <w:rPr>
          <w:rFonts w:hint="eastAsia" w:ascii="宋体" w:hAnsi="宋体" w:eastAsia="宋体" w:cs="宋体"/>
          <w:bCs/>
          <w:color w:val="auto"/>
          <w:kern w:val="0"/>
          <w:szCs w:val="21"/>
          <w:highlight w:val="none"/>
        </w:rPr>
        <w:t>应配合招标人管理好生产设备，并做好项目内各项设备设施的日常养护，含机械硬件更换、管道补漏及防锈防腐等，以满足项目运营的需要。中标人</w:t>
      </w:r>
      <w:r>
        <w:rPr>
          <w:rFonts w:hint="eastAsia" w:ascii="宋体" w:hAnsi="宋体" w:eastAsia="宋体" w:cs="宋体"/>
          <w:bCs/>
          <w:color w:val="auto"/>
          <w:kern w:val="0"/>
          <w:szCs w:val="21"/>
          <w:highlight w:val="none"/>
          <w:lang w:val="en-US" w:eastAsia="zh-CN"/>
        </w:rPr>
        <w:t>配合服务设备操作人员</w:t>
      </w:r>
      <w:r>
        <w:rPr>
          <w:rFonts w:hint="eastAsia" w:ascii="宋体" w:hAnsi="宋体" w:eastAsia="宋体" w:cs="宋体"/>
          <w:bCs/>
          <w:color w:val="auto"/>
          <w:kern w:val="0"/>
          <w:szCs w:val="21"/>
          <w:highlight w:val="none"/>
        </w:rPr>
        <w:t>对项目内的设备故障有预判和告知的义务，</w:t>
      </w:r>
      <w:r>
        <w:rPr>
          <w:rFonts w:hint="eastAsia" w:ascii="宋体" w:hAnsi="宋体" w:eastAsia="宋体" w:cs="宋体"/>
          <w:bCs/>
          <w:color w:val="auto"/>
          <w:kern w:val="0"/>
          <w:szCs w:val="21"/>
          <w:highlight w:val="none"/>
          <w:lang w:val="en-US" w:eastAsia="zh-CN"/>
        </w:rPr>
        <w:t>当</w:t>
      </w:r>
      <w:r>
        <w:rPr>
          <w:rFonts w:hint="eastAsia" w:ascii="宋体" w:hAnsi="宋体" w:eastAsia="宋体" w:cs="宋体"/>
          <w:bCs/>
          <w:color w:val="auto"/>
          <w:kern w:val="0"/>
          <w:szCs w:val="21"/>
          <w:highlight w:val="none"/>
        </w:rPr>
        <w:t>项目仓库中缺少维修维护所需物资时，应提前10个工作日将需求告知招标人。</w:t>
      </w:r>
    </w:p>
    <w:p w14:paraId="13C2CACB">
      <w:pPr>
        <w:autoSpaceDE w:val="0"/>
        <w:autoSpaceDN w:val="0"/>
        <w:adjustRightInd w:val="0"/>
        <w:spacing w:line="360" w:lineRule="auto"/>
        <w:ind w:firstLine="420" w:firstLineChars="200"/>
        <w:jc w:val="left"/>
        <w:outlineLvl w:val="9"/>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6、中标人应为</w:t>
      </w:r>
      <w:r>
        <w:rPr>
          <w:rFonts w:hint="eastAsia" w:ascii="宋体" w:hAnsi="宋体" w:eastAsia="宋体" w:cs="宋体"/>
          <w:bCs/>
          <w:color w:val="auto"/>
          <w:kern w:val="0"/>
          <w:szCs w:val="21"/>
          <w:highlight w:val="none"/>
          <w:lang w:val="en-US" w:eastAsia="zh-CN"/>
        </w:rPr>
        <w:t>配合服务</w:t>
      </w:r>
      <w:r>
        <w:rPr>
          <w:rFonts w:hint="eastAsia" w:ascii="宋体" w:hAnsi="宋体" w:eastAsia="宋体" w:cs="宋体"/>
          <w:bCs/>
          <w:color w:val="auto"/>
          <w:kern w:val="0"/>
          <w:szCs w:val="21"/>
          <w:highlight w:val="none"/>
        </w:rPr>
        <w:t>设备操作人员提供统一工作服和</w:t>
      </w:r>
      <w:r>
        <w:rPr>
          <w:rFonts w:hint="eastAsia" w:ascii="宋体" w:hAnsi="宋体" w:eastAsia="宋体" w:cs="宋体"/>
          <w:bCs/>
          <w:color w:val="auto"/>
          <w:kern w:val="0"/>
          <w:szCs w:val="21"/>
          <w:highlight w:val="none"/>
          <w:lang w:val="en-US" w:eastAsia="zh-CN"/>
        </w:rPr>
        <w:t>劳保鞋等</w:t>
      </w:r>
      <w:r>
        <w:rPr>
          <w:rFonts w:hint="eastAsia" w:ascii="宋体" w:hAnsi="宋体" w:eastAsia="宋体" w:cs="宋体"/>
          <w:bCs/>
          <w:color w:val="auto"/>
          <w:kern w:val="0"/>
          <w:szCs w:val="21"/>
          <w:highlight w:val="none"/>
        </w:rPr>
        <w:t>个人专用劳保用品。</w:t>
      </w:r>
    </w:p>
    <w:p w14:paraId="235584B4">
      <w:pPr>
        <w:autoSpaceDE w:val="0"/>
        <w:autoSpaceDN w:val="0"/>
        <w:adjustRightInd w:val="0"/>
        <w:spacing w:line="360" w:lineRule="auto"/>
        <w:ind w:firstLine="420" w:firstLineChars="200"/>
        <w:jc w:val="left"/>
        <w:outlineLvl w:val="9"/>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7、</w:t>
      </w:r>
      <w:r>
        <w:rPr>
          <w:rFonts w:hint="eastAsia" w:ascii="宋体" w:hAnsi="宋体" w:eastAsia="宋体" w:cs="宋体"/>
          <w:bCs/>
          <w:color w:val="auto"/>
          <w:kern w:val="0"/>
          <w:szCs w:val="21"/>
          <w:highlight w:val="none"/>
          <w:lang w:val="en-US" w:eastAsia="zh-CN"/>
        </w:rPr>
        <w:t>中标人</w:t>
      </w:r>
      <w:r>
        <w:rPr>
          <w:rFonts w:hint="eastAsia" w:ascii="宋体" w:hAnsi="宋体" w:eastAsia="宋体" w:cs="宋体"/>
          <w:bCs/>
          <w:color w:val="auto"/>
          <w:kern w:val="0"/>
          <w:szCs w:val="21"/>
          <w:highlight w:val="none"/>
        </w:rPr>
        <w:t>派驻现场的人员根据各项目点设备设施配套情况，持有对应操作证（如：市区厂众源移动式（含一二期和三期）</w:t>
      </w:r>
      <w:r>
        <w:rPr>
          <w:rFonts w:hint="eastAsia" w:ascii="宋体" w:hAnsi="宋体" w:eastAsia="宋体" w:cs="宋体"/>
          <w:bCs/>
          <w:color w:val="auto"/>
          <w:kern w:val="0"/>
          <w:szCs w:val="21"/>
          <w:highlight w:val="none"/>
          <w:lang w:eastAsia="zh-CN"/>
        </w:rPr>
        <w:t>、</w:t>
      </w:r>
      <w:r>
        <w:rPr>
          <w:rFonts w:hint="eastAsia" w:ascii="宋体" w:hAnsi="宋体" w:eastAsia="宋体" w:cs="宋体"/>
          <w:bCs/>
          <w:color w:val="auto"/>
          <w:kern w:val="0"/>
          <w:szCs w:val="21"/>
          <w:highlight w:val="none"/>
        </w:rPr>
        <w:t>长安新区众源移动式</w:t>
      </w:r>
      <w:r>
        <w:rPr>
          <w:rFonts w:hint="eastAsia" w:ascii="宋体" w:hAnsi="宋体" w:eastAsia="宋体" w:cs="宋体"/>
          <w:bCs/>
          <w:color w:val="auto"/>
          <w:kern w:val="0"/>
          <w:szCs w:val="21"/>
          <w:highlight w:val="none"/>
          <w:lang w:eastAsia="zh-CN"/>
        </w:rPr>
        <w:t>、</w:t>
      </w:r>
      <w:r>
        <w:rPr>
          <w:rFonts w:hint="eastAsia" w:ascii="宋体" w:hAnsi="宋体" w:eastAsia="宋体" w:cs="宋体"/>
          <w:bCs/>
          <w:color w:val="auto"/>
          <w:kern w:val="0"/>
          <w:szCs w:val="21"/>
          <w:highlight w:val="none"/>
          <w:lang w:val="en-US" w:eastAsia="zh-CN"/>
        </w:rPr>
        <w:t>温塘二期、横沥东坑二期、常平东二期、常平西二期、沙田二期、虎门宁洲三期、塘厦白泥湖项目、凤岗竹塘三期、清溪厦坭二期</w:t>
      </w:r>
      <w:r>
        <w:rPr>
          <w:rFonts w:hint="eastAsia" w:ascii="宋体" w:hAnsi="宋体" w:eastAsia="宋体" w:cs="宋体"/>
          <w:bCs/>
          <w:color w:val="auto"/>
          <w:kern w:val="0"/>
          <w:szCs w:val="21"/>
          <w:highlight w:val="none"/>
        </w:rPr>
        <w:t>需要</w:t>
      </w:r>
      <w:r>
        <w:rPr>
          <w:rFonts w:hint="eastAsia" w:ascii="宋体" w:hAnsi="宋体" w:eastAsia="宋体" w:cs="宋体"/>
          <w:bCs/>
          <w:color w:val="auto"/>
          <w:kern w:val="0"/>
          <w:szCs w:val="21"/>
          <w:highlight w:val="none"/>
          <w:lang w:val="en-US" w:eastAsia="zh-CN"/>
        </w:rPr>
        <w:t>根据实际需求，配套充足</w:t>
      </w:r>
      <w:r>
        <w:rPr>
          <w:rFonts w:hint="eastAsia" w:ascii="宋体" w:hAnsi="宋体" w:eastAsia="宋体" w:cs="宋体"/>
          <w:bCs/>
          <w:color w:val="auto"/>
          <w:kern w:val="0"/>
          <w:szCs w:val="21"/>
          <w:highlight w:val="none"/>
        </w:rPr>
        <w:t>持有叉车操作证</w:t>
      </w:r>
      <w:r>
        <w:rPr>
          <w:rFonts w:hint="eastAsia" w:ascii="宋体" w:hAnsi="宋体" w:eastAsia="宋体" w:cs="宋体"/>
          <w:bCs/>
          <w:color w:val="auto"/>
          <w:kern w:val="0"/>
          <w:szCs w:val="21"/>
          <w:highlight w:val="none"/>
          <w:lang w:val="en-US" w:eastAsia="zh-CN"/>
        </w:rPr>
        <w:t>的人员</w:t>
      </w:r>
      <w:r>
        <w:rPr>
          <w:rFonts w:hint="eastAsia" w:ascii="宋体" w:hAnsi="宋体" w:eastAsia="宋体" w:cs="宋体"/>
          <w:bCs/>
          <w:color w:val="auto"/>
          <w:kern w:val="0"/>
          <w:szCs w:val="21"/>
          <w:highlight w:val="none"/>
        </w:rPr>
        <w:t>）。合同履约过程中如有新要求，招标人</w:t>
      </w:r>
      <w:r>
        <w:rPr>
          <w:rFonts w:hint="eastAsia" w:ascii="宋体" w:hAnsi="宋体" w:eastAsia="宋体" w:cs="宋体"/>
          <w:bCs/>
          <w:color w:val="auto"/>
          <w:kern w:val="0"/>
          <w:szCs w:val="21"/>
          <w:highlight w:val="none"/>
          <w:lang w:val="en-US" w:eastAsia="zh-CN"/>
        </w:rPr>
        <w:t>将</w:t>
      </w:r>
      <w:r>
        <w:rPr>
          <w:rFonts w:hint="eastAsia" w:ascii="宋体" w:hAnsi="宋体" w:eastAsia="宋体" w:cs="宋体"/>
          <w:bCs/>
          <w:color w:val="auto"/>
          <w:kern w:val="0"/>
          <w:szCs w:val="21"/>
          <w:highlight w:val="none"/>
        </w:rPr>
        <w:t>以书面形式通知</w:t>
      </w:r>
      <w:r>
        <w:rPr>
          <w:rFonts w:hint="eastAsia" w:ascii="宋体" w:hAnsi="宋体" w:eastAsia="宋体" w:cs="宋体"/>
          <w:bCs/>
          <w:color w:val="auto"/>
          <w:kern w:val="0"/>
          <w:szCs w:val="21"/>
          <w:highlight w:val="none"/>
          <w:lang w:val="en-US" w:eastAsia="zh-CN"/>
        </w:rPr>
        <w:t>中标人</w:t>
      </w:r>
      <w:r>
        <w:rPr>
          <w:rFonts w:hint="eastAsia" w:ascii="宋体" w:hAnsi="宋体" w:eastAsia="宋体" w:cs="宋体"/>
          <w:bCs/>
          <w:color w:val="auto"/>
          <w:kern w:val="0"/>
          <w:szCs w:val="21"/>
          <w:highlight w:val="none"/>
        </w:rPr>
        <w:t>。</w:t>
      </w:r>
    </w:p>
    <w:p w14:paraId="425CB03F">
      <w:pPr>
        <w:autoSpaceDE w:val="0"/>
        <w:autoSpaceDN w:val="0"/>
        <w:adjustRightInd w:val="0"/>
        <w:spacing w:line="360" w:lineRule="auto"/>
        <w:ind w:firstLine="420" w:firstLineChars="200"/>
        <w:jc w:val="left"/>
        <w:outlineLvl w:val="9"/>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8、中标人应做好生产现场卫生工作，保证项目生产现场室内、外环境干净整洁，物品摆放整齐，无烟头污渍等，照明设施完好，道路通畅，生产设备设施的外立面简洁美观，无明显的破损及渗漏，无泥水、泥饼等跑、冒、滴、漏的现象。</w:t>
      </w:r>
    </w:p>
    <w:p w14:paraId="7EC21159">
      <w:pPr>
        <w:autoSpaceDE w:val="0"/>
        <w:autoSpaceDN w:val="0"/>
        <w:adjustRightInd w:val="0"/>
        <w:spacing w:line="360" w:lineRule="auto"/>
        <w:ind w:firstLine="420" w:firstLineChars="200"/>
        <w:jc w:val="left"/>
        <w:outlineLvl w:val="9"/>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9、</w:t>
      </w:r>
      <w:r>
        <w:rPr>
          <w:rFonts w:hint="eastAsia" w:ascii="宋体" w:hAnsi="宋体" w:eastAsia="宋体" w:cs="宋体"/>
          <w:bCs/>
          <w:color w:val="auto"/>
          <w:kern w:val="0"/>
          <w:szCs w:val="21"/>
          <w:highlight w:val="none"/>
          <w:lang w:val="en-US" w:eastAsia="zh-CN"/>
        </w:rPr>
        <w:t>中标人应</w:t>
      </w:r>
      <w:r>
        <w:rPr>
          <w:rFonts w:hint="eastAsia" w:ascii="宋体" w:hAnsi="宋体" w:eastAsia="宋体" w:cs="宋体"/>
          <w:bCs/>
          <w:color w:val="auto"/>
          <w:kern w:val="0"/>
          <w:szCs w:val="21"/>
          <w:highlight w:val="none"/>
        </w:rPr>
        <w:t>接受和配合招标人及其上级主管部门对本项目的监督管理，服从招标人安全生产管理，如发现中标人未按招标人要求或执行内容不符合设计和规范要求行为的（包括但不限于系统操作不当、未按要求对设备进行维护等），招标人有权要求中标人限期改正，由此产生的费用由中标人全部承担。</w:t>
      </w:r>
    </w:p>
    <w:p w14:paraId="51545161">
      <w:pPr>
        <w:autoSpaceDE w:val="0"/>
        <w:autoSpaceDN w:val="0"/>
        <w:adjustRightInd w:val="0"/>
        <w:spacing w:line="360" w:lineRule="auto"/>
        <w:ind w:firstLine="420" w:firstLineChars="200"/>
        <w:jc w:val="left"/>
        <w:outlineLvl w:val="9"/>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10、其它属于本项目</w:t>
      </w:r>
      <w:r>
        <w:rPr>
          <w:rFonts w:hint="eastAsia" w:ascii="宋体" w:hAnsi="宋体" w:eastAsia="宋体" w:cs="宋体"/>
          <w:bCs/>
          <w:color w:val="auto"/>
          <w:kern w:val="0"/>
          <w:szCs w:val="21"/>
          <w:highlight w:val="none"/>
          <w:lang w:val="en-US" w:eastAsia="zh-CN"/>
        </w:rPr>
        <w:t>服务</w:t>
      </w:r>
      <w:r>
        <w:rPr>
          <w:rFonts w:hint="eastAsia" w:ascii="宋体" w:hAnsi="宋体" w:eastAsia="宋体" w:cs="宋体"/>
          <w:bCs/>
          <w:color w:val="auto"/>
          <w:kern w:val="0"/>
          <w:szCs w:val="21"/>
          <w:highlight w:val="none"/>
        </w:rPr>
        <w:t>范围内的招标人临时交办的</w:t>
      </w:r>
      <w:r>
        <w:rPr>
          <w:rFonts w:hint="eastAsia" w:ascii="宋体" w:hAnsi="宋体" w:eastAsia="宋体" w:cs="宋体"/>
          <w:bCs/>
          <w:color w:val="auto"/>
          <w:kern w:val="0"/>
          <w:szCs w:val="21"/>
          <w:highlight w:val="none"/>
          <w:lang w:val="en-US" w:eastAsia="zh-CN"/>
        </w:rPr>
        <w:t>服务</w:t>
      </w:r>
      <w:r>
        <w:rPr>
          <w:rFonts w:hint="eastAsia" w:ascii="宋体" w:hAnsi="宋体" w:eastAsia="宋体" w:cs="宋体"/>
          <w:bCs/>
          <w:color w:val="auto"/>
          <w:kern w:val="0"/>
          <w:szCs w:val="21"/>
          <w:highlight w:val="none"/>
        </w:rPr>
        <w:t>任务。</w:t>
      </w:r>
    </w:p>
    <w:p w14:paraId="5D11C771">
      <w:pPr>
        <w:autoSpaceDE w:val="0"/>
        <w:autoSpaceDN w:val="0"/>
        <w:adjustRightInd w:val="0"/>
        <w:spacing w:line="360" w:lineRule="auto"/>
        <w:ind w:firstLine="422" w:firstLineChars="200"/>
        <w:jc w:val="left"/>
        <w:outlineLvl w:val="9"/>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五、管理要求</w:t>
      </w:r>
    </w:p>
    <w:p w14:paraId="4B8CE7A6">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1、中标人应根据设备操作人员数量和项目情况，配备专门的项目管理人员，负责管理</w:t>
      </w:r>
      <w:r>
        <w:rPr>
          <w:rFonts w:hint="eastAsia" w:ascii="宋体" w:hAnsi="宋体" w:eastAsia="宋体" w:cs="宋体"/>
          <w:color w:val="auto"/>
          <w:kern w:val="0"/>
          <w:szCs w:val="21"/>
          <w:highlight w:val="none"/>
          <w:lang w:val="en-US" w:eastAsia="zh-CN"/>
        </w:rPr>
        <w:t>配合服务</w:t>
      </w:r>
      <w:r>
        <w:rPr>
          <w:rFonts w:hint="eastAsia" w:ascii="宋体" w:hAnsi="宋体" w:eastAsia="宋体" w:cs="宋体"/>
          <w:color w:val="auto"/>
          <w:kern w:val="0"/>
          <w:szCs w:val="21"/>
          <w:highlight w:val="none"/>
        </w:rPr>
        <w:t>设备操作人员的日常事务，协调处理</w:t>
      </w:r>
      <w:r>
        <w:rPr>
          <w:rFonts w:hint="eastAsia" w:ascii="宋体" w:hAnsi="宋体" w:eastAsia="宋体" w:cs="宋体"/>
          <w:color w:val="auto"/>
          <w:kern w:val="0"/>
          <w:szCs w:val="21"/>
          <w:highlight w:val="none"/>
          <w:lang w:val="en-US" w:eastAsia="zh-CN"/>
        </w:rPr>
        <w:t>配合服务</w:t>
      </w:r>
      <w:r>
        <w:rPr>
          <w:rFonts w:hint="eastAsia" w:ascii="宋体" w:hAnsi="宋体" w:eastAsia="宋体" w:cs="宋体"/>
          <w:color w:val="auto"/>
          <w:kern w:val="0"/>
          <w:szCs w:val="21"/>
          <w:highlight w:val="none"/>
        </w:rPr>
        <w:t>设备操作人员与招标人之间的关系。此外，每个已投产的项目，</w:t>
      </w:r>
      <w:r>
        <w:rPr>
          <w:rFonts w:hint="eastAsia" w:ascii="宋体" w:hAnsi="宋体" w:eastAsia="宋体" w:cs="宋体"/>
          <w:color w:val="auto"/>
          <w:kern w:val="0"/>
          <w:szCs w:val="21"/>
          <w:highlight w:val="none"/>
          <w:lang w:val="en-US" w:eastAsia="zh-CN"/>
        </w:rPr>
        <w:t>招标人</w:t>
      </w:r>
      <w:r>
        <w:rPr>
          <w:rFonts w:hint="eastAsia" w:ascii="宋体" w:hAnsi="宋体" w:eastAsia="宋体" w:cs="宋体"/>
          <w:color w:val="auto"/>
          <w:kern w:val="0"/>
          <w:szCs w:val="21"/>
          <w:highlight w:val="none"/>
        </w:rPr>
        <w:t>安排1名现场生产班长驻点，负责统筹项目点内安全生产、</w:t>
      </w:r>
      <w:r>
        <w:rPr>
          <w:rFonts w:hint="eastAsia" w:ascii="宋体" w:hAnsi="宋体" w:eastAsia="宋体" w:cs="宋体"/>
          <w:color w:val="auto"/>
          <w:kern w:val="0"/>
          <w:szCs w:val="21"/>
          <w:highlight w:val="none"/>
          <w:lang w:val="en-US" w:eastAsia="zh-CN"/>
        </w:rPr>
        <w:t>中标人履约情况监督</w:t>
      </w:r>
      <w:r>
        <w:rPr>
          <w:rFonts w:hint="eastAsia" w:ascii="宋体" w:hAnsi="宋体" w:eastAsia="宋体" w:cs="宋体"/>
          <w:color w:val="auto"/>
          <w:kern w:val="0"/>
          <w:szCs w:val="21"/>
          <w:highlight w:val="none"/>
        </w:rPr>
        <w:t>、设备常规保养、药耗管控、仓库物资管控等工作，如涉及生产项目的设备操作或工艺调整的问题以招标人的现场生产班长指令为主。</w:t>
      </w:r>
    </w:p>
    <w:p w14:paraId="21070830">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2、中标人收到招标人</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进场通知书</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后，应根据项目点生产情况，在10个工作日内安排充足的</w:t>
      </w:r>
      <w:r>
        <w:rPr>
          <w:rFonts w:hint="eastAsia" w:ascii="宋体" w:hAnsi="宋体" w:eastAsia="宋体" w:cs="宋体"/>
          <w:color w:val="auto"/>
          <w:kern w:val="0"/>
          <w:szCs w:val="21"/>
          <w:highlight w:val="none"/>
          <w:lang w:val="en-US" w:eastAsia="zh-CN"/>
        </w:rPr>
        <w:t>配合服务</w:t>
      </w:r>
      <w:r>
        <w:rPr>
          <w:rFonts w:hint="eastAsia" w:ascii="宋体" w:hAnsi="宋体" w:eastAsia="宋体" w:cs="宋体"/>
          <w:color w:val="auto"/>
          <w:kern w:val="0"/>
          <w:szCs w:val="21"/>
          <w:highlight w:val="none"/>
        </w:rPr>
        <w:t>设备操作人员，必须满足污水厂的污泥脱水需求，且不论项目点是否停产，需保持</w:t>
      </w:r>
      <w:r>
        <w:rPr>
          <w:rFonts w:hint="eastAsia" w:ascii="宋体" w:hAnsi="宋体" w:eastAsia="宋体" w:cs="宋体"/>
          <w:color w:val="auto"/>
          <w:kern w:val="0"/>
          <w:szCs w:val="21"/>
          <w:highlight w:val="none"/>
          <w:lang w:val="en-US" w:eastAsia="zh-CN"/>
        </w:rPr>
        <w:t>每个项目</w:t>
      </w:r>
      <w:r>
        <w:rPr>
          <w:rFonts w:hint="eastAsia" w:ascii="宋体" w:hAnsi="宋体" w:eastAsia="宋体" w:cs="宋体"/>
          <w:color w:val="auto"/>
          <w:kern w:val="0"/>
          <w:szCs w:val="21"/>
          <w:highlight w:val="none"/>
        </w:rPr>
        <w:t>24小时必须有人员值班，每班至少1人。</w:t>
      </w:r>
    </w:p>
    <w:p w14:paraId="4A23DFF5">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3、中标人</w:t>
      </w:r>
      <w:r>
        <w:rPr>
          <w:rFonts w:hint="eastAsia" w:ascii="宋体" w:hAnsi="宋体" w:eastAsia="宋体" w:cs="宋体"/>
          <w:color w:val="auto"/>
          <w:szCs w:val="21"/>
          <w:highlight w:val="none"/>
        </w:rPr>
        <w:t>应按</w:t>
      </w:r>
      <w:r>
        <w:rPr>
          <w:rFonts w:hint="eastAsia" w:ascii="宋体" w:hAnsi="宋体" w:eastAsia="宋体" w:cs="宋体"/>
          <w:color w:val="auto"/>
          <w:szCs w:val="21"/>
          <w:highlight w:val="none"/>
          <w:lang w:val="en-US" w:eastAsia="zh-CN"/>
        </w:rPr>
        <w:t>招标人</w:t>
      </w:r>
      <w:r>
        <w:rPr>
          <w:rFonts w:hint="eastAsia" w:ascii="宋体" w:hAnsi="宋体" w:eastAsia="宋体" w:cs="宋体"/>
          <w:color w:val="auto"/>
          <w:szCs w:val="21"/>
          <w:highlight w:val="none"/>
        </w:rPr>
        <w:t>的要求连续不断的使用</w:t>
      </w:r>
      <w:r>
        <w:rPr>
          <w:rFonts w:hint="eastAsia" w:ascii="宋体" w:hAnsi="宋体" w:eastAsia="宋体" w:cs="宋体"/>
          <w:color w:val="auto"/>
          <w:szCs w:val="21"/>
          <w:highlight w:val="none"/>
          <w:lang w:val="en-US" w:eastAsia="zh-CN"/>
        </w:rPr>
        <w:t>招标人</w:t>
      </w:r>
      <w:r>
        <w:rPr>
          <w:rFonts w:hint="eastAsia" w:ascii="宋体" w:hAnsi="宋体" w:eastAsia="宋体" w:cs="宋体"/>
          <w:color w:val="auto"/>
          <w:szCs w:val="21"/>
          <w:highlight w:val="none"/>
        </w:rPr>
        <w:t>提供的污泥脱水减量设备进行生产，若</w:t>
      </w:r>
      <w:r>
        <w:rPr>
          <w:rFonts w:hint="eastAsia" w:ascii="宋体" w:hAnsi="宋体" w:eastAsia="宋体" w:cs="宋体"/>
          <w:color w:val="auto"/>
          <w:szCs w:val="21"/>
          <w:highlight w:val="none"/>
          <w:lang w:val="en-US" w:eastAsia="zh-CN"/>
        </w:rPr>
        <w:t>中标人</w:t>
      </w:r>
      <w:r>
        <w:rPr>
          <w:rFonts w:hint="eastAsia" w:ascii="宋体" w:hAnsi="宋体" w:eastAsia="宋体" w:cs="宋体"/>
          <w:color w:val="auto"/>
          <w:szCs w:val="21"/>
          <w:highlight w:val="none"/>
        </w:rPr>
        <w:t>出现人力不足时，</w:t>
      </w:r>
      <w:r>
        <w:rPr>
          <w:rFonts w:hint="eastAsia" w:ascii="宋体" w:hAnsi="宋体" w:eastAsia="宋体" w:cs="宋体"/>
          <w:color w:val="auto"/>
          <w:szCs w:val="21"/>
          <w:highlight w:val="none"/>
          <w:lang w:val="en-US" w:eastAsia="zh-CN"/>
        </w:rPr>
        <w:t>中标人</w:t>
      </w:r>
      <w:r>
        <w:rPr>
          <w:rFonts w:hint="eastAsia" w:ascii="宋体" w:hAnsi="宋体" w:eastAsia="宋体" w:cs="宋体"/>
          <w:color w:val="auto"/>
          <w:szCs w:val="21"/>
          <w:highlight w:val="none"/>
        </w:rPr>
        <w:t>有义务增加人员，以满足项目需求。</w:t>
      </w:r>
    </w:p>
    <w:p w14:paraId="763CAE98">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4、招标人可根据实际情况或需求，对</w:t>
      </w:r>
      <w:r>
        <w:rPr>
          <w:rFonts w:hint="eastAsia" w:ascii="宋体" w:hAnsi="宋体" w:eastAsia="宋体" w:cs="宋体"/>
          <w:color w:val="auto"/>
          <w:kern w:val="0"/>
          <w:szCs w:val="21"/>
          <w:highlight w:val="none"/>
          <w:lang w:val="en-US" w:eastAsia="zh-CN"/>
        </w:rPr>
        <w:t>配合服务</w:t>
      </w:r>
      <w:r>
        <w:rPr>
          <w:rFonts w:hint="eastAsia" w:ascii="宋体" w:hAnsi="宋体" w:eastAsia="宋体" w:cs="宋体"/>
          <w:color w:val="auto"/>
          <w:kern w:val="0"/>
          <w:szCs w:val="21"/>
          <w:highlight w:val="none"/>
        </w:rPr>
        <w:t>设备操作人员的</w:t>
      </w:r>
      <w:r>
        <w:rPr>
          <w:rFonts w:hint="eastAsia" w:ascii="宋体" w:hAnsi="宋体" w:eastAsia="宋体" w:cs="宋体"/>
          <w:color w:val="auto"/>
          <w:kern w:val="0"/>
          <w:szCs w:val="21"/>
          <w:highlight w:val="none"/>
          <w:lang w:val="en-US" w:eastAsia="zh-CN"/>
        </w:rPr>
        <w:t>服务时间</w:t>
      </w:r>
      <w:r>
        <w:rPr>
          <w:rFonts w:hint="eastAsia" w:ascii="宋体" w:hAnsi="宋体" w:eastAsia="宋体" w:cs="宋体"/>
          <w:color w:val="auto"/>
          <w:kern w:val="0"/>
          <w:szCs w:val="21"/>
          <w:highlight w:val="none"/>
        </w:rPr>
        <w:t>进行</w:t>
      </w:r>
      <w:r>
        <w:rPr>
          <w:rFonts w:hint="eastAsia" w:ascii="宋体" w:hAnsi="宋体" w:eastAsia="宋体" w:cs="宋体"/>
          <w:color w:val="auto"/>
          <w:kern w:val="0"/>
          <w:szCs w:val="21"/>
          <w:highlight w:val="none"/>
          <w:lang w:val="en-US" w:eastAsia="zh-CN"/>
        </w:rPr>
        <w:t>合理调整</w:t>
      </w:r>
      <w:r>
        <w:rPr>
          <w:rFonts w:hint="eastAsia" w:ascii="宋体" w:hAnsi="宋体" w:eastAsia="宋体" w:cs="宋体"/>
          <w:color w:val="auto"/>
          <w:kern w:val="0"/>
          <w:szCs w:val="21"/>
          <w:highlight w:val="none"/>
        </w:rPr>
        <w:t>，中标人必须服从，且</w:t>
      </w:r>
      <w:r>
        <w:rPr>
          <w:rFonts w:hint="eastAsia" w:ascii="宋体" w:hAnsi="宋体" w:eastAsia="宋体" w:cs="宋体"/>
          <w:color w:val="auto"/>
          <w:kern w:val="0"/>
          <w:szCs w:val="21"/>
          <w:highlight w:val="none"/>
          <w:lang w:val="en-US" w:eastAsia="zh-CN"/>
        </w:rPr>
        <w:t>配合服务</w:t>
      </w:r>
      <w:r>
        <w:rPr>
          <w:rFonts w:hint="eastAsia" w:ascii="宋体" w:hAnsi="宋体" w:eastAsia="宋体" w:cs="宋体"/>
          <w:color w:val="auto"/>
          <w:kern w:val="0"/>
          <w:szCs w:val="21"/>
          <w:highlight w:val="none"/>
        </w:rPr>
        <w:t>设备操作人员必须符合招标人的</w:t>
      </w:r>
      <w:r>
        <w:rPr>
          <w:rFonts w:hint="eastAsia" w:ascii="宋体" w:hAnsi="宋体" w:eastAsia="宋体" w:cs="宋体"/>
          <w:color w:val="auto"/>
          <w:kern w:val="0"/>
          <w:szCs w:val="21"/>
          <w:highlight w:val="none"/>
          <w:lang w:val="en-US" w:eastAsia="zh-CN"/>
        </w:rPr>
        <w:t>服务</w:t>
      </w:r>
      <w:r>
        <w:rPr>
          <w:rFonts w:hint="eastAsia" w:ascii="宋体" w:hAnsi="宋体" w:eastAsia="宋体" w:cs="宋体"/>
          <w:color w:val="auto"/>
          <w:kern w:val="0"/>
          <w:szCs w:val="21"/>
          <w:highlight w:val="none"/>
        </w:rPr>
        <w:t>要求。</w:t>
      </w:r>
    </w:p>
    <w:p w14:paraId="0D159201">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5、招标人有权要求调换不适合</w:t>
      </w:r>
      <w:r>
        <w:rPr>
          <w:rFonts w:hint="eastAsia" w:ascii="宋体" w:hAnsi="宋体" w:eastAsia="宋体" w:cs="宋体"/>
          <w:color w:val="auto"/>
          <w:kern w:val="0"/>
          <w:szCs w:val="21"/>
          <w:highlight w:val="none"/>
          <w:lang w:val="en-US" w:eastAsia="zh-CN"/>
        </w:rPr>
        <w:t>服务</w:t>
      </w:r>
      <w:r>
        <w:rPr>
          <w:rFonts w:hint="eastAsia" w:ascii="宋体" w:hAnsi="宋体" w:eastAsia="宋体" w:cs="宋体"/>
          <w:color w:val="auto"/>
          <w:kern w:val="0"/>
          <w:szCs w:val="21"/>
          <w:highlight w:val="none"/>
        </w:rPr>
        <w:t>要求的设备操作人员。在服务期间，</w:t>
      </w:r>
      <w:r>
        <w:rPr>
          <w:rFonts w:hint="eastAsia" w:ascii="宋体" w:hAnsi="宋体" w:eastAsia="宋体" w:cs="宋体"/>
          <w:color w:val="auto"/>
          <w:kern w:val="0"/>
          <w:szCs w:val="21"/>
          <w:highlight w:val="none"/>
          <w:lang w:val="en-US" w:eastAsia="zh-CN"/>
        </w:rPr>
        <w:t>为保持服务的连续性，</w:t>
      </w:r>
      <w:r>
        <w:rPr>
          <w:rFonts w:hint="eastAsia" w:ascii="宋体" w:hAnsi="宋体" w:eastAsia="宋体" w:cs="宋体"/>
          <w:color w:val="auto"/>
          <w:kern w:val="0"/>
          <w:szCs w:val="21"/>
          <w:highlight w:val="none"/>
        </w:rPr>
        <w:t>未经招标人</w:t>
      </w:r>
      <w:r>
        <w:rPr>
          <w:rFonts w:hint="eastAsia" w:ascii="宋体" w:hAnsi="宋体" w:eastAsia="宋体" w:cs="宋体"/>
          <w:color w:val="auto"/>
          <w:kern w:val="0"/>
          <w:szCs w:val="21"/>
          <w:highlight w:val="none"/>
          <w:lang w:val="en-US" w:eastAsia="zh-CN"/>
        </w:rPr>
        <w:t>书面</w:t>
      </w:r>
      <w:r>
        <w:rPr>
          <w:rFonts w:hint="eastAsia" w:ascii="宋体" w:hAnsi="宋体" w:eastAsia="宋体" w:cs="宋体"/>
          <w:color w:val="auto"/>
          <w:kern w:val="0"/>
          <w:szCs w:val="21"/>
          <w:highlight w:val="none"/>
        </w:rPr>
        <w:t>同意，中标人不得随意更换</w:t>
      </w:r>
      <w:r>
        <w:rPr>
          <w:rFonts w:hint="eastAsia" w:ascii="宋体" w:hAnsi="宋体" w:eastAsia="宋体" w:cs="宋体"/>
          <w:color w:val="auto"/>
          <w:kern w:val="0"/>
          <w:szCs w:val="21"/>
          <w:highlight w:val="none"/>
          <w:lang w:val="en-US" w:eastAsia="zh-CN"/>
        </w:rPr>
        <w:t>配合服务</w:t>
      </w:r>
      <w:r>
        <w:rPr>
          <w:rFonts w:hint="eastAsia" w:ascii="宋体" w:hAnsi="宋体" w:eastAsia="宋体" w:cs="宋体"/>
          <w:color w:val="auto"/>
          <w:kern w:val="0"/>
          <w:szCs w:val="21"/>
          <w:highlight w:val="none"/>
        </w:rPr>
        <w:t>设备操作人员。</w:t>
      </w:r>
      <w:r>
        <w:rPr>
          <w:rFonts w:hint="eastAsia" w:ascii="宋体" w:hAnsi="宋体" w:eastAsia="宋体" w:cs="宋体"/>
          <w:color w:val="auto"/>
          <w:kern w:val="0"/>
          <w:szCs w:val="21"/>
          <w:highlight w:val="none"/>
          <w:lang w:val="en-US" w:eastAsia="zh-CN"/>
        </w:rPr>
        <w:t>如有配合服务设备操作人员离职需更换，中标人应提前10天</w:t>
      </w:r>
      <w:r>
        <w:rPr>
          <w:rFonts w:hint="eastAsia" w:ascii="宋体" w:hAnsi="宋体" w:eastAsia="宋体" w:cs="宋体"/>
          <w:color w:val="auto"/>
          <w:kern w:val="0"/>
          <w:szCs w:val="21"/>
          <w:highlight w:val="none"/>
        </w:rPr>
        <w:t>告知招标人。</w:t>
      </w:r>
      <w:r>
        <w:rPr>
          <w:rFonts w:hint="eastAsia" w:ascii="宋体" w:hAnsi="宋体" w:eastAsia="宋体" w:cs="宋体"/>
          <w:color w:val="auto"/>
          <w:kern w:val="0"/>
          <w:szCs w:val="21"/>
          <w:highlight w:val="none"/>
          <w:lang w:val="en-US" w:eastAsia="zh-CN"/>
        </w:rPr>
        <w:t>配合服务</w:t>
      </w:r>
      <w:r>
        <w:rPr>
          <w:rFonts w:hint="eastAsia" w:ascii="宋体" w:hAnsi="宋体" w:eastAsia="宋体" w:cs="宋体"/>
          <w:color w:val="auto"/>
          <w:kern w:val="0"/>
          <w:szCs w:val="21"/>
          <w:highlight w:val="none"/>
        </w:rPr>
        <w:t>设备操作人员因为调走、辞职、被中标人辞退或其他原因导致人手不足的，</w:t>
      </w:r>
      <w:r>
        <w:rPr>
          <w:rFonts w:hint="eastAsia" w:ascii="宋体" w:hAnsi="宋体" w:eastAsia="宋体" w:cs="宋体"/>
          <w:color w:val="auto"/>
          <w:kern w:val="0"/>
          <w:szCs w:val="21"/>
          <w:highlight w:val="none"/>
          <w:lang w:val="en-US" w:eastAsia="zh-CN"/>
        </w:rPr>
        <w:t>中标人</w:t>
      </w:r>
      <w:r>
        <w:rPr>
          <w:rFonts w:hint="eastAsia" w:ascii="宋体" w:hAnsi="宋体" w:eastAsia="宋体" w:cs="宋体"/>
          <w:color w:val="auto"/>
          <w:kern w:val="0"/>
          <w:szCs w:val="21"/>
          <w:highlight w:val="none"/>
        </w:rPr>
        <w:t>必须在3个工作日内补充</w:t>
      </w:r>
      <w:r>
        <w:rPr>
          <w:rFonts w:hint="eastAsia" w:ascii="宋体" w:hAnsi="宋体" w:eastAsia="宋体" w:cs="宋体"/>
          <w:color w:val="auto"/>
          <w:kern w:val="0"/>
          <w:szCs w:val="21"/>
          <w:highlight w:val="none"/>
          <w:lang w:val="en-US" w:eastAsia="zh-CN"/>
        </w:rPr>
        <w:t>符合招标人要求的配合服务设备操作</w:t>
      </w:r>
      <w:r>
        <w:rPr>
          <w:rFonts w:hint="eastAsia" w:ascii="宋体" w:hAnsi="宋体" w:eastAsia="宋体" w:cs="宋体"/>
          <w:color w:val="auto"/>
          <w:kern w:val="0"/>
          <w:szCs w:val="21"/>
          <w:highlight w:val="none"/>
        </w:rPr>
        <w:t>人员以满足项目生产需要。</w:t>
      </w:r>
    </w:p>
    <w:p w14:paraId="0D805715">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6、由于</w:t>
      </w:r>
      <w:r>
        <w:rPr>
          <w:rFonts w:hint="eastAsia" w:ascii="宋体" w:hAnsi="宋体" w:eastAsia="宋体" w:cs="宋体"/>
          <w:color w:val="auto"/>
          <w:kern w:val="0"/>
          <w:szCs w:val="21"/>
          <w:highlight w:val="none"/>
          <w:lang w:val="en-US" w:eastAsia="zh-CN"/>
        </w:rPr>
        <w:t>非招标人原因造成配合服务设备操作人员的人身或财产损害，所产生的损失及后果由乙方承担。</w:t>
      </w:r>
      <w:r>
        <w:rPr>
          <w:rFonts w:hint="eastAsia" w:ascii="宋体" w:hAnsi="宋体" w:eastAsia="宋体" w:cs="宋体"/>
          <w:color w:val="auto"/>
          <w:kern w:val="0"/>
          <w:szCs w:val="21"/>
          <w:highlight w:val="none"/>
        </w:rPr>
        <w:t>因</w:t>
      </w:r>
      <w:r>
        <w:rPr>
          <w:rFonts w:hint="eastAsia" w:ascii="宋体" w:hAnsi="宋体" w:eastAsia="宋体" w:cs="宋体"/>
          <w:color w:val="auto"/>
          <w:kern w:val="0"/>
          <w:szCs w:val="21"/>
          <w:highlight w:val="none"/>
          <w:lang w:val="en-US" w:eastAsia="zh-CN"/>
        </w:rPr>
        <w:t>配合服务</w:t>
      </w:r>
      <w:r>
        <w:rPr>
          <w:rFonts w:hint="eastAsia" w:ascii="宋体" w:hAnsi="宋体" w:eastAsia="宋体" w:cs="宋体"/>
          <w:color w:val="auto"/>
          <w:kern w:val="0"/>
          <w:szCs w:val="21"/>
          <w:highlight w:val="none"/>
        </w:rPr>
        <w:t>设备操作人员蓄意破坏招标人现场设备设施、违反相关管理规定造成招标人损失的，视为中标人严重违约，</w:t>
      </w:r>
      <w:r>
        <w:rPr>
          <w:rFonts w:hint="eastAsia" w:ascii="宋体" w:hAnsi="宋体" w:eastAsia="宋体" w:cs="宋体"/>
          <w:color w:val="auto"/>
          <w:kern w:val="0"/>
          <w:szCs w:val="21"/>
          <w:highlight w:val="none"/>
          <w:lang w:val="en-US" w:eastAsia="zh-CN"/>
        </w:rPr>
        <w:t>由中标人承担相应的违约责任，并赔偿招标人损失</w:t>
      </w:r>
      <w:r>
        <w:rPr>
          <w:rFonts w:hint="eastAsia" w:ascii="宋体" w:hAnsi="宋体" w:eastAsia="宋体" w:cs="宋体"/>
          <w:color w:val="auto"/>
          <w:kern w:val="0"/>
          <w:szCs w:val="21"/>
          <w:highlight w:val="none"/>
        </w:rPr>
        <w:t>。</w:t>
      </w:r>
    </w:p>
    <w:p w14:paraId="3B955EC2">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7、中标人项目管理人员应配合招标人对各生产项目的药剂使用量、物资使用量及电耗进行监管，杜绝不必要的浪费。</w:t>
      </w:r>
    </w:p>
    <w:p w14:paraId="1CFE0B90">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8、中标人对安排到招标人现场的</w:t>
      </w:r>
      <w:r>
        <w:rPr>
          <w:rFonts w:hint="eastAsia" w:ascii="宋体" w:hAnsi="宋体" w:eastAsia="宋体" w:cs="宋体"/>
          <w:color w:val="auto"/>
          <w:kern w:val="0"/>
          <w:szCs w:val="21"/>
          <w:highlight w:val="none"/>
          <w:lang w:val="en-US" w:eastAsia="zh-CN"/>
        </w:rPr>
        <w:t>配合服务</w:t>
      </w:r>
      <w:r>
        <w:rPr>
          <w:rFonts w:hint="eastAsia" w:ascii="宋体" w:hAnsi="宋体" w:eastAsia="宋体" w:cs="宋体"/>
          <w:color w:val="auto"/>
          <w:kern w:val="0"/>
          <w:szCs w:val="21"/>
          <w:highlight w:val="none"/>
        </w:rPr>
        <w:t>设备操作人员，需建立花名册（包含姓名、性别、身份证号、联系电话、人员健康情况是否满足生产需求）。</w:t>
      </w:r>
      <w:r>
        <w:rPr>
          <w:rFonts w:hint="eastAsia" w:ascii="宋体" w:hAnsi="宋体" w:eastAsia="宋体" w:cs="宋体"/>
          <w:color w:val="auto"/>
          <w:szCs w:val="21"/>
          <w:highlight w:val="none"/>
          <w:lang w:val="en-US" w:eastAsia="zh-CN"/>
        </w:rPr>
        <w:t>中标人</w:t>
      </w:r>
      <w:r>
        <w:rPr>
          <w:rFonts w:hint="eastAsia" w:ascii="宋体" w:hAnsi="宋体" w:eastAsia="宋体" w:cs="宋体"/>
          <w:color w:val="auto"/>
          <w:szCs w:val="21"/>
          <w:highlight w:val="none"/>
        </w:rPr>
        <w:t>需在派驻设备操作人员到项目点的</w:t>
      </w:r>
      <w:r>
        <w:rPr>
          <w:rFonts w:ascii="宋体" w:hAnsi="宋体" w:eastAsia="宋体" w:cs="宋体"/>
          <w:color w:val="auto"/>
          <w:szCs w:val="21"/>
          <w:highlight w:val="none"/>
        </w:rPr>
        <w:t>2</w:t>
      </w:r>
      <w:r>
        <w:rPr>
          <w:rFonts w:hint="eastAsia" w:ascii="宋体" w:hAnsi="宋体" w:eastAsia="宋体" w:cs="宋体"/>
          <w:color w:val="auto"/>
          <w:szCs w:val="21"/>
          <w:highlight w:val="none"/>
        </w:rPr>
        <w:t>日内，将</w:t>
      </w:r>
      <w:r>
        <w:rPr>
          <w:rFonts w:hint="eastAsia" w:ascii="宋体" w:hAnsi="宋体" w:eastAsia="宋体" w:cs="宋体"/>
          <w:color w:val="auto"/>
          <w:szCs w:val="21"/>
          <w:highlight w:val="none"/>
          <w:lang w:val="en-US" w:eastAsia="zh-CN"/>
        </w:rPr>
        <w:t>进场人员花名册</w:t>
      </w:r>
      <w:r>
        <w:rPr>
          <w:rFonts w:hint="eastAsia" w:ascii="宋体" w:hAnsi="宋体" w:eastAsia="宋体" w:cs="宋体"/>
          <w:color w:val="auto"/>
          <w:szCs w:val="21"/>
          <w:highlight w:val="none"/>
        </w:rPr>
        <w:t>交给</w:t>
      </w:r>
      <w:r>
        <w:rPr>
          <w:rFonts w:hint="eastAsia" w:ascii="宋体" w:hAnsi="宋体" w:eastAsia="宋体" w:cs="宋体"/>
          <w:color w:val="auto"/>
          <w:szCs w:val="21"/>
          <w:highlight w:val="none"/>
          <w:lang w:val="en-US" w:eastAsia="zh-CN"/>
        </w:rPr>
        <w:t>招标人</w:t>
      </w:r>
      <w:r>
        <w:rPr>
          <w:rFonts w:hint="eastAsia" w:ascii="宋体" w:hAnsi="宋体" w:eastAsia="宋体" w:cs="宋体"/>
          <w:color w:val="auto"/>
          <w:szCs w:val="21"/>
          <w:highlight w:val="none"/>
        </w:rPr>
        <w:t>报备。</w:t>
      </w:r>
    </w:p>
    <w:p w14:paraId="498FBE7D">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9、中标人应</w:t>
      </w:r>
      <w:r>
        <w:rPr>
          <w:rFonts w:hint="eastAsia" w:ascii="宋体" w:hAnsi="宋体" w:eastAsia="宋体" w:cs="宋体"/>
          <w:color w:val="auto"/>
          <w:kern w:val="0"/>
          <w:szCs w:val="21"/>
          <w:highlight w:val="none"/>
          <w:lang w:val="en-US" w:eastAsia="zh-CN"/>
        </w:rPr>
        <w:t>按招标人要求，</w:t>
      </w:r>
      <w:r>
        <w:rPr>
          <w:rFonts w:hint="eastAsia" w:ascii="宋体" w:hAnsi="宋体" w:eastAsia="宋体" w:cs="宋体"/>
          <w:color w:val="auto"/>
          <w:kern w:val="0"/>
          <w:szCs w:val="21"/>
          <w:highlight w:val="none"/>
        </w:rPr>
        <w:t>要求</w:t>
      </w:r>
      <w:r>
        <w:rPr>
          <w:rFonts w:hint="eastAsia" w:ascii="宋体" w:hAnsi="宋体" w:eastAsia="宋体" w:cs="宋体"/>
          <w:color w:val="auto"/>
          <w:kern w:val="0"/>
          <w:szCs w:val="21"/>
          <w:highlight w:val="none"/>
          <w:lang w:val="en-US" w:eastAsia="zh-CN"/>
        </w:rPr>
        <w:t>配合服务</w:t>
      </w:r>
      <w:r>
        <w:rPr>
          <w:rFonts w:hint="eastAsia" w:ascii="宋体" w:hAnsi="宋体" w:eastAsia="宋体" w:cs="宋体"/>
          <w:color w:val="auto"/>
          <w:kern w:val="0"/>
          <w:szCs w:val="21"/>
          <w:highlight w:val="none"/>
        </w:rPr>
        <w:t>设备操作人员严格遵守招标人的规章制度和管理规范规程、忠于职守、文明礼貌、严格遵守劳动纪律、服从和执行招标人做出的</w:t>
      </w:r>
      <w:r>
        <w:rPr>
          <w:rFonts w:hint="eastAsia" w:ascii="宋体" w:hAnsi="宋体" w:eastAsia="宋体" w:cs="宋体"/>
          <w:color w:val="auto"/>
          <w:kern w:val="0"/>
          <w:szCs w:val="21"/>
          <w:highlight w:val="none"/>
          <w:lang w:val="en-US" w:eastAsia="zh-CN"/>
        </w:rPr>
        <w:t>服务</w:t>
      </w:r>
      <w:r>
        <w:rPr>
          <w:rFonts w:hint="eastAsia" w:ascii="宋体" w:hAnsi="宋体" w:eastAsia="宋体" w:cs="宋体"/>
          <w:color w:val="auto"/>
          <w:kern w:val="0"/>
          <w:szCs w:val="21"/>
          <w:highlight w:val="none"/>
        </w:rPr>
        <w:t>安排，</w:t>
      </w:r>
      <w:r>
        <w:rPr>
          <w:rFonts w:hint="eastAsia" w:ascii="宋体" w:hAnsi="宋体" w:eastAsia="宋体" w:cs="宋体"/>
          <w:color w:val="auto"/>
          <w:kern w:val="0"/>
          <w:szCs w:val="21"/>
          <w:highlight w:val="none"/>
          <w:lang w:val="en-US" w:eastAsia="zh-CN"/>
        </w:rPr>
        <w:t>中标人应</w:t>
      </w:r>
      <w:r>
        <w:rPr>
          <w:rFonts w:hint="eastAsia" w:ascii="宋体" w:hAnsi="宋体" w:eastAsia="宋体" w:cs="宋体"/>
          <w:color w:val="auto"/>
          <w:kern w:val="0"/>
          <w:szCs w:val="21"/>
          <w:highlight w:val="none"/>
        </w:rPr>
        <w:t>接受招标人</w:t>
      </w:r>
      <w:r>
        <w:rPr>
          <w:rFonts w:hint="eastAsia" w:ascii="宋体" w:hAnsi="宋体" w:eastAsia="宋体" w:cs="宋体"/>
          <w:color w:val="auto"/>
          <w:kern w:val="0"/>
          <w:szCs w:val="21"/>
          <w:highlight w:val="none"/>
          <w:lang w:val="en-US" w:eastAsia="zh-CN"/>
        </w:rPr>
        <w:t>管理人员</w:t>
      </w:r>
      <w:r>
        <w:rPr>
          <w:rFonts w:hint="eastAsia" w:ascii="宋体" w:hAnsi="宋体" w:eastAsia="宋体" w:cs="宋体"/>
          <w:color w:val="auto"/>
          <w:kern w:val="0"/>
          <w:szCs w:val="21"/>
          <w:highlight w:val="none"/>
        </w:rPr>
        <w:t>的检查监督。</w:t>
      </w:r>
    </w:p>
    <w:p w14:paraId="5525E4AB">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10、中标人应教育、督促</w:t>
      </w:r>
      <w:r>
        <w:rPr>
          <w:rFonts w:hint="eastAsia" w:ascii="宋体" w:hAnsi="宋体" w:eastAsia="宋体" w:cs="宋体"/>
          <w:color w:val="auto"/>
          <w:kern w:val="0"/>
          <w:szCs w:val="21"/>
          <w:highlight w:val="none"/>
          <w:lang w:val="en-US" w:eastAsia="zh-CN"/>
        </w:rPr>
        <w:t>配合服务</w:t>
      </w:r>
      <w:r>
        <w:rPr>
          <w:rFonts w:hint="eastAsia" w:ascii="宋体" w:hAnsi="宋体" w:eastAsia="宋体" w:cs="宋体"/>
          <w:color w:val="auto"/>
          <w:kern w:val="0"/>
          <w:szCs w:val="21"/>
          <w:highlight w:val="none"/>
        </w:rPr>
        <w:t>设备操作人员不得以任何形式向他人提供或泄露招标人的商业秘密，保证招标人利益不受损失，对招标人各类资料、业务数据等应按照招标人相关文件及工作要求执行保密工作。中标人在提供服务期间获悉的招标人信息，负有保密义务。本保密义务不因服务合同的解除或终止而失效，直至保密信息被依法公开为止。</w:t>
      </w:r>
    </w:p>
    <w:p w14:paraId="28E2960B">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11、中标人须接受招标人对</w:t>
      </w:r>
      <w:r>
        <w:rPr>
          <w:rFonts w:hint="eastAsia" w:ascii="宋体" w:hAnsi="宋体" w:eastAsia="宋体" w:cs="宋体"/>
          <w:color w:val="auto"/>
          <w:kern w:val="0"/>
          <w:szCs w:val="21"/>
          <w:highlight w:val="none"/>
          <w:lang w:val="en-US" w:eastAsia="zh-CN"/>
        </w:rPr>
        <w:t>其</w:t>
      </w:r>
      <w:r>
        <w:rPr>
          <w:rFonts w:hint="eastAsia" w:ascii="宋体" w:hAnsi="宋体" w:eastAsia="宋体" w:cs="宋体"/>
          <w:color w:val="auto"/>
          <w:kern w:val="0"/>
          <w:szCs w:val="21"/>
          <w:highlight w:val="none"/>
        </w:rPr>
        <w:t>提供的服务质量检查，且须保证能随时接受行业主管部门的质量考核，并对招标人提出的服务质量改进建议予以及时响应和整改。</w:t>
      </w:r>
    </w:p>
    <w:p w14:paraId="56E73603">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中标人应定期向招标人汇报服务项目的相关事项，</w:t>
      </w:r>
      <w:r>
        <w:rPr>
          <w:rFonts w:hint="eastAsia" w:ascii="宋体" w:hAnsi="宋体" w:eastAsia="宋体" w:cs="宋体"/>
          <w:color w:val="auto"/>
          <w:kern w:val="0"/>
          <w:szCs w:val="21"/>
          <w:highlight w:val="none"/>
        </w:rPr>
        <w:t>如发生突发性事件，中标人应及时向招标人通报。</w:t>
      </w:r>
    </w:p>
    <w:p w14:paraId="01C806F5">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、中标人应严格执行《中华人民共和国安全生产法》、《企业安全生产标准化基本规范》（</w:t>
      </w:r>
      <w:r>
        <w:rPr>
          <w:rFonts w:hint="eastAsia" w:ascii="宋体" w:hAnsi="宋体" w:eastAsia="宋体" w:cs="宋体"/>
          <w:color w:val="auto"/>
          <w:kern w:val="0"/>
          <w:szCs w:val="21"/>
          <w:highlight w:val="none"/>
        </w:rPr>
        <w:fldChar w:fldCharType="begin"/>
      </w:r>
      <w:r>
        <w:rPr>
          <w:rFonts w:hint="eastAsia" w:ascii="宋体" w:hAnsi="宋体" w:eastAsia="宋体" w:cs="宋体"/>
          <w:color w:val="auto"/>
          <w:kern w:val="0"/>
          <w:szCs w:val="21"/>
          <w:highlight w:val="none"/>
        </w:rPr>
        <w:instrText xml:space="preserve"> HYPERLINK "http://www.csres.com/detail/292641.html" \t "http://www.csres.com/detail/_blank" </w:instrText>
      </w:r>
      <w:r>
        <w:rPr>
          <w:rFonts w:hint="eastAsia" w:ascii="宋体" w:hAnsi="宋体" w:eastAsia="宋体" w:cs="宋体"/>
          <w:color w:val="auto"/>
          <w:kern w:val="0"/>
          <w:szCs w:val="21"/>
          <w:highlight w:val="none"/>
        </w:rPr>
        <w:fldChar w:fldCharType="separate"/>
      </w:r>
      <w:r>
        <w:rPr>
          <w:rFonts w:hint="eastAsia" w:ascii="宋体" w:hAnsi="宋体" w:eastAsia="宋体" w:cs="宋体"/>
          <w:color w:val="auto"/>
          <w:kern w:val="0"/>
          <w:szCs w:val="21"/>
          <w:highlight w:val="none"/>
        </w:rPr>
        <w:t>GB/T 33000-2016</w:t>
      </w:r>
      <w:r>
        <w:rPr>
          <w:rFonts w:hint="eastAsia" w:ascii="宋体" w:hAnsi="宋体" w:eastAsia="宋体" w:cs="宋体"/>
          <w:color w:val="auto"/>
          <w:kern w:val="0"/>
          <w:szCs w:val="21"/>
          <w:highlight w:val="none"/>
        </w:rPr>
        <w:fldChar w:fldCharType="end"/>
      </w:r>
      <w:r>
        <w:rPr>
          <w:rFonts w:hint="eastAsia" w:ascii="宋体" w:hAnsi="宋体" w:eastAsia="宋体" w:cs="宋体"/>
          <w:color w:val="auto"/>
          <w:kern w:val="0"/>
          <w:szCs w:val="21"/>
          <w:highlight w:val="none"/>
        </w:rPr>
        <w:t>）等国家有关安全生产和劳动保护的规范和标准，贯彻执行招标人各项安全生产管理规章制度，熟知作业场所和工作岗位存在的危险因素、防范措施以及事故应急措施，并制定相应的操作规程。</w:t>
      </w:r>
    </w:p>
    <w:p w14:paraId="585A504E">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、中标人应当以自身的技术和劳动力完成项目的主要工作，未经招标人书面同意，不得将承包项目分包或转包，否则视为中标人违约，招标人有权解除服务合同。</w:t>
      </w:r>
    </w:p>
    <w:p w14:paraId="527255EA">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w:t>
      </w:r>
      <w:r>
        <w:rPr>
          <w:rFonts w:hint="eastAsia" w:ascii="宋体" w:hAnsi="宋体" w:eastAsia="宋体" w:cs="宋体"/>
          <w:color w:val="auto"/>
          <w:kern w:val="0"/>
          <w:szCs w:val="21"/>
          <w:highlight w:val="none"/>
          <w:lang w:val="en-US" w:eastAsia="zh-CN"/>
        </w:rPr>
        <w:t>招标人</w:t>
      </w:r>
      <w:r>
        <w:rPr>
          <w:rFonts w:hint="eastAsia" w:ascii="宋体" w:hAnsi="宋体" w:eastAsia="宋体" w:cs="宋体"/>
          <w:color w:val="auto"/>
          <w:kern w:val="0"/>
          <w:szCs w:val="21"/>
          <w:highlight w:val="none"/>
        </w:rPr>
        <w:t>与</w:t>
      </w:r>
      <w:r>
        <w:rPr>
          <w:rFonts w:hint="eastAsia" w:ascii="宋体" w:hAnsi="宋体" w:eastAsia="宋体" w:cs="宋体"/>
          <w:color w:val="auto"/>
          <w:kern w:val="0"/>
          <w:szCs w:val="21"/>
          <w:highlight w:val="none"/>
          <w:lang w:val="en-US" w:eastAsia="zh-CN"/>
        </w:rPr>
        <w:t>中标人</w:t>
      </w:r>
      <w:r>
        <w:rPr>
          <w:rFonts w:hint="eastAsia" w:ascii="宋体" w:hAnsi="宋体" w:eastAsia="宋体" w:cs="宋体"/>
          <w:color w:val="auto"/>
          <w:kern w:val="0"/>
          <w:szCs w:val="21"/>
          <w:highlight w:val="none"/>
        </w:rPr>
        <w:t>安排的设备操作人员不存在任何劳动或劳务关系，</w:t>
      </w:r>
      <w:r>
        <w:rPr>
          <w:rFonts w:hint="eastAsia" w:ascii="宋体" w:hAnsi="宋体" w:eastAsia="宋体" w:cs="宋体"/>
          <w:color w:val="auto"/>
          <w:kern w:val="0"/>
          <w:szCs w:val="21"/>
          <w:highlight w:val="none"/>
          <w:lang w:val="en-US" w:eastAsia="zh-CN"/>
        </w:rPr>
        <w:t>中标人</w:t>
      </w:r>
      <w:r>
        <w:rPr>
          <w:rFonts w:hint="eastAsia" w:ascii="宋体" w:hAnsi="宋体" w:eastAsia="宋体" w:cs="宋体"/>
          <w:color w:val="auto"/>
          <w:kern w:val="0"/>
          <w:szCs w:val="21"/>
          <w:highlight w:val="none"/>
        </w:rPr>
        <w:t>应对其安排的设备操作人员人身、财产安全及相关行为负完全责任，并提供必要的劳动保护条件等，对其人员的意外工伤、死亡承担责任，负责处理与其人员产生的劳动争议，并承担有关追讨、诉讼及赔偿等费用，</w:t>
      </w:r>
      <w:r>
        <w:rPr>
          <w:rFonts w:hint="eastAsia" w:ascii="宋体" w:hAnsi="宋体" w:eastAsia="宋体" w:cs="宋体"/>
          <w:color w:val="auto"/>
          <w:kern w:val="0"/>
          <w:szCs w:val="21"/>
          <w:highlight w:val="none"/>
          <w:lang w:val="en-US" w:eastAsia="zh-CN"/>
        </w:rPr>
        <w:t>招标人</w:t>
      </w:r>
      <w:r>
        <w:rPr>
          <w:rFonts w:hint="eastAsia" w:ascii="宋体" w:hAnsi="宋体" w:eastAsia="宋体" w:cs="宋体"/>
          <w:color w:val="auto"/>
          <w:kern w:val="0"/>
          <w:szCs w:val="21"/>
          <w:highlight w:val="none"/>
        </w:rPr>
        <w:t>无须对这些意外工伤、死亡或劳动争议承担任何责任。</w:t>
      </w:r>
      <w:r>
        <w:rPr>
          <w:rFonts w:hint="eastAsia" w:ascii="宋体" w:hAnsi="宋体" w:eastAsia="宋体" w:cs="宋体"/>
          <w:color w:val="auto"/>
          <w:kern w:val="0"/>
          <w:szCs w:val="21"/>
          <w:highlight w:val="none"/>
          <w:lang w:val="en-US" w:eastAsia="zh-CN"/>
        </w:rPr>
        <w:t>中标人</w:t>
      </w:r>
      <w:r>
        <w:rPr>
          <w:rFonts w:hint="eastAsia" w:ascii="宋体" w:hAnsi="宋体" w:eastAsia="宋体" w:cs="宋体"/>
          <w:color w:val="auto"/>
          <w:kern w:val="0"/>
          <w:szCs w:val="21"/>
          <w:highlight w:val="none"/>
        </w:rPr>
        <w:t>应按时足额向设备操作人员发放工资报酬，若因</w:t>
      </w:r>
      <w:r>
        <w:rPr>
          <w:rFonts w:hint="eastAsia" w:ascii="宋体" w:hAnsi="宋体" w:eastAsia="宋体" w:cs="宋体"/>
          <w:color w:val="auto"/>
          <w:kern w:val="0"/>
          <w:szCs w:val="21"/>
          <w:highlight w:val="none"/>
          <w:lang w:val="en-US" w:eastAsia="zh-CN"/>
        </w:rPr>
        <w:t>中标人</w:t>
      </w:r>
      <w:r>
        <w:rPr>
          <w:rFonts w:hint="eastAsia" w:ascii="宋体" w:hAnsi="宋体" w:eastAsia="宋体" w:cs="宋体"/>
          <w:color w:val="auto"/>
          <w:kern w:val="0"/>
          <w:szCs w:val="21"/>
          <w:highlight w:val="none"/>
        </w:rPr>
        <w:t>未足额发放工资报酬而导致设备操作人员数量不能满足项目要求的，</w:t>
      </w:r>
      <w:r>
        <w:rPr>
          <w:rFonts w:hint="eastAsia" w:ascii="宋体" w:hAnsi="宋体" w:eastAsia="宋体" w:cs="宋体"/>
          <w:color w:val="auto"/>
          <w:kern w:val="0"/>
          <w:szCs w:val="21"/>
          <w:highlight w:val="none"/>
          <w:lang w:val="en-US" w:eastAsia="zh-CN"/>
        </w:rPr>
        <w:t>中标人</w:t>
      </w:r>
      <w:r>
        <w:rPr>
          <w:rFonts w:hint="eastAsia" w:ascii="宋体" w:hAnsi="宋体" w:eastAsia="宋体" w:cs="宋体"/>
          <w:color w:val="auto"/>
          <w:kern w:val="0"/>
          <w:szCs w:val="21"/>
          <w:highlight w:val="none"/>
        </w:rPr>
        <w:t>应立即补充安排充足的服务人员。</w:t>
      </w:r>
    </w:p>
    <w:p w14:paraId="4F890937">
      <w:pPr>
        <w:spacing w:after="120"/>
        <w:ind w:firstLine="210" w:firstLineChars="100"/>
        <w:outlineLvl w:val="9"/>
        <w:rPr>
          <w:rFonts w:hint="eastAsia" w:ascii="宋体" w:hAnsi="宋体" w:eastAsia="宋体" w:cs="宋体"/>
          <w:color w:val="auto"/>
          <w:szCs w:val="21"/>
          <w:highlight w:val="none"/>
        </w:rPr>
      </w:pPr>
    </w:p>
    <w:p w14:paraId="633A2287">
      <w:pPr>
        <w:pStyle w:val="2"/>
        <w:rPr>
          <w:rFonts w:hint="eastAsia" w:ascii="宋体" w:hAnsi="宋体" w:eastAsia="宋体" w:cs="宋体"/>
          <w:color w:val="auto"/>
          <w:szCs w:val="21"/>
          <w:highlight w:val="none"/>
        </w:rPr>
      </w:pPr>
    </w:p>
    <w:p w14:paraId="0B44357A">
      <w:pPr>
        <w:pStyle w:val="2"/>
        <w:rPr>
          <w:rFonts w:hint="eastAsia" w:ascii="宋体" w:hAnsi="宋体" w:eastAsia="宋体" w:cs="宋体"/>
          <w:color w:val="auto"/>
          <w:szCs w:val="21"/>
          <w:highlight w:val="none"/>
        </w:rPr>
      </w:pPr>
    </w:p>
    <w:p w14:paraId="5990D28E">
      <w:pPr>
        <w:pStyle w:val="2"/>
        <w:rPr>
          <w:rFonts w:hint="eastAsia" w:ascii="宋体" w:hAnsi="宋体" w:eastAsia="宋体" w:cs="宋体"/>
          <w:color w:val="auto"/>
          <w:szCs w:val="21"/>
          <w:highlight w:val="none"/>
        </w:rPr>
      </w:pPr>
    </w:p>
    <w:p w14:paraId="6E0E512F">
      <w:pPr>
        <w:pStyle w:val="2"/>
        <w:rPr>
          <w:rFonts w:hint="eastAsia" w:ascii="宋体" w:hAnsi="宋体" w:eastAsia="宋体" w:cs="宋体"/>
          <w:color w:val="auto"/>
          <w:szCs w:val="21"/>
          <w:highlight w:val="none"/>
        </w:rPr>
      </w:pPr>
    </w:p>
    <w:p w14:paraId="40C0DBDA">
      <w:pPr>
        <w:pStyle w:val="2"/>
        <w:rPr>
          <w:rFonts w:hint="eastAsia" w:ascii="宋体" w:hAnsi="宋体" w:eastAsia="宋体" w:cs="宋体"/>
          <w:color w:val="auto"/>
          <w:szCs w:val="21"/>
          <w:highlight w:val="none"/>
        </w:rPr>
      </w:pPr>
      <w:bookmarkStart w:id="15" w:name="_GoBack"/>
      <w:bookmarkEnd w:id="15"/>
    </w:p>
    <w:p w14:paraId="26983EA1">
      <w:pPr>
        <w:pStyle w:val="2"/>
        <w:rPr>
          <w:rFonts w:hint="eastAsia" w:ascii="宋体" w:hAnsi="宋体" w:eastAsia="宋体" w:cs="宋体"/>
          <w:color w:val="auto"/>
          <w:szCs w:val="21"/>
          <w:highlight w:val="none"/>
        </w:rPr>
      </w:pPr>
    </w:p>
    <w:p w14:paraId="4C011F70">
      <w:pPr>
        <w:pStyle w:val="2"/>
        <w:rPr>
          <w:rFonts w:hint="eastAsia" w:ascii="宋体" w:hAnsi="宋体" w:eastAsia="宋体" w:cs="宋体"/>
          <w:color w:val="auto"/>
          <w:szCs w:val="21"/>
          <w:highlight w:val="none"/>
        </w:rPr>
      </w:pPr>
    </w:p>
    <w:p w14:paraId="5B2B8D03">
      <w:pPr>
        <w:spacing w:after="120"/>
        <w:ind w:firstLine="210" w:firstLineChars="100"/>
        <w:outlineLvl w:val="9"/>
        <w:rPr>
          <w:rFonts w:hint="eastAsia" w:ascii="宋体" w:hAnsi="宋体" w:eastAsia="宋体" w:cs="宋体"/>
          <w:color w:val="auto"/>
          <w:szCs w:val="21"/>
          <w:highlight w:val="yellow"/>
        </w:rPr>
      </w:pPr>
    </w:p>
    <w:p w14:paraId="440DC988">
      <w:pPr>
        <w:spacing w:after="120"/>
        <w:ind w:firstLine="210" w:firstLineChars="1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附件1：污泥脱水减量配合服务项目信息表</w:t>
      </w:r>
    </w:p>
    <w:p w14:paraId="6DF97B8C">
      <w:pPr>
        <w:spacing w:after="120"/>
        <w:ind w:firstLine="210" w:firstLineChars="100"/>
        <w:outlineLvl w:val="9"/>
        <w:rPr>
          <w:rFonts w:hint="eastAsia" w:hAnsi="宋体"/>
          <w:b/>
          <w:color w:val="auto"/>
          <w:szCs w:val="18"/>
          <w:highlight w:val="none"/>
        </w:rPr>
      </w:pPr>
      <w:r>
        <w:drawing>
          <wp:inline distT="0" distB="0" distL="114300" distR="114300">
            <wp:extent cx="6442075" cy="5537200"/>
            <wp:effectExtent l="0" t="0" r="952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a:stretch>
                      <a:fillRect/>
                    </a:stretch>
                  </pic:blipFill>
                  <pic:spPr>
                    <a:xfrm>
                      <a:off x="0" y="0"/>
                      <a:ext cx="6442075" cy="5537200"/>
                    </a:xfrm>
                    <a:prstGeom prst="rect">
                      <a:avLst/>
                    </a:prstGeom>
                    <a:noFill/>
                    <a:ln>
                      <a:noFill/>
                    </a:ln>
                  </pic:spPr>
                </pic:pic>
              </a:graphicData>
            </a:graphic>
          </wp:inline>
        </w:drawing>
      </w:r>
    </w:p>
    <w:p w14:paraId="71781156">
      <w:pPr>
        <w:pageBreakBefore/>
        <w:spacing w:after="120"/>
        <w:ind w:firstLine="210" w:firstLineChars="100"/>
        <w:outlineLvl w:val="9"/>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rPr>
        <w:t>附件2</w:t>
      </w:r>
      <w:r>
        <w:rPr>
          <w:rFonts w:hint="eastAsia" w:ascii="宋体" w:hAnsi="宋体" w:eastAsia="宋体" w:cs="宋体"/>
          <w:color w:val="auto"/>
          <w:szCs w:val="24"/>
          <w:highlight w:val="none"/>
          <w:lang w:eastAsia="zh-CN"/>
        </w:rPr>
        <w:t>：</w:t>
      </w:r>
      <w:r>
        <w:rPr>
          <w:rFonts w:hint="eastAsia" w:ascii="宋体" w:hAnsi="宋体" w:eastAsia="宋体" w:cs="宋体"/>
          <w:color w:val="auto"/>
          <w:szCs w:val="24"/>
          <w:highlight w:val="none"/>
          <w:lang w:val="en-US" w:eastAsia="zh-CN"/>
        </w:rPr>
        <w:t>设备类型及操作主体</w:t>
      </w:r>
    </w:p>
    <w:p w14:paraId="493CF99C">
      <w:pPr>
        <w:autoSpaceDE w:val="0"/>
        <w:autoSpaceDN w:val="0"/>
        <w:adjustRightInd w:val="0"/>
        <w:spacing w:line="360" w:lineRule="auto"/>
        <w:jc w:val="center"/>
        <w:outlineLvl w:val="9"/>
        <w:rPr>
          <w:rFonts w:hint="default" w:ascii="宋体" w:hAnsi="宋体" w:eastAsia="宋体" w:cs="宋体"/>
          <w:b/>
          <w:color w:val="auto"/>
          <w:kern w:val="0"/>
          <w:sz w:val="32"/>
          <w:szCs w:val="21"/>
          <w:highlight w:val="none"/>
          <w:lang w:val="en-US" w:eastAsia="zh-CN"/>
        </w:rPr>
      </w:pPr>
      <w:r>
        <w:rPr>
          <w:rFonts w:hint="eastAsia" w:ascii="宋体" w:hAnsi="宋体" w:eastAsia="宋体" w:cs="宋体"/>
          <w:b/>
          <w:color w:val="auto"/>
          <w:kern w:val="0"/>
          <w:sz w:val="32"/>
          <w:szCs w:val="21"/>
          <w:highlight w:val="none"/>
          <w:lang w:val="en-US" w:eastAsia="zh-CN"/>
        </w:rPr>
        <w:t>设备类型及操作主体</w:t>
      </w:r>
    </w:p>
    <w:tbl>
      <w:tblPr>
        <w:tblStyle w:val="39"/>
        <w:tblW w:w="9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52"/>
        <w:gridCol w:w="5103"/>
        <w:gridCol w:w="1985"/>
      </w:tblGrid>
      <w:tr w14:paraId="2B562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2552" w:type="dxa"/>
            <w:vAlign w:val="center"/>
          </w:tcPr>
          <w:p w14:paraId="578958E4">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工艺段</w:t>
            </w:r>
          </w:p>
        </w:tc>
        <w:tc>
          <w:tcPr>
            <w:tcW w:w="5103" w:type="dxa"/>
            <w:vAlign w:val="center"/>
          </w:tcPr>
          <w:p w14:paraId="67BD6CCF">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设备类型</w:t>
            </w:r>
          </w:p>
        </w:tc>
        <w:tc>
          <w:tcPr>
            <w:tcW w:w="1985" w:type="dxa"/>
            <w:vAlign w:val="center"/>
          </w:tcPr>
          <w:p w14:paraId="55EB38E5">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操作主体</w:t>
            </w:r>
          </w:p>
        </w:tc>
      </w:tr>
      <w:tr w14:paraId="646F7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52" w:type="dxa"/>
            <w:vAlign w:val="center"/>
          </w:tcPr>
          <w:p w14:paraId="0448F19C">
            <w:pPr>
              <w:jc w:val="both"/>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浓缩调理阶段（存在重力浓缩和机械浓缩两种形式，因厂而异）</w:t>
            </w:r>
          </w:p>
        </w:tc>
        <w:tc>
          <w:tcPr>
            <w:tcW w:w="5103" w:type="dxa"/>
            <w:vAlign w:val="center"/>
          </w:tcPr>
          <w:p w14:paraId="140FEE01">
            <w:pPr>
              <w:jc w:val="both"/>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机械浓缩设备（含叠螺浓缩机、带式浓缩机、转鼓浓缩机、离心浓缩机）、调理搅拌器、</w:t>
            </w:r>
            <w:r>
              <w:rPr>
                <w:rFonts w:hint="eastAsia" w:ascii="宋体" w:hAnsi="宋体" w:eastAsia="宋体" w:cs="宋体"/>
                <w:color w:val="auto"/>
                <w:sz w:val="21"/>
                <w:szCs w:val="21"/>
                <w:highlight w:val="none"/>
              </w:rPr>
              <w:t>潜水泵、离心泵、耐腐蚀加药泵及PAM药剂配制机等</w:t>
            </w:r>
          </w:p>
        </w:tc>
        <w:tc>
          <w:tcPr>
            <w:tcW w:w="1985" w:type="dxa"/>
            <w:vAlign w:val="center"/>
          </w:tcPr>
          <w:p w14:paraId="11188E81">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中标人</w:t>
            </w:r>
          </w:p>
        </w:tc>
      </w:tr>
      <w:tr w14:paraId="10F36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2552" w:type="dxa"/>
            <w:vAlign w:val="center"/>
          </w:tcPr>
          <w:p w14:paraId="093C75D0">
            <w:pPr>
              <w:jc w:val="both"/>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进料压榨阶段</w:t>
            </w:r>
          </w:p>
        </w:tc>
        <w:tc>
          <w:tcPr>
            <w:tcW w:w="5103" w:type="dxa"/>
            <w:vAlign w:val="center"/>
          </w:tcPr>
          <w:p w14:paraId="1CB1504B">
            <w:pPr>
              <w:jc w:val="both"/>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板框压滤机、热泵（热水压榨的项目点使用）、螺杆泵、柱塞泵、压榨泵</w:t>
            </w:r>
          </w:p>
        </w:tc>
        <w:tc>
          <w:tcPr>
            <w:tcW w:w="1985" w:type="dxa"/>
            <w:vAlign w:val="center"/>
          </w:tcPr>
          <w:p w14:paraId="4E24383D">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中标人</w:t>
            </w:r>
          </w:p>
        </w:tc>
      </w:tr>
      <w:tr w14:paraId="43B6F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52" w:type="dxa"/>
            <w:vAlign w:val="center"/>
          </w:tcPr>
          <w:p w14:paraId="5AA8567D">
            <w:pPr>
              <w:jc w:val="both"/>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卸泥仓储及装车外运阶段（泥斗存储和泥仓存储两种形式，因厂而异）</w:t>
            </w:r>
          </w:p>
        </w:tc>
        <w:tc>
          <w:tcPr>
            <w:tcW w:w="5103" w:type="dxa"/>
            <w:vAlign w:val="center"/>
          </w:tcPr>
          <w:p w14:paraId="6FA9D0C4">
            <w:pPr>
              <w:jc w:val="both"/>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如使用泥斗:振动器、泥仓口启闭机构、抽湿机等；</w:t>
            </w:r>
          </w:p>
          <w:p w14:paraId="1556F743">
            <w:pPr>
              <w:jc w:val="both"/>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如使用泥仓：叉车、抽湿机等。</w:t>
            </w:r>
          </w:p>
        </w:tc>
        <w:tc>
          <w:tcPr>
            <w:tcW w:w="1985" w:type="dxa"/>
            <w:vAlign w:val="center"/>
          </w:tcPr>
          <w:p w14:paraId="2E79C63A">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中标人</w:t>
            </w:r>
          </w:p>
        </w:tc>
      </w:tr>
      <w:tr w14:paraId="77591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jc w:val="center"/>
        </w:trPr>
        <w:tc>
          <w:tcPr>
            <w:tcW w:w="2552" w:type="dxa"/>
            <w:vAlign w:val="center"/>
          </w:tcPr>
          <w:p w14:paraId="33DFC2B9">
            <w:pPr>
              <w:jc w:val="both"/>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含水率自查</w:t>
            </w:r>
          </w:p>
        </w:tc>
        <w:tc>
          <w:tcPr>
            <w:tcW w:w="5103" w:type="dxa"/>
            <w:vAlign w:val="center"/>
          </w:tcPr>
          <w:p w14:paraId="0E17C7FD">
            <w:pPr>
              <w:jc w:val="both"/>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含水率检测仪</w:t>
            </w:r>
          </w:p>
        </w:tc>
        <w:tc>
          <w:tcPr>
            <w:tcW w:w="1985" w:type="dxa"/>
            <w:vAlign w:val="center"/>
          </w:tcPr>
          <w:p w14:paraId="63488231">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投标人和中标人共同完成</w:t>
            </w:r>
          </w:p>
        </w:tc>
      </w:tr>
    </w:tbl>
    <w:p w14:paraId="073BA4AE">
      <w:pPr>
        <w:pageBreakBefore/>
        <w:spacing w:after="120"/>
        <w:ind w:firstLine="210" w:firstLineChars="100"/>
        <w:outlineLvl w:val="9"/>
        <w:rPr>
          <w:rFonts w:ascii="宋体" w:hAnsi="宋体" w:eastAsia="宋体" w:cs="宋体"/>
          <w:color w:val="auto"/>
          <w:szCs w:val="24"/>
          <w:highlight w:val="none"/>
        </w:rPr>
      </w:pPr>
      <w:r>
        <w:rPr>
          <w:rFonts w:hint="eastAsia" w:ascii="宋体" w:hAnsi="宋体" w:eastAsia="宋体" w:cs="宋体"/>
          <w:color w:val="auto"/>
          <w:szCs w:val="24"/>
          <w:highlight w:val="none"/>
        </w:rPr>
        <w:t>附件</w:t>
      </w:r>
      <w:r>
        <w:rPr>
          <w:rFonts w:hint="eastAsia" w:ascii="宋体" w:hAnsi="宋体" w:eastAsia="宋体" w:cs="宋体"/>
          <w:color w:val="auto"/>
          <w:szCs w:val="24"/>
          <w:highlight w:val="none"/>
          <w:lang w:val="en-US" w:eastAsia="zh-CN"/>
        </w:rPr>
        <w:t>3</w:t>
      </w:r>
      <w:r>
        <w:rPr>
          <w:rFonts w:hint="eastAsia" w:ascii="宋体" w:hAnsi="宋体" w:eastAsia="宋体" w:cs="宋体"/>
          <w:color w:val="auto"/>
          <w:szCs w:val="24"/>
          <w:highlight w:val="none"/>
        </w:rPr>
        <w:t>：履约评价表</w:t>
      </w:r>
    </w:p>
    <w:p w14:paraId="166059ED">
      <w:pPr>
        <w:autoSpaceDE w:val="0"/>
        <w:autoSpaceDN w:val="0"/>
        <w:adjustRightInd w:val="0"/>
        <w:spacing w:line="360" w:lineRule="auto"/>
        <w:jc w:val="center"/>
        <w:outlineLvl w:val="9"/>
        <w:rPr>
          <w:rFonts w:ascii="宋体" w:hAnsi="宋体" w:eastAsia="宋体" w:cs="宋体"/>
          <w:b/>
          <w:color w:val="auto"/>
          <w:kern w:val="0"/>
          <w:sz w:val="32"/>
          <w:szCs w:val="21"/>
          <w:highlight w:val="none"/>
        </w:rPr>
      </w:pPr>
      <w:r>
        <w:rPr>
          <w:rFonts w:hint="eastAsia" w:ascii="宋体" w:hAnsi="宋体" w:eastAsia="宋体" w:cs="宋体"/>
          <w:b/>
          <w:color w:val="auto"/>
          <w:kern w:val="0"/>
          <w:sz w:val="32"/>
          <w:szCs w:val="21"/>
          <w:highlight w:val="none"/>
        </w:rPr>
        <w:t>履约评价表</w:t>
      </w:r>
    </w:p>
    <w:tbl>
      <w:tblPr>
        <w:tblStyle w:val="38"/>
        <w:tblW w:w="516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6"/>
        <w:gridCol w:w="1285"/>
        <w:gridCol w:w="2514"/>
        <w:gridCol w:w="2272"/>
        <w:gridCol w:w="653"/>
        <w:gridCol w:w="809"/>
        <w:gridCol w:w="797"/>
        <w:gridCol w:w="949"/>
        <w:gridCol w:w="949"/>
      </w:tblGrid>
      <w:tr w14:paraId="7BCF4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823" w:type="pct"/>
            <w:gridSpan w:val="2"/>
            <w:vAlign w:val="center"/>
          </w:tcPr>
          <w:p w14:paraId="56D261F3">
            <w:pPr>
              <w:widowControl/>
              <w:snapToGrid w:val="0"/>
              <w:jc w:val="center"/>
              <w:outlineLvl w:val="9"/>
              <w:rPr>
                <w:rFonts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甲方名称</w:t>
            </w:r>
          </w:p>
        </w:tc>
        <w:tc>
          <w:tcPr>
            <w:tcW w:w="4176" w:type="pct"/>
            <w:gridSpan w:val="7"/>
            <w:vAlign w:val="center"/>
          </w:tcPr>
          <w:p w14:paraId="7E70D904">
            <w:pPr>
              <w:widowControl/>
              <w:snapToGrid w:val="0"/>
              <w:jc w:val="left"/>
              <w:outlineLvl w:val="9"/>
              <w:rPr>
                <w:rFonts w:ascii="宋体" w:hAnsi="宋体" w:eastAsia="宋体" w:cs="宋体"/>
                <w:color w:val="auto"/>
                <w:kern w:val="0"/>
                <w:szCs w:val="21"/>
                <w:highlight w:val="none"/>
              </w:rPr>
            </w:pPr>
          </w:p>
        </w:tc>
      </w:tr>
      <w:tr w14:paraId="18555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823" w:type="pct"/>
            <w:gridSpan w:val="2"/>
            <w:vAlign w:val="center"/>
          </w:tcPr>
          <w:p w14:paraId="060772F9">
            <w:pPr>
              <w:widowControl/>
              <w:snapToGrid w:val="0"/>
              <w:jc w:val="center"/>
              <w:outlineLvl w:val="9"/>
              <w:rPr>
                <w:rFonts w:ascii="宋体" w:hAnsi="宋体" w:eastAsia="宋体" w:cs="宋体"/>
                <w:color w:val="auto"/>
                <w:kern w:val="0"/>
                <w:szCs w:val="21"/>
                <w:highlight w:val="none"/>
              </w:rPr>
            </w:pPr>
            <w:r>
              <w:rPr>
                <w:rFonts w:hint="eastAsia" w:ascii="宋体" w:hAnsi="宋体" w:eastAsia="宋体" w:cs="宋体"/>
                <w:bCs/>
                <w:color w:val="auto"/>
                <w:kern w:val="0"/>
                <w:szCs w:val="21"/>
                <w:highlight w:val="none"/>
              </w:rPr>
              <w:t>服务商</w:t>
            </w:r>
            <w:r>
              <w:rPr>
                <w:rFonts w:hint="eastAsia" w:ascii="宋体" w:hAnsi="宋体" w:eastAsia="宋体" w:cs="宋体"/>
                <w:color w:val="auto"/>
                <w:kern w:val="0"/>
                <w:szCs w:val="21"/>
                <w:highlight w:val="none"/>
              </w:rPr>
              <w:t>名称</w:t>
            </w:r>
          </w:p>
        </w:tc>
        <w:tc>
          <w:tcPr>
            <w:tcW w:w="4176" w:type="pct"/>
            <w:gridSpan w:val="7"/>
            <w:vAlign w:val="center"/>
          </w:tcPr>
          <w:p w14:paraId="65992191">
            <w:pPr>
              <w:widowControl/>
              <w:snapToGrid w:val="0"/>
              <w:jc w:val="left"/>
              <w:outlineLvl w:val="9"/>
              <w:rPr>
                <w:rFonts w:ascii="宋体" w:hAnsi="宋体" w:eastAsia="宋体" w:cs="宋体"/>
                <w:color w:val="auto"/>
                <w:kern w:val="0"/>
                <w:szCs w:val="21"/>
                <w:highlight w:val="none"/>
              </w:rPr>
            </w:pPr>
          </w:p>
        </w:tc>
      </w:tr>
      <w:tr w14:paraId="27C5F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823" w:type="pct"/>
            <w:gridSpan w:val="2"/>
            <w:vAlign w:val="center"/>
          </w:tcPr>
          <w:p w14:paraId="4E091647">
            <w:pPr>
              <w:widowControl/>
              <w:snapToGrid w:val="0"/>
              <w:jc w:val="center"/>
              <w:outlineLvl w:val="9"/>
              <w:rPr>
                <w:rFonts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项目点</w:t>
            </w:r>
          </w:p>
        </w:tc>
        <w:tc>
          <w:tcPr>
            <w:tcW w:w="4176" w:type="pct"/>
            <w:gridSpan w:val="7"/>
            <w:vAlign w:val="center"/>
          </w:tcPr>
          <w:p w14:paraId="1C3BB3CE">
            <w:pPr>
              <w:widowControl/>
              <w:snapToGrid w:val="0"/>
              <w:jc w:val="left"/>
              <w:outlineLvl w:val="9"/>
              <w:rPr>
                <w:rFonts w:ascii="宋体" w:hAnsi="宋体" w:eastAsia="宋体" w:cs="宋体"/>
                <w:color w:val="auto"/>
                <w:kern w:val="0"/>
                <w:szCs w:val="21"/>
                <w:highlight w:val="none"/>
              </w:rPr>
            </w:pPr>
          </w:p>
        </w:tc>
      </w:tr>
      <w:tr w14:paraId="355CD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223" w:type="pct"/>
            <w:vAlign w:val="center"/>
          </w:tcPr>
          <w:p w14:paraId="352A9034">
            <w:pPr>
              <w:widowControl/>
              <w:snapToGrid w:val="0"/>
              <w:jc w:val="center"/>
              <w:outlineLvl w:val="9"/>
              <w:rPr>
                <w:rFonts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序号</w:t>
            </w:r>
          </w:p>
        </w:tc>
        <w:tc>
          <w:tcPr>
            <w:tcW w:w="600" w:type="pct"/>
            <w:vAlign w:val="center"/>
          </w:tcPr>
          <w:p w14:paraId="1C3BCA91">
            <w:pPr>
              <w:widowControl/>
              <w:snapToGrid w:val="0"/>
              <w:jc w:val="center"/>
              <w:outlineLvl w:val="9"/>
              <w:rPr>
                <w:rFonts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履约评价项目</w:t>
            </w:r>
          </w:p>
        </w:tc>
        <w:tc>
          <w:tcPr>
            <w:tcW w:w="2235" w:type="pct"/>
            <w:gridSpan w:val="2"/>
            <w:vAlign w:val="center"/>
          </w:tcPr>
          <w:p w14:paraId="632E4B70">
            <w:pPr>
              <w:widowControl/>
              <w:snapToGrid w:val="0"/>
              <w:jc w:val="center"/>
              <w:outlineLvl w:val="9"/>
              <w:rPr>
                <w:rFonts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评价标准</w:t>
            </w:r>
          </w:p>
        </w:tc>
        <w:tc>
          <w:tcPr>
            <w:tcW w:w="682" w:type="pct"/>
            <w:gridSpan w:val="2"/>
            <w:vAlign w:val="center"/>
          </w:tcPr>
          <w:p w14:paraId="10A86616">
            <w:pPr>
              <w:widowControl/>
              <w:snapToGrid w:val="0"/>
              <w:jc w:val="center"/>
              <w:outlineLvl w:val="9"/>
              <w:rPr>
                <w:rFonts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评分说明</w:t>
            </w:r>
          </w:p>
        </w:tc>
        <w:tc>
          <w:tcPr>
            <w:tcW w:w="372" w:type="pct"/>
            <w:vAlign w:val="center"/>
          </w:tcPr>
          <w:p w14:paraId="77C7ECFF">
            <w:pPr>
              <w:widowControl/>
              <w:snapToGrid w:val="0"/>
              <w:jc w:val="center"/>
              <w:outlineLvl w:val="9"/>
              <w:rPr>
                <w:rFonts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分值</w:t>
            </w:r>
          </w:p>
        </w:tc>
        <w:tc>
          <w:tcPr>
            <w:tcW w:w="443" w:type="pct"/>
            <w:vAlign w:val="center"/>
          </w:tcPr>
          <w:p w14:paraId="0C6204C3">
            <w:pPr>
              <w:widowControl/>
              <w:snapToGrid w:val="0"/>
              <w:jc w:val="center"/>
              <w:outlineLvl w:val="9"/>
              <w:rPr>
                <w:rFonts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实得分</w:t>
            </w:r>
          </w:p>
        </w:tc>
        <w:tc>
          <w:tcPr>
            <w:tcW w:w="442" w:type="pct"/>
            <w:vAlign w:val="center"/>
          </w:tcPr>
          <w:p w14:paraId="6068DAA6">
            <w:pPr>
              <w:widowControl/>
              <w:snapToGrid w:val="0"/>
              <w:jc w:val="center"/>
              <w:outlineLvl w:val="9"/>
              <w:rPr>
                <w:rFonts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备注</w:t>
            </w:r>
          </w:p>
        </w:tc>
      </w:tr>
      <w:tr w14:paraId="249A1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223" w:type="pct"/>
            <w:vAlign w:val="center"/>
          </w:tcPr>
          <w:p w14:paraId="190C852C">
            <w:pPr>
              <w:widowControl/>
              <w:snapToGrid w:val="0"/>
              <w:jc w:val="center"/>
              <w:outlineLvl w:val="9"/>
              <w:rPr>
                <w:rFonts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1</w:t>
            </w:r>
          </w:p>
        </w:tc>
        <w:tc>
          <w:tcPr>
            <w:tcW w:w="600" w:type="pct"/>
            <w:vAlign w:val="center"/>
          </w:tcPr>
          <w:p w14:paraId="12F51AAD">
            <w:pPr>
              <w:widowControl/>
              <w:snapToGrid w:val="0"/>
              <w:jc w:val="center"/>
              <w:outlineLvl w:val="9"/>
              <w:rPr>
                <w:rFonts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生产产能</w:t>
            </w:r>
          </w:p>
        </w:tc>
        <w:tc>
          <w:tcPr>
            <w:tcW w:w="2235" w:type="pct"/>
            <w:gridSpan w:val="2"/>
            <w:vAlign w:val="center"/>
          </w:tcPr>
          <w:p w14:paraId="0232A838">
            <w:pPr>
              <w:widowControl/>
              <w:snapToGrid w:val="0"/>
              <w:outlineLvl w:val="9"/>
              <w:rPr>
                <w:rFonts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污泥产量满足项目所在污水厂的减量需求（污水处理厂书面投诉为扣罚依据，非因服务商原因导致的投诉除外）。</w:t>
            </w:r>
          </w:p>
        </w:tc>
        <w:tc>
          <w:tcPr>
            <w:tcW w:w="682" w:type="pct"/>
            <w:gridSpan w:val="2"/>
            <w:vAlign w:val="center"/>
          </w:tcPr>
          <w:p w14:paraId="3AA6F0A2">
            <w:pPr>
              <w:widowControl/>
              <w:snapToGrid w:val="0"/>
              <w:jc w:val="left"/>
              <w:outlineLvl w:val="9"/>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达到标准的得满分，每月每次有一项未达到标准的扣</w:t>
            </w:r>
            <w:r>
              <w:rPr>
                <w:rFonts w:ascii="宋体" w:hAnsi="宋体" w:eastAsia="宋体" w:cs="宋体"/>
                <w:color w:val="auto"/>
                <w:kern w:val="0"/>
                <w:szCs w:val="21"/>
                <w:highlight w:val="none"/>
              </w:rPr>
              <w:t>1</w:t>
            </w:r>
            <w:r>
              <w:rPr>
                <w:rFonts w:hint="eastAsia" w:ascii="宋体" w:hAnsi="宋体" w:eastAsia="宋体" w:cs="宋体"/>
                <w:color w:val="auto"/>
                <w:kern w:val="0"/>
                <w:szCs w:val="21"/>
                <w:highlight w:val="none"/>
              </w:rPr>
              <w:t>分。</w:t>
            </w:r>
          </w:p>
        </w:tc>
        <w:tc>
          <w:tcPr>
            <w:tcW w:w="372" w:type="pct"/>
            <w:vAlign w:val="center"/>
          </w:tcPr>
          <w:p w14:paraId="16977334">
            <w:pPr>
              <w:widowControl/>
              <w:snapToGrid w:val="0"/>
              <w:jc w:val="center"/>
              <w:outlineLvl w:val="9"/>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1</w:t>
            </w:r>
            <w:r>
              <w:rPr>
                <w:rFonts w:hint="eastAsia" w:ascii="宋体" w:hAnsi="宋体" w:eastAsia="宋体" w:cs="宋体"/>
                <w:color w:val="auto"/>
                <w:kern w:val="0"/>
                <w:szCs w:val="21"/>
                <w:highlight w:val="none"/>
              </w:rPr>
              <w:t>0</w:t>
            </w:r>
          </w:p>
        </w:tc>
        <w:tc>
          <w:tcPr>
            <w:tcW w:w="443" w:type="pct"/>
            <w:vAlign w:val="center"/>
          </w:tcPr>
          <w:p w14:paraId="43FC42AB">
            <w:pPr>
              <w:widowControl/>
              <w:snapToGrid w:val="0"/>
              <w:jc w:val="center"/>
              <w:outlineLvl w:val="9"/>
              <w:rPr>
                <w:rFonts w:ascii="宋体" w:hAnsi="宋体" w:eastAsia="宋体" w:cs="宋体"/>
                <w:bCs/>
                <w:color w:val="auto"/>
                <w:kern w:val="0"/>
                <w:szCs w:val="21"/>
                <w:highlight w:val="none"/>
              </w:rPr>
            </w:pPr>
          </w:p>
        </w:tc>
        <w:tc>
          <w:tcPr>
            <w:tcW w:w="442" w:type="pct"/>
            <w:vAlign w:val="center"/>
          </w:tcPr>
          <w:p w14:paraId="20AA0EDC">
            <w:pPr>
              <w:widowControl/>
              <w:snapToGrid w:val="0"/>
              <w:jc w:val="center"/>
              <w:outlineLvl w:val="9"/>
              <w:rPr>
                <w:rFonts w:ascii="宋体" w:hAnsi="宋体" w:eastAsia="宋体" w:cs="宋体"/>
                <w:bCs/>
                <w:color w:val="auto"/>
                <w:kern w:val="0"/>
                <w:szCs w:val="21"/>
                <w:highlight w:val="none"/>
              </w:rPr>
            </w:pPr>
          </w:p>
        </w:tc>
      </w:tr>
      <w:tr w14:paraId="7B3BA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223" w:type="pct"/>
            <w:vAlign w:val="center"/>
          </w:tcPr>
          <w:p w14:paraId="3BAB9790">
            <w:pPr>
              <w:widowControl/>
              <w:snapToGrid w:val="0"/>
              <w:jc w:val="center"/>
              <w:outlineLvl w:val="9"/>
              <w:rPr>
                <w:rFonts w:hint="eastAsia" w:ascii="宋体" w:hAnsi="宋体" w:eastAsia="宋体" w:cs="宋体"/>
                <w:bCs/>
                <w:color w:val="auto"/>
                <w:kern w:val="0"/>
                <w:szCs w:val="21"/>
                <w:highlight w:val="none"/>
                <w:lang w:val="en-US" w:eastAsia="zh-CN"/>
              </w:rPr>
            </w:pPr>
            <w:r>
              <w:rPr>
                <w:rFonts w:hint="eastAsia" w:ascii="宋体" w:hAnsi="宋体" w:eastAsia="宋体" w:cs="宋体"/>
                <w:bCs/>
                <w:color w:val="auto"/>
                <w:kern w:val="0"/>
                <w:szCs w:val="21"/>
                <w:highlight w:val="none"/>
                <w:lang w:val="en-US" w:eastAsia="zh-CN"/>
              </w:rPr>
              <w:t>2</w:t>
            </w:r>
          </w:p>
        </w:tc>
        <w:tc>
          <w:tcPr>
            <w:tcW w:w="600" w:type="pct"/>
            <w:vAlign w:val="center"/>
          </w:tcPr>
          <w:p w14:paraId="386F6838">
            <w:pPr>
              <w:widowControl/>
              <w:snapToGrid w:val="0"/>
              <w:jc w:val="center"/>
              <w:outlineLvl w:val="9"/>
              <w:rPr>
                <w:rFonts w:hint="default" w:ascii="宋体" w:hAnsi="宋体" w:eastAsia="宋体" w:cs="宋体"/>
                <w:bCs/>
                <w:color w:val="auto"/>
                <w:kern w:val="0"/>
                <w:szCs w:val="21"/>
                <w:highlight w:val="none"/>
                <w:lang w:val="en-US" w:eastAsia="zh-CN"/>
              </w:rPr>
            </w:pPr>
            <w:r>
              <w:rPr>
                <w:rFonts w:hint="eastAsia" w:ascii="宋体" w:hAnsi="宋体" w:eastAsia="宋体" w:cs="宋体"/>
                <w:bCs/>
                <w:color w:val="auto"/>
                <w:kern w:val="0"/>
                <w:szCs w:val="21"/>
                <w:highlight w:val="none"/>
                <w:lang w:val="en-US" w:eastAsia="zh-CN"/>
              </w:rPr>
              <w:t>生产含水率</w:t>
            </w:r>
          </w:p>
        </w:tc>
        <w:tc>
          <w:tcPr>
            <w:tcW w:w="2235" w:type="pct"/>
            <w:gridSpan w:val="2"/>
            <w:vAlign w:val="center"/>
          </w:tcPr>
          <w:p w14:paraId="00ABFB90">
            <w:pPr>
              <w:widowControl/>
              <w:snapToGrid w:val="0"/>
              <w:outlineLvl w:val="9"/>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当车外运含水率不得高于含水率标准（非因服务商原因导致的除外）。</w:t>
            </w:r>
          </w:p>
        </w:tc>
        <w:tc>
          <w:tcPr>
            <w:tcW w:w="682" w:type="pct"/>
            <w:gridSpan w:val="2"/>
            <w:vAlign w:val="center"/>
          </w:tcPr>
          <w:p w14:paraId="7783F80E">
            <w:pPr>
              <w:widowControl/>
              <w:snapToGrid w:val="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达到标准的得满分，每月每次有一项超出标准但未超过1.1倍以内（含1.1倍）的扣1分；超出标准1.1倍但未超过1.2倍（含1.2倍）的扣3分；超出标准1.2倍的扣5分，扣完为止。</w:t>
            </w:r>
          </w:p>
        </w:tc>
        <w:tc>
          <w:tcPr>
            <w:tcW w:w="372" w:type="pct"/>
            <w:vAlign w:val="center"/>
          </w:tcPr>
          <w:p w14:paraId="329D7935">
            <w:pPr>
              <w:widowControl/>
              <w:snapToGrid w:val="0"/>
              <w:jc w:val="center"/>
              <w:outlineLvl w:val="9"/>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30</w:t>
            </w:r>
          </w:p>
        </w:tc>
        <w:tc>
          <w:tcPr>
            <w:tcW w:w="443" w:type="pct"/>
            <w:vAlign w:val="center"/>
          </w:tcPr>
          <w:p w14:paraId="608C5F9D">
            <w:pPr>
              <w:widowControl/>
              <w:snapToGrid w:val="0"/>
              <w:jc w:val="center"/>
              <w:outlineLvl w:val="9"/>
              <w:rPr>
                <w:rFonts w:ascii="宋体" w:hAnsi="宋体" w:eastAsia="宋体" w:cs="宋体"/>
                <w:bCs/>
                <w:color w:val="auto"/>
                <w:kern w:val="0"/>
                <w:szCs w:val="21"/>
                <w:highlight w:val="none"/>
              </w:rPr>
            </w:pPr>
          </w:p>
        </w:tc>
        <w:tc>
          <w:tcPr>
            <w:tcW w:w="442" w:type="pct"/>
            <w:vAlign w:val="center"/>
          </w:tcPr>
          <w:p w14:paraId="642D3827">
            <w:pPr>
              <w:widowControl/>
              <w:snapToGrid w:val="0"/>
              <w:jc w:val="center"/>
              <w:outlineLvl w:val="9"/>
              <w:rPr>
                <w:rFonts w:ascii="宋体" w:hAnsi="宋体" w:eastAsia="宋体" w:cs="宋体"/>
                <w:bCs/>
                <w:color w:val="auto"/>
                <w:kern w:val="0"/>
                <w:szCs w:val="21"/>
                <w:highlight w:val="none"/>
              </w:rPr>
            </w:pPr>
          </w:p>
        </w:tc>
      </w:tr>
      <w:tr w14:paraId="72928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2" w:hRule="atLeast"/>
          <w:jc w:val="center"/>
        </w:trPr>
        <w:tc>
          <w:tcPr>
            <w:tcW w:w="223" w:type="pct"/>
            <w:vAlign w:val="center"/>
          </w:tcPr>
          <w:p w14:paraId="36FBFDA9">
            <w:pPr>
              <w:widowControl/>
              <w:snapToGrid w:val="0"/>
              <w:jc w:val="center"/>
              <w:outlineLvl w:val="9"/>
              <w:rPr>
                <w:rFonts w:hint="eastAsia" w:ascii="宋体" w:hAnsi="宋体" w:eastAsia="宋体" w:cs="宋体"/>
                <w:bCs/>
                <w:color w:val="auto"/>
                <w:kern w:val="0"/>
                <w:szCs w:val="21"/>
                <w:highlight w:val="none"/>
                <w:lang w:eastAsia="zh-CN"/>
              </w:rPr>
            </w:pPr>
            <w:r>
              <w:rPr>
                <w:rFonts w:hint="eastAsia" w:ascii="宋体" w:hAnsi="宋体" w:eastAsia="宋体" w:cs="宋体"/>
                <w:bCs/>
                <w:color w:val="auto"/>
                <w:kern w:val="0"/>
                <w:szCs w:val="21"/>
                <w:highlight w:val="none"/>
                <w:lang w:val="en-US" w:eastAsia="zh-CN"/>
              </w:rPr>
              <w:t>3</w:t>
            </w:r>
          </w:p>
        </w:tc>
        <w:tc>
          <w:tcPr>
            <w:tcW w:w="600" w:type="pct"/>
            <w:vAlign w:val="center"/>
          </w:tcPr>
          <w:p w14:paraId="715B739E">
            <w:pPr>
              <w:widowControl/>
              <w:snapToGrid w:val="0"/>
              <w:jc w:val="center"/>
              <w:outlineLvl w:val="9"/>
              <w:rPr>
                <w:rFonts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生产设备</w:t>
            </w:r>
          </w:p>
        </w:tc>
        <w:tc>
          <w:tcPr>
            <w:tcW w:w="2235" w:type="pct"/>
            <w:gridSpan w:val="2"/>
            <w:vAlign w:val="center"/>
          </w:tcPr>
          <w:p w14:paraId="594F7D81">
            <w:pPr>
              <w:widowControl/>
              <w:snapToGrid w:val="0"/>
              <w:outlineLvl w:val="9"/>
              <w:rPr>
                <w:rFonts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（1）乙方按照甲方制定的生产操作指引使用设备；</w:t>
            </w:r>
          </w:p>
          <w:p w14:paraId="6D4EFA7C">
            <w:pPr>
              <w:widowControl/>
              <w:snapToGrid w:val="0"/>
              <w:outlineLvl w:val="9"/>
              <w:rPr>
                <w:rFonts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（2）乙方按照甲方制定的设备、设施点检计划，如期完成点检工作；</w:t>
            </w:r>
          </w:p>
          <w:p w14:paraId="34E3E775">
            <w:pPr>
              <w:widowControl/>
              <w:snapToGrid w:val="0"/>
              <w:outlineLvl w:val="9"/>
              <w:rPr>
                <w:rFonts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（3）乙方按照甲方制定的设备、设施基础保养计划，如期完成基础保养工作（如机械硬件更换、滤布清洗或更换、管道补漏及防锈防腐等）；</w:t>
            </w:r>
          </w:p>
        </w:tc>
        <w:tc>
          <w:tcPr>
            <w:tcW w:w="682" w:type="pct"/>
            <w:gridSpan w:val="2"/>
            <w:vAlign w:val="center"/>
          </w:tcPr>
          <w:p w14:paraId="0CBB4B37">
            <w:pPr>
              <w:widowControl/>
              <w:snapToGrid w:val="0"/>
              <w:outlineLvl w:val="9"/>
              <w:rPr>
                <w:rFonts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达到标准的得满分，每月每次有一项未达到标准的扣</w:t>
            </w:r>
            <w:r>
              <w:rPr>
                <w:rFonts w:hint="eastAsia" w:ascii="宋体" w:hAnsi="宋体" w:eastAsia="宋体" w:cs="宋体"/>
                <w:bCs/>
                <w:color w:val="auto"/>
                <w:kern w:val="0"/>
                <w:szCs w:val="21"/>
                <w:highlight w:val="none"/>
                <w:lang w:val="en-US" w:eastAsia="zh-CN"/>
              </w:rPr>
              <w:t>1</w:t>
            </w:r>
            <w:r>
              <w:rPr>
                <w:rFonts w:hint="eastAsia" w:ascii="宋体" w:hAnsi="宋体" w:eastAsia="宋体" w:cs="宋体"/>
                <w:bCs/>
                <w:color w:val="auto"/>
                <w:kern w:val="0"/>
                <w:szCs w:val="21"/>
                <w:highlight w:val="none"/>
              </w:rPr>
              <w:t>分。</w:t>
            </w:r>
          </w:p>
        </w:tc>
        <w:tc>
          <w:tcPr>
            <w:tcW w:w="372" w:type="pct"/>
            <w:vAlign w:val="center"/>
          </w:tcPr>
          <w:p w14:paraId="1578F00C">
            <w:pPr>
              <w:widowControl/>
              <w:snapToGrid w:val="0"/>
              <w:jc w:val="center"/>
              <w:outlineLvl w:val="9"/>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1</w:t>
            </w:r>
            <w:r>
              <w:rPr>
                <w:rFonts w:hint="eastAsia" w:ascii="宋体" w:hAnsi="宋体" w:eastAsia="宋体" w:cs="宋体"/>
                <w:color w:val="auto"/>
                <w:kern w:val="0"/>
                <w:szCs w:val="21"/>
                <w:highlight w:val="none"/>
              </w:rPr>
              <w:t>0</w:t>
            </w:r>
          </w:p>
        </w:tc>
        <w:tc>
          <w:tcPr>
            <w:tcW w:w="443" w:type="pct"/>
            <w:vAlign w:val="center"/>
          </w:tcPr>
          <w:p w14:paraId="73EE87F6">
            <w:pPr>
              <w:widowControl/>
              <w:snapToGrid w:val="0"/>
              <w:jc w:val="center"/>
              <w:outlineLvl w:val="9"/>
              <w:rPr>
                <w:rFonts w:ascii="宋体" w:hAnsi="宋体" w:eastAsia="宋体" w:cs="宋体"/>
                <w:bCs/>
                <w:color w:val="auto"/>
                <w:kern w:val="0"/>
                <w:szCs w:val="21"/>
                <w:highlight w:val="none"/>
              </w:rPr>
            </w:pPr>
          </w:p>
        </w:tc>
        <w:tc>
          <w:tcPr>
            <w:tcW w:w="442" w:type="pct"/>
            <w:vAlign w:val="center"/>
          </w:tcPr>
          <w:p w14:paraId="3D30E2CC">
            <w:pPr>
              <w:widowControl/>
              <w:snapToGrid w:val="0"/>
              <w:jc w:val="center"/>
              <w:outlineLvl w:val="9"/>
              <w:rPr>
                <w:rFonts w:ascii="宋体" w:hAnsi="宋体" w:eastAsia="宋体" w:cs="宋体"/>
                <w:bCs/>
                <w:color w:val="auto"/>
                <w:kern w:val="0"/>
                <w:szCs w:val="21"/>
                <w:highlight w:val="none"/>
              </w:rPr>
            </w:pPr>
          </w:p>
        </w:tc>
      </w:tr>
      <w:tr w14:paraId="28692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2" w:hRule="atLeast"/>
          <w:jc w:val="center"/>
        </w:trPr>
        <w:tc>
          <w:tcPr>
            <w:tcW w:w="223" w:type="pct"/>
            <w:vAlign w:val="center"/>
          </w:tcPr>
          <w:p w14:paraId="59A766FD">
            <w:pPr>
              <w:widowControl/>
              <w:snapToGrid w:val="0"/>
              <w:jc w:val="center"/>
              <w:outlineLvl w:val="9"/>
              <w:rPr>
                <w:rFonts w:hint="eastAsia" w:ascii="宋体" w:hAnsi="宋体" w:eastAsia="宋体" w:cs="宋体"/>
                <w:bCs/>
                <w:color w:val="auto"/>
                <w:kern w:val="0"/>
                <w:szCs w:val="21"/>
                <w:highlight w:val="none"/>
                <w:lang w:eastAsia="zh-CN"/>
              </w:rPr>
            </w:pPr>
            <w:r>
              <w:rPr>
                <w:rFonts w:hint="eastAsia" w:ascii="宋体" w:hAnsi="宋体" w:eastAsia="宋体" w:cs="宋体"/>
                <w:bCs/>
                <w:color w:val="auto"/>
                <w:kern w:val="0"/>
                <w:szCs w:val="21"/>
                <w:highlight w:val="none"/>
                <w:lang w:val="en-US" w:eastAsia="zh-CN"/>
              </w:rPr>
              <w:t>4</w:t>
            </w:r>
          </w:p>
        </w:tc>
        <w:tc>
          <w:tcPr>
            <w:tcW w:w="600" w:type="pct"/>
            <w:vAlign w:val="center"/>
          </w:tcPr>
          <w:p w14:paraId="03909678">
            <w:pPr>
              <w:widowControl/>
              <w:snapToGrid w:val="0"/>
              <w:jc w:val="center"/>
              <w:outlineLvl w:val="9"/>
              <w:rPr>
                <w:rFonts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生产数据</w:t>
            </w:r>
          </w:p>
        </w:tc>
        <w:tc>
          <w:tcPr>
            <w:tcW w:w="2235" w:type="pct"/>
            <w:gridSpan w:val="2"/>
            <w:vAlign w:val="center"/>
          </w:tcPr>
          <w:p w14:paraId="2FC61712">
            <w:pPr>
              <w:widowControl/>
              <w:snapToGrid w:val="0"/>
              <w:outlineLvl w:val="9"/>
              <w:rPr>
                <w:rFonts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真实完整的数据记录：</w:t>
            </w:r>
          </w:p>
          <w:p w14:paraId="607492F1">
            <w:pPr>
              <w:widowControl/>
              <w:snapToGrid w:val="0"/>
              <w:outlineLvl w:val="9"/>
              <w:rPr>
                <w:rFonts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（1）生产日报表</w:t>
            </w:r>
          </w:p>
          <w:p w14:paraId="71B6D522">
            <w:pPr>
              <w:widowControl/>
              <w:snapToGrid w:val="0"/>
              <w:outlineLvl w:val="9"/>
              <w:rPr>
                <w:rFonts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（2）设备点检表</w:t>
            </w:r>
          </w:p>
          <w:p w14:paraId="544936C9">
            <w:pPr>
              <w:widowControl/>
              <w:snapToGrid w:val="0"/>
              <w:outlineLvl w:val="9"/>
              <w:rPr>
                <w:rFonts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（3）排班表</w:t>
            </w:r>
          </w:p>
          <w:p w14:paraId="72891F5C">
            <w:pPr>
              <w:widowControl/>
              <w:snapToGrid w:val="0"/>
              <w:outlineLvl w:val="9"/>
              <w:rPr>
                <w:rFonts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（4）考勤表</w:t>
            </w:r>
          </w:p>
          <w:p w14:paraId="3E4A1245">
            <w:pPr>
              <w:widowControl/>
              <w:snapToGrid w:val="0"/>
              <w:outlineLvl w:val="9"/>
              <w:rPr>
                <w:rFonts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（5）根据运营情况需记录的其他数据</w:t>
            </w:r>
          </w:p>
        </w:tc>
        <w:tc>
          <w:tcPr>
            <w:tcW w:w="682" w:type="pct"/>
            <w:gridSpan w:val="2"/>
            <w:vAlign w:val="center"/>
          </w:tcPr>
          <w:p w14:paraId="2072222E">
            <w:pPr>
              <w:widowControl/>
              <w:snapToGrid w:val="0"/>
              <w:outlineLvl w:val="9"/>
              <w:rPr>
                <w:rFonts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达到标准的得满分，每月每次有一项未达到标准的扣1分。</w:t>
            </w:r>
          </w:p>
        </w:tc>
        <w:tc>
          <w:tcPr>
            <w:tcW w:w="372" w:type="pct"/>
            <w:vAlign w:val="center"/>
          </w:tcPr>
          <w:p w14:paraId="35C567EA">
            <w:pPr>
              <w:widowControl/>
              <w:snapToGrid w:val="0"/>
              <w:jc w:val="center"/>
              <w:outlineLvl w:val="9"/>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w:t>
            </w:r>
          </w:p>
        </w:tc>
        <w:tc>
          <w:tcPr>
            <w:tcW w:w="443" w:type="pct"/>
            <w:vAlign w:val="center"/>
          </w:tcPr>
          <w:p w14:paraId="34A33B24">
            <w:pPr>
              <w:widowControl/>
              <w:snapToGrid w:val="0"/>
              <w:jc w:val="center"/>
              <w:outlineLvl w:val="9"/>
              <w:rPr>
                <w:rFonts w:ascii="宋体" w:hAnsi="宋体" w:eastAsia="宋体" w:cs="宋体"/>
                <w:bCs/>
                <w:color w:val="auto"/>
                <w:kern w:val="0"/>
                <w:szCs w:val="21"/>
                <w:highlight w:val="none"/>
              </w:rPr>
            </w:pPr>
          </w:p>
        </w:tc>
        <w:tc>
          <w:tcPr>
            <w:tcW w:w="442" w:type="pct"/>
            <w:vAlign w:val="center"/>
          </w:tcPr>
          <w:p w14:paraId="5937012F">
            <w:pPr>
              <w:widowControl/>
              <w:snapToGrid w:val="0"/>
              <w:jc w:val="center"/>
              <w:outlineLvl w:val="9"/>
              <w:rPr>
                <w:rFonts w:ascii="宋体" w:hAnsi="宋体" w:eastAsia="宋体" w:cs="宋体"/>
                <w:bCs/>
                <w:color w:val="auto"/>
                <w:kern w:val="0"/>
                <w:szCs w:val="21"/>
                <w:highlight w:val="none"/>
              </w:rPr>
            </w:pPr>
          </w:p>
        </w:tc>
      </w:tr>
      <w:tr w14:paraId="3E992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223" w:type="pct"/>
            <w:vAlign w:val="center"/>
          </w:tcPr>
          <w:p w14:paraId="477989EC">
            <w:pPr>
              <w:widowControl/>
              <w:snapToGrid w:val="0"/>
              <w:jc w:val="center"/>
              <w:outlineLvl w:val="9"/>
              <w:rPr>
                <w:rFonts w:hint="eastAsia" w:ascii="宋体" w:hAnsi="宋体" w:eastAsia="宋体" w:cs="宋体"/>
                <w:bCs/>
                <w:color w:val="auto"/>
                <w:kern w:val="0"/>
                <w:szCs w:val="21"/>
                <w:highlight w:val="none"/>
                <w:lang w:eastAsia="zh-CN"/>
              </w:rPr>
            </w:pPr>
            <w:r>
              <w:rPr>
                <w:rFonts w:hint="eastAsia" w:ascii="宋体" w:hAnsi="宋体" w:eastAsia="宋体" w:cs="宋体"/>
                <w:bCs/>
                <w:color w:val="auto"/>
                <w:kern w:val="0"/>
                <w:szCs w:val="21"/>
                <w:highlight w:val="none"/>
                <w:lang w:val="en-US" w:eastAsia="zh-CN"/>
              </w:rPr>
              <w:t>5</w:t>
            </w:r>
          </w:p>
        </w:tc>
        <w:tc>
          <w:tcPr>
            <w:tcW w:w="600" w:type="pct"/>
            <w:vAlign w:val="center"/>
          </w:tcPr>
          <w:p w14:paraId="11EA1AC6">
            <w:pPr>
              <w:widowControl/>
              <w:snapToGrid w:val="0"/>
              <w:jc w:val="center"/>
              <w:outlineLvl w:val="9"/>
              <w:rPr>
                <w:rFonts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生产物资及能耗</w:t>
            </w:r>
          </w:p>
        </w:tc>
        <w:tc>
          <w:tcPr>
            <w:tcW w:w="2235" w:type="pct"/>
            <w:gridSpan w:val="2"/>
            <w:vAlign w:val="center"/>
          </w:tcPr>
          <w:p w14:paraId="34AF8BE7">
            <w:pPr>
              <w:widowControl/>
              <w:snapToGrid w:val="0"/>
              <w:outlineLvl w:val="9"/>
              <w:rPr>
                <w:rFonts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乙方不存在浪费药剂、水、电、五金及劳保用品的</w:t>
            </w:r>
            <w:r>
              <w:rPr>
                <w:rFonts w:hint="eastAsia" w:ascii="宋体" w:hAnsi="宋体" w:eastAsia="宋体" w:cs="宋体"/>
                <w:bCs/>
                <w:color w:val="auto"/>
                <w:kern w:val="0"/>
                <w:szCs w:val="21"/>
                <w:highlight w:val="none"/>
                <w:lang w:val="en-US" w:eastAsia="zh-CN"/>
              </w:rPr>
              <w:t>异常</w:t>
            </w:r>
            <w:r>
              <w:rPr>
                <w:rFonts w:hint="eastAsia" w:ascii="宋体" w:hAnsi="宋体" w:eastAsia="宋体" w:cs="宋体"/>
                <w:bCs/>
                <w:color w:val="auto"/>
                <w:kern w:val="0"/>
                <w:szCs w:val="21"/>
                <w:highlight w:val="none"/>
              </w:rPr>
              <w:t>情况</w:t>
            </w:r>
          </w:p>
        </w:tc>
        <w:tc>
          <w:tcPr>
            <w:tcW w:w="682" w:type="pct"/>
            <w:gridSpan w:val="2"/>
            <w:vAlign w:val="center"/>
          </w:tcPr>
          <w:p w14:paraId="16CCCCEB">
            <w:pPr>
              <w:widowControl/>
              <w:snapToGrid w:val="0"/>
              <w:outlineLvl w:val="9"/>
              <w:rPr>
                <w:rFonts w:ascii="宋体" w:hAnsi="宋体" w:eastAsia="宋体" w:cs="宋体"/>
                <w:color w:val="auto"/>
                <w:kern w:val="0"/>
                <w:szCs w:val="21"/>
                <w:highlight w:val="none"/>
              </w:rPr>
            </w:pPr>
            <w:r>
              <w:rPr>
                <w:rFonts w:hint="eastAsia" w:ascii="宋体" w:hAnsi="宋体" w:eastAsia="宋体" w:cs="宋体"/>
                <w:bCs/>
                <w:color w:val="auto"/>
                <w:kern w:val="0"/>
                <w:szCs w:val="21"/>
                <w:highlight w:val="none"/>
              </w:rPr>
              <w:t>达到标准的得满分，每月每次有一项未达到标准的扣1分。</w:t>
            </w:r>
          </w:p>
        </w:tc>
        <w:tc>
          <w:tcPr>
            <w:tcW w:w="372" w:type="pct"/>
            <w:vAlign w:val="center"/>
          </w:tcPr>
          <w:p w14:paraId="093B6402">
            <w:pPr>
              <w:widowControl/>
              <w:snapToGrid w:val="0"/>
              <w:jc w:val="center"/>
              <w:outlineLvl w:val="9"/>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w:t>
            </w:r>
          </w:p>
        </w:tc>
        <w:tc>
          <w:tcPr>
            <w:tcW w:w="443" w:type="pct"/>
            <w:vAlign w:val="center"/>
          </w:tcPr>
          <w:p w14:paraId="049255F0">
            <w:pPr>
              <w:widowControl/>
              <w:snapToGrid w:val="0"/>
              <w:jc w:val="center"/>
              <w:outlineLvl w:val="9"/>
              <w:rPr>
                <w:rFonts w:ascii="宋体" w:hAnsi="宋体" w:eastAsia="宋体" w:cs="宋体"/>
                <w:bCs/>
                <w:color w:val="auto"/>
                <w:kern w:val="0"/>
                <w:szCs w:val="21"/>
                <w:highlight w:val="none"/>
              </w:rPr>
            </w:pPr>
          </w:p>
        </w:tc>
        <w:tc>
          <w:tcPr>
            <w:tcW w:w="442" w:type="pct"/>
            <w:vAlign w:val="center"/>
          </w:tcPr>
          <w:p w14:paraId="5032AE1E">
            <w:pPr>
              <w:widowControl/>
              <w:snapToGrid w:val="0"/>
              <w:jc w:val="center"/>
              <w:outlineLvl w:val="9"/>
              <w:rPr>
                <w:rFonts w:ascii="宋体" w:hAnsi="宋体" w:eastAsia="宋体" w:cs="宋体"/>
                <w:bCs/>
                <w:color w:val="auto"/>
                <w:kern w:val="0"/>
                <w:szCs w:val="21"/>
                <w:highlight w:val="none"/>
              </w:rPr>
            </w:pPr>
          </w:p>
        </w:tc>
      </w:tr>
      <w:tr w14:paraId="50264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0" w:hRule="atLeast"/>
          <w:jc w:val="center"/>
        </w:trPr>
        <w:tc>
          <w:tcPr>
            <w:tcW w:w="223" w:type="pct"/>
            <w:vAlign w:val="center"/>
          </w:tcPr>
          <w:p w14:paraId="342DA376">
            <w:pPr>
              <w:widowControl/>
              <w:snapToGrid w:val="0"/>
              <w:jc w:val="center"/>
              <w:outlineLvl w:val="9"/>
              <w:rPr>
                <w:rFonts w:hint="eastAsia" w:ascii="宋体" w:hAnsi="宋体" w:eastAsia="宋体" w:cs="宋体"/>
                <w:bCs/>
                <w:color w:val="auto"/>
                <w:kern w:val="0"/>
                <w:szCs w:val="21"/>
                <w:highlight w:val="none"/>
                <w:lang w:eastAsia="zh-CN"/>
              </w:rPr>
            </w:pPr>
            <w:r>
              <w:rPr>
                <w:rFonts w:hint="eastAsia" w:ascii="宋体" w:hAnsi="宋体" w:eastAsia="宋体" w:cs="宋体"/>
                <w:bCs/>
                <w:color w:val="auto"/>
                <w:kern w:val="0"/>
                <w:szCs w:val="21"/>
                <w:highlight w:val="none"/>
                <w:lang w:val="en-US" w:eastAsia="zh-CN"/>
              </w:rPr>
              <w:t>6</w:t>
            </w:r>
          </w:p>
        </w:tc>
        <w:tc>
          <w:tcPr>
            <w:tcW w:w="600" w:type="pct"/>
            <w:vAlign w:val="center"/>
          </w:tcPr>
          <w:p w14:paraId="65EF50BB">
            <w:pPr>
              <w:widowControl/>
              <w:snapToGrid w:val="0"/>
              <w:jc w:val="center"/>
              <w:outlineLvl w:val="9"/>
              <w:rPr>
                <w:rFonts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生产安全</w:t>
            </w:r>
          </w:p>
        </w:tc>
        <w:tc>
          <w:tcPr>
            <w:tcW w:w="2235" w:type="pct"/>
            <w:gridSpan w:val="2"/>
            <w:vAlign w:val="center"/>
          </w:tcPr>
          <w:p w14:paraId="1AAA2394">
            <w:pPr>
              <w:widowControl/>
              <w:snapToGrid w:val="0"/>
              <w:outlineLvl w:val="9"/>
              <w:rPr>
                <w:rFonts w:hint="eastAsia" w:ascii="宋体" w:hAnsi="宋体" w:eastAsia="宋体" w:cs="宋体"/>
                <w:color w:val="auto"/>
                <w:szCs w:val="21"/>
                <w:highlight w:val="none"/>
                <w:lang w:eastAsia="zh-CN"/>
              </w:rPr>
            </w:pPr>
            <w:r>
              <w:rPr>
                <w:rFonts w:hint="eastAsia" w:ascii="宋体" w:hAnsi="宋体" w:eastAsia="宋体" w:cs="宋体"/>
                <w:bCs/>
                <w:color w:val="auto"/>
                <w:kern w:val="0"/>
                <w:szCs w:val="21"/>
                <w:highlight w:val="none"/>
              </w:rPr>
              <w:t>（1）配合甲方如期完成</w:t>
            </w:r>
            <w:r>
              <w:rPr>
                <w:rFonts w:hint="eastAsia" w:ascii="宋体" w:hAnsi="宋体" w:eastAsia="宋体" w:cs="宋体"/>
                <w:color w:val="auto"/>
                <w:szCs w:val="21"/>
                <w:highlight w:val="none"/>
              </w:rPr>
              <w:t>设备操作人员安全培训</w:t>
            </w:r>
            <w:r>
              <w:rPr>
                <w:rFonts w:hint="eastAsia" w:ascii="宋体" w:hAnsi="宋体" w:eastAsia="宋体" w:cs="宋体"/>
                <w:color w:val="auto"/>
                <w:szCs w:val="21"/>
                <w:highlight w:val="none"/>
                <w:lang w:eastAsia="zh-CN"/>
              </w:rPr>
              <w:t>；</w:t>
            </w:r>
          </w:p>
          <w:p w14:paraId="7771FAC2">
            <w:pPr>
              <w:widowControl/>
              <w:snapToGrid w:val="0"/>
              <w:outlineLvl w:val="9"/>
              <w:rPr>
                <w:rFonts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（2）配合甲方如期完成</w:t>
            </w:r>
            <w:r>
              <w:rPr>
                <w:rFonts w:hint="eastAsia" w:ascii="宋体" w:hAnsi="宋体" w:eastAsia="宋体" w:cs="宋体"/>
                <w:color w:val="auto"/>
                <w:szCs w:val="21"/>
                <w:highlight w:val="none"/>
              </w:rPr>
              <w:t>设备操作人员</w:t>
            </w:r>
            <w:r>
              <w:rPr>
                <w:rFonts w:hint="eastAsia" w:ascii="宋体" w:hAnsi="宋体" w:eastAsia="宋体" w:cs="宋体"/>
                <w:bCs/>
                <w:color w:val="auto"/>
                <w:kern w:val="0"/>
                <w:szCs w:val="21"/>
                <w:highlight w:val="none"/>
              </w:rPr>
              <w:t>安全演练；</w:t>
            </w:r>
          </w:p>
          <w:p w14:paraId="10AE55DA">
            <w:pPr>
              <w:widowControl/>
              <w:snapToGrid w:val="0"/>
              <w:outlineLvl w:val="9"/>
              <w:rPr>
                <w:rFonts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（3）积极配合污水厂、甲方及上级主管部门的安全检查，并配合</w:t>
            </w:r>
            <w:r>
              <w:rPr>
                <w:rFonts w:hint="eastAsia" w:ascii="宋体" w:hAnsi="宋体" w:eastAsia="宋体" w:cs="宋体"/>
                <w:bCs/>
                <w:color w:val="auto"/>
                <w:kern w:val="0"/>
                <w:szCs w:val="21"/>
                <w:highlight w:val="none"/>
                <w:lang w:val="en-US" w:eastAsia="zh-CN"/>
              </w:rPr>
              <w:t>按期</w:t>
            </w:r>
            <w:r>
              <w:rPr>
                <w:rFonts w:hint="eastAsia" w:ascii="宋体" w:hAnsi="宋体" w:eastAsia="宋体" w:cs="宋体"/>
                <w:bCs/>
                <w:color w:val="auto"/>
                <w:kern w:val="0"/>
                <w:szCs w:val="21"/>
                <w:highlight w:val="none"/>
              </w:rPr>
              <w:t>完成问题点整改；</w:t>
            </w:r>
          </w:p>
          <w:p w14:paraId="29A2B4F4">
            <w:pPr>
              <w:widowControl/>
              <w:snapToGrid w:val="0"/>
              <w:outlineLvl w:val="9"/>
              <w:rPr>
                <w:rFonts w:ascii="宋体" w:hAnsi="宋体" w:eastAsia="宋体" w:cs="宋体"/>
                <w:color w:val="auto"/>
                <w:szCs w:val="21"/>
                <w:highlight w:val="none"/>
              </w:rPr>
            </w:pPr>
            <w:r>
              <w:rPr>
                <w:rFonts w:hint="eastAsia" w:ascii="宋体" w:hAnsi="宋体" w:eastAsia="宋体" w:cs="宋体"/>
                <w:color w:val="auto"/>
                <w:kern w:val="0"/>
                <w:szCs w:val="21"/>
                <w:highlight w:val="none"/>
              </w:rPr>
              <w:t>（4）人员</w:t>
            </w:r>
            <w:r>
              <w:rPr>
                <w:rFonts w:hint="eastAsia" w:ascii="宋体" w:hAnsi="宋体" w:eastAsia="宋体" w:cs="宋体"/>
                <w:color w:val="auto"/>
                <w:kern w:val="0"/>
                <w:szCs w:val="21"/>
                <w:highlight w:val="none"/>
                <w:lang w:val="en-US" w:eastAsia="zh-CN"/>
              </w:rPr>
              <w:t>按要求</w:t>
            </w:r>
            <w:r>
              <w:rPr>
                <w:rFonts w:hint="eastAsia" w:ascii="宋体" w:hAnsi="宋体" w:eastAsia="宋体" w:cs="宋体"/>
                <w:color w:val="auto"/>
                <w:kern w:val="0"/>
                <w:szCs w:val="21"/>
                <w:highlight w:val="none"/>
              </w:rPr>
              <w:t>持证上岗；</w:t>
            </w:r>
          </w:p>
          <w:p w14:paraId="776A4427">
            <w:pPr>
              <w:widowControl/>
              <w:snapToGrid w:val="0"/>
              <w:outlineLvl w:val="9"/>
              <w:rPr>
                <w:rFonts w:ascii="宋体" w:hAnsi="宋体" w:eastAsia="宋体" w:cs="宋体"/>
                <w:bCs/>
                <w:color w:val="auto"/>
                <w:kern w:val="0"/>
                <w:szCs w:val="21"/>
                <w:highlight w:val="none"/>
              </w:rPr>
            </w:pPr>
            <w:r>
              <w:rPr>
                <w:rFonts w:hint="eastAsia" w:ascii="宋体" w:hAnsi="宋体" w:eastAsia="宋体" w:cs="宋体"/>
                <w:color w:val="auto"/>
                <w:kern w:val="0"/>
                <w:szCs w:val="21"/>
                <w:highlight w:val="none"/>
              </w:rPr>
              <w:t>（5）</w:t>
            </w:r>
            <w:r>
              <w:rPr>
                <w:rFonts w:hint="eastAsia" w:ascii="宋体" w:hAnsi="宋体" w:eastAsia="宋体" w:cs="宋体"/>
                <w:color w:val="auto"/>
                <w:szCs w:val="21"/>
                <w:highlight w:val="none"/>
              </w:rPr>
              <w:t>无因人员操作不当造成的安全事故。</w:t>
            </w:r>
          </w:p>
        </w:tc>
        <w:tc>
          <w:tcPr>
            <w:tcW w:w="682" w:type="pct"/>
            <w:gridSpan w:val="2"/>
            <w:vAlign w:val="center"/>
          </w:tcPr>
          <w:p w14:paraId="31F4F489">
            <w:pPr>
              <w:widowControl/>
              <w:snapToGrid w:val="0"/>
              <w:outlineLvl w:val="9"/>
              <w:rPr>
                <w:rFonts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达到标准的得满分，每月每次有一项未达到标准的扣</w:t>
            </w:r>
            <w:r>
              <w:rPr>
                <w:rFonts w:hint="eastAsia" w:ascii="宋体" w:hAnsi="宋体" w:eastAsia="宋体" w:cs="宋体"/>
                <w:bCs/>
                <w:color w:val="auto"/>
                <w:kern w:val="0"/>
                <w:szCs w:val="21"/>
                <w:highlight w:val="none"/>
                <w:lang w:val="en-US" w:eastAsia="zh-CN"/>
              </w:rPr>
              <w:t>1</w:t>
            </w:r>
            <w:r>
              <w:rPr>
                <w:rFonts w:hint="eastAsia" w:ascii="宋体" w:hAnsi="宋体" w:eastAsia="宋体" w:cs="宋体"/>
                <w:bCs/>
                <w:color w:val="auto"/>
                <w:kern w:val="0"/>
                <w:szCs w:val="21"/>
                <w:highlight w:val="none"/>
              </w:rPr>
              <w:t>分。</w:t>
            </w:r>
          </w:p>
        </w:tc>
        <w:tc>
          <w:tcPr>
            <w:tcW w:w="372" w:type="pct"/>
            <w:vAlign w:val="center"/>
          </w:tcPr>
          <w:p w14:paraId="5A81186A">
            <w:pPr>
              <w:widowControl/>
              <w:snapToGrid w:val="0"/>
              <w:jc w:val="center"/>
              <w:outlineLvl w:val="9"/>
              <w:rPr>
                <w:rFonts w:hint="default" w:ascii="宋体" w:hAnsi="宋体" w:eastAsia="宋体" w:cs="宋体"/>
                <w:bCs/>
                <w:color w:val="auto"/>
                <w:kern w:val="0"/>
                <w:szCs w:val="21"/>
                <w:highlight w:val="none"/>
                <w:lang w:val="en-US" w:eastAsia="zh-CN"/>
              </w:rPr>
            </w:pPr>
            <w:r>
              <w:rPr>
                <w:rFonts w:hint="eastAsia" w:ascii="宋体" w:hAnsi="宋体" w:eastAsia="宋体" w:cs="宋体"/>
                <w:bCs/>
                <w:color w:val="auto"/>
                <w:kern w:val="0"/>
                <w:szCs w:val="21"/>
                <w:highlight w:val="none"/>
                <w:lang w:val="en-US" w:eastAsia="zh-CN"/>
              </w:rPr>
              <w:t>10</w:t>
            </w:r>
          </w:p>
        </w:tc>
        <w:tc>
          <w:tcPr>
            <w:tcW w:w="443" w:type="pct"/>
            <w:vAlign w:val="center"/>
          </w:tcPr>
          <w:p w14:paraId="75352C34">
            <w:pPr>
              <w:widowControl/>
              <w:snapToGrid w:val="0"/>
              <w:jc w:val="center"/>
              <w:outlineLvl w:val="9"/>
              <w:rPr>
                <w:rFonts w:ascii="宋体" w:hAnsi="宋体" w:eastAsia="宋体" w:cs="宋体"/>
                <w:bCs/>
                <w:color w:val="auto"/>
                <w:kern w:val="0"/>
                <w:szCs w:val="21"/>
                <w:highlight w:val="none"/>
              </w:rPr>
            </w:pPr>
          </w:p>
        </w:tc>
        <w:tc>
          <w:tcPr>
            <w:tcW w:w="442" w:type="pct"/>
            <w:vAlign w:val="center"/>
          </w:tcPr>
          <w:p w14:paraId="001C8506">
            <w:pPr>
              <w:widowControl/>
              <w:snapToGrid w:val="0"/>
              <w:jc w:val="center"/>
              <w:outlineLvl w:val="9"/>
              <w:rPr>
                <w:rFonts w:ascii="宋体" w:hAnsi="宋体" w:eastAsia="宋体" w:cs="宋体"/>
                <w:bCs/>
                <w:color w:val="auto"/>
                <w:kern w:val="0"/>
                <w:szCs w:val="21"/>
                <w:highlight w:val="none"/>
              </w:rPr>
            </w:pPr>
          </w:p>
        </w:tc>
      </w:tr>
      <w:tr w14:paraId="217FE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2" w:hRule="atLeast"/>
          <w:jc w:val="center"/>
        </w:trPr>
        <w:tc>
          <w:tcPr>
            <w:tcW w:w="223" w:type="pct"/>
            <w:vAlign w:val="center"/>
          </w:tcPr>
          <w:p w14:paraId="1E68001F">
            <w:pPr>
              <w:widowControl/>
              <w:snapToGrid w:val="0"/>
              <w:jc w:val="center"/>
              <w:outlineLvl w:val="9"/>
              <w:rPr>
                <w:rFonts w:hint="eastAsia" w:ascii="宋体" w:hAnsi="宋体" w:eastAsia="宋体" w:cs="宋体"/>
                <w:bCs/>
                <w:color w:val="auto"/>
                <w:kern w:val="0"/>
                <w:szCs w:val="21"/>
                <w:highlight w:val="none"/>
                <w:lang w:eastAsia="zh-CN"/>
              </w:rPr>
            </w:pPr>
            <w:r>
              <w:rPr>
                <w:rFonts w:hint="eastAsia" w:ascii="宋体" w:hAnsi="宋体" w:eastAsia="宋体" w:cs="宋体"/>
                <w:bCs/>
                <w:color w:val="auto"/>
                <w:kern w:val="0"/>
                <w:szCs w:val="21"/>
                <w:highlight w:val="none"/>
                <w:lang w:val="en-US" w:eastAsia="zh-CN"/>
              </w:rPr>
              <w:t>7</w:t>
            </w:r>
          </w:p>
        </w:tc>
        <w:tc>
          <w:tcPr>
            <w:tcW w:w="600" w:type="pct"/>
            <w:vAlign w:val="center"/>
          </w:tcPr>
          <w:p w14:paraId="79FD2242">
            <w:pPr>
              <w:widowControl/>
              <w:snapToGrid w:val="0"/>
              <w:jc w:val="center"/>
              <w:outlineLvl w:val="9"/>
              <w:rPr>
                <w:rFonts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生产环境</w:t>
            </w:r>
          </w:p>
        </w:tc>
        <w:tc>
          <w:tcPr>
            <w:tcW w:w="2235" w:type="pct"/>
            <w:gridSpan w:val="2"/>
            <w:vAlign w:val="center"/>
          </w:tcPr>
          <w:p w14:paraId="7940E014">
            <w:pPr>
              <w:widowControl/>
              <w:snapToGrid w:val="0"/>
              <w:outlineLvl w:val="9"/>
              <w:rPr>
                <w:rFonts w:hint="eastAsia" w:ascii="宋体" w:hAnsi="宋体" w:eastAsia="宋体" w:cs="宋体"/>
                <w:bCs/>
                <w:color w:val="auto"/>
                <w:kern w:val="0"/>
                <w:szCs w:val="21"/>
                <w:highlight w:val="none"/>
                <w:lang w:eastAsia="zh-CN"/>
              </w:rPr>
            </w:pPr>
            <w:r>
              <w:rPr>
                <w:rFonts w:hint="eastAsia" w:ascii="宋体" w:hAnsi="宋体" w:eastAsia="宋体" w:cs="宋体"/>
                <w:bCs/>
                <w:color w:val="auto"/>
                <w:kern w:val="0"/>
                <w:szCs w:val="21"/>
                <w:highlight w:val="none"/>
              </w:rPr>
              <w:t>（1）现场室内、外环境干净整洁，物品摆放整齐，无烟头污渍等</w:t>
            </w:r>
            <w:r>
              <w:rPr>
                <w:rFonts w:hint="eastAsia" w:ascii="宋体" w:hAnsi="宋体" w:eastAsia="宋体" w:cs="宋体"/>
                <w:bCs/>
                <w:color w:val="auto"/>
                <w:kern w:val="0"/>
                <w:szCs w:val="21"/>
                <w:highlight w:val="none"/>
                <w:lang w:eastAsia="zh-CN"/>
              </w:rPr>
              <w:t>；</w:t>
            </w:r>
          </w:p>
          <w:p w14:paraId="66FFA883">
            <w:pPr>
              <w:widowControl/>
              <w:snapToGrid w:val="0"/>
              <w:outlineLvl w:val="9"/>
              <w:rPr>
                <w:rFonts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（2）设施完好，道路完好、通畅，生产设备设施的外立面简洁美观；</w:t>
            </w:r>
          </w:p>
          <w:p w14:paraId="35DB487D">
            <w:pPr>
              <w:widowControl/>
              <w:snapToGrid w:val="0"/>
              <w:outlineLvl w:val="9"/>
              <w:rPr>
                <w:rFonts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（3）无明显的破损及渗漏，无泥水、污水、泥饼等跑、冒、滴、漏的现象。</w:t>
            </w:r>
          </w:p>
        </w:tc>
        <w:tc>
          <w:tcPr>
            <w:tcW w:w="682" w:type="pct"/>
            <w:gridSpan w:val="2"/>
            <w:vAlign w:val="center"/>
          </w:tcPr>
          <w:p w14:paraId="7C9AD064">
            <w:pPr>
              <w:widowControl/>
              <w:snapToGrid w:val="0"/>
              <w:outlineLvl w:val="9"/>
              <w:rPr>
                <w:rFonts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达到标准的得满分，每月每次有一项未达到标准的扣1分。</w:t>
            </w:r>
          </w:p>
        </w:tc>
        <w:tc>
          <w:tcPr>
            <w:tcW w:w="372" w:type="pct"/>
            <w:vAlign w:val="center"/>
          </w:tcPr>
          <w:p w14:paraId="1F3920ED">
            <w:pPr>
              <w:widowControl/>
              <w:snapToGrid w:val="0"/>
              <w:jc w:val="center"/>
              <w:outlineLvl w:val="9"/>
              <w:rPr>
                <w:rFonts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10</w:t>
            </w:r>
          </w:p>
        </w:tc>
        <w:tc>
          <w:tcPr>
            <w:tcW w:w="443" w:type="pct"/>
            <w:vAlign w:val="center"/>
          </w:tcPr>
          <w:p w14:paraId="78B5E199">
            <w:pPr>
              <w:widowControl/>
              <w:snapToGrid w:val="0"/>
              <w:jc w:val="center"/>
              <w:outlineLvl w:val="9"/>
              <w:rPr>
                <w:rFonts w:ascii="宋体" w:hAnsi="宋体" w:eastAsia="宋体" w:cs="宋体"/>
                <w:bCs/>
                <w:color w:val="auto"/>
                <w:kern w:val="0"/>
                <w:szCs w:val="21"/>
                <w:highlight w:val="none"/>
              </w:rPr>
            </w:pPr>
          </w:p>
        </w:tc>
        <w:tc>
          <w:tcPr>
            <w:tcW w:w="442" w:type="pct"/>
            <w:vAlign w:val="center"/>
          </w:tcPr>
          <w:p w14:paraId="3BDB5489">
            <w:pPr>
              <w:widowControl/>
              <w:snapToGrid w:val="0"/>
              <w:jc w:val="center"/>
              <w:outlineLvl w:val="9"/>
              <w:rPr>
                <w:rFonts w:ascii="宋体" w:hAnsi="宋体" w:eastAsia="宋体" w:cs="宋体"/>
                <w:bCs/>
                <w:color w:val="auto"/>
                <w:kern w:val="0"/>
                <w:szCs w:val="21"/>
                <w:highlight w:val="none"/>
              </w:rPr>
            </w:pPr>
          </w:p>
        </w:tc>
      </w:tr>
      <w:tr w14:paraId="016AF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223" w:type="pct"/>
            <w:vAlign w:val="center"/>
          </w:tcPr>
          <w:p w14:paraId="13B98965">
            <w:pPr>
              <w:widowControl/>
              <w:snapToGrid w:val="0"/>
              <w:jc w:val="center"/>
              <w:outlineLvl w:val="9"/>
              <w:rPr>
                <w:rFonts w:hint="eastAsia" w:ascii="宋体" w:hAnsi="宋体" w:eastAsia="宋体" w:cs="宋体"/>
                <w:bCs/>
                <w:color w:val="auto"/>
                <w:kern w:val="0"/>
                <w:szCs w:val="21"/>
                <w:highlight w:val="none"/>
                <w:lang w:eastAsia="zh-CN"/>
              </w:rPr>
            </w:pPr>
            <w:r>
              <w:rPr>
                <w:rFonts w:hint="eastAsia" w:ascii="宋体" w:hAnsi="宋体" w:eastAsia="宋体" w:cs="宋体"/>
                <w:bCs/>
                <w:color w:val="auto"/>
                <w:kern w:val="0"/>
                <w:szCs w:val="21"/>
                <w:highlight w:val="none"/>
                <w:lang w:val="en-US" w:eastAsia="zh-CN"/>
              </w:rPr>
              <w:t>8</w:t>
            </w:r>
          </w:p>
        </w:tc>
        <w:tc>
          <w:tcPr>
            <w:tcW w:w="600" w:type="pct"/>
            <w:vAlign w:val="center"/>
          </w:tcPr>
          <w:p w14:paraId="69B3C640">
            <w:pPr>
              <w:widowControl/>
              <w:snapToGrid w:val="0"/>
              <w:jc w:val="left"/>
              <w:outlineLvl w:val="9"/>
              <w:rPr>
                <w:rFonts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人员配合</w:t>
            </w:r>
          </w:p>
        </w:tc>
        <w:tc>
          <w:tcPr>
            <w:tcW w:w="2235" w:type="pct"/>
            <w:gridSpan w:val="2"/>
            <w:vAlign w:val="center"/>
          </w:tcPr>
          <w:p w14:paraId="19FB43F5">
            <w:pPr>
              <w:widowControl/>
              <w:snapToGrid w:val="0"/>
              <w:outlineLvl w:val="9"/>
              <w:rPr>
                <w:rFonts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（1）管理和技术均符合投标文件的承诺，服务队伍稳定，人员充足、专业性强，充分配合甲方生产需求。遵守甲方管理制度，服从甲方工作安排；</w:t>
            </w:r>
          </w:p>
          <w:p w14:paraId="18A65B97">
            <w:pPr>
              <w:widowControl/>
              <w:snapToGrid w:val="0"/>
              <w:outlineLvl w:val="9"/>
              <w:rPr>
                <w:rFonts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（2）对接人员与甲方沟通良好、理解到位、执行力强，能及时发现、解决问题，并应根据各厂区实际情况提供合理化的人员调配方案和生产技术建议；</w:t>
            </w:r>
          </w:p>
          <w:p w14:paraId="44FBA4FA">
            <w:pPr>
              <w:widowControl/>
              <w:snapToGrid w:val="0"/>
              <w:outlineLvl w:val="9"/>
              <w:rPr>
                <w:rFonts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（3）建立</w:t>
            </w:r>
            <w:r>
              <w:rPr>
                <w:rFonts w:hint="eastAsia" w:ascii="宋体" w:hAnsi="宋体" w:eastAsia="宋体" w:cs="宋体"/>
                <w:color w:val="auto"/>
                <w:szCs w:val="21"/>
                <w:highlight w:val="none"/>
              </w:rPr>
              <w:t>设备操作人员</w:t>
            </w:r>
            <w:r>
              <w:rPr>
                <w:rFonts w:hint="eastAsia" w:ascii="宋体" w:hAnsi="宋体" w:eastAsia="宋体" w:cs="宋体"/>
                <w:bCs/>
                <w:color w:val="auto"/>
                <w:kern w:val="0"/>
                <w:szCs w:val="21"/>
                <w:highlight w:val="none"/>
              </w:rPr>
              <w:t>花名册，且人员的替换需经招标人同意后实行；</w:t>
            </w:r>
          </w:p>
          <w:p w14:paraId="73474AD7">
            <w:pPr>
              <w:widowControl/>
              <w:snapToGrid w:val="0"/>
              <w:outlineLvl w:val="9"/>
              <w:rPr>
                <w:rFonts w:ascii="宋体" w:hAnsi="宋体" w:eastAsia="宋体" w:cs="宋体"/>
                <w:color w:val="auto"/>
                <w:kern w:val="0"/>
                <w:szCs w:val="21"/>
                <w:highlight w:val="none"/>
              </w:rPr>
            </w:pPr>
            <w:r>
              <w:rPr>
                <w:rFonts w:hint="eastAsia" w:ascii="宋体" w:hAnsi="宋体" w:eastAsia="宋体" w:cs="宋体"/>
                <w:bCs/>
                <w:color w:val="auto"/>
                <w:kern w:val="0"/>
                <w:szCs w:val="21"/>
                <w:highlight w:val="none"/>
              </w:rPr>
              <w:t>（4）积极协助甲方</w:t>
            </w:r>
            <w:r>
              <w:rPr>
                <w:rFonts w:hint="eastAsia" w:ascii="宋体" w:hAnsi="宋体" w:eastAsia="宋体" w:cs="宋体"/>
                <w:color w:val="auto"/>
                <w:kern w:val="0"/>
                <w:szCs w:val="21"/>
                <w:highlight w:val="none"/>
              </w:rPr>
              <w:t>接受政府管理部门和上级公司的检查工作及提供各类证明材料；</w:t>
            </w:r>
          </w:p>
          <w:p w14:paraId="697D1E50">
            <w:pPr>
              <w:widowControl/>
              <w:snapToGrid w:val="0"/>
              <w:outlineLvl w:val="9"/>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（5）能根据甲方要求对设备操作</w:t>
            </w:r>
            <w:r>
              <w:rPr>
                <w:rFonts w:hint="eastAsia" w:ascii="宋体" w:hAnsi="宋体" w:eastAsia="宋体" w:cs="宋体"/>
                <w:color w:val="auto"/>
                <w:szCs w:val="21"/>
                <w:highlight w:val="none"/>
              </w:rPr>
              <w:t>人员</w:t>
            </w:r>
            <w:r>
              <w:rPr>
                <w:rFonts w:hint="eastAsia" w:ascii="宋体" w:hAnsi="宋体" w:eastAsia="宋体" w:cs="宋体"/>
                <w:color w:val="auto"/>
                <w:kern w:val="0"/>
                <w:szCs w:val="21"/>
                <w:highlight w:val="none"/>
              </w:rPr>
              <w:t>组织培训。</w:t>
            </w:r>
          </w:p>
        </w:tc>
        <w:tc>
          <w:tcPr>
            <w:tcW w:w="682" w:type="pct"/>
            <w:gridSpan w:val="2"/>
            <w:vAlign w:val="center"/>
          </w:tcPr>
          <w:p w14:paraId="408EF277">
            <w:pPr>
              <w:widowControl/>
              <w:snapToGrid w:val="0"/>
              <w:jc w:val="left"/>
              <w:outlineLvl w:val="9"/>
              <w:rPr>
                <w:rFonts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达到标准的得满分，每月每次有一项未达到标准的扣1分。</w:t>
            </w:r>
          </w:p>
        </w:tc>
        <w:tc>
          <w:tcPr>
            <w:tcW w:w="372" w:type="pct"/>
            <w:vAlign w:val="center"/>
          </w:tcPr>
          <w:p w14:paraId="5F8A1099">
            <w:pPr>
              <w:widowControl/>
              <w:snapToGrid w:val="0"/>
              <w:jc w:val="center"/>
              <w:outlineLvl w:val="9"/>
              <w:rPr>
                <w:rFonts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10</w:t>
            </w:r>
          </w:p>
        </w:tc>
        <w:tc>
          <w:tcPr>
            <w:tcW w:w="443" w:type="pct"/>
            <w:vAlign w:val="center"/>
          </w:tcPr>
          <w:p w14:paraId="15F88C09">
            <w:pPr>
              <w:widowControl/>
              <w:snapToGrid w:val="0"/>
              <w:jc w:val="center"/>
              <w:outlineLvl w:val="9"/>
              <w:rPr>
                <w:rFonts w:ascii="宋体" w:hAnsi="宋体" w:eastAsia="宋体" w:cs="宋体"/>
                <w:bCs/>
                <w:color w:val="auto"/>
                <w:kern w:val="0"/>
                <w:szCs w:val="21"/>
                <w:highlight w:val="none"/>
              </w:rPr>
            </w:pPr>
          </w:p>
        </w:tc>
        <w:tc>
          <w:tcPr>
            <w:tcW w:w="442" w:type="pct"/>
            <w:vAlign w:val="center"/>
          </w:tcPr>
          <w:p w14:paraId="3D221E2C">
            <w:pPr>
              <w:widowControl/>
              <w:snapToGrid w:val="0"/>
              <w:jc w:val="center"/>
              <w:outlineLvl w:val="9"/>
              <w:rPr>
                <w:rFonts w:ascii="宋体" w:hAnsi="宋体" w:eastAsia="宋体" w:cs="宋体"/>
                <w:bCs/>
                <w:color w:val="auto"/>
                <w:kern w:val="0"/>
                <w:szCs w:val="21"/>
                <w:highlight w:val="none"/>
              </w:rPr>
            </w:pPr>
          </w:p>
        </w:tc>
      </w:tr>
      <w:tr w14:paraId="6E6E3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3741" w:type="pct"/>
            <w:gridSpan w:val="6"/>
            <w:vAlign w:val="center"/>
          </w:tcPr>
          <w:p w14:paraId="79292C55">
            <w:pPr>
              <w:widowControl/>
              <w:snapToGrid w:val="0"/>
              <w:jc w:val="center"/>
              <w:outlineLvl w:val="9"/>
              <w:rPr>
                <w:rFonts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合计</w:t>
            </w:r>
          </w:p>
        </w:tc>
        <w:tc>
          <w:tcPr>
            <w:tcW w:w="372" w:type="pct"/>
            <w:vAlign w:val="center"/>
          </w:tcPr>
          <w:p w14:paraId="72B3495F">
            <w:pPr>
              <w:widowControl/>
              <w:snapToGrid w:val="0"/>
              <w:jc w:val="center"/>
              <w:outlineLvl w:val="9"/>
              <w:rPr>
                <w:rFonts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100</w:t>
            </w:r>
          </w:p>
        </w:tc>
        <w:tc>
          <w:tcPr>
            <w:tcW w:w="443" w:type="pct"/>
            <w:vAlign w:val="center"/>
          </w:tcPr>
          <w:p w14:paraId="5CF9FF00">
            <w:pPr>
              <w:widowControl/>
              <w:snapToGrid w:val="0"/>
              <w:jc w:val="center"/>
              <w:outlineLvl w:val="9"/>
              <w:rPr>
                <w:rFonts w:ascii="宋体" w:hAnsi="宋体" w:eastAsia="宋体" w:cs="宋体"/>
                <w:bCs/>
                <w:color w:val="auto"/>
                <w:kern w:val="0"/>
                <w:szCs w:val="21"/>
                <w:highlight w:val="none"/>
              </w:rPr>
            </w:pPr>
          </w:p>
        </w:tc>
        <w:tc>
          <w:tcPr>
            <w:tcW w:w="442" w:type="pct"/>
            <w:vAlign w:val="center"/>
          </w:tcPr>
          <w:p w14:paraId="31610B60">
            <w:pPr>
              <w:widowControl/>
              <w:snapToGrid w:val="0"/>
              <w:jc w:val="center"/>
              <w:outlineLvl w:val="9"/>
              <w:rPr>
                <w:rFonts w:ascii="宋体" w:hAnsi="宋体" w:eastAsia="宋体" w:cs="宋体"/>
                <w:bCs/>
                <w:color w:val="auto"/>
                <w:kern w:val="0"/>
                <w:szCs w:val="21"/>
                <w:highlight w:val="none"/>
              </w:rPr>
            </w:pPr>
          </w:p>
        </w:tc>
      </w:tr>
      <w:tr w14:paraId="6C75B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1997" w:type="pct"/>
            <w:gridSpan w:val="3"/>
            <w:vAlign w:val="center"/>
          </w:tcPr>
          <w:p w14:paraId="00181E83">
            <w:pPr>
              <w:widowControl/>
              <w:snapToGrid w:val="0"/>
              <w:jc w:val="center"/>
              <w:outlineLvl w:val="9"/>
              <w:rPr>
                <w:rFonts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评审结论</w:t>
            </w:r>
          </w:p>
        </w:tc>
        <w:tc>
          <w:tcPr>
            <w:tcW w:w="3002" w:type="pct"/>
            <w:gridSpan w:val="6"/>
          </w:tcPr>
          <w:p w14:paraId="59FE4D1B">
            <w:pPr>
              <w:widowControl/>
              <w:snapToGrid w:val="0"/>
              <w:spacing w:before="120" w:beforeLines="50"/>
              <w:jc w:val="left"/>
              <w:outlineLvl w:val="9"/>
              <w:rPr>
                <w:rFonts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w:t>
            </w:r>
            <w:r>
              <w:rPr>
                <w:rFonts w:hint="eastAsia" w:ascii="宋体" w:hAnsi="宋体" w:eastAsia="宋体" w:cs="宋体"/>
                <w:bCs/>
                <w:color w:val="auto"/>
                <w:kern w:val="0"/>
                <w:szCs w:val="21"/>
                <w:highlight w:val="none"/>
                <w:lang w:val="en-US" w:eastAsia="zh-CN"/>
              </w:rPr>
              <w:t>合计分</w:t>
            </w:r>
            <w:r>
              <w:rPr>
                <w:rFonts w:hint="eastAsia" w:ascii="宋体" w:hAnsi="宋体" w:eastAsia="宋体" w:cs="宋体"/>
                <w:bCs/>
                <w:color w:val="auto"/>
                <w:kern w:val="0"/>
                <w:szCs w:val="21"/>
                <w:highlight w:val="none"/>
              </w:rPr>
              <w:t>不低于</w:t>
            </w:r>
            <w:r>
              <w:rPr>
                <w:rFonts w:hint="eastAsia" w:ascii="宋体" w:hAnsi="宋体" w:eastAsia="宋体" w:cs="宋体"/>
                <w:bCs/>
                <w:color w:val="auto"/>
                <w:kern w:val="0"/>
                <w:szCs w:val="21"/>
                <w:highlight w:val="none"/>
                <w:lang w:val="en-US" w:eastAsia="zh-CN"/>
              </w:rPr>
              <w:t>80分（含80分）</w:t>
            </w:r>
            <w:r>
              <w:rPr>
                <w:rFonts w:hint="eastAsia" w:ascii="宋体" w:hAnsi="宋体" w:eastAsia="宋体" w:cs="宋体"/>
                <w:bCs/>
                <w:color w:val="auto"/>
                <w:kern w:val="0"/>
                <w:szCs w:val="21"/>
                <w:highlight w:val="none"/>
              </w:rPr>
              <w:t>的，评审结论合格</w:t>
            </w:r>
          </w:p>
          <w:p w14:paraId="6583A5C5">
            <w:pPr>
              <w:widowControl/>
              <w:snapToGrid w:val="0"/>
              <w:jc w:val="left"/>
              <w:outlineLvl w:val="9"/>
              <w:rPr>
                <w:rFonts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□评审结论不合格，说明：</w:t>
            </w:r>
            <w:r>
              <w:rPr>
                <w:rFonts w:hint="eastAsia" w:ascii="宋体" w:hAnsi="宋体" w:eastAsia="宋体" w:cs="宋体"/>
                <w:bCs/>
                <w:color w:val="auto"/>
                <w:kern w:val="0"/>
                <w:szCs w:val="21"/>
                <w:highlight w:val="none"/>
                <w:u w:val="single"/>
              </w:rPr>
              <w:t xml:space="preserve">              </w:t>
            </w:r>
          </w:p>
        </w:tc>
      </w:tr>
      <w:tr w14:paraId="08037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5" w:hRule="atLeast"/>
          <w:jc w:val="center"/>
        </w:trPr>
        <w:tc>
          <w:tcPr>
            <w:tcW w:w="1997" w:type="pct"/>
            <w:gridSpan w:val="3"/>
            <w:vMerge w:val="restart"/>
            <w:vAlign w:val="center"/>
          </w:tcPr>
          <w:p w14:paraId="74922EA6">
            <w:pPr>
              <w:widowControl/>
              <w:snapToGrid w:val="0"/>
              <w:jc w:val="center"/>
              <w:outlineLvl w:val="9"/>
              <w:rPr>
                <w:rFonts w:ascii="宋体" w:hAnsi="宋体" w:eastAsia="宋体" w:cs="宋体"/>
                <w:color w:val="auto"/>
                <w:kern w:val="0"/>
                <w:szCs w:val="21"/>
                <w:highlight w:val="none"/>
              </w:rPr>
            </w:pPr>
            <w:r>
              <w:rPr>
                <w:rFonts w:hint="eastAsia" w:ascii="宋体" w:hAnsi="宋体" w:eastAsia="宋体" w:cs="宋体"/>
                <w:bCs/>
                <w:color w:val="auto"/>
                <w:kern w:val="0"/>
                <w:szCs w:val="21"/>
                <w:highlight w:val="none"/>
              </w:rPr>
              <w:t>履约评审运营项目</w:t>
            </w:r>
            <w:r>
              <w:rPr>
                <w:rFonts w:hint="eastAsia" w:ascii="宋体" w:hAnsi="宋体" w:eastAsia="宋体" w:cs="宋体"/>
                <w:color w:val="auto"/>
                <w:kern w:val="0"/>
                <w:szCs w:val="21"/>
                <w:highlight w:val="none"/>
              </w:rPr>
              <w:t>其他</w:t>
            </w:r>
            <w:r>
              <w:rPr>
                <w:rFonts w:hint="eastAsia" w:ascii="宋体" w:hAnsi="宋体" w:eastAsia="宋体" w:cs="宋体"/>
                <w:bCs/>
                <w:color w:val="auto"/>
                <w:kern w:val="0"/>
                <w:szCs w:val="21"/>
                <w:highlight w:val="none"/>
              </w:rPr>
              <w:t>意见及签署</w:t>
            </w:r>
          </w:p>
        </w:tc>
        <w:tc>
          <w:tcPr>
            <w:tcW w:w="1366" w:type="pct"/>
            <w:gridSpan w:val="2"/>
            <w:vAlign w:val="center"/>
          </w:tcPr>
          <w:p w14:paraId="0ACE5F89">
            <w:pPr>
              <w:widowControl/>
              <w:snapToGrid w:val="0"/>
              <w:jc w:val="left"/>
              <w:outlineLvl w:val="9"/>
              <w:rPr>
                <w:rFonts w:ascii="宋体" w:hAnsi="宋体" w:eastAsia="宋体" w:cs="宋体"/>
                <w:color w:val="auto"/>
                <w:kern w:val="0"/>
                <w:szCs w:val="21"/>
                <w:highlight w:val="none"/>
              </w:rPr>
            </w:pPr>
            <w:r>
              <w:rPr>
                <w:rFonts w:hint="eastAsia" w:ascii="宋体" w:hAnsi="宋体" w:eastAsia="宋体" w:cs="宋体"/>
                <w:bCs/>
                <w:color w:val="auto"/>
                <w:kern w:val="0"/>
                <w:szCs w:val="21"/>
                <w:highlight w:val="none"/>
              </w:rPr>
              <w:t>经办人</w:t>
            </w:r>
          </w:p>
        </w:tc>
        <w:tc>
          <w:tcPr>
            <w:tcW w:w="1635" w:type="pct"/>
            <w:gridSpan w:val="4"/>
            <w:vAlign w:val="center"/>
          </w:tcPr>
          <w:p w14:paraId="7EA3C074">
            <w:pPr>
              <w:widowControl/>
              <w:snapToGrid w:val="0"/>
              <w:jc w:val="left"/>
              <w:outlineLvl w:val="9"/>
              <w:rPr>
                <w:rFonts w:ascii="宋体" w:hAnsi="宋体" w:eastAsia="宋体" w:cs="宋体"/>
                <w:bCs/>
                <w:color w:val="auto"/>
                <w:kern w:val="0"/>
                <w:szCs w:val="21"/>
                <w:highlight w:val="none"/>
              </w:rPr>
            </w:pPr>
          </w:p>
        </w:tc>
      </w:tr>
      <w:tr w14:paraId="1110D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3" w:hRule="atLeast"/>
          <w:jc w:val="center"/>
        </w:trPr>
        <w:tc>
          <w:tcPr>
            <w:tcW w:w="1997" w:type="pct"/>
            <w:gridSpan w:val="3"/>
            <w:vMerge w:val="continue"/>
          </w:tcPr>
          <w:p w14:paraId="05619764">
            <w:pPr>
              <w:widowControl/>
              <w:snapToGrid w:val="0"/>
              <w:jc w:val="left"/>
              <w:outlineLvl w:val="9"/>
              <w:rPr>
                <w:rFonts w:ascii="宋体" w:hAnsi="宋体" w:eastAsia="宋体" w:cs="宋体"/>
                <w:bCs/>
                <w:color w:val="auto"/>
                <w:kern w:val="0"/>
                <w:szCs w:val="21"/>
                <w:highlight w:val="none"/>
              </w:rPr>
            </w:pPr>
          </w:p>
        </w:tc>
        <w:tc>
          <w:tcPr>
            <w:tcW w:w="1366" w:type="pct"/>
            <w:gridSpan w:val="2"/>
            <w:vAlign w:val="center"/>
          </w:tcPr>
          <w:p w14:paraId="54F3A62D">
            <w:pPr>
              <w:widowControl/>
              <w:snapToGrid w:val="0"/>
              <w:jc w:val="left"/>
              <w:outlineLvl w:val="9"/>
              <w:rPr>
                <w:rFonts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运营项目负责人</w:t>
            </w:r>
          </w:p>
        </w:tc>
        <w:tc>
          <w:tcPr>
            <w:tcW w:w="1635" w:type="pct"/>
            <w:gridSpan w:val="4"/>
            <w:vAlign w:val="center"/>
          </w:tcPr>
          <w:p w14:paraId="36399670">
            <w:pPr>
              <w:widowControl/>
              <w:snapToGrid w:val="0"/>
              <w:jc w:val="left"/>
              <w:outlineLvl w:val="9"/>
              <w:rPr>
                <w:rFonts w:ascii="宋体" w:hAnsi="宋体" w:eastAsia="宋体" w:cs="宋体"/>
                <w:bCs/>
                <w:color w:val="auto"/>
                <w:kern w:val="0"/>
                <w:szCs w:val="21"/>
                <w:highlight w:val="none"/>
              </w:rPr>
            </w:pPr>
          </w:p>
        </w:tc>
      </w:tr>
    </w:tbl>
    <w:p w14:paraId="3BFD23AE">
      <w:pPr>
        <w:autoSpaceDE w:val="0"/>
        <w:autoSpaceDN w:val="0"/>
        <w:adjustRightInd w:val="0"/>
        <w:jc w:val="left"/>
        <w:outlineLvl w:val="9"/>
        <w:rPr>
          <w:rFonts w:ascii="宋体" w:hAnsi="宋体" w:eastAsia="宋体" w:cs="宋体"/>
          <w:color w:val="auto"/>
          <w:kern w:val="0"/>
          <w:sz w:val="24"/>
          <w:szCs w:val="24"/>
          <w:highlight w:val="none"/>
        </w:rPr>
      </w:pPr>
    </w:p>
    <w:p w14:paraId="6430DC56">
      <w:pPr>
        <w:autoSpaceDE w:val="0"/>
        <w:autoSpaceDN w:val="0"/>
        <w:adjustRightInd w:val="0"/>
        <w:jc w:val="left"/>
        <w:outlineLvl w:val="9"/>
        <w:rPr>
          <w:rFonts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备注：每季度第三个月对每个项目点评价一次</w:t>
      </w:r>
    </w:p>
    <w:p w14:paraId="6AEAB7EC">
      <w:pPr>
        <w:spacing w:after="120"/>
        <w:ind w:firstLine="210" w:firstLineChars="100"/>
        <w:outlineLvl w:val="9"/>
        <w:rPr>
          <w:rFonts w:ascii="宋体" w:hAnsi="宋体" w:eastAsia="宋体" w:cs="宋体"/>
          <w:color w:val="auto"/>
          <w:szCs w:val="24"/>
          <w:highlight w:val="none"/>
        </w:rPr>
      </w:pPr>
    </w:p>
    <w:p w14:paraId="002189DE">
      <w:pPr>
        <w:pStyle w:val="19"/>
        <w:jc w:val="both"/>
        <w:rPr>
          <w:rFonts w:hAnsi="宋体" w:cs="宋体"/>
          <w:color w:val="auto"/>
          <w:highlight w:val="none"/>
        </w:rPr>
      </w:pPr>
    </w:p>
    <w:p w14:paraId="5EF0D656">
      <w:pPr>
        <w:spacing w:line="360" w:lineRule="auto"/>
        <w:rPr>
          <w:rFonts w:ascii="宋体" w:hAnsi="宋体" w:eastAsia="宋体" w:cs="宋体"/>
          <w:b/>
          <w:color w:val="auto"/>
          <w:szCs w:val="21"/>
          <w:highlight w:val="none"/>
          <w:lang w:val="zh-CN"/>
        </w:rPr>
      </w:pPr>
    </w:p>
    <w:p w14:paraId="1F582307">
      <w:pPr>
        <w:spacing w:line="360" w:lineRule="auto"/>
        <w:rPr>
          <w:rFonts w:ascii="宋体" w:hAnsi="宋体" w:eastAsia="宋体" w:cs="宋体"/>
          <w:color w:val="auto"/>
          <w:szCs w:val="21"/>
          <w:highlight w:val="none"/>
        </w:rPr>
      </w:pPr>
    </w:p>
    <w:p w14:paraId="1DB55228">
      <w:pPr>
        <w:rPr>
          <w:rFonts w:ascii="宋体" w:hAnsi="宋体" w:eastAsia="宋体" w:cs="宋体"/>
          <w:b/>
          <w:color w:val="auto"/>
          <w:szCs w:val="21"/>
          <w:highlight w:val="none"/>
        </w:rPr>
      </w:pPr>
    </w:p>
    <w:p w14:paraId="65E64DE7">
      <w:pPr>
        <w:widowControl/>
        <w:jc w:val="left"/>
        <w:rPr>
          <w:rFonts w:ascii="宋体" w:hAnsi="宋体" w:eastAsia="宋体" w:cs="宋体"/>
          <w:color w:val="auto"/>
          <w:szCs w:val="24"/>
          <w:highlight w:val="none"/>
          <w:lang w:val="zh-CN"/>
        </w:rPr>
      </w:pPr>
    </w:p>
    <w:sectPr>
      <w:footerReference r:id="rId4" w:type="first"/>
      <w:footerReference r:id="rId3" w:type="default"/>
      <w:pgSz w:w="12240" w:h="15840"/>
      <w:pgMar w:top="1191" w:right="1043" w:bottom="1191" w:left="1043" w:header="720" w:footer="720" w:gutter="0"/>
      <w:cols w:space="720" w:num="1"/>
      <w:titlePg/>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ˎ̥">
    <w:altName w:val="Times New Roman"/>
    <w:panose1 w:val="00000000000000000000"/>
    <w:charset w:val="01"/>
    <w:family w:val="roman"/>
    <w:pitch w:val="default"/>
    <w:sig w:usb0="00000000" w:usb1="00000000" w:usb2="00000000" w:usb3="00000000" w:csb0="00040001"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FrutigerNext LT Light">
    <w:altName w:val="宋体"/>
    <w:panose1 w:val="00000000000000000000"/>
    <w:charset w:val="86"/>
    <w:family w:val="swiss"/>
    <w:pitch w:val="default"/>
    <w:sig w:usb0="00000000" w:usb1="00000000" w:usb2="0000001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AF3815">
    <w:pPr>
      <w:pStyle w:val="27"/>
      <w:jc w:val="center"/>
    </w:pPr>
    <w:r>
      <w:rPr>
        <w:rFonts w:hint="eastAsia"/>
      </w:rPr>
      <w:t>第</w:t>
    </w:r>
    <w:r>
      <w:rPr>
        <w:lang w:val="zh-CN"/>
      </w:rPr>
      <w:t xml:space="preserve"> </w:t>
    </w:r>
    <w:r>
      <w:rPr>
        <w:bCs/>
        <w:sz w:val="24"/>
        <w:szCs w:val="24"/>
      </w:rPr>
      <w:fldChar w:fldCharType="begin"/>
    </w:r>
    <w:r>
      <w:rPr>
        <w:bCs/>
      </w:rPr>
      <w:instrText xml:space="preserve">PAGE</w:instrText>
    </w:r>
    <w:r>
      <w:rPr>
        <w:bCs/>
        <w:sz w:val="24"/>
        <w:szCs w:val="24"/>
      </w:rPr>
      <w:fldChar w:fldCharType="separate"/>
    </w:r>
    <w:r>
      <w:rPr>
        <w:bCs/>
      </w:rPr>
      <w:t>66</w:t>
    </w:r>
    <w:r>
      <w:rPr>
        <w:bCs/>
        <w:sz w:val="24"/>
        <w:szCs w:val="24"/>
      </w:rPr>
      <w:fldChar w:fldCharType="end"/>
    </w:r>
    <w:r>
      <w:rPr>
        <w:lang w:val="zh-CN"/>
      </w:rPr>
      <w:t xml:space="preserve"> </w:t>
    </w:r>
    <w:r>
      <w:rPr>
        <w:rFonts w:hint="eastAsia"/>
        <w:lang w:val="zh-CN"/>
      </w:rPr>
      <w:t>页，共</w:t>
    </w:r>
    <w:r>
      <w:rPr>
        <w:lang w:val="zh-CN"/>
      </w:rPr>
      <w:t xml:space="preserve"> </w:t>
    </w:r>
    <w:r>
      <w:rPr>
        <w:bCs/>
        <w:sz w:val="24"/>
        <w:szCs w:val="24"/>
      </w:rPr>
      <w:fldChar w:fldCharType="begin"/>
    </w:r>
    <w:r>
      <w:rPr>
        <w:bCs/>
      </w:rPr>
      <w:instrText xml:space="preserve">NUMPAGES</w:instrText>
    </w:r>
    <w:r>
      <w:rPr>
        <w:bCs/>
        <w:sz w:val="24"/>
        <w:szCs w:val="24"/>
      </w:rPr>
      <w:fldChar w:fldCharType="separate"/>
    </w:r>
    <w:r>
      <w:rPr>
        <w:bCs/>
      </w:rPr>
      <w:t>68</w:t>
    </w:r>
    <w:r>
      <w:rPr>
        <w:bCs/>
        <w:sz w:val="24"/>
        <w:szCs w:val="24"/>
      </w:rPr>
      <w:fldChar w:fldCharType="end"/>
    </w:r>
    <w:r>
      <w:rPr>
        <w:b/>
        <w:bCs/>
        <w:sz w:val="24"/>
        <w:szCs w:val="24"/>
      </w:rPr>
      <w:t xml:space="preserve"> </w:t>
    </w:r>
    <w:r>
      <w:rPr>
        <w:rFonts w:hint="eastAsia"/>
      </w:rPr>
      <w:t>页</w:t>
    </w:r>
  </w:p>
  <w:p w14:paraId="5A2E8B8F">
    <w:pPr>
      <w:pStyle w:val="2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A5A823">
    <w:pPr>
      <w:pStyle w:val="27"/>
      <w:jc w:val="center"/>
    </w:pPr>
    <w:r>
      <w:rPr>
        <w:rFonts w:hint="eastAsia"/>
      </w:rPr>
      <w:t>第</w:t>
    </w:r>
    <w:r>
      <w:rPr>
        <w:bCs/>
      </w:rPr>
      <w:fldChar w:fldCharType="begin"/>
    </w:r>
    <w:r>
      <w:rPr>
        <w:bCs/>
      </w:rPr>
      <w:instrText xml:space="preserve">PAGE</w:instrText>
    </w:r>
    <w:r>
      <w:rPr>
        <w:bCs/>
      </w:rPr>
      <w:fldChar w:fldCharType="separate"/>
    </w:r>
    <w:r>
      <w:rPr>
        <w:bCs/>
      </w:rPr>
      <w:t>49</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49</w:t>
    </w:r>
    <w:r>
      <w:rPr>
        <w:bCs/>
      </w:rPr>
      <w:fldChar w:fldCharType="end"/>
    </w:r>
    <w:r>
      <w:rPr>
        <w:rFonts w:hint="eastAsia"/>
        <w:bCs/>
      </w:rPr>
      <w:t>页</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2"/>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c4Mjg5ODE2ZTdmMDI0N2QwY2JjNGQ3YzNlODlmZDMifQ=="/>
    <w:docVar w:name="KSO_WPS_MARK_KEY" w:val="bde0006f-4c80-4252-a758-721027b49af3"/>
  </w:docVars>
  <w:rsids>
    <w:rsidRoot w:val="001E63B6"/>
    <w:rsid w:val="000011AE"/>
    <w:rsid w:val="00004430"/>
    <w:rsid w:val="00006AEC"/>
    <w:rsid w:val="00015A2E"/>
    <w:rsid w:val="000245A6"/>
    <w:rsid w:val="0002570D"/>
    <w:rsid w:val="00027708"/>
    <w:rsid w:val="00035595"/>
    <w:rsid w:val="00040BE6"/>
    <w:rsid w:val="00040F92"/>
    <w:rsid w:val="00046C4B"/>
    <w:rsid w:val="00052FA1"/>
    <w:rsid w:val="00054A52"/>
    <w:rsid w:val="00054D9C"/>
    <w:rsid w:val="000622F9"/>
    <w:rsid w:val="000640CD"/>
    <w:rsid w:val="000768C6"/>
    <w:rsid w:val="000770B9"/>
    <w:rsid w:val="0008097F"/>
    <w:rsid w:val="00084D8D"/>
    <w:rsid w:val="000853A8"/>
    <w:rsid w:val="00086BE3"/>
    <w:rsid w:val="00094AF8"/>
    <w:rsid w:val="000A31BD"/>
    <w:rsid w:val="000A34F7"/>
    <w:rsid w:val="000A65CD"/>
    <w:rsid w:val="000A73D7"/>
    <w:rsid w:val="000B4B09"/>
    <w:rsid w:val="000C1661"/>
    <w:rsid w:val="000C18B7"/>
    <w:rsid w:val="000C5D06"/>
    <w:rsid w:val="000C6A11"/>
    <w:rsid w:val="000D0B5D"/>
    <w:rsid w:val="000D5537"/>
    <w:rsid w:val="000D75D3"/>
    <w:rsid w:val="000E3ECA"/>
    <w:rsid w:val="000E4A4F"/>
    <w:rsid w:val="000E4D54"/>
    <w:rsid w:val="000F0A84"/>
    <w:rsid w:val="001059DC"/>
    <w:rsid w:val="0010738F"/>
    <w:rsid w:val="0011440A"/>
    <w:rsid w:val="00114519"/>
    <w:rsid w:val="001233ED"/>
    <w:rsid w:val="00127946"/>
    <w:rsid w:val="00131E91"/>
    <w:rsid w:val="001450A8"/>
    <w:rsid w:val="001523C0"/>
    <w:rsid w:val="00152F07"/>
    <w:rsid w:val="0015711A"/>
    <w:rsid w:val="001644BA"/>
    <w:rsid w:val="001647C7"/>
    <w:rsid w:val="00165203"/>
    <w:rsid w:val="00166309"/>
    <w:rsid w:val="00170004"/>
    <w:rsid w:val="00174AE6"/>
    <w:rsid w:val="001758D3"/>
    <w:rsid w:val="00177B51"/>
    <w:rsid w:val="0018078B"/>
    <w:rsid w:val="00183284"/>
    <w:rsid w:val="00183344"/>
    <w:rsid w:val="0019682B"/>
    <w:rsid w:val="001A1FCB"/>
    <w:rsid w:val="001B74B3"/>
    <w:rsid w:val="001C2086"/>
    <w:rsid w:val="001C4AC2"/>
    <w:rsid w:val="001C6FAA"/>
    <w:rsid w:val="001D00B3"/>
    <w:rsid w:val="001D2EAC"/>
    <w:rsid w:val="001D5A65"/>
    <w:rsid w:val="001D6B15"/>
    <w:rsid w:val="001E4158"/>
    <w:rsid w:val="001E6227"/>
    <w:rsid w:val="001E63B6"/>
    <w:rsid w:val="001E6DD8"/>
    <w:rsid w:val="001F0290"/>
    <w:rsid w:val="001F6A01"/>
    <w:rsid w:val="00202DB9"/>
    <w:rsid w:val="00215B7A"/>
    <w:rsid w:val="002235CA"/>
    <w:rsid w:val="00223D5B"/>
    <w:rsid w:val="0022528C"/>
    <w:rsid w:val="002258BB"/>
    <w:rsid w:val="00225B7D"/>
    <w:rsid w:val="002260FC"/>
    <w:rsid w:val="002315B7"/>
    <w:rsid w:val="002347FE"/>
    <w:rsid w:val="0024360C"/>
    <w:rsid w:val="002451A7"/>
    <w:rsid w:val="00247373"/>
    <w:rsid w:val="00260C05"/>
    <w:rsid w:val="00261575"/>
    <w:rsid w:val="00262407"/>
    <w:rsid w:val="00275E0E"/>
    <w:rsid w:val="0028146F"/>
    <w:rsid w:val="002831F6"/>
    <w:rsid w:val="00290CBF"/>
    <w:rsid w:val="0029590E"/>
    <w:rsid w:val="002A3EB3"/>
    <w:rsid w:val="002B1734"/>
    <w:rsid w:val="002B5DBC"/>
    <w:rsid w:val="002B7423"/>
    <w:rsid w:val="002B7CA9"/>
    <w:rsid w:val="002C4A4A"/>
    <w:rsid w:val="002D0003"/>
    <w:rsid w:val="002D1442"/>
    <w:rsid w:val="002E4079"/>
    <w:rsid w:val="002F68EE"/>
    <w:rsid w:val="002F7DEF"/>
    <w:rsid w:val="003014E2"/>
    <w:rsid w:val="00302D85"/>
    <w:rsid w:val="0030753D"/>
    <w:rsid w:val="00311DA1"/>
    <w:rsid w:val="003121B1"/>
    <w:rsid w:val="0031709C"/>
    <w:rsid w:val="003223D5"/>
    <w:rsid w:val="00322AA4"/>
    <w:rsid w:val="00325EF0"/>
    <w:rsid w:val="00326230"/>
    <w:rsid w:val="00326290"/>
    <w:rsid w:val="00330DA7"/>
    <w:rsid w:val="00332C2D"/>
    <w:rsid w:val="00335872"/>
    <w:rsid w:val="003462FF"/>
    <w:rsid w:val="00347A73"/>
    <w:rsid w:val="00347CB0"/>
    <w:rsid w:val="00352495"/>
    <w:rsid w:val="00353707"/>
    <w:rsid w:val="00354BE6"/>
    <w:rsid w:val="0035524D"/>
    <w:rsid w:val="00357E51"/>
    <w:rsid w:val="003628C2"/>
    <w:rsid w:val="00364854"/>
    <w:rsid w:val="00366BB7"/>
    <w:rsid w:val="003721DF"/>
    <w:rsid w:val="003748D5"/>
    <w:rsid w:val="0037694B"/>
    <w:rsid w:val="00381E11"/>
    <w:rsid w:val="003824D1"/>
    <w:rsid w:val="00393CBD"/>
    <w:rsid w:val="00395C76"/>
    <w:rsid w:val="003A2B25"/>
    <w:rsid w:val="003A5520"/>
    <w:rsid w:val="003B077B"/>
    <w:rsid w:val="003B3342"/>
    <w:rsid w:val="003B5C9C"/>
    <w:rsid w:val="003C193B"/>
    <w:rsid w:val="003C497A"/>
    <w:rsid w:val="003D0D72"/>
    <w:rsid w:val="003D17A4"/>
    <w:rsid w:val="003D39E2"/>
    <w:rsid w:val="003D3F68"/>
    <w:rsid w:val="003E006E"/>
    <w:rsid w:val="003E30F8"/>
    <w:rsid w:val="003E399E"/>
    <w:rsid w:val="003E6830"/>
    <w:rsid w:val="003F3875"/>
    <w:rsid w:val="003F42C0"/>
    <w:rsid w:val="003F51B0"/>
    <w:rsid w:val="004033E1"/>
    <w:rsid w:val="00405E84"/>
    <w:rsid w:val="0040607F"/>
    <w:rsid w:val="00417860"/>
    <w:rsid w:val="00420A7A"/>
    <w:rsid w:val="004235AF"/>
    <w:rsid w:val="0042558D"/>
    <w:rsid w:val="00427A89"/>
    <w:rsid w:val="0043107A"/>
    <w:rsid w:val="00432C43"/>
    <w:rsid w:val="004359C6"/>
    <w:rsid w:val="004360FC"/>
    <w:rsid w:val="004378C7"/>
    <w:rsid w:val="00437B9C"/>
    <w:rsid w:val="00437FC4"/>
    <w:rsid w:val="00441805"/>
    <w:rsid w:val="004551D1"/>
    <w:rsid w:val="0045753C"/>
    <w:rsid w:val="004577C3"/>
    <w:rsid w:val="0046038A"/>
    <w:rsid w:val="00460F3E"/>
    <w:rsid w:val="00464570"/>
    <w:rsid w:val="004706F6"/>
    <w:rsid w:val="004761B2"/>
    <w:rsid w:val="00481AFA"/>
    <w:rsid w:val="0049337D"/>
    <w:rsid w:val="004B093D"/>
    <w:rsid w:val="004B604C"/>
    <w:rsid w:val="004E4ADE"/>
    <w:rsid w:val="004E5028"/>
    <w:rsid w:val="004E5F4E"/>
    <w:rsid w:val="004F2802"/>
    <w:rsid w:val="00500B9E"/>
    <w:rsid w:val="00503499"/>
    <w:rsid w:val="00506501"/>
    <w:rsid w:val="00507BC4"/>
    <w:rsid w:val="00513DB6"/>
    <w:rsid w:val="00524E92"/>
    <w:rsid w:val="00531E28"/>
    <w:rsid w:val="005344B1"/>
    <w:rsid w:val="005423E7"/>
    <w:rsid w:val="005572B4"/>
    <w:rsid w:val="0056010A"/>
    <w:rsid w:val="00563302"/>
    <w:rsid w:val="00571307"/>
    <w:rsid w:val="005743EA"/>
    <w:rsid w:val="00576F2E"/>
    <w:rsid w:val="00581210"/>
    <w:rsid w:val="00581FC3"/>
    <w:rsid w:val="005832B2"/>
    <w:rsid w:val="005851F1"/>
    <w:rsid w:val="005910B4"/>
    <w:rsid w:val="00596A23"/>
    <w:rsid w:val="005B735D"/>
    <w:rsid w:val="005C4A71"/>
    <w:rsid w:val="005C6F40"/>
    <w:rsid w:val="005D4119"/>
    <w:rsid w:val="005D66C2"/>
    <w:rsid w:val="005E2AC9"/>
    <w:rsid w:val="005E4D67"/>
    <w:rsid w:val="005F3D7C"/>
    <w:rsid w:val="00602D7E"/>
    <w:rsid w:val="00603BD0"/>
    <w:rsid w:val="0060555D"/>
    <w:rsid w:val="00606161"/>
    <w:rsid w:val="006062B3"/>
    <w:rsid w:val="00612EB1"/>
    <w:rsid w:val="0061352C"/>
    <w:rsid w:val="006165C8"/>
    <w:rsid w:val="006175B4"/>
    <w:rsid w:val="00617AAD"/>
    <w:rsid w:val="00621CDC"/>
    <w:rsid w:val="006229B2"/>
    <w:rsid w:val="00625E3D"/>
    <w:rsid w:val="00630B61"/>
    <w:rsid w:val="006402A6"/>
    <w:rsid w:val="00644B65"/>
    <w:rsid w:val="006530F8"/>
    <w:rsid w:val="006537BE"/>
    <w:rsid w:val="006654C0"/>
    <w:rsid w:val="00681997"/>
    <w:rsid w:val="0068405C"/>
    <w:rsid w:val="00691017"/>
    <w:rsid w:val="0069152C"/>
    <w:rsid w:val="006A29A5"/>
    <w:rsid w:val="006A2BD9"/>
    <w:rsid w:val="006A3C57"/>
    <w:rsid w:val="006A4F83"/>
    <w:rsid w:val="006A5072"/>
    <w:rsid w:val="006B5151"/>
    <w:rsid w:val="006C2D84"/>
    <w:rsid w:val="006C2F7D"/>
    <w:rsid w:val="006C3580"/>
    <w:rsid w:val="006C3F4D"/>
    <w:rsid w:val="006C6349"/>
    <w:rsid w:val="006D479F"/>
    <w:rsid w:val="006E2E51"/>
    <w:rsid w:val="006F6DB2"/>
    <w:rsid w:val="00704B3A"/>
    <w:rsid w:val="00710CF8"/>
    <w:rsid w:val="00711E08"/>
    <w:rsid w:val="007138FD"/>
    <w:rsid w:val="00716BB1"/>
    <w:rsid w:val="007172FD"/>
    <w:rsid w:val="007200C8"/>
    <w:rsid w:val="007215F6"/>
    <w:rsid w:val="00721BAA"/>
    <w:rsid w:val="00745968"/>
    <w:rsid w:val="00747A3E"/>
    <w:rsid w:val="007730C9"/>
    <w:rsid w:val="00775150"/>
    <w:rsid w:val="00776B48"/>
    <w:rsid w:val="0078099D"/>
    <w:rsid w:val="00787DE8"/>
    <w:rsid w:val="007942D8"/>
    <w:rsid w:val="00794983"/>
    <w:rsid w:val="00796ED7"/>
    <w:rsid w:val="007A7740"/>
    <w:rsid w:val="007B4F1D"/>
    <w:rsid w:val="007C002A"/>
    <w:rsid w:val="007C024B"/>
    <w:rsid w:val="007D408A"/>
    <w:rsid w:val="007D4A5A"/>
    <w:rsid w:val="007D6B20"/>
    <w:rsid w:val="007E0673"/>
    <w:rsid w:val="007E32FC"/>
    <w:rsid w:val="007F01A2"/>
    <w:rsid w:val="007F0378"/>
    <w:rsid w:val="007F2ABC"/>
    <w:rsid w:val="007F7FEC"/>
    <w:rsid w:val="00810090"/>
    <w:rsid w:val="0081027D"/>
    <w:rsid w:val="00817B3D"/>
    <w:rsid w:val="00822299"/>
    <w:rsid w:val="008270D5"/>
    <w:rsid w:val="008279A7"/>
    <w:rsid w:val="00831B7F"/>
    <w:rsid w:val="0085250F"/>
    <w:rsid w:val="008525D6"/>
    <w:rsid w:val="0085388E"/>
    <w:rsid w:val="00856F5E"/>
    <w:rsid w:val="008604D1"/>
    <w:rsid w:val="008659E9"/>
    <w:rsid w:val="0087095D"/>
    <w:rsid w:val="00871835"/>
    <w:rsid w:val="00871F12"/>
    <w:rsid w:val="00875420"/>
    <w:rsid w:val="00876184"/>
    <w:rsid w:val="00880A50"/>
    <w:rsid w:val="00884732"/>
    <w:rsid w:val="0089007C"/>
    <w:rsid w:val="008928AE"/>
    <w:rsid w:val="00893092"/>
    <w:rsid w:val="00894583"/>
    <w:rsid w:val="008A4C9B"/>
    <w:rsid w:val="008B08C5"/>
    <w:rsid w:val="008B6384"/>
    <w:rsid w:val="008B6557"/>
    <w:rsid w:val="008B74A7"/>
    <w:rsid w:val="008C02C2"/>
    <w:rsid w:val="008C1CB3"/>
    <w:rsid w:val="008C7F21"/>
    <w:rsid w:val="008D1795"/>
    <w:rsid w:val="008D4357"/>
    <w:rsid w:val="008D565D"/>
    <w:rsid w:val="008D6357"/>
    <w:rsid w:val="008E5EA1"/>
    <w:rsid w:val="008E6AB7"/>
    <w:rsid w:val="008F13C0"/>
    <w:rsid w:val="008F38EE"/>
    <w:rsid w:val="009001CB"/>
    <w:rsid w:val="009004F6"/>
    <w:rsid w:val="00903BBE"/>
    <w:rsid w:val="009077A0"/>
    <w:rsid w:val="009113DE"/>
    <w:rsid w:val="00913121"/>
    <w:rsid w:val="009171D5"/>
    <w:rsid w:val="00917709"/>
    <w:rsid w:val="00917C84"/>
    <w:rsid w:val="009220F2"/>
    <w:rsid w:val="009227C1"/>
    <w:rsid w:val="00923EDB"/>
    <w:rsid w:val="00925D9A"/>
    <w:rsid w:val="00926978"/>
    <w:rsid w:val="00932BD9"/>
    <w:rsid w:val="0094670F"/>
    <w:rsid w:val="009479D0"/>
    <w:rsid w:val="00961BA9"/>
    <w:rsid w:val="00967923"/>
    <w:rsid w:val="009701D2"/>
    <w:rsid w:val="00970774"/>
    <w:rsid w:val="00972FAE"/>
    <w:rsid w:val="0097462A"/>
    <w:rsid w:val="00986292"/>
    <w:rsid w:val="00987779"/>
    <w:rsid w:val="009A2AA5"/>
    <w:rsid w:val="009A63FB"/>
    <w:rsid w:val="009A6459"/>
    <w:rsid w:val="009B55D4"/>
    <w:rsid w:val="009B787A"/>
    <w:rsid w:val="009B7A49"/>
    <w:rsid w:val="009B7AD9"/>
    <w:rsid w:val="009C387D"/>
    <w:rsid w:val="009C571F"/>
    <w:rsid w:val="009D0461"/>
    <w:rsid w:val="009D4188"/>
    <w:rsid w:val="009D4EFC"/>
    <w:rsid w:val="009D551C"/>
    <w:rsid w:val="009D7FA3"/>
    <w:rsid w:val="009E216D"/>
    <w:rsid w:val="009E6283"/>
    <w:rsid w:val="009E63CA"/>
    <w:rsid w:val="009F34CB"/>
    <w:rsid w:val="009F7460"/>
    <w:rsid w:val="00A03E44"/>
    <w:rsid w:val="00A075A8"/>
    <w:rsid w:val="00A10A7B"/>
    <w:rsid w:val="00A15F6A"/>
    <w:rsid w:val="00A311C2"/>
    <w:rsid w:val="00A32233"/>
    <w:rsid w:val="00A36A24"/>
    <w:rsid w:val="00A376FB"/>
    <w:rsid w:val="00A45306"/>
    <w:rsid w:val="00A45D73"/>
    <w:rsid w:val="00A62F8C"/>
    <w:rsid w:val="00A64725"/>
    <w:rsid w:val="00A6666A"/>
    <w:rsid w:val="00A7327B"/>
    <w:rsid w:val="00A73490"/>
    <w:rsid w:val="00A819B6"/>
    <w:rsid w:val="00A91C8B"/>
    <w:rsid w:val="00A95824"/>
    <w:rsid w:val="00AB2EDC"/>
    <w:rsid w:val="00AB47F4"/>
    <w:rsid w:val="00AC136E"/>
    <w:rsid w:val="00AC1F6A"/>
    <w:rsid w:val="00AC413D"/>
    <w:rsid w:val="00AD3A9D"/>
    <w:rsid w:val="00AD79D3"/>
    <w:rsid w:val="00AE5434"/>
    <w:rsid w:val="00AE6DBF"/>
    <w:rsid w:val="00AE75DB"/>
    <w:rsid w:val="00B0092D"/>
    <w:rsid w:val="00B01C60"/>
    <w:rsid w:val="00B01D22"/>
    <w:rsid w:val="00B03A00"/>
    <w:rsid w:val="00B0445D"/>
    <w:rsid w:val="00B0447C"/>
    <w:rsid w:val="00B05E53"/>
    <w:rsid w:val="00B072AA"/>
    <w:rsid w:val="00B10650"/>
    <w:rsid w:val="00B10E08"/>
    <w:rsid w:val="00B11436"/>
    <w:rsid w:val="00B12341"/>
    <w:rsid w:val="00B25D19"/>
    <w:rsid w:val="00B359D9"/>
    <w:rsid w:val="00B35BC7"/>
    <w:rsid w:val="00B40B8B"/>
    <w:rsid w:val="00B4404D"/>
    <w:rsid w:val="00B50993"/>
    <w:rsid w:val="00B63168"/>
    <w:rsid w:val="00B63E9B"/>
    <w:rsid w:val="00B64963"/>
    <w:rsid w:val="00B70085"/>
    <w:rsid w:val="00B7099F"/>
    <w:rsid w:val="00B71873"/>
    <w:rsid w:val="00B72A5D"/>
    <w:rsid w:val="00B736B7"/>
    <w:rsid w:val="00B73C45"/>
    <w:rsid w:val="00B82E01"/>
    <w:rsid w:val="00B84DD7"/>
    <w:rsid w:val="00B91811"/>
    <w:rsid w:val="00B94460"/>
    <w:rsid w:val="00B9561A"/>
    <w:rsid w:val="00BA437F"/>
    <w:rsid w:val="00BA5C29"/>
    <w:rsid w:val="00BB6C9A"/>
    <w:rsid w:val="00BC0594"/>
    <w:rsid w:val="00BC11FC"/>
    <w:rsid w:val="00BC1F54"/>
    <w:rsid w:val="00BC4C9D"/>
    <w:rsid w:val="00BC54FC"/>
    <w:rsid w:val="00BD2118"/>
    <w:rsid w:val="00BD5092"/>
    <w:rsid w:val="00BD5997"/>
    <w:rsid w:val="00BE6F50"/>
    <w:rsid w:val="00BF1BA3"/>
    <w:rsid w:val="00BF588D"/>
    <w:rsid w:val="00C03447"/>
    <w:rsid w:val="00C07EF5"/>
    <w:rsid w:val="00C128FE"/>
    <w:rsid w:val="00C13304"/>
    <w:rsid w:val="00C1777A"/>
    <w:rsid w:val="00C212E3"/>
    <w:rsid w:val="00C22FAE"/>
    <w:rsid w:val="00C24C44"/>
    <w:rsid w:val="00C26B0C"/>
    <w:rsid w:val="00C30F18"/>
    <w:rsid w:val="00C331D1"/>
    <w:rsid w:val="00C35958"/>
    <w:rsid w:val="00C372A8"/>
    <w:rsid w:val="00C375FF"/>
    <w:rsid w:val="00C40848"/>
    <w:rsid w:val="00C50E47"/>
    <w:rsid w:val="00C562AA"/>
    <w:rsid w:val="00C574F4"/>
    <w:rsid w:val="00C747C6"/>
    <w:rsid w:val="00C756C3"/>
    <w:rsid w:val="00C80F66"/>
    <w:rsid w:val="00C84AE8"/>
    <w:rsid w:val="00C85D1B"/>
    <w:rsid w:val="00C96DDA"/>
    <w:rsid w:val="00CA7F1F"/>
    <w:rsid w:val="00CB5D3E"/>
    <w:rsid w:val="00CC4C46"/>
    <w:rsid w:val="00CC6AAB"/>
    <w:rsid w:val="00CC77FF"/>
    <w:rsid w:val="00CC7CF5"/>
    <w:rsid w:val="00CE18E1"/>
    <w:rsid w:val="00CE3C5A"/>
    <w:rsid w:val="00CE59C6"/>
    <w:rsid w:val="00CE7586"/>
    <w:rsid w:val="00D03659"/>
    <w:rsid w:val="00D03EDF"/>
    <w:rsid w:val="00D10DC0"/>
    <w:rsid w:val="00D11555"/>
    <w:rsid w:val="00D13D6D"/>
    <w:rsid w:val="00D20C74"/>
    <w:rsid w:val="00D24FD7"/>
    <w:rsid w:val="00D25647"/>
    <w:rsid w:val="00D34FE4"/>
    <w:rsid w:val="00D377A7"/>
    <w:rsid w:val="00D44C95"/>
    <w:rsid w:val="00D452A7"/>
    <w:rsid w:val="00D4584F"/>
    <w:rsid w:val="00D54725"/>
    <w:rsid w:val="00D559FF"/>
    <w:rsid w:val="00D62B8C"/>
    <w:rsid w:val="00D63276"/>
    <w:rsid w:val="00D66F39"/>
    <w:rsid w:val="00D84B36"/>
    <w:rsid w:val="00D85853"/>
    <w:rsid w:val="00D936A0"/>
    <w:rsid w:val="00D97162"/>
    <w:rsid w:val="00D97CE9"/>
    <w:rsid w:val="00DA36E7"/>
    <w:rsid w:val="00DA4FC7"/>
    <w:rsid w:val="00DA550D"/>
    <w:rsid w:val="00DA7017"/>
    <w:rsid w:val="00DB13DD"/>
    <w:rsid w:val="00DB1B31"/>
    <w:rsid w:val="00DB1C27"/>
    <w:rsid w:val="00DB38EE"/>
    <w:rsid w:val="00DB7973"/>
    <w:rsid w:val="00DC13AB"/>
    <w:rsid w:val="00DC5EF2"/>
    <w:rsid w:val="00DC7EF7"/>
    <w:rsid w:val="00DD6B5E"/>
    <w:rsid w:val="00DD6BD4"/>
    <w:rsid w:val="00DE5E58"/>
    <w:rsid w:val="00DE7B46"/>
    <w:rsid w:val="00E0162C"/>
    <w:rsid w:val="00E11487"/>
    <w:rsid w:val="00E14ACC"/>
    <w:rsid w:val="00E15A8C"/>
    <w:rsid w:val="00E4144C"/>
    <w:rsid w:val="00E44F84"/>
    <w:rsid w:val="00E463C6"/>
    <w:rsid w:val="00E53121"/>
    <w:rsid w:val="00E5318E"/>
    <w:rsid w:val="00E53532"/>
    <w:rsid w:val="00E6034D"/>
    <w:rsid w:val="00E71967"/>
    <w:rsid w:val="00E754B1"/>
    <w:rsid w:val="00E801B5"/>
    <w:rsid w:val="00E905E8"/>
    <w:rsid w:val="00E93F56"/>
    <w:rsid w:val="00E952D9"/>
    <w:rsid w:val="00E96773"/>
    <w:rsid w:val="00E97CB9"/>
    <w:rsid w:val="00EB27E9"/>
    <w:rsid w:val="00EB37C9"/>
    <w:rsid w:val="00EC134E"/>
    <w:rsid w:val="00ED0445"/>
    <w:rsid w:val="00ED3C3B"/>
    <w:rsid w:val="00EE48C3"/>
    <w:rsid w:val="00EF199D"/>
    <w:rsid w:val="00EF4E12"/>
    <w:rsid w:val="00EF5326"/>
    <w:rsid w:val="00EF65F3"/>
    <w:rsid w:val="00F01510"/>
    <w:rsid w:val="00F02A6D"/>
    <w:rsid w:val="00F0424C"/>
    <w:rsid w:val="00F10495"/>
    <w:rsid w:val="00F10DA8"/>
    <w:rsid w:val="00F1168A"/>
    <w:rsid w:val="00F12A10"/>
    <w:rsid w:val="00F2391C"/>
    <w:rsid w:val="00F31E30"/>
    <w:rsid w:val="00F3326F"/>
    <w:rsid w:val="00F34781"/>
    <w:rsid w:val="00F41A5D"/>
    <w:rsid w:val="00F470A2"/>
    <w:rsid w:val="00F51F93"/>
    <w:rsid w:val="00F552E5"/>
    <w:rsid w:val="00F56AA8"/>
    <w:rsid w:val="00F67C91"/>
    <w:rsid w:val="00F723F9"/>
    <w:rsid w:val="00F82315"/>
    <w:rsid w:val="00F83D3C"/>
    <w:rsid w:val="00F840D6"/>
    <w:rsid w:val="00F8691C"/>
    <w:rsid w:val="00F900BE"/>
    <w:rsid w:val="00F97392"/>
    <w:rsid w:val="00F97DF6"/>
    <w:rsid w:val="00FA4EEC"/>
    <w:rsid w:val="00FB335B"/>
    <w:rsid w:val="00FB4EAA"/>
    <w:rsid w:val="00FC5512"/>
    <w:rsid w:val="00FC6366"/>
    <w:rsid w:val="00FD0CD9"/>
    <w:rsid w:val="00FD4970"/>
    <w:rsid w:val="00FD6927"/>
    <w:rsid w:val="00FE02D9"/>
    <w:rsid w:val="00FE14F9"/>
    <w:rsid w:val="00FF2EFF"/>
    <w:rsid w:val="00FF4843"/>
    <w:rsid w:val="00FF5EEA"/>
    <w:rsid w:val="020C3A18"/>
    <w:rsid w:val="02152118"/>
    <w:rsid w:val="033D34A2"/>
    <w:rsid w:val="036C4134"/>
    <w:rsid w:val="055769B1"/>
    <w:rsid w:val="058F7720"/>
    <w:rsid w:val="05A67824"/>
    <w:rsid w:val="065832E7"/>
    <w:rsid w:val="06A75D00"/>
    <w:rsid w:val="077B7C99"/>
    <w:rsid w:val="07B315DF"/>
    <w:rsid w:val="0807632F"/>
    <w:rsid w:val="088E0975"/>
    <w:rsid w:val="09444B24"/>
    <w:rsid w:val="0A357B3E"/>
    <w:rsid w:val="0AAA23FB"/>
    <w:rsid w:val="0B1C39CD"/>
    <w:rsid w:val="0BB93795"/>
    <w:rsid w:val="0C2061D7"/>
    <w:rsid w:val="0CD467D7"/>
    <w:rsid w:val="0CF3438C"/>
    <w:rsid w:val="0D8F0A9E"/>
    <w:rsid w:val="0E4B0190"/>
    <w:rsid w:val="0E580CC3"/>
    <w:rsid w:val="0E5B7FB2"/>
    <w:rsid w:val="0E745916"/>
    <w:rsid w:val="0ED23591"/>
    <w:rsid w:val="0F241091"/>
    <w:rsid w:val="0F75727A"/>
    <w:rsid w:val="10306ECF"/>
    <w:rsid w:val="10BC03C7"/>
    <w:rsid w:val="112B33FC"/>
    <w:rsid w:val="11D5049D"/>
    <w:rsid w:val="1225508E"/>
    <w:rsid w:val="12351543"/>
    <w:rsid w:val="12AA6145"/>
    <w:rsid w:val="12B702A8"/>
    <w:rsid w:val="12D80AC7"/>
    <w:rsid w:val="12E000DA"/>
    <w:rsid w:val="130C2049"/>
    <w:rsid w:val="130F4A87"/>
    <w:rsid w:val="14237C67"/>
    <w:rsid w:val="145E6E6F"/>
    <w:rsid w:val="15A13C38"/>
    <w:rsid w:val="15AA1D01"/>
    <w:rsid w:val="15CF2CE6"/>
    <w:rsid w:val="16B60189"/>
    <w:rsid w:val="16BD4519"/>
    <w:rsid w:val="171C7676"/>
    <w:rsid w:val="182A2AA1"/>
    <w:rsid w:val="18713EA8"/>
    <w:rsid w:val="187526FE"/>
    <w:rsid w:val="18A961DF"/>
    <w:rsid w:val="192844DB"/>
    <w:rsid w:val="1A064E87"/>
    <w:rsid w:val="1A2E0437"/>
    <w:rsid w:val="1A340B0C"/>
    <w:rsid w:val="1A5E1FF9"/>
    <w:rsid w:val="1B0940FF"/>
    <w:rsid w:val="1BF14E41"/>
    <w:rsid w:val="1C93342E"/>
    <w:rsid w:val="1CAD1CD2"/>
    <w:rsid w:val="1D11307B"/>
    <w:rsid w:val="1D596764"/>
    <w:rsid w:val="1D75123E"/>
    <w:rsid w:val="1DA421C0"/>
    <w:rsid w:val="1DFC18B3"/>
    <w:rsid w:val="1EAD3534"/>
    <w:rsid w:val="1EB4196B"/>
    <w:rsid w:val="1F6253C8"/>
    <w:rsid w:val="1F967B6E"/>
    <w:rsid w:val="1F9E6530"/>
    <w:rsid w:val="207A1985"/>
    <w:rsid w:val="215E3CEA"/>
    <w:rsid w:val="22083B6D"/>
    <w:rsid w:val="223F767A"/>
    <w:rsid w:val="2253637F"/>
    <w:rsid w:val="226320C0"/>
    <w:rsid w:val="22C62CF4"/>
    <w:rsid w:val="23085236"/>
    <w:rsid w:val="23233E0B"/>
    <w:rsid w:val="23A06120"/>
    <w:rsid w:val="24035FEA"/>
    <w:rsid w:val="244020ED"/>
    <w:rsid w:val="247E276B"/>
    <w:rsid w:val="24CB42A9"/>
    <w:rsid w:val="25152F9B"/>
    <w:rsid w:val="2558427C"/>
    <w:rsid w:val="2615168E"/>
    <w:rsid w:val="26307409"/>
    <w:rsid w:val="266F0A68"/>
    <w:rsid w:val="26886B70"/>
    <w:rsid w:val="26CC0295"/>
    <w:rsid w:val="270940BB"/>
    <w:rsid w:val="27214E58"/>
    <w:rsid w:val="28651075"/>
    <w:rsid w:val="286E02B3"/>
    <w:rsid w:val="28AC24C6"/>
    <w:rsid w:val="28CD7B64"/>
    <w:rsid w:val="28DA73F5"/>
    <w:rsid w:val="29592C18"/>
    <w:rsid w:val="297700F0"/>
    <w:rsid w:val="29AE6B2F"/>
    <w:rsid w:val="29D7238A"/>
    <w:rsid w:val="2A9E4307"/>
    <w:rsid w:val="2AF472B7"/>
    <w:rsid w:val="2B315212"/>
    <w:rsid w:val="2CE16CCA"/>
    <w:rsid w:val="2CFC2BFE"/>
    <w:rsid w:val="2D436C59"/>
    <w:rsid w:val="2DBF5026"/>
    <w:rsid w:val="2ED67817"/>
    <w:rsid w:val="301F42F9"/>
    <w:rsid w:val="30516A28"/>
    <w:rsid w:val="3052293E"/>
    <w:rsid w:val="314D028A"/>
    <w:rsid w:val="32EA760B"/>
    <w:rsid w:val="33E36194"/>
    <w:rsid w:val="34014CC9"/>
    <w:rsid w:val="35045EC0"/>
    <w:rsid w:val="355530AA"/>
    <w:rsid w:val="36290C82"/>
    <w:rsid w:val="364631D7"/>
    <w:rsid w:val="368928C2"/>
    <w:rsid w:val="37850378"/>
    <w:rsid w:val="37DA30C1"/>
    <w:rsid w:val="37E853C9"/>
    <w:rsid w:val="38D1139F"/>
    <w:rsid w:val="38F00B77"/>
    <w:rsid w:val="3916395F"/>
    <w:rsid w:val="39EA5EF7"/>
    <w:rsid w:val="3A0F7851"/>
    <w:rsid w:val="3A3C43D8"/>
    <w:rsid w:val="3A761B2D"/>
    <w:rsid w:val="3B1F29B6"/>
    <w:rsid w:val="3B6C005D"/>
    <w:rsid w:val="3B997AE8"/>
    <w:rsid w:val="3C3869B8"/>
    <w:rsid w:val="3C3F4E7C"/>
    <w:rsid w:val="3C5721DA"/>
    <w:rsid w:val="3D1C7AB4"/>
    <w:rsid w:val="3D8C4796"/>
    <w:rsid w:val="3DA51BE7"/>
    <w:rsid w:val="3DB02A66"/>
    <w:rsid w:val="3E035163"/>
    <w:rsid w:val="3E5B7E36"/>
    <w:rsid w:val="3E963590"/>
    <w:rsid w:val="3EE74378"/>
    <w:rsid w:val="3F5B255F"/>
    <w:rsid w:val="3F99017E"/>
    <w:rsid w:val="40780522"/>
    <w:rsid w:val="40A755BC"/>
    <w:rsid w:val="40C64258"/>
    <w:rsid w:val="40DC5A18"/>
    <w:rsid w:val="411E5D03"/>
    <w:rsid w:val="42115BEF"/>
    <w:rsid w:val="430A0889"/>
    <w:rsid w:val="430A3637"/>
    <w:rsid w:val="43B50E83"/>
    <w:rsid w:val="44227F1C"/>
    <w:rsid w:val="442556F7"/>
    <w:rsid w:val="443D457C"/>
    <w:rsid w:val="44D20CE5"/>
    <w:rsid w:val="452D092B"/>
    <w:rsid w:val="4627448B"/>
    <w:rsid w:val="477F0EFA"/>
    <w:rsid w:val="48403686"/>
    <w:rsid w:val="48E07060"/>
    <w:rsid w:val="4962771D"/>
    <w:rsid w:val="49647CD4"/>
    <w:rsid w:val="49856524"/>
    <w:rsid w:val="49A11F60"/>
    <w:rsid w:val="49FC225B"/>
    <w:rsid w:val="4AB63EA1"/>
    <w:rsid w:val="4B10025B"/>
    <w:rsid w:val="4B5C6279"/>
    <w:rsid w:val="4BC8467F"/>
    <w:rsid w:val="4C123AC0"/>
    <w:rsid w:val="4C594FBF"/>
    <w:rsid w:val="4C934460"/>
    <w:rsid w:val="4CFE53E3"/>
    <w:rsid w:val="4D60779A"/>
    <w:rsid w:val="4D6E513D"/>
    <w:rsid w:val="4DBC59A0"/>
    <w:rsid w:val="4F0A4599"/>
    <w:rsid w:val="4FE63648"/>
    <w:rsid w:val="507B75ED"/>
    <w:rsid w:val="50C63796"/>
    <w:rsid w:val="517033E1"/>
    <w:rsid w:val="51BA6CFE"/>
    <w:rsid w:val="51DA4056"/>
    <w:rsid w:val="52C34F1A"/>
    <w:rsid w:val="52DC5818"/>
    <w:rsid w:val="52F91536"/>
    <w:rsid w:val="542D2863"/>
    <w:rsid w:val="54B631E7"/>
    <w:rsid w:val="54F06565"/>
    <w:rsid w:val="551D6334"/>
    <w:rsid w:val="55610963"/>
    <w:rsid w:val="56854D8F"/>
    <w:rsid w:val="56B37004"/>
    <w:rsid w:val="57A23F42"/>
    <w:rsid w:val="57AE65D4"/>
    <w:rsid w:val="59633BAD"/>
    <w:rsid w:val="59FB128F"/>
    <w:rsid w:val="5A227646"/>
    <w:rsid w:val="5AC60A90"/>
    <w:rsid w:val="5B77791D"/>
    <w:rsid w:val="5BE12FA3"/>
    <w:rsid w:val="5C4D6613"/>
    <w:rsid w:val="5C6F7AEE"/>
    <w:rsid w:val="5CC13305"/>
    <w:rsid w:val="5D770E20"/>
    <w:rsid w:val="5D866B8D"/>
    <w:rsid w:val="5D8866EC"/>
    <w:rsid w:val="5E035598"/>
    <w:rsid w:val="5E15335E"/>
    <w:rsid w:val="5E80507D"/>
    <w:rsid w:val="5EBF421E"/>
    <w:rsid w:val="5EEA5F18"/>
    <w:rsid w:val="5F136672"/>
    <w:rsid w:val="60612E67"/>
    <w:rsid w:val="60E12734"/>
    <w:rsid w:val="61407419"/>
    <w:rsid w:val="616D3DDE"/>
    <w:rsid w:val="62367D31"/>
    <w:rsid w:val="62AC327C"/>
    <w:rsid w:val="62B13874"/>
    <w:rsid w:val="63297364"/>
    <w:rsid w:val="63672753"/>
    <w:rsid w:val="6394627D"/>
    <w:rsid w:val="63CB0C40"/>
    <w:rsid w:val="64C17A11"/>
    <w:rsid w:val="65267C6F"/>
    <w:rsid w:val="659C11B3"/>
    <w:rsid w:val="65E62E7A"/>
    <w:rsid w:val="662C4D2F"/>
    <w:rsid w:val="66453616"/>
    <w:rsid w:val="667F1176"/>
    <w:rsid w:val="66A066C3"/>
    <w:rsid w:val="66A243BB"/>
    <w:rsid w:val="66EB31E7"/>
    <w:rsid w:val="66EC7F6C"/>
    <w:rsid w:val="67145AA4"/>
    <w:rsid w:val="674C3ED2"/>
    <w:rsid w:val="67BB5990"/>
    <w:rsid w:val="67C13389"/>
    <w:rsid w:val="67D945F1"/>
    <w:rsid w:val="68AC2E48"/>
    <w:rsid w:val="68CA6861"/>
    <w:rsid w:val="693D57B5"/>
    <w:rsid w:val="695622C3"/>
    <w:rsid w:val="69A360F4"/>
    <w:rsid w:val="69C30412"/>
    <w:rsid w:val="69F452BC"/>
    <w:rsid w:val="6A3F3505"/>
    <w:rsid w:val="6AAD178D"/>
    <w:rsid w:val="6AB73874"/>
    <w:rsid w:val="6AF17606"/>
    <w:rsid w:val="6BB20736"/>
    <w:rsid w:val="6BD25147"/>
    <w:rsid w:val="6BE866B8"/>
    <w:rsid w:val="6C986D19"/>
    <w:rsid w:val="6CC649E7"/>
    <w:rsid w:val="6DDA5CDD"/>
    <w:rsid w:val="6DF037C9"/>
    <w:rsid w:val="6E577DE3"/>
    <w:rsid w:val="6F0312AE"/>
    <w:rsid w:val="6F5B440C"/>
    <w:rsid w:val="6F5F71DE"/>
    <w:rsid w:val="70593B23"/>
    <w:rsid w:val="70674025"/>
    <w:rsid w:val="70D5679F"/>
    <w:rsid w:val="71444336"/>
    <w:rsid w:val="718224E5"/>
    <w:rsid w:val="71C7058D"/>
    <w:rsid w:val="71E562FC"/>
    <w:rsid w:val="720E78A3"/>
    <w:rsid w:val="73EB3D1F"/>
    <w:rsid w:val="747F6561"/>
    <w:rsid w:val="74A67005"/>
    <w:rsid w:val="751D3132"/>
    <w:rsid w:val="75745D3F"/>
    <w:rsid w:val="75860092"/>
    <w:rsid w:val="76C62D39"/>
    <w:rsid w:val="76EF533B"/>
    <w:rsid w:val="771A6A3C"/>
    <w:rsid w:val="77281627"/>
    <w:rsid w:val="77FD5598"/>
    <w:rsid w:val="790D22C6"/>
    <w:rsid w:val="7A037DB2"/>
    <w:rsid w:val="7A98624C"/>
    <w:rsid w:val="7AA91E00"/>
    <w:rsid w:val="7B530753"/>
    <w:rsid w:val="7BA75B09"/>
    <w:rsid w:val="7D630A43"/>
    <w:rsid w:val="7D6457E7"/>
    <w:rsid w:val="7DCA6D44"/>
    <w:rsid w:val="7E8B4E88"/>
    <w:rsid w:val="7F24526C"/>
    <w:rsid w:val="7F9135F0"/>
    <w:rsid w:val="7FAD37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qFormat="1"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qFormat="1" w:uiPriority="99"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150"/>
    <w:autoRedefine/>
    <w:qFormat/>
    <w:uiPriority w:val="9"/>
    <w:pPr>
      <w:autoSpaceDE w:val="0"/>
      <w:autoSpaceDN w:val="0"/>
      <w:adjustRightInd w:val="0"/>
      <w:jc w:val="left"/>
      <w:outlineLvl w:val="0"/>
    </w:pPr>
    <w:rPr>
      <w:rFonts w:ascii="宋体" w:hAnsi="Calibri" w:eastAsia="宋体" w:cs="Times New Roman"/>
      <w:kern w:val="0"/>
      <w:sz w:val="24"/>
      <w:szCs w:val="24"/>
    </w:rPr>
  </w:style>
  <w:style w:type="paragraph" w:styleId="4">
    <w:name w:val="heading 2"/>
    <w:basedOn w:val="1"/>
    <w:next w:val="1"/>
    <w:link w:val="48"/>
    <w:autoRedefine/>
    <w:qFormat/>
    <w:uiPriority w:val="0"/>
    <w:pPr>
      <w:autoSpaceDE w:val="0"/>
      <w:autoSpaceDN w:val="0"/>
      <w:adjustRightInd w:val="0"/>
      <w:jc w:val="left"/>
      <w:outlineLvl w:val="1"/>
    </w:pPr>
    <w:rPr>
      <w:rFonts w:ascii="宋体" w:hAnsi="Calibri" w:eastAsia="宋体" w:cs="Times New Roman"/>
      <w:kern w:val="0"/>
      <w:sz w:val="24"/>
      <w:szCs w:val="24"/>
    </w:rPr>
  </w:style>
  <w:style w:type="paragraph" w:styleId="5">
    <w:name w:val="heading 3"/>
    <w:basedOn w:val="1"/>
    <w:next w:val="1"/>
    <w:link w:val="144"/>
    <w:autoRedefine/>
    <w:qFormat/>
    <w:uiPriority w:val="0"/>
    <w:pPr>
      <w:autoSpaceDE w:val="0"/>
      <w:autoSpaceDN w:val="0"/>
      <w:adjustRightInd w:val="0"/>
      <w:jc w:val="left"/>
      <w:outlineLvl w:val="2"/>
    </w:pPr>
    <w:rPr>
      <w:rFonts w:ascii="宋体" w:hAnsi="Calibri" w:eastAsia="宋体" w:cs="Times New Roman"/>
      <w:kern w:val="0"/>
      <w:sz w:val="24"/>
      <w:szCs w:val="24"/>
    </w:rPr>
  </w:style>
  <w:style w:type="paragraph" w:styleId="6">
    <w:name w:val="heading 4"/>
    <w:basedOn w:val="1"/>
    <w:next w:val="1"/>
    <w:link w:val="50"/>
    <w:autoRedefine/>
    <w:qFormat/>
    <w:uiPriority w:val="9"/>
    <w:pPr>
      <w:keepNext/>
      <w:keepLines/>
      <w:autoSpaceDE w:val="0"/>
      <w:autoSpaceDN w:val="0"/>
      <w:adjustRightInd w:val="0"/>
      <w:spacing w:before="280" w:after="290" w:line="376" w:lineRule="auto"/>
      <w:jc w:val="left"/>
      <w:outlineLvl w:val="3"/>
    </w:pPr>
    <w:rPr>
      <w:rFonts w:ascii="Arial" w:hAnsi="Arial" w:eastAsia="黑体" w:cs="Times New Roman"/>
      <w:b/>
      <w:bCs/>
      <w:kern w:val="0"/>
      <w:sz w:val="28"/>
      <w:szCs w:val="28"/>
    </w:rPr>
  </w:style>
  <w:style w:type="paragraph" w:styleId="7">
    <w:name w:val="heading 5"/>
    <w:basedOn w:val="1"/>
    <w:next w:val="1"/>
    <w:link w:val="132"/>
    <w:autoRedefine/>
    <w:qFormat/>
    <w:uiPriority w:val="9"/>
    <w:pPr>
      <w:keepNext/>
      <w:keepLines/>
      <w:autoSpaceDE w:val="0"/>
      <w:autoSpaceDN w:val="0"/>
      <w:adjustRightInd w:val="0"/>
      <w:spacing w:before="280" w:after="290" w:line="376" w:lineRule="auto"/>
      <w:jc w:val="left"/>
      <w:outlineLvl w:val="4"/>
    </w:pPr>
    <w:rPr>
      <w:rFonts w:ascii="宋体" w:hAnsi="Calibri" w:eastAsia="宋体" w:cs="Times New Roman"/>
      <w:b/>
      <w:bCs/>
      <w:kern w:val="0"/>
      <w:sz w:val="28"/>
      <w:szCs w:val="28"/>
    </w:rPr>
  </w:style>
  <w:style w:type="paragraph" w:styleId="8">
    <w:name w:val="heading 6"/>
    <w:basedOn w:val="1"/>
    <w:next w:val="9"/>
    <w:link w:val="142"/>
    <w:autoRedefine/>
    <w:qFormat/>
    <w:uiPriority w:val="9"/>
    <w:pPr>
      <w:keepLines/>
      <w:tabs>
        <w:tab w:val="left" w:pos="1152"/>
      </w:tabs>
      <w:adjustRightInd w:val="0"/>
      <w:snapToGrid w:val="0"/>
      <w:spacing w:beforeLines="50" w:line="360" w:lineRule="auto"/>
      <w:ind w:left="1152" w:hanging="1152"/>
      <w:jc w:val="left"/>
      <w:textAlignment w:val="baseline"/>
      <w:outlineLvl w:val="5"/>
    </w:pPr>
    <w:rPr>
      <w:rFonts w:ascii="Times New Roman" w:hAnsi="Calibri" w:eastAsia="黑体" w:cs="Times New Roman"/>
      <w:b/>
      <w:bCs/>
      <w:kern w:val="0"/>
      <w:sz w:val="28"/>
      <w:szCs w:val="24"/>
    </w:rPr>
  </w:style>
  <w:style w:type="paragraph" w:styleId="10">
    <w:name w:val="heading 7"/>
    <w:basedOn w:val="1"/>
    <w:next w:val="9"/>
    <w:link w:val="53"/>
    <w:autoRedefine/>
    <w:qFormat/>
    <w:uiPriority w:val="9"/>
    <w:pPr>
      <w:keepNext/>
      <w:keepLines/>
      <w:tabs>
        <w:tab w:val="left" w:pos="1296"/>
      </w:tabs>
      <w:adjustRightInd w:val="0"/>
      <w:snapToGrid w:val="0"/>
      <w:spacing w:before="240" w:after="120"/>
      <w:ind w:left="1296" w:hanging="1296"/>
      <w:textAlignment w:val="baseline"/>
      <w:outlineLvl w:val="6"/>
    </w:pPr>
    <w:rPr>
      <w:rFonts w:ascii="Times New Roman" w:hAnsi="Calibri" w:eastAsia="黑体" w:cs="Times New Roman"/>
      <w:b/>
      <w:bCs/>
      <w:kern w:val="0"/>
      <w:sz w:val="28"/>
      <w:szCs w:val="24"/>
    </w:rPr>
  </w:style>
  <w:style w:type="paragraph" w:styleId="11">
    <w:name w:val="heading 8"/>
    <w:basedOn w:val="1"/>
    <w:next w:val="9"/>
    <w:link w:val="54"/>
    <w:autoRedefine/>
    <w:qFormat/>
    <w:uiPriority w:val="9"/>
    <w:pPr>
      <w:keepNext/>
      <w:keepLines/>
      <w:tabs>
        <w:tab w:val="left" w:pos="1440"/>
      </w:tabs>
      <w:snapToGrid w:val="0"/>
      <w:spacing w:before="240" w:after="120"/>
      <w:ind w:left="1440" w:hanging="1440"/>
      <w:outlineLvl w:val="7"/>
    </w:pPr>
    <w:rPr>
      <w:rFonts w:ascii="Times New Roman" w:hAnsi="Calibri" w:eastAsia="黑体" w:cs="Times New Roman"/>
      <w:b/>
      <w:kern w:val="0"/>
      <w:sz w:val="28"/>
      <w:szCs w:val="24"/>
    </w:rPr>
  </w:style>
  <w:style w:type="paragraph" w:styleId="12">
    <w:name w:val="heading 9"/>
    <w:basedOn w:val="1"/>
    <w:next w:val="9"/>
    <w:link w:val="55"/>
    <w:autoRedefine/>
    <w:qFormat/>
    <w:uiPriority w:val="9"/>
    <w:pPr>
      <w:keepNext/>
      <w:keepLines/>
      <w:tabs>
        <w:tab w:val="left" w:pos="1584"/>
      </w:tabs>
      <w:snapToGrid w:val="0"/>
      <w:spacing w:before="240" w:after="120"/>
      <w:ind w:left="1584" w:hanging="1584"/>
      <w:outlineLvl w:val="8"/>
    </w:pPr>
    <w:rPr>
      <w:rFonts w:ascii="Times New Roman" w:hAnsi="Calibri" w:eastAsia="黑体" w:cs="Times New Roman"/>
      <w:b/>
      <w:kern w:val="0"/>
      <w:sz w:val="28"/>
      <w:szCs w:val="24"/>
    </w:rPr>
  </w:style>
  <w:style w:type="character" w:default="1" w:styleId="40">
    <w:name w:val="Default Paragraph Font"/>
    <w:autoRedefine/>
    <w:semiHidden/>
    <w:unhideWhenUsed/>
    <w:qFormat/>
    <w:uiPriority w:val="1"/>
  </w:style>
  <w:style w:type="table" w:default="1" w:styleId="38">
    <w:name w:val="Normal Table"/>
    <w:autoRedefine/>
    <w:semiHidden/>
    <w:unhideWhenUsed/>
    <w:qFormat/>
    <w:uiPriority w:val="99"/>
    <w:tblPr>
      <w:tblCellMar>
        <w:top w:w="0" w:type="dxa"/>
        <w:left w:w="108" w:type="dxa"/>
        <w:bottom w:w="0" w:type="dxa"/>
        <w:right w:w="108" w:type="dxa"/>
      </w:tblCellMar>
    </w:tblPr>
  </w:style>
  <w:style w:type="paragraph" w:customStyle="1" w:styleId="2">
    <w:name w:val="样式 宋体 行距: 1.5 倍行距"/>
    <w:basedOn w:val="1"/>
    <w:autoRedefine/>
    <w:qFormat/>
    <w:uiPriority w:val="0"/>
    <w:pPr>
      <w:jc w:val="center"/>
    </w:pPr>
    <w:rPr>
      <w:rFonts w:ascii="Times New Roman"/>
      <w:b/>
    </w:rPr>
  </w:style>
  <w:style w:type="paragraph" w:customStyle="1" w:styleId="9">
    <w:name w:val="模板正文"/>
    <w:basedOn w:val="1"/>
    <w:link w:val="94"/>
    <w:autoRedefine/>
    <w:qFormat/>
    <w:uiPriority w:val="0"/>
    <w:pPr>
      <w:wordWrap w:val="0"/>
      <w:autoSpaceDE w:val="0"/>
      <w:autoSpaceDN w:val="0"/>
      <w:adjustRightInd w:val="0"/>
      <w:spacing w:beforeLines="50" w:line="360" w:lineRule="auto"/>
      <w:ind w:firstLine="200" w:firstLineChars="200"/>
      <w:jc w:val="left"/>
    </w:pPr>
    <w:rPr>
      <w:rFonts w:ascii="宋体" w:eastAsia="仿宋"/>
      <w:sz w:val="24"/>
      <w:szCs w:val="21"/>
    </w:rPr>
  </w:style>
  <w:style w:type="paragraph" w:styleId="13">
    <w:name w:val="Normal Indent"/>
    <w:basedOn w:val="1"/>
    <w:autoRedefine/>
    <w:qFormat/>
    <w:uiPriority w:val="0"/>
    <w:pPr>
      <w:widowControl/>
      <w:autoSpaceDE w:val="0"/>
      <w:autoSpaceDN w:val="0"/>
      <w:adjustRightInd w:val="0"/>
      <w:ind w:firstLine="420" w:firstLineChars="200"/>
      <w:jc w:val="left"/>
    </w:pPr>
    <w:rPr>
      <w:rFonts w:ascii="宋体" w:hAnsi="Calibri" w:eastAsia="宋体" w:cs="Times New Roman"/>
      <w:kern w:val="0"/>
      <w:sz w:val="20"/>
      <w:szCs w:val="20"/>
    </w:rPr>
  </w:style>
  <w:style w:type="paragraph" w:styleId="14">
    <w:name w:val="caption"/>
    <w:basedOn w:val="1"/>
    <w:next w:val="1"/>
    <w:link w:val="83"/>
    <w:autoRedefine/>
    <w:qFormat/>
    <w:uiPriority w:val="0"/>
    <w:pPr>
      <w:autoSpaceDE w:val="0"/>
      <w:autoSpaceDN w:val="0"/>
      <w:adjustRightInd w:val="0"/>
      <w:spacing w:before="152" w:after="160"/>
      <w:jc w:val="left"/>
    </w:pPr>
    <w:rPr>
      <w:rFonts w:ascii="Arial" w:hAnsi="Arial" w:eastAsia="黑体" w:cs="Arial"/>
    </w:rPr>
  </w:style>
  <w:style w:type="paragraph" w:styleId="15">
    <w:name w:val="Document Map"/>
    <w:basedOn w:val="1"/>
    <w:link w:val="116"/>
    <w:autoRedefine/>
    <w:semiHidden/>
    <w:qFormat/>
    <w:uiPriority w:val="99"/>
    <w:pPr>
      <w:shd w:val="clear" w:color="auto" w:fill="000080"/>
      <w:autoSpaceDE w:val="0"/>
      <w:autoSpaceDN w:val="0"/>
      <w:adjustRightInd w:val="0"/>
      <w:jc w:val="left"/>
    </w:pPr>
    <w:rPr>
      <w:rFonts w:ascii="宋体" w:hAnsi="Times New Roman" w:eastAsia="宋体" w:cs="Times New Roman"/>
      <w:kern w:val="0"/>
      <w:sz w:val="24"/>
      <w:szCs w:val="24"/>
    </w:rPr>
  </w:style>
  <w:style w:type="paragraph" w:styleId="16">
    <w:name w:val="toa heading"/>
    <w:basedOn w:val="1"/>
    <w:next w:val="1"/>
    <w:autoRedefine/>
    <w:qFormat/>
    <w:uiPriority w:val="0"/>
    <w:pPr>
      <w:autoSpaceDE w:val="0"/>
      <w:autoSpaceDN w:val="0"/>
      <w:adjustRightInd w:val="0"/>
      <w:snapToGrid w:val="0"/>
      <w:spacing w:before="120" w:line="360" w:lineRule="auto"/>
    </w:pPr>
    <w:rPr>
      <w:rFonts w:ascii="Arial" w:hAnsi="Arial"/>
      <w:snapToGrid w:val="0"/>
      <w:color w:val="000000"/>
      <w:kern w:val="0"/>
      <w:szCs w:val="20"/>
    </w:rPr>
  </w:style>
  <w:style w:type="paragraph" w:styleId="17">
    <w:name w:val="annotation text"/>
    <w:basedOn w:val="1"/>
    <w:link w:val="163"/>
    <w:autoRedefine/>
    <w:unhideWhenUsed/>
    <w:qFormat/>
    <w:uiPriority w:val="99"/>
    <w:pPr>
      <w:jc w:val="left"/>
    </w:pPr>
  </w:style>
  <w:style w:type="paragraph" w:styleId="18">
    <w:name w:val="Body Text 3"/>
    <w:basedOn w:val="1"/>
    <w:link w:val="156"/>
    <w:autoRedefine/>
    <w:qFormat/>
    <w:uiPriority w:val="0"/>
    <w:pPr>
      <w:autoSpaceDE w:val="0"/>
      <w:autoSpaceDN w:val="0"/>
      <w:adjustRightInd w:val="0"/>
      <w:ind w:right="-26"/>
      <w:jc w:val="center"/>
    </w:pPr>
    <w:rPr>
      <w:rFonts w:ascii="宋体" w:hAnsi="Times New Roman" w:eastAsia="宋体" w:cs="Times New Roman"/>
      <w:b/>
      <w:bCs/>
      <w:color w:val="3366FF"/>
      <w:sz w:val="52"/>
      <w:szCs w:val="52"/>
      <w:lang w:val="zh-CN"/>
    </w:rPr>
  </w:style>
  <w:style w:type="paragraph" w:styleId="19">
    <w:name w:val="Body Text"/>
    <w:basedOn w:val="1"/>
    <w:next w:val="20"/>
    <w:link w:val="118"/>
    <w:autoRedefine/>
    <w:qFormat/>
    <w:uiPriority w:val="99"/>
    <w:pPr>
      <w:autoSpaceDE w:val="0"/>
      <w:autoSpaceDN w:val="0"/>
      <w:adjustRightInd w:val="0"/>
      <w:ind w:right="-26"/>
      <w:jc w:val="center"/>
    </w:pPr>
    <w:rPr>
      <w:rFonts w:ascii="宋体" w:eastAsia="宋体"/>
      <w:b/>
      <w:bCs/>
      <w:sz w:val="84"/>
      <w:szCs w:val="84"/>
      <w:lang w:val="zh-CN"/>
    </w:rPr>
  </w:style>
  <w:style w:type="paragraph" w:styleId="20">
    <w:name w:val="Body Text First Indent"/>
    <w:basedOn w:val="19"/>
    <w:link w:val="201"/>
    <w:autoRedefine/>
    <w:semiHidden/>
    <w:unhideWhenUsed/>
    <w:qFormat/>
    <w:uiPriority w:val="99"/>
    <w:pPr>
      <w:autoSpaceDE/>
      <w:autoSpaceDN/>
      <w:adjustRightInd/>
      <w:spacing w:after="120"/>
      <w:ind w:right="0" w:firstLine="420" w:firstLineChars="100"/>
      <w:jc w:val="both"/>
    </w:pPr>
    <w:rPr>
      <w:rFonts w:asciiTheme="minorHAnsi" w:eastAsiaTheme="minorEastAsia"/>
      <w:b w:val="0"/>
      <w:bCs w:val="0"/>
      <w:sz w:val="21"/>
      <w:szCs w:val="22"/>
      <w:lang w:val="en-US"/>
    </w:rPr>
  </w:style>
  <w:style w:type="paragraph" w:styleId="21">
    <w:name w:val="Body Text Indent"/>
    <w:basedOn w:val="1"/>
    <w:next w:val="19"/>
    <w:link w:val="92"/>
    <w:autoRedefine/>
    <w:qFormat/>
    <w:uiPriority w:val="0"/>
    <w:pPr>
      <w:ind w:left="567" w:leftChars="270"/>
    </w:pPr>
    <w:rPr>
      <w:rFonts w:ascii="Times New Roman" w:hAnsi="Times New Roman" w:eastAsia="宋体" w:cs="Times New Roman"/>
      <w:szCs w:val="20"/>
    </w:rPr>
  </w:style>
  <w:style w:type="paragraph" w:styleId="22">
    <w:name w:val="toc 3"/>
    <w:basedOn w:val="1"/>
    <w:next w:val="1"/>
    <w:autoRedefine/>
    <w:unhideWhenUsed/>
    <w:qFormat/>
    <w:uiPriority w:val="39"/>
    <w:pPr>
      <w:tabs>
        <w:tab w:val="right" w:leader="dot" w:pos="10144"/>
      </w:tabs>
      <w:ind w:left="840" w:leftChars="400"/>
    </w:pPr>
  </w:style>
  <w:style w:type="paragraph" w:styleId="23">
    <w:name w:val="Plain Text"/>
    <w:basedOn w:val="1"/>
    <w:link w:val="100"/>
    <w:autoRedefine/>
    <w:qFormat/>
    <w:uiPriority w:val="0"/>
    <w:rPr>
      <w:rFonts w:ascii="宋体" w:hAnsi="Courier New" w:eastAsia="宋体"/>
    </w:rPr>
  </w:style>
  <w:style w:type="paragraph" w:styleId="24">
    <w:name w:val="Date"/>
    <w:basedOn w:val="1"/>
    <w:next w:val="1"/>
    <w:link w:val="108"/>
    <w:autoRedefine/>
    <w:qFormat/>
    <w:uiPriority w:val="99"/>
    <w:pPr>
      <w:autoSpaceDE w:val="0"/>
      <w:autoSpaceDN w:val="0"/>
      <w:adjustRightInd w:val="0"/>
      <w:ind w:left="100" w:leftChars="2500"/>
      <w:jc w:val="left"/>
    </w:pPr>
    <w:rPr>
      <w:rFonts w:ascii="宋体" w:hAnsi="Times New Roman" w:eastAsia="宋体" w:cs="Times New Roman"/>
      <w:b/>
      <w:bCs/>
      <w:szCs w:val="21"/>
      <w:lang w:val="zh-CN"/>
    </w:rPr>
  </w:style>
  <w:style w:type="paragraph" w:styleId="25">
    <w:name w:val="Body Text Indent 2"/>
    <w:basedOn w:val="1"/>
    <w:link w:val="101"/>
    <w:autoRedefine/>
    <w:qFormat/>
    <w:uiPriority w:val="0"/>
    <w:pPr>
      <w:tabs>
        <w:tab w:val="left" w:pos="8640"/>
      </w:tabs>
      <w:ind w:left="1260"/>
    </w:pPr>
    <w:rPr>
      <w:rFonts w:ascii="宋体" w:hAnsi="Times New Roman" w:eastAsia="宋体" w:cs="Times New Roman"/>
      <w:szCs w:val="20"/>
    </w:rPr>
  </w:style>
  <w:style w:type="paragraph" w:styleId="26">
    <w:name w:val="Balloon Text"/>
    <w:basedOn w:val="1"/>
    <w:link w:val="74"/>
    <w:autoRedefine/>
    <w:qFormat/>
    <w:uiPriority w:val="0"/>
    <w:rPr>
      <w:rFonts w:ascii="Times New Roman" w:hAnsi="Times New Roman" w:eastAsia="宋体" w:cs="Times New Roman"/>
      <w:sz w:val="18"/>
      <w:szCs w:val="18"/>
    </w:rPr>
  </w:style>
  <w:style w:type="paragraph" w:styleId="27">
    <w:name w:val="footer"/>
    <w:basedOn w:val="1"/>
    <w:link w:val="78"/>
    <w:autoRedefine/>
    <w:qFormat/>
    <w:uiPriority w:val="99"/>
    <w:pPr>
      <w:tabs>
        <w:tab w:val="center" w:pos="4153"/>
        <w:tab w:val="right" w:pos="8306"/>
      </w:tabs>
      <w:autoSpaceDE w:val="0"/>
      <w:autoSpaceDN w:val="0"/>
      <w:adjustRightInd w:val="0"/>
      <w:snapToGrid w:val="0"/>
      <w:jc w:val="left"/>
    </w:pPr>
    <w:rPr>
      <w:rFonts w:ascii="宋体" w:eastAsia="宋体"/>
      <w:sz w:val="18"/>
      <w:szCs w:val="18"/>
    </w:rPr>
  </w:style>
  <w:style w:type="paragraph" w:styleId="28">
    <w:name w:val="header"/>
    <w:basedOn w:val="1"/>
    <w:link w:val="120"/>
    <w:autoRedefine/>
    <w:qFormat/>
    <w:uiPriority w:val="99"/>
    <w:pPr>
      <w:pBdr>
        <w:bottom w:val="single" w:color="auto" w:sz="6" w:space="1"/>
      </w:pBdr>
      <w:tabs>
        <w:tab w:val="center" w:pos="4153"/>
        <w:tab w:val="right" w:pos="8306"/>
      </w:tabs>
      <w:autoSpaceDE w:val="0"/>
      <w:autoSpaceDN w:val="0"/>
      <w:adjustRightInd w:val="0"/>
      <w:snapToGrid w:val="0"/>
      <w:jc w:val="center"/>
    </w:pPr>
    <w:rPr>
      <w:rFonts w:ascii="宋体" w:eastAsia="宋体"/>
      <w:sz w:val="18"/>
      <w:szCs w:val="18"/>
    </w:rPr>
  </w:style>
  <w:style w:type="paragraph" w:styleId="29">
    <w:name w:val="toc 1"/>
    <w:basedOn w:val="1"/>
    <w:next w:val="1"/>
    <w:autoRedefine/>
    <w:unhideWhenUsed/>
    <w:qFormat/>
    <w:uiPriority w:val="39"/>
  </w:style>
  <w:style w:type="paragraph" w:styleId="30">
    <w:name w:val="List"/>
    <w:basedOn w:val="1"/>
    <w:autoRedefine/>
    <w:unhideWhenUsed/>
    <w:qFormat/>
    <w:uiPriority w:val="0"/>
    <w:pPr>
      <w:autoSpaceDE w:val="0"/>
      <w:autoSpaceDN w:val="0"/>
      <w:adjustRightInd w:val="0"/>
      <w:ind w:left="200" w:hanging="200" w:hangingChars="200"/>
      <w:contextualSpacing/>
      <w:jc w:val="left"/>
    </w:pPr>
    <w:rPr>
      <w:rFonts w:ascii="宋体" w:hAnsi="Calibri" w:eastAsia="宋体" w:cs="Times New Roman"/>
      <w:kern w:val="0"/>
      <w:sz w:val="24"/>
      <w:szCs w:val="24"/>
    </w:rPr>
  </w:style>
  <w:style w:type="paragraph" w:styleId="31">
    <w:name w:val="Body Text Indent 3"/>
    <w:basedOn w:val="1"/>
    <w:link w:val="154"/>
    <w:autoRedefine/>
    <w:qFormat/>
    <w:uiPriority w:val="0"/>
    <w:pPr>
      <w:autoSpaceDE w:val="0"/>
      <w:autoSpaceDN w:val="0"/>
      <w:adjustRightInd w:val="0"/>
      <w:spacing w:line="360" w:lineRule="auto"/>
      <w:ind w:firstLine="480" w:firstLineChars="200"/>
      <w:jc w:val="left"/>
    </w:pPr>
    <w:rPr>
      <w:rFonts w:ascii="宋体" w:hAnsi="Times New Roman" w:eastAsia="宋体" w:cs="Times New Roman"/>
      <w:kern w:val="0"/>
      <w:sz w:val="24"/>
      <w:szCs w:val="24"/>
    </w:rPr>
  </w:style>
  <w:style w:type="paragraph" w:styleId="32">
    <w:name w:val="toc 2"/>
    <w:basedOn w:val="1"/>
    <w:next w:val="1"/>
    <w:autoRedefine/>
    <w:semiHidden/>
    <w:unhideWhenUsed/>
    <w:qFormat/>
    <w:uiPriority w:val="39"/>
    <w:pPr>
      <w:ind w:left="420" w:leftChars="200"/>
    </w:pPr>
  </w:style>
  <w:style w:type="paragraph" w:styleId="33">
    <w:name w:val="Body Text 2"/>
    <w:basedOn w:val="1"/>
    <w:link w:val="143"/>
    <w:autoRedefine/>
    <w:qFormat/>
    <w:uiPriority w:val="0"/>
    <w:pPr>
      <w:tabs>
        <w:tab w:val="left" w:pos="0"/>
      </w:tabs>
      <w:spacing w:line="400" w:lineRule="atLeast"/>
    </w:pPr>
    <w:rPr>
      <w:rFonts w:ascii="Arial" w:hAnsi="Arial" w:eastAsia="宋体" w:cs="Times New Roman"/>
      <w:color w:val="000000"/>
      <w:szCs w:val="24"/>
    </w:rPr>
  </w:style>
  <w:style w:type="paragraph" w:styleId="34">
    <w:name w:val="HTML Preformatted"/>
    <w:basedOn w:val="1"/>
    <w:link w:val="86"/>
    <w:autoRedefine/>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eastAsia="宋体" w:cs="Arial"/>
      <w:szCs w:val="21"/>
    </w:rPr>
  </w:style>
  <w:style w:type="paragraph" w:styleId="35">
    <w:name w:val="Normal (Web)"/>
    <w:basedOn w:val="1"/>
    <w:link w:val="93"/>
    <w:autoRedefine/>
    <w:qFormat/>
    <w:uiPriority w:val="0"/>
    <w:pPr>
      <w:widowControl/>
      <w:spacing w:before="100" w:beforeAutospacing="1" w:after="100" w:afterAutospacing="1"/>
      <w:jc w:val="left"/>
    </w:pPr>
    <w:rPr>
      <w:rFonts w:ascii="宋体" w:hAnsi="宋体"/>
      <w:sz w:val="15"/>
      <w:szCs w:val="15"/>
    </w:rPr>
  </w:style>
  <w:style w:type="paragraph" w:styleId="36">
    <w:name w:val="Title"/>
    <w:basedOn w:val="1"/>
    <w:next w:val="1"/>
    <w:link w:val="58"/>
    <w:autoRedefine/>
    <w:qFormat/>
    <w:uiPriority w:val="10"/>
    <w:pPr>
      <w:spacing w:before="120" w:after="60" w:line="300" w:lineRule="auto"/>
      <w:jc w:val="left"/>
      <w:outlineLvl w:val="0"/>
    </w:pPr>
    <w:rPr>
      <w:rFonts w:ascii="等线 Light" w:hAnsi="等线 Light" w:eastAsia="仿宋"/>
      <w:b/>
      <w:bCs/>
      <w:sz w:val="28"/>
      <w:szCs w:val="32"/>
    </w:rPr>
  </w:style>
  <w:style w:type="paragraph" w:styleId="37">
    <w:name w:val="annotation subject"/>
    <w:basedOn w:val="17"/>
    <w:next w:val="17"/>
    <w:link w:val="110"/>
    <w:autoRedefine/>
    <w:qFormat/>
    <w:uiPriority w:val="99"/>
    <w:pPr>
      <w:autoSpaceDE w:val="0"/>
      <w:autoSpaceDN w:val="0"/>
      <w:adjustRightInd w:val="0"/>
    </w:pPr>
    <w:rPr>
      <w:rFonts w:ascii="宋体" w:hAnsi="Times New Roman" w:eastAsia="宋体" w:cs="Times New Roman"/>
      <w:b/>
      <w:bCs/>
      <w:kern w:val="0"/>
      <w:sz w:val="24"/>
      <w:szCs w:val="24"/>
    </w:rPr>
  </w:style>
  <w:style w:type="table" w:styleId="39">
    <w:name w:val="Table Grid"/>
    <w:basedOn w:val="38"/>
    <w:autoRedefine/>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1">
    <w:name w:val="Strong"/>
    <w:autoRedefine/>
    <w:qFormat/>
    <w:uiPriority w:val="0"/>
    <w:rPr>
      <w:b/>
      <w:bCs/>
    </w:rPr>
  </w:style>
  <w:style w:type="character" w:styleId="42">
    <w:name w:val="FollowedHyperlink"/>
    <w:autoRedefine/>
    <w:unhideWhenUsed/>
    <w:qFormat/>
    <w:uiPriority w:val="99"/>
    <w:rPr>
      <w:color w:val="954F72"/>
      <w:u w:val="single"/>
    </w:rPr>
  </w:style>
  <w:style w:type="character" w:styleId="43">
    <w:name w:val="Emphasis"/>
    <w:autoRedefine/>
    <w:qFormat/>
    <w:uiPriority w:val="0"/>
    <w:rPr>
      <w:i/>
      <w:iCs/>
    </w:rPr>
  </w:style>
  <w:style w:type="character" w:styleId="44">
    <w:name w:val="Hyperlink"/>
    <w:autoRedefine/>
    <w:qFormat/>
    <w:uiPriority w:val="99"/>
    <w:rPr>
      <w:rFonts w:hint="default" w:ascii="Arial" w:hAnsi="Arial" w:cs="Arial"/>
      <w:color w:val="000000"/>
      <w:sz w:val="20"/>
      <w:szCs w:val="20"/>
      <w:u w:val="none"/>
    </w:rPr>
  </w:style>
  <w:style w:type="character" w:styleId="45">
    <w:name w:val="annotation reference"/>
    <w:basedOn w:val="40"/>
    <w:autoRedefine/>
    <w:qFormat/>
    <w:uiPriority w:val="99"/>
    <w:rPr>
      <w:sz w:val="21"/>
      <w:szCs w:val="21"/>
    </w:rPr>
  </w:style>
  <w:style w:type="paragraph" w:customStyle="1" w:styleId="46">
    <w:name w:val="首行缩进"/>
    <w:basedOn w:val="1"/>
    <w:autoRedefine/>
    <w:qFormat/>
    <w:uiPriority w:val="0"/>
    <w:pPr>
      <w:ind w:firstLine="480" w:firstLineChars="200"/>
    </w:pPr>
    <w:rPr>
      <w:lang w:val="zh-CN"/>
    </w:rPr>
  </w:style>
  <w:style w:type="character" w:customStyle="1" w:styleId="47">
    <w:name w:val="标题 1 字符"/>
    <w:basedOn w:val="40"/>
    <w:autoRedefine/>
    <w:qFormat/>
    <w:uiPriority w:val="0"/>
    <w:rPr>
      <w:b/>
      <w:bCs/>
      <w:kern w:val="44"/>
      <w:sz w:val="44"/>
      <w:szCs w:val="44"/>
    </w:rPr>
  </w:style>
  <w:style w:type="character" w:customStyle="1" w:styleId="48">
    <w:name w:val="标题 2 字符"/>
    <w:basedOn w:val="40"/>
    <w:link w:val="4"/>
    <w:autoRedefine/>
    <w:qFormat/>
    <w:uiPriority w:val="0"/>
    <w:rPr>
      <w:rFonts w:ascii="宋体" w:hAnsi="Calibri" w:eastAsia="宋体" w:cs="Times New Roman"/>
      <w:kern w:val="0"/>
      <w:sz w:val="24"/>
      <w:szCs w:val="24"/>
    </w:rPr>
  </w:style>
  <w:style w:type="character" w:customStyle="1" w:styleId="49">
    <w:name w:val="标题 3 字符"/>
    <w:basedOn w:val="40"/>
    <w:autoRedefine/>
    <w:qFormat/>
    <w:uiPriority w:val="0"/>
    <w:rPr>
      <w:b/>
      <w:bCs/>
      <w:sz w:val="32"/>
      <w:szCs w:val="32"/>
    </w:rPr>
  </w:style>
  <w:style w:type="character" w:customStyle="1" w:styleId="50">
    <w:name w:val="标题 4 字符"/>
    <w:basedOn w:val="40"/>
    <w:link w:val="6"/>
    <w:autoRedefine/>
    <w:qFormat/>
    <w:uiPriority w:val="9"/>
    <w:rPr>
      <w:rFonts w:ascii="Arial" w:hAnsi="Arial" w:eastAsia="黑体" w:cs="Times New Roman"/>
      <w:b/>
      <w:bCs/>
      <w:kern w:val="0"/>
      <w:sz w:val="28"/>
      <w:szCs w:val="28"/>
    </w:rPr>
  </w:style>
  <w:style w:type="character" w:customStyle="1" w:styleId="51">
    <w:name w:val="标题 5 字符"/>
    <w:basedOn w:val="40"/>
    <w:autoRedefine/>
    <w:qFormat/>
    <w:uiPriority w:val="9"/>
    <w:rPr>
      <w:b/>
      <w:bCs/>
      <w:sz w:val="28"/>
      <w:szCs w:val="28"/>
    </w:rPr>
  </w:style>
  <w:style w:type="character" w:customStyle="1" w:styleId="52">
    <w:name w:val="标题 6 字符"/>
    <w:basedOn w:val="40"/>
    <w:autoRedefine/>
    <w:qFormat/>
    <w:uiPriority w:val="0"/>
    <w:rPr>
      <w:rFonts w:asciiTheme="majorHAnsi" w:hAnsiTheme="majorHAnsi" w:eastAsiaTheme="majorEastAsia" w:cstheme="majorBidi"/>
      <w:b/>
      <w:bCs/>
      <w:sz w:val="24"/>
      <w:szCs w:val="24"/>
    </w:rPr>
  </w:style>
  <w:style w:type="character" w:customStyle="1" w:styleId="53">
    <w:name w:val="标题 7 字符"/>
    <w:basedOn w:val="40"/>
    <w:link w:val="10"/>
    <w:autoRedefine/>
    <w:qFormat/>
    <w:uiPriority w:val="9"/>
    <w:rPr>
      <w:rFonts w:ascii="Times New Roman" w:hAnsi="Calibri" w:eastAsia="黑体" w:cs="Times New Roman"/>
      <w:b/>
      <w:bCs/>
      <w:kern w:val="0"/>
      <w:sz w:val="28"/>
      <w:szCs w:val="24"/>
    </w:rPr>
  </w:style>
  <w:style w:type="character" w:customStyle="1" w:styleId="54">
    <w:name w:val="标题 8 字符"/>
    <w:basedOn w:val="40"/>
    <w:link w:val="11"/>
    <w:autoRedefine/>
    <w:qFormat/>
    <w:uiPriority w:val="9"/>
    <w:rPr>
      <w:rFonts w:ascii="Times New Roman" w:hAnsi="Calibri" w:eastAsia="黑体" w:cs="Times New Roman"/>
      <w:b/>
      <w:kern w:val="0"/>
      <w:sz w:val="28"/>
      <w:szCs w:val="24"/>
    </w:rPr>
  </w:style>
  <w:style w:type="character" w:customStyle="1" w:styleId="55">
    <w:name w:val="标题 9 字符"/>
    <w:basedOn w:val="40"/>
    <w:link w:val="12"/>
    <w:autoRedefine/>
    <w:qFormat/>
    <w:uiPriority w:val="9"/>
    <w:rPr>
      <w:rFonts w:ascii="Times New Roman" w:hAnsi="Calibri" w:eastAsia="黑体" w:cs="Times New Roman"/>
      <w:b/>
      <w:kern w:val="0"/>
      <w:sz w:val="28"/>
      <w:szCs w:val="24"/>
    </w:rPr>
  </w:style>
  <w:style w:type="character" w:customStyle="1" w:styleId="56">
    <w:name w:val="正文文本缩进 字符"/>
    <w:autoRedefine/>
    <w:qFormat/>
    <w:uiPriority w:val="0"/>
    <w:rPr>
      <w:rFonts w:ascii="Times New Roman" w:hAnsi="Times New Roman" w:eastAsia="宋体" w:cs="Times New Roman"/>
      <w:szCs w:val="20"/>
    </w:rPr>
  </w:style>
  <w:style w:type="character" w:customStyle="1" w:styleId="57">
    <w:name w:val="普通(网站) Char"/>
    <w:autoRedefine/>
    <w:qFormat/>
    <w:locked/>
    <w:uiPriority w:val="0"/>
    <w:rPr>
      <w:rFonts w:ascii="宋体" w:hAnsi="宋体"/>
      <w:sz w:val="15"/>
      <w:szCs w:val="15"/>
    </w:rPr>
  </w:style>
  <w:style w:type="character" w:customStyle="1" w:styleId="58">
    <w:name w:val="标题 字符1"/>
    <w:link w:val="36"/>
    <w:autoRedefine/>
    <w:qFormat/>
    <w:uiPriority w:val="10"/>
    <w:rPr>
      <w:rFonts w:ascii="等线 Light" w:hAnsi="等线 Light" w:eastAsia="仿宋"/>
      <w:b/>
      <w:bCs/>
      <w:sz w:val="28"/>
      <w:szCs w:val="32"/>
    </w:rPr>
  </w:style>
  <w:style w:type="character" w:customStyle="1" w:styleId="59">
    <w:name w:val="日期 Char"/>
    <w:autoRedefine/>
    <w:semiHidden/>
    <w:qFormat/>
    <w:uiPriority w:val="99"/>
    <w:rPr>
      <w:kern w:val="2"/>
      <w:sz w:val="21"/>
    </w:rPr>
  </w:style>
  <w:style w:type="character" w:customStyle="1" w:styleId="60">
    <w:name w:val="文档结构图 字符1"/>
    <w:autoRedefine/>
    <w:semiHidden/>
    <w:qFormat/>
    <w:uiPriority w:val="99"/>
    <w:rPr>
      <w:rFonts w:ascii="Microsoft YaHei UI" w:hAnsi="Calibri" w:eastAsia="Microsoft YaHei UI" w:cs="Times New Roman"/>
      <w:kern w:val="0"/>
      <w:sz w:val="18"/>
      <w:szCs w:val="18"/>
    </w:rPr>
  </w:style>
  <w:style w:type="character" w:customStyle="1" w:styleId="61">
    <w:name w:val="批注文字 Char"/>
    <w:autoRedefine/>
    <w:semiHidden/>
    <w:qFormat/>
    <w:uiPriority w:val="99"/>
    <w:rPr>
      <w:kern w:val="2"/>
      <w:sz w:val="21"/>
    </w:rPr>
  </w:style>
  <w:style w:type="character" w:customStyle="1" w:styleId="62">
    <w:name w:val="正文缩进2格 Char"/>
    <w:link w:val="63"/>
    <w:autoRedefine/>
    <w:qFormat/>
    <w:uiPriority w:val="0"/>
    <w:rPr>
      <w:rFonts w:ascii="仿宋_GB2312" w:hAnsi="宋体" w:eastAsia="仿宋_GB2312"/>
      <w:sz w:val="31"/>
      <w:szCs w:val="28"/>
    </w:rPr>
  </w:style>
  <w:style w:type="paragraph" w:customStyle="1" w:styleId="63">
    <w:name w:val="正文缩进2格"/>
    <w:basedOn w:val="1"/>
    <w:next w:val="1"/>
    <w:link w:val="62"/>
    <w:autoRedefine/>
    <w:qFormat/>
    <w:uiPriority w:val="0"/>
    <w:pPr>
      <w:spacing w:line="600" w:lineRule="exact"/>
      <w:ind w:firstLine="639" w:firstLineChars="206"/>
    </w:pPr>
    <w:rPr>
      <w:rFonts w:ascii="仿宋_GB2312" w:hAnsi="宋体" w:eastAsia="仿宋_GB2312"/>
      <w:sz w:val="31"/>
      <w:szCs w:val="28"/>
    </w:rPr>
  </w:style>
  <w:style w:type="character" w:customStyle="1" w:styleId="64">
    <w:name w:val="批注文字 字符"/>
    <w:autoRedefine/>
    <w:semiHidden/>
    <w:qFormat/>
    <w:uiPriority w:val="99"/>
    <w:rPr>
      <w:rFonts w:ascii="Times New Roman" w:hAnsi="Times New Roman"/>
      <w:kern w:val="2"/>
      <w:sz w:val="24"/>
      <w:szCs w:val="24"/>
    </w:rPr>
  </w:style>
  <w:style w:type="character" w:customStyle="1" w:styleId="65">
    <w:name w:val="正文文本缩进 Char"/>
    <w:autoRedefine/>
    <w:qFormat/>
    <w:uiPriority w:val="0"/>
    <w:rPr>
      <w:rFonts w:ascii="Times New Roman" w:hAnsi="Times New Roman" w:eastAsia="宋体" w:cs="Times New Roman"/>
      <w:szCs w:val="20"/>
      <w:lang w:val="en-US" w:eastAsia="zh-CN"/>
    </w:rPr>
  </w:style>
  <w:style w:type="character" w:customStyle="1" w:styleId="66">
    <w:name w:val="批注框文本 字符1"/>
    <w:autoRedefine/>
    <w:semiHidden/>
    <w:qFormat/>
    <w:uiPriority w:val="99"/>
    <w:rPr>
      <w:rFonts w:ascii="宋体" w:hAnsi="Calibri" w:eastAsia="宋体" w:cs="Times New Roman"/>
      <w:kern w:val="0"/>
      <w:sz w:val="18"/>
      <w:szCs w:val="18"/>
    </w:rPr>
  </w:style>
  <w:style w:type="character" w:customStyle="1" w:styleId="67">
    <w:name w:val="List Paragraph Char"/>
    <w:link w:val="68"/>
    <w:autoRedefine/>
    <w:qFormat/>
    <w:uiPriority w:val="34"/>
    <w:rPr>
      <w:rFonts w:ascii="Calibri" w:hAnsi="Calibri"/>
    </w:rPr>
  </w:style>
  <w:style w:type="paragraph" w:customStyle="1" w:styleId="68">
    <w:name w:val="列出段落1"/>
    <w:basedOn w:val="1"/>
    <w:link w:val="67"/>
    <w:autoRedefine/>
    <w:qFormat/>
    <w:uiPriority w:val="34"/>
    <w:pPr>
      <w:ind w:firstLine="420" w:firstLineChars="200"/>
    </w:pPr>
    <w:rPr>
      <w:rFonts w:ascii="Calibri" w:hAnsi="Calibri"/>
    </w:rPr>
  </w:style>
  <w:style w:type="character" w:customStyle="1" w:styleId="69">
    <w:name w:val="标书正文 字符"/>
    <w:link w:val="70"/>
    <w:autoRedefine/>
    <w:qFormat/>
    <w:uiPriority w:val="0"/>
    <w:rPr>
      <w:rFonts w:ascii="Calibri" w:hAnsi="Calibri" w:eastAsia="仿宋"/>
      <w:sz w:val="24"/>
      <w:szCs w:val="21"/>
    </w:rPr>
  </w:style>
  <w:style w:type="paragraph" w:customStyle="1" w:styleId="70">
    <w:name w:val="标书正文"/>
    <w:basedOn w:val="1"/>
    <w:link w:val="69"/>
    <w:autoRedefine/>
    <w:qFormat/>
    <w:uiPriority w:val="0"/>
    <w:pPr>
      <w:adjustRightInd w:val="0"/>
      <w:snapToGrid w:val="0"/>
      <w:spacing w:beforeLines="50" w:line="360" w:lineRule="auto"/>
      <w:ind w:firstLine="200" w:firstLineChars="200"/>
    </w:pPr>
    <w:rPr>
      <w:rFonts w:ascii="Calibri" w:hAnsi="Calibri" w:eastAsia="仿宋"/>
      <w:sz w:val="24"/>
      <w:szCs w:val="21"/>
    </w:rPr>
  </w:style>
  <w:style w:type="character" w:customStyle="1" w:styleId="71">
    <w:name w:val="正文文本 字符"/>
    <w:autoRedefine/>
    <w:semiHidden/>
    <w:qFormat/>
    <w:uiPriority w:val="99"/>
    <w:rPr>
      <w:rFonts w:ascii="Times New Roman" w:hAnsi="Times New Roman"/>
      <w:kern w:val="2"/>
      <w:sz w:val="24"/>
      <w:szCs w:val="24"/>
    </w:rPr>
  </w:style>
  <w:style w:type="character" w:customStyle="1" w:styleId="72">
    <w:name w:val="页脚 Char"/>
    <w:autoRedefine/>
    <w:qFormat/>
    <w:uiPriority w:val="0"/>
    <w:rPr>
      <w:kern w:val="2"/>
      <w:sz w:val="18"/>
      <w:szCs w:val="18"/>
    </w:rPr>
  </w:style>
  <w:style w:type="character" w:customStyle="1" w:styleId="73">
    <w:name w:val="neir1"/>
    <w:autoRedefine/>
    <w:qFormat/>
    <w:uiPriority w:val="0"/>
    <w:rPr>
      <w:rFonts w:hint="default" w:ascii="ˎ̥" w:hAnsi="ˎ̥"/>
      <w:color w:val="333333"/>
      <w:sz w:val="21"/>
      <w:szCs w:val="21"/>
      <w:u w:val="none"/>
    </w:rPr>
  </w:style>
  <w:style w:type="character" w:customStyle="1" w:styleId="74">
    <w:name w:val="批注框文本 字符"/>
    <w:link w:val="26"/>
    <w:autoRedefine/>
    <w:qFormat/>
    <w:uiPriority w:val="0"/>
    <w:rPr>
      <w:rFonts w:ascii="Times New Roman" w:hAnsi="Times New Roman" w:eastAsia="宋体" w:cs="Times New Roman"/>
      <w:sz w:val="18"/>
      <w:szCs w:val="18"/>
    </w:rPr>
  </w:style>
  <w:style w:type="character" w:customStyle="1" w:styleId="75">
    <w:name w:val="正文文本 3 字符1"/>
    <w:autoRedefine/>
    <w:semiHidden/>
    <w:qFormat/>
    <w:uiPriority w:val="99"/>
    <w:rPr>
      <w:rFonts w:ascii="宋体" w:hAnsi="Calibri" w:eastAsia="宋体" w:cs="Times New Roman"/>
      <w:kern w:val="0"/>
      <w:sz w:val="16"/>
      <w:szCs w:val="16"/>
    </w:rPr>
  </w:style>
  <w:style w:type="character" w:customStyle="1" w:styleId="76">
    <w:name w:val="正文文本 字符3"/>
    <w:autoRedefine/>
    <w:semiHidden/>
    <w:qFormat/>
    <w:uiPriority w:val="99"/>
    <w:rPr>
      <w:rFonts w:ascii="宋体" w:hAnsi="Calibri" w:eastAsia="宋体" w:cs="Times New Roman"/>
      <w:kern w:val="0"/>
      <w:sz w:val="24"/>
      <w:szCs w:val="24"/>
    </w:rPr>
  </w:style>
  <w:style w:type="character" w:customStyle="1" w:styleId="77">
    <w:name w:val="日期 字符1"/>
    <w:autoRedefine/>
    <w:semiHidden/>
    <w:qFormat/>
    <w:uiPriority w:val="99"/>
    <w:rPr>
      <w:rFonts w:ascii="宋体" w:hAnsi="Calibri" w:eastAsia="宋体" w:cs="Times New Roman"/>
      <w:kern w:val="0"/>
      <w:sz w:val="24"/>
      <w:szCs w:val="24"/>
    </w:rPr>
  </w:style>
  <w:style w:type="character" w:customStyle="1" w:styleId="78">
    <w:name w:val="页脚 字符"/>
    <w:link w:val="27"/>
    <w:autoRedefine/>
    <w:qFormat/>
    <w:uiPriority w:val="99"/>
    <w:rPr>
      <w:rFonts w:ascii="宋体" w:eastAsia="宋体"/>
      <w:sz w:val="18"/>
      <w:szCs w:val="18"/>
    </w:rPr>
  </w:style>
  <w:style w:type="character" w:customStyle="1" w:styleId="79">
    <w:name w:val="吉奥正文 Char"/>
    <w:link w:val="80"/>
    <w:autoRedefine/>
    <w:qFormat/>
    <w:locked/>
    <w:uiPriority w:val="0"/>
    <w:rPr>
      <w:rFonts w:eastAsia="仿宋_GB2312"/>
      <w:sz w:val="28"/>
    </w:rPr>
  </w:style>
  <w:style w:type="paragraph" w:customStyle="1" w:styleId="80">
    <w:name w:val="吉奥正文"/>
    <w:basedOn w:val="1"/>
    <w:link w:val="79"/>
    <w:autoRedefine/>
    <w:qFormat/>
    <w:uiPriority w:val="0"/>
    <w:pPr>
      <w:adjustRightInd w:val="0"/>
      <w:snapToGrid w:val="0"/>
      <w:spacing w:before="120" w:line="360" w:lineRule="auto"/>
      <w:ind w:firstLine="200" w:firstLineChars="200"/>
      <w:textAlignment w:val="baseline"/>
    </w:pPr>
    <w:rPr>
      <w:rFonts w:eastAsia="仿宋_GB2312"/>
      <w:sz w:val="28"/>
    </w:rPr>
  </w:style>
  <w:style w:type="character" w:customStyle="1" w:styleId="81">
    <w:name w:val="页脚 Char1"/>
    <w:autoRedefine/>
    <w:qFormat/>
    <w:uiPriority w:val="99"/>
    <w:rPr>
      <w:rFonts w:ascii="宋体" w:hAnsi="Times New Roman" w:eastAsia="宋体" w:cs="Times New Roman"/>
      <w:kern w:val="0"/>
      <w:sz w:val="18"/>
      <w:szCs w:val="18"/>
    </w:rPr>
  </w:style>
  <w:style w:type="character" w:customStyle="1" w:styleId="82">
    <w:name w:val="标题 字符"/>
    <w:autoRedefine/>
    <w:qFormat/>
    <w:uiPriority w:val="10"/>
    <w:rPr>
      <w:rFonts w:ascii="Cambria" w:hAnsi="Cambria" w:eastAsia="宋体" w:cs="Times New Roman"/>
      <w:b/>
      <w:bCs/>
      <w:kern w:val="0"/>
      <w:sz w:val="32"/>
      <w:szCs w:val="32"/>
      <w:lang w:val="en-US" w:eastAsia="zh-CN"/>
    </w:rPr>
  </w:style>
  <w:style w:type="character" w:customStyle="1" w:styleId="83">
    <w:name w:val="题注 字符1"/>
    <w:link w:val="14"/>
    <w:autoRedefine/>
    <w:qFormat/>
    <w:uiPriority w:val="0"/>
    <w:rPr>
      <w:rFonts w:ascii="Arial" w:hAnsi="Arial" w:eastAsia="黑体" w:cs="Arial"/>
    </w:rPr>
  </w:style>
  <w:style w:type="character" w:customStyle="1" w:styleId="84">
    <w:name w:val="批注文字 字符2"/>
    <w:autoRedefine/>
    <w:qFormat/>
    <w:uiPriority w:val="99"/>
    <w:rPr>
      <w:rFonts w:ascii="宋体" w:hAnsi="Times New Roman" w:eastAsia="宋体" w:cs="Times New Roman"/>
      <w:kern w:val="0"/>
      <w:sz w:val="24"/>
      <w:szCs w:val="24"/>
    </w:rPr>
  </w:style>
  <w:style w:type="character" w:customStyle="1" w:styleId="85">
    <w:name w:val="批注主题 字符1"/>
    <w:autoRedefine/>
    <w:semiHidden/>
    <w:qFormat/>
    <w:uiPriority w:val="99"/>
    <w:rPr>
      <w:rFonts w:ascii="宋体" w:hAnsi="Calibri" w:eastAsia="宋体" w:cs="Times New Roman"/>
      <w:b/>
      <w:bCs/>
      <w:kern w:val="0"/>
      <w:sz w:val="24"/>
      <w:szCs w:val="24"/>
    </w:rPr>
  </w:style>
  <w:style w:type="character" w:customStyle="1" w:styleId="86">
    <w:name w:val="HTML 预设格式 字符"/>
    <w:link w:val="34"/>
    <w:autoRedefine/>
    <w:qFormat/>
    <w:uiPriority w:val="99"/>
    <w:rPr>
      <w:rFonts w:ascii="Arial" w:hAnsi="Arial" w:eastAsia="宋体" w:cs="Arial"/>
      <w:szCs w:val="21"/>
    </w:rPr>
  </w:style>
  <w:style w:type="character" w:customStyle="1" w:styleId="87">
    <w:name w:val="标题 3.1 Char"/>
    <w:link w:val="88"/>
    <w:autoRedefine/>
    <w:qFormat/>
    <w:uiPriority w:val="0"/>
    <w:rPr>
      <w:rFonts w:ascii="宋体" w:hAnsi="宋体"/>
      <w:b/>
      <w:bCs/>
      <w:sz w:val="32"/>
      <w:szCs w:val="32"/>
    </w:rPr>
  </w:style>
  <w:style w:type="paragraph" w:customStyle="1" w:styleId="88">
    <w:name w:val="标题 3.1"/>
    <w:basedOn w:val="5"/>
    <w:link w:val="87"/>
    <w:autoRedefine/>
    <w:qFormat/>
    <w:uiPriority w:val="0"/>
    <w:pPr>
      <w:keepNext/>
      <w:keepLines/>
      <w:pageBreakBefore/>
      <w:tabs>
        <w:tab w:val="left" w:pos="1440"/>
        <w:tab w:val="left" w:pos="1620"/>
      </w:tabs>
      <w:autoSpaceDE/>
      <w:autoSpaceDN/>
      <w:adjustRightInd/>
      <w:spacing w:before="260" w:after="260" w:line="600" w:lineRule="exact"/>
      <w:jc w:val="both"/>
    </w:pPr>
    <w:rPr>
      <w:rFonts w:hAnsi="宋体" w:eastAsiaTheme="minorEastAsia" w:cstheme="minorBidi"/>
      <w:b/>
      <w:bCs/>
      <w:kern w:val="2"/>
      <w:sz w:val="32"/>
      <w:szCs w:val="32"/>
    </w:rPr>
  </w:style>
  <w:style w:type="character" w:customStyle="1" w:styleId="89">
    <w:name w:val="HTML 预设格式 Char1"/>
    <w:autoRedefine/>
    <w:semiHidden/>
    <w:qFormat/>
    <w:uiPriority w:val="99"/>
    <w:rPr>
      <w:rFonts w:ascii="Courier New" w:hAnsi="Courier New" w:eastAsia="宋体" w:cs="Courier New"/>
      <w:kern w:val="0"/>
      <w:sz w:val="20"/>
      <w:szCs w:val="20"/>
    </w:rPr>
  </w:style>
  <w:style w:type="character" w:customStyle="1" w:styleId="90">
    <w:name w:val="批注文字 字符1"/>
    <w:autoRedefine/>
    <w:qFormat/>
    <w:uiPriority w:val="0"/>
    <w:rPr>
      <w:rFonts w:eastAsia="宋体"/>
      <w:kern w:val="2"/>
      <w:sz w:val="24"/>
      <w:szCs w:val="24"/>
      <w:lang w:val="en-US" w:eastAsia="zh-CN" w:bidi="ar-SA"/>
    </w:rPr>
  </w:style>
  <w:style w:type="character" w:customStyle="1" w:styleId="91">
    <w:name w:val="正文文本缩进 字符2"/>
    <w:autoRedefine/>
    <w:semiHidden/>
    <w:qFormat/>
    <w:uiPriority w:val="99"/>
    <w:rPr>
      <w:rFonts w:ascii="宋体" w:hAnsi="Calibri" w:eastAsia="宋体" w:cs="Times New Roman"/>
      <w:kern w:val="0"/>
      <w:sz w:val="24"/>
      <w:szCs w:val="24"/>
    </w:rPr>
  </w:style>
  <w:style w:type="character" w:customStyle="1" w:styleId="92">
    <w:name w:val="正文文本缩进 字符1"/>
    <w:link w:val="21"/>
    <w:autoRedefine/>
    <w:qFormat/>
    <w:uiPriority w:val="0"/>
    <w:rPr>
      <w:rFonts w:ascii="Times New Roman" w:hAnsi="Times New Roman" w:eastAsia="宋体" w:cs="Times New Roman"/>
      <w:szCs w:val="20"/>
    </w:rPr>
  </w:style>
  <w:style w:type="character" w:customStyle="1" w:styleId="93">
    <w:name w:val="普通(网站) 字符2"/>
    <w:link w:val="35"/>
    <w:autoRedefine/>
    <w:qFormat/>
    <w:locked/>
    <w:uiPriority w:val="0"/>
    <w:rPr>
      <w:rFonts w:ascii="宋体" w:hAnsi="宋体"/>
      <w:sz w:val="15"/>
      <w:szCs w:val="15"/>
    </w:rPr>
  </w:style>
  <w:style w:type="character" w:customStyle="1" w:styleId="94">
    <w:name w:val="模板正文 Char"/>
    <w:link w:val="9"/>
    <w:autoRedefine/>
    <w:qFormat/>
    <w:uiPriority w:val="0"/>
    <w:rPr>
      <w:rFonts w:ascii="宋体" w:eastAsia="仿宋"/>
      <w:sz w:val="24"/>
      <w:szCs w:val="21"/>
    </w:rPr>
  </w:style>
  <w:style w:type="character" w:customStyle="1" w:styleId="95">
    <w:name w:val="批注主题 Char"/>
    <w:autoRedefine/>
    <w:semiHidden/>
    <w:qFormat/>
    <w:uiPriority w:val="99"/>
    <w:rPr>
      <w:b/>
      <w:bCs/>
      <w:kern w:val="2"/>
      <w:sz w:val="21"/>
    </w:rPr>
  </w:style>
  <w:style w:type="character" w:customStyle="1" w:styleId="96">
    <w:name w:val="正文文本 Char1"/>
    <w:autoRedefine/>
    <w:qFormat/>
    <w:uiPriority w:val="0"/>
    <w:rPr>
      <w:rFonts w:ascii="宋体" w:hAnsi="Times New Roman" w:eastAsia="宋体" w:cs="Times New Roman"/>
      <w:kern w:val="0"/>
      <w:sz w:val="24"/>
      <w:szCs w:val="24"/>
    </w:rPr>
  </w:style>
  <w:style w:type="character" w:customStyle="1" w:styleId="97">
    <w:name w:val="正文文本 字符1"/>
    <w:autoRedefine/>
    <w:qFormat/>
    <w:uiPriority w:val="99"/>
    <w:rPr>
      <w:rFonts w:ascii="宋体" w:eastAsia="宋体"/>
      <w:b/>
      <w:bCs/>
      <w:sz w:val="84"/>
      <w:szCs w:val="84"/>
      <w:lang w:val="zh-CN"/>
    </w:rPr>
  </w:style>
  <w:style w:type="character" w:customStyle="1" w:styleId="98">
    <w:name w:val="标题 1 Char"/>
    <w:autoRedefine/>
    <w:qFormat/>
    <w:uiPriority w:val="9"/>
    <w:rPr>
      <w:rFonts w:ascii="宋体" w:hAnsi="Times New Roman" w:eastAsia="宋体" w:cs="Times New Roman"/>
      <w:kern w:val="0"/>
      <w:sz w:val="24"/>
      <w:szCs w:val="24"/>
    </w:rPr>
  </w:style>
  <w:style w:type="character" w:customStyle="1" w:styleId="99">
    <w:name w:val="正文文本 Char2"/>
    <w:autoRedefine/>
    <w:qFormat/>
    <w:uiPriority w:val="99"/>
    <w:rPr>
      <w:rFonts w:ascii="宋体" w:eastAsia="宋体"/>
      <w:b/>
      <w:bCs/>
      <w:sz w:val="84"/>
      <w:szCs w:val="84"/>
      <w:lang w:val="zh-CN"/>
    </w:rPr>
  </w:style>
  <w:style w:type="character" w:customStyle="1" w:styleId="100">
    <w:name w:val="纯文本 字符2"/>
    <w:link w:val="23"/>
    <w:autoRedefine/>
    <w:qFormat/>
    <w:uiPriority w:val="0"/>
    <w:rPr>
      <w:rFonts w:ascii="宋体" w:hAnsi="Courier New" w:eastAsia="宋体"/>
    </w:rPr>
  </w:style>
  <w:style w:type="character" w:customStyle="1" w:styleId="101">
    <w:name w:val="正文文本缩进 2 字符"/>
    <w:link w:val="25"/>
    <w:autoRedefine/>
    <w:qFormat/>
    <w:uiPriority w:val="0"/>
    <w:rPr>
      <w:rFonts w:ascii="宋体" w:hAnsi="Times New Roman" w:eastAsia="宋体" w:cs="Times New Roman"/>
      <w:szCs w:val="20"/>
    </w:rPr>
  </w:style>
  <w:style w:type="character" w:customStyle="1" w:styleId="102">
    <w:name w:val="HTML Markup"/>
    <w:autoRedefine/>
    <w:qFormat/>
    <w:uiPriority w:val="0"/>
    <w:rPr>
      <w:vanish/>
      <w:color w:val="FF0000"/>
    </w:rPr>
  </w:style>
  <w:style w:type="character" w:customStyle="1" w:styleId="103">
    <w:name w:val="页眉 Char1"/>
    <w:autoRedefine/>
    <w:qFormat/>
    <w:uiPriority w:val="0"/>
    <w:rPr>
      <w:rFonts w:ascii="宋体" w:hAnsi="Times New Roman" w:eastAsia="宋体" w:cs="Times New Roman"/>
      <w:kern w:val="0"/>
      <w:sz w:val="18"/>
      <w:szCs w:val="18"/>
    </w:rPr>
  </w:style>
  <w:style w:type="character" w:customStyle="1" w:styleId="104">
    <w:name w:val="font11"/>
    <w:autoRedefine/>
    <w:qFormat/>
    <w:uiPriority w:val="0"/>
    <w:rPr>
      <w:rFonts w:hint="eastAsia" w:ascii="宋体" w:hAnsi="宋体" w:eastAsia="宋体" w:cs="宋体"/>
      <w:color w:val="FF0000"/>
      <w:sz w:val="22"/>
      <w:szCs w:val="22"/>
      <w:u w:val="none"/>
    </w:rPr>
  </w:style>
  <w:style w:type="character" w:customStyle="1" w:styleId="105">
    <w:name w:val="style61"/>
    <w:autoRedefine/>
    <w:qFormat/>
    <w:uiPriority w:val="0"/>
    <w:rPr>
      <w:b/>
      <w:bCs/>
    </w:rPr>
  </w:style>
  <w:style w:type="character" w:customStyle="1" w:styleId="106">
    <w:name w:val="表头文字 Char"/>
    <w:link w:val="107"/>
    <w:autoRedefine/>
    <w:qFormat/>
    <w:uiPriority w:val="0"/>
    <w:rPr>
      <w:rFonts w:eastAsia="仿宋_GB2312"/>
      <w:b/>
      <w:sz w:val="28"/>
      <w:szCs w:val="21"/>
    </w:rPr>
  </w:style>
  <w:style w:type="paragraph" w:customStyle="1" w:styleId="107">
    <w:name w:val="表头文字"/>
    <w:basedOn w:val="1"/>
    <w:link w:val="106"/>
    <w:autoRedefine/>
    <w:qFormat/>
    <w:uiPriority w:val="0"/>
    <w:pPr>
      <w:adjustRightInd w:val="0"/>
      <w:snapToGrid w:val="0"/>
      <w:spacing w:before="120" w:line="360" w:lineRule="auto"/>
      <w:jc w:val="center"/>
      <w:textAlignment w:val="baseline"/>
    </w:pPr>
    <w:rPr>
      <w:rFonts w:eastAsia="仿宋_GB2312"/>
      <w:b/>
      <w:sz w:val="28"/>
      <w:szCs w:val="21"/>
    </w:rPr>
  </w:style>
  <w:style w:type="character" w:customStyle="1" w:styleId="108">
    <w:name w:val="日期 字符"/>
    <w:link w:val="24"/>
    <w:autoRedefine/>
    <w:qFormat/>
    <w:uiPriority w:val="99"/>
    <w:rPr>
      <w:rFonts w:ascii="宋体" w:hAnsi="Times New Roman" w:eastAsia="宋体" w:cs="Times New Roman"/>
      <w:b/>
      <w:bCs/>
      <w:szCs w:val="21"/>
      <w:lang w:val="zh-CN"/>
    </w:rPr>
  </w:style>
  <w:style w:type="character" w:customStyle="1" w:styleId="109">
    <w:name w:val="纯文本 Char1"/>
    <w:autoRedefine/>
    <w:qFormat/>
    <w:uiPriority w:val="0"/>
    <w:rPr>
      <w:rFonts w:ascii="宋体" w:hAnsi="Courier New" w:eastAsia="宋体" w:cs="Courier New"/>
      <w:kern w:val="0"/>
      <w:szCs w:val="21"/>
    </w:rPr>
  </w:style>
  <w:style w:type="character" w:customStyle="1" w:styleId="110">
    <w:name w:val="批注主题 字符"/>
    <w:link w:val="37"/>
    <w:autoRedefine/>
    <w:qFormat/>
    <w:uiPriority w:val="99"/>
    <w:rPr>
      <w:rFonts w:ascii="宋体" w:hAnsi="Times New Roman" w:eastAsia="宋体" w:cs="Times New Roman"/>
      <w:b/>
      <w:bCs/>
      <w:kern w:val="0"/>
      <w:sz w:val="24"/>
      <w:szCs w:val="24"/>
    </w:rPr>
  </w:style>
  <w:style w:type="character" w:customStyle="1" w:styleId="111">
    <w:name w:val="纯文本 字符"/>
    <w:autoRedefine/>
    <w:qFormat/>
    <w:uiPriority w:val="99"/>
    <w:rPr>
      <w:rFonts w:ascii="宋体" w:hAnsi="Courier New" w:eastAsia="宋体" w:cs="Times New Roman"/>
      <w:szCs w:val="20"/>
      <w:lang w:val="en-US" w:eastAsia="zh-CN"/>
    </w:rPr>
  </w:style>
  <w:style w:type="character" w:customStyle="1" w:styleId="112">
    <w:name w:val="font71"/>
    <w:autoRedefine/>
    <w:qFormat/>
    <w:uiPriority w:val="0"/>
    <w:rPr>
      <w:rFonts w:hint="eastAsia" w:ascii="宋体" w:hAnsi="宋体" w:eastAsia="宋体" w:cs="宋体"/>
      <w:color w:val="FF0000"/>
      <w:sz w:val="18"/>
      <w:szCs w:val="18"/>
      <w:u w:val="none"/>
    </w:rPr>
  </w:style>
  <w:style w:type="character" w:customStyle="1" w:styleId="113">
    <w:name w:val="font21"/>
    <w:autoRedefine/>
    <w:qFormat/>
    <w:uiPriority w:val="0"/>
    <w:rPr>
      <w:rFonts w:hint="eastAsia" w:ascii="宋体" w:hAnsi="宋体" w:eastAsia="宋体" w:cs="宋体"/>
      <w:b/>
      <w:color w:val="000000"/>
      <w:sz w:val="21"/>
      <w:szCs w:val="21"/>
      <w:u w:val="none"/>
    </w:rPr>
  </w:style>
  <w:style w:type="character" w:customStyle="1" w:styleId="114">
    <w:name w:val="纯文本 字符3"/>
    <w:autoRedefine/>
    <w:semiHidden/>
    <w:qFormat/>
    <w:uiPriority w:val="99"/>
    <w:rPr>
      <w:rFonts w:ascii="等线" w:hAnsi="Courier New" w:cs="Courier New"/>
      <w:kern w:val="0"/>
      <w:sz w:val="24"/>
      <w:szCs w:val="24"/>
    </w:rPr>
  </w:style>
  <w:style w:type="character" w:customStyle="1" w:styleId="115">
    <w:name w:val="font31"/>
    <w:autoRedefine/>
    <w:qFormat/>
    <w:uiPriority w:val="0"/>
    <w:rPr>
      <w:rFonts w:hint="eastAsia" w:ascii="宋体" w:hAnsi="宋体" w:eastAsia="宋体" w:cs="宋体"/>
      <w:color w:val="000000"/>
      <w:sz w:val="18"/>
      <w:szCs w:val="18"/>
      <w:u w:val="none"/>
    </w:rPr>
  </w:style>
  <w:style w:type="character" w:customStyle="1" w:styleId="116">
    <w:name w:val="文档结构图 字符"/>
    <w:link w:val="15"/>
    <w:autoRedefine/>
    <w:semiHidden/>
    <w:qFormat/>
    <w:uiPriority w:val="99"/>
    <w:rPr>
      <w:rFonts w:ascii="宋体" w:hAnsi="Times New Roman" w:eastAsia="宋体" w:cs="Times New Roman"/>
      <w:kern w:val="0"/>
      <w:sz w:val="24"/>
      <w:szCs w:val="24"/>
      <w:shd w:val="clear" w:color="auto" w:fill="000080"/>
    </w:rPr>
  </w:style>
  <w:style w:type="character" w:customStyle="1" w:styleId="117">
    <w:name w:val="普通(网站) 字符1"/>
    <w:autoRedefine/>
    <w:qFormat/>
    <w:locked/>
    <w:uiPriority w:val="0"/>
    <w:rPr>
      <w:rFonts w:ascii="宋体" w:hAnsi="宋体"/>
      <w:sz w:val="15"/>
      <w:szCs w:val="15"/>
    </w:rPr>
  </w:style>
  <w:style w:type="character" w:customStyle="1" w:styleId="118">
    <w:name w:val="正文文本 字符2"/>
    <w:link w:val="19"/>
    <w:autoRedefine/>
    <w:qFormat/>
    <w:uiPriority w:val="99"/>
    <w:rPr>
      <w:rFonts w:ascii="宋体" w:eastAsia="宋体"/>
      <w:b/>
      <w:bCs/>
      <w:sz w:val="84"/>
      <w:szCs w:val="84"/>
      <w:lang w:val="zh-CN"/>
    </w:rPr>
  </w:style>
  <w:style w:type="character" w:customStyle="1" w:styleId="119">
    <w:name w:val="标题 5 Char"/>
    <w:autoRedefine/>
    <w:semiHidden/>
    <w:qFormat/>
    <w:uiPriority w:val="9"/>
    <w:rPr>
      <w:b/>
      <w:bCs/>
      <w:kern w:val="2"/>
      <w:sz w:val="28"/>
      <w:szCs w:val="28"/>
    </w:rPr>
  </w:style>
  <w:style w:type="character" w:customStyle="1" w:styleId="120">
    <w:name w:val="页眉 字符"/>
    <w:link w:val="28"/>
    <w:autoRedefine/>
    <w:qFormat/>
    <w:uiPriority w:val="99"/>
    <w:rPr>
      <w:rFonts w:ascii="宋体" w:eastAsia="宋体"/>
      <w:sz w:val="18"/>
      <w:szCs w:val="18"/>
    </w:rPr>
  </w:style>
  <w:style w:type="character" w:customStyle="1" w:styleId="121">
    <w:name w:val="表格文字 Char"/>
    <w:link w:val="122"/>
    <w:autoRedefine/>
    <w:qFormat/>
    <w:uiPriority w:val="0"/>
    <w:rPr>
      <w:rFonts w:eastAsia="仿宋_GB2312"/>
      <w:sz w:val="28"/>
      <w:szCs w:val="24"/>
    </w:rPr>
  </w:style>
  <w:style w:type="paragraph" w:customStyle="1" w:styleId="122">
    <w:name w:val="表格文字"/>
    <w:basedOn w:val="1"/>
    <w:link w:val="121"/>
    <w:autoRedefine/>
    <w:qFormat/>
    <w:uiPriority w:val="0"/>
    <w:rPr>
      <w:rFonts w:eastAsia="仿宋_GB2312"/>
      <w:sz w:val="28"/>
      <w:szCs w:val="24"/>
    </w:rPr>
  </w:style>
  <w:style w:type="character" w:customStyle="1" w:styleId="123">
    <w:name w:val="标题 字符2"/>
    <w:autoRedefine/>
    <w:qFormat/>
    <w:uiPriority w:val="10"/>
    <w:rPr>
      <w:rFonts w:ascii="等线 Light" w:hAnsi="等线 Light" w:eastAsia="等线 Light" w:cs="Times New Roman"/>
      <w:b/>
      <w:bCs/>
      <w:kern w:val="0"/>
      <w:sz w:val="32"/>
      <w:szCs w:val="32"/>
    </w:rPr>
  </w:style>
  <w:style w:type="character" w:customStyle="1" w:styleId="124">
    <w:name w:val="正文缩进2格 Char Char"/>
    <w:autoRedefine/>
    <w:qFormat/>
    <w:uiPriority w:val="0"/>
    <w:rPr>
      <w:rFonts w:ascii="仿宋_GB2312" w:hAnsi="宋体" w:eastAsia="仿宋_GB2312"/>
      <w:kern w:val="2"/>
      <w:sz w:val="31"/>
      <w:szCs w:val="28"/>
      <w:lang w:val="en-US" w:eastAsia="zh-CN" w:bidi="ar-SA"/>
    </w:rPr>
  </w:style>
  <w:style w:type="character" w:customStyle="1" w:styleId="125">
    <w:name w:val="小 Char"/>
    <w:autoRedefine/>
    <w:qFormat/>
    <w:uiPriority w:val="0"/>
    <w:rPr>
      <w:rFonts w:ascii="宋体" w:hAnsi="Courier New" w:eastAsia="宋体"/>
      <w:kern w:val="2"/>
      <w:sz w:val="21"/>
      <w:lang w:val="en-US" w:eastAsia="zh-CN" w:bidi="ar-SA"/>
    </w:rPr>
  </w:style>
  <w:style w:type="character" w:customStyle="1" w:styleId="126">
    <w:name w:val="themebody1"/>
    <w:autoRedefine/>
    <w:qFormat/>
    <w:uiPriority w:val="0"/>
    <w:rPr>
      <w:color w:val="FFFFFF"/>
    </w:rPr>
  </w:style>
  <w:style w:type="character" w:customStyle="1" w:styleId="127">
    <w:name w:val="页脚 字符1"/>
    <w:autoRedefine/>
    <w:semiHidden/>
    <w:qFormat/>
    <w:uiPriority w:val="99"/>
    <w:rPr>
      <w:rFonts w:ascii="宋体" w:hAnsi="Calibri" w:eastAsia="宋体" w:cs="Times New Roman"/>
      <w:kern w:val="0"/>
      <w:sz w:val="18"/>
      <w:szCs w:val="18"/>
    </w:rPr>
  </w:style>
  <w:style w:type="character" w:customStyle="1" w:styleId="128">
    <w:name w:val="列表段落 字符"/>
    <w:link w:val="129"/>
    <w:autoRedefine/>
    <w:qFormat/>
    <w:uiPriority w:val="34"/>
    <w:rPr>
      <w:kern w:val="2"/>
      <w:sz w:val="21"/>
      <w:szCs w:val="22"/>
    </w:rPr>
  </w:style>
  <w:style w:type="paragraph" w:styleId="129">
    <w:name w:val="List Paragraph"/>
    <w:basedOn w:val="1"/>
    <w:link w:val="128"/>
    <w:autoRedefine/>
    <w:qFormat/>
    <w:uiPriority w:val="34"/>
    <w:pPr>
      <w:ind w:firstLine="420" w:firstLineChars="200"/>
    </w:pPr>
  </w:style>
  <w:style w:type="character" w:customStyle="1" w:styleId="130">
    <w:name w:val="正文文本 Char"/>
    <w:autoRedefine/>
    <w:qFormat/>
    <w:uiPriority w:val="99"/>
    <w:rPr>
      <w:rFonts w:ascii="宋体" w:eastAsia="宋体"/>
      <w:b/>
      <w:bCs/>
      <w:sz w:val="84"/>
      <w:szCs w:val="84"/>
      <w:lang w:val="zh-CN"/>
    </w:rPr>
  </w:style>
  <w:style w:type="character" w:customStyle="1" w:styleId="131">
    <w:name w:val="页眉 字符1"/>
    <w:autoRedefine/>
    <w:semiHidden/>
    <w:qFormat/>
    <w:uiPriority w:val="99"/>
    <w:rPr>
      <w:rFonts w:ascii="宋体" w:hAnsi="Calibri" w:eastAsia="宋体" w:cs="Times New Roman"/>
      <w:kern w:val="0"/>
      <w:sz w:val="18"/>
      <w:szCs w:val="18"/>
    </w:rPr>
  </w:style>
  <w:style w:type="character" w:customStyle="1" w:styleId="132">
    <w:name w:val="标题 5 字符1"/>
    <w:link w:val="7"/>
    <w:autoRedefine/>
    <w:qFormat/>
    <w:uiPriority w:val="9"/>
    <w:rPr>
      <w:rFonts w:ascii="宋体" w:hAnsi="Calibri" w:eastAsia="宋体" w:cs="Times New Roman"/>
      <w:b/>
      <w:bCs/>
      <w:kern w:val="0"/>
      <w:sz w:val="28"/>
      <w:szCs w:val="28"/>
    </w:rPr>
  </w:style>
  <w:style w:type="character" w:customStyle="1" w:styleId="133">
    <w:name w:val="keyfeatures1"/>
    <w:autoRedefine/>
    <w:qFormat/>
    <w:uiPriority w:val="0"/>
    <w:rPr>
      <w:rFonts w:hint="default" w:ascii="Arial" w:hAnsi="Arial" w:cs="Arial"/>
      <w:color w:val="003366"/>
      <w:sz w:val="17"/>
      <w:szCs w:val="17"/>
      <w:u w:val="none"/>
    </w:rPr>
  </w:style>
  <w:style w:type="character" w:customStyle="1" w:styleId="134">
    <w:name w:val="题注 字符"/>
    <w:autoRedefine/>
    <w:qFormat/>
    <w:uiPriority w:val="0"/>
    <w:rPr>
      <w:rFonts w:ascii="宋体" w:hAnsi="宋体" w:eastAsia="黑体" w:cs="Times New Roman"/>
      <w:b/>
      <w:szCs w:val="21"/>
    </w:rPr>
  </w:style>
  <w:style w:type="character" w:customStyle="1" w:styleId="135">
    <w:name w:val="标题 4 Char"/>
    <w:autoRedefine/>
    <w:qFormat/>
    <w:uiPriority w:val="0"/>
    <w:rPr>
      <w:rFonts w:ascii="宋体" w:hAnsi="宋体" w:eastAsia="宋体"/>
      <w:b/>
      <w:kern w:val="2"/>
      <w:sz w:val="21"/>
      <w:szCs w:val="24"/>
      <w:lang w:val="en-US" w:eastAsia="zh-CN" w:bidi="ar-SA"/>
    </w:rPr>
  </w:style>
  <w:style w:type="character" w:customStyle="1" w:styleId="136">
    <w:name w:val="批注文字 字符3"/>
    <w:autoRedefine/>
    <w:semiHidden/>
    <w:qFormat/>
    <w:uiPriority w:val="99"/>
    <w:rPr>
      <w:rFonts w:ascii="宋体" w:hAnsi="Calibri" w:eastAsia="宋体" w:cs="Times New Roman"/>
      <w:kern w:val="0"/>
      <w:sz w:val="24"/>
      <w:szCs w:val="24"/>
    </w:rPr>
  </w:style>
  <w:style w:type="character" w:customStyle="1" w:styleId="137">
    <w:name w:val="纯文本 字符1"/>
    <w:autoRedefine/>
    <w:qFormat/>
    <w:uiPriority w:val="0"/>
    <w:rPr>
      <w:rFonts w:ascii="宋体" w:hAnsi="Courier New" w:eastAsia="宋体"/>
      <w:kern w:val="2"/>
      <w:sz w:val="21"/>
      <w:szCs w:val="24"/>
      <w:lang w:val="en-US" w:eastAsia="zh-CN" w:bidi="ar-SA"/>
    </w:rPr>
  </w:style>
  <w:style w:type="character" w:customStyle="1" w:styleId="138">
    <w:name w:val="列出段落 Char1"/>
    <w:autoRedefine/>
    <w:qFormat/>
    <w:uiPriority w:val="34"/>
    <w:rPr>
      <w:rFonts w:ascii="宋体"/>
      <w:sz w:val="24"/>
      <w:szCs w:val="24"/>
    </w:rPr>
  </w:style>
  <w:style w:type="character" w:customStyle="1" w:styleId="139">
    <w:name w:val="彩色列表 - 着色 1 字符"/>
    <w:link w:val="140"/>
    <w:autoRedefine/>
    <w:qFormat/>
    <w:uiPriority w:val="0"/>
    <w:rPr>
      <w:rFonts w:ascii="Calibri" w:hAnsi="Calibri"/>
    </w:rPr>
  </w:style>
  <w:style w:type="paragraph" w:customStyle="1" w:styleId="140">
    <w:name w:val="彩色列表 - 着色 11"/>
    <w:basedOn w:val="1"/>
    <w:link w:val="139"/>
    <w:autoRedefine/>
    <w:qFormat/>
    <w:uiPriority w:val="0"/>
    <w:pPr>
      <w:ind w:firstLine="420" w:firstLineChars="200"/>
    </w:pPr>
    <w:rPr>
      <w:rFonts w:ascii="Calibri" w:hAnsi="Calibri"/>
    </w:rPr>
  </w:style>
  <w:style w:type="character" w:customStyle="1" w:styleId="141">
    <w:name w:val="纯文本 Char"/>
    <w:autoRedefine/>
    <w:qFormat/>
    <w:uiPriority w:val="0"/>
    <w:rPr>
      <w:rFonts w:ascii="宋体" w:hAnsi="Courier New" w:eastAsia="宋体" w:cs="Times New Roman"/>
      <w:szCs w:val="20"/>
    </w:rPr>
  </w:style>
  <w:style w:type="character" w:customStyle="1" w:styleId="142">
    <w:name w:val="标题 6 字符1"/>
    <w:link w:val="8"/>
    <w:autoRedefine/>
    <w:qFormat/>
    <w:uiPriority w:val="9"/>
    <w:rPr>
      <w:rFonts w:ascii="Times New Roman" w:hAnsi="Calibri" w:eastAsia="黑体" w:cs="Times New Roman"/>
      <w:b/>
      <w:bCs/>
      <w:kern w:val="0"/>
      <w:sz w:val="28"/>
      <w:szCs w:val="24"/>
    </w:rPr>
  </w:style>
  <w:style w:type="character" w:customStyle="1" w:styleId="143">
    <w:name w:val="正文文本 2 字符"/>
    <w:link w:val="33"/>
    <w:autoRedefine/>
    <w:qFormat/>
    <w:uiPriority w:val="0"/>
    <w:rPr>
      <w:rFonts w:ascii="Arial" w:hAnsi="Arial" w:eastAsia="宋体" w:cs="Times New Roman"/>
      <w:color w:val="000000"/>
      <w:szCs w:val="24"/>
    </w:rPr>
  </w:style>
  <w:style w:type="character" w:customStyle="1" w:styleId="144">
    <w:name w:val="标题 3 字符1"/>
    <w:link w:val="5"/>
    <w:autoRedefine/>
    <w:qFormat/>
    <w:uiPriority w:val="0"/>
    <w:rPr>
      <w:rFonts w:ascii="宋体" w:hAnsi="Calibri" w:eastAsia="宋体" w:cs="Times New Roman"/>
      <w:kern w:val="0"/>
      <w:sz w:val="24"/>
      <w:szCs w:val="24"/>
    </w:rPr>
  </w:style>
  <w:style w:type="character" w:customStyle="1" w:styleId="145">
    <w:name w:val="正文文本缩进 2 字符1"/>
    <w:autoRedefine/>
    <w:semiHidden/>
    <w:qFormat/>
    <w:uiPriority w:val="99"/>
    <w:rPr>
      <w:rFonts w:ascii="宋体" w:hAnsi="Calibri" w:eastAsia="宋体" w:cs="Times New Roman"/>
      <w:kern w:val="0"/>
      <w:sz w:val="24"/>
      <w:szCs w:val="24"/>
    </w:rPr>
  </w:style>
  <w:style w:type="character" w:customStyle="1" w:styleId="146">
    <w:name w:val="正文文本缩进 3 字符1"/>
    <w:autoRedefine/>
    <w:semiHidden/>
    <w:qFormat/>
    <w:uiPriority w:val="99"/>
    <w:rPr>
      <w:rFonts w:ascii="宋体" w:hAnsi="Calibri" w:eastAsia="宋体" w:cs="Times New Roman"/>
      <w:kern w:val="0"/>
      <w:sz w:val="16"/>
      <w:szCs w:val="16"/>
    </w:rPr>
  </w:style>
  <w:style w:type="character" w:customStyle="1" w:styleId="147">
    <w:name w:val="正文文本 2 字符1"/>
    <w:autoRedefine/>
    <w:semiHidden/>
    <w:qFormat/>
    <w:uiPriority w:val="99"/>
    <w:rPr>
      <w:rFonts w:ascii="宋体" w:hAnsi="Calibri" w:eastAsia="宋体" w:cs="Times New Roman"/>
      <w:kern w:val="0"/>
      <w:sz w:val="24"/>
      <w:szCs w:val="24"/>
    </w:rPr>
  </w:style>
  <w:style w:type="character" w:customStyle="1" w:styleId="148">
    <w:name w:val="eschoolnr"/>
    <w:autoRedefine/>
    <w:qFormat/>
    <w:uiPriority w:val="0"/>
    <w:rPr>
      <w:sz w:val="23"/>
      <w:szCs w:val="23"/>
    </w:rPr>
  </w:style>
  <w:style w:type="character" w:customStyle="1" w:styleId="149">
    <w:name w:val="访问过的超链接1"/>
    <w:autoRedefine/>
    <w:qFormat/>
    <w:uiPriority w:val="0"/>
    <w:rPr>
      <w:rFonts w:ascii="Arial" w:hAnsi="Arial" w:cs="Arial"/>
      <w:color w:val="000000"/>
      <w:sz w:val="20"/>
      <w:szCs w:val="20"/>
      <w:u w:val="none"/>
    </w:rPr>
  </w:style>
  <w:style w:type="character" w:customStyle="1" w:styleId="150">
    <w:name w:val="标题 1 字符1"/>
    <w:link w:val="3"/>
    <w:autoRedefine/>
    <w:qFormat/>
    <w:uiPriority w:val="0"/>
    <w:rPr>
      <w:rFonts w:ascii="宋体" w:hAnsi="Calibri" w:eastAsia="宋体" w:cs="Times New Roman"/>
      <w:kern w:val="0"/>
      <w:sz w:val="24"/>
      <w:szCs w:val="24"/>
    </w:rPr>
  </w:style>
  <w:style w:type="character" w:customStyle="1" w:styleId="151">
    <w:name w:val="批注文字 Char1"/>
    <w:autoRedefine/>
    <w:qFormat/>
    <w:uiPriority w:val="0"/>
    <w:rPr>
      <w:kern w:val="2"/>
      <w:sz w:val="21"/>
      <w:szCs w:val="24"/>
    </w:rPr>
  </w:style>
  <w:style w:type="character" w:customStyle="1" w:styleId="152">
    <w:name w:val="批注框文本 Char"/>
    <w:autoRedefine/>
    <w:semiHidden/>
    <w:qFormat/>
    <w:uiPriority w:val="99"/>
    <w:rPr>
      <w:kern w:val="2"/>
      <w:sz w:val="18"/>
      <w:szCs w:val="18"/>
    </w:rPr>
  </w:style>
  <w:style w:type="character" w:customStyle="1" w:styleId="153">
    <w:name w:val="DAS正文 Char"/>
    <w:autoRedefine/>
    <w:qFormat/>
    <w:uiPriority w:val="0"/>
    <w:rPr>
      <w:rFonts w:ascii="Verdana" w:hAnsi="Verdana" w:eastAsia="宋体"/>
      <w:kern w:val="2"/>
      <w:sz w:val="21"/>
      <w:szCs w:val="21"/>
      <w:lang w:val="en-US" w:eastAsia="zh-CN" w:bidi="ar-SA"/>
    </w:rPr>
  </w:style>
  <w:style w:type="character" w:customStyle="1" w:styleId="154">
    <w:name w:val="正文文本缩进 3 字符"/>
    <w:link w:val="31"/>
    <w:autoRedefine/>
    <w:qFormat/>
    <w:uiPriority w:val="0"/>
    <w:rPr>
      <w:rFonts w:ascii="宋体" w:hAnsi="Times New Roman" w:eastAsia="宋体" w:cs="Times New Roman"/>
      <w:kern w:val="0"/>
      <w:sz w:val="24"/>
      <w:szCs w:val="24"/>
    </w:rPr>
  </w:style>
  <w:style w:type="character" w:customStyle="1" w:styleId="155">
    <w:name w:val="页眉 Char"/>
    <w:autoRedefine/>
    <w:qFormat/>
    <w:uiPriority w:val="99"/>
    <w:rPr>
      <w:kern w:val="2"/>
      <w:sz w:val="18"/>
      <w:szCs w:val="18"/>
    </w:rPr>
  </w:style>
  <w:style w:type="character" w:customStyle="1" w:styleId="156">
    <w:name w:val="正文文本 3 字符"/>
    <w:link w:val="18"/>
    <w:autoRedefine/>
    <w:qFormat/>
    <w:uiPriority w:val="0"/>
    <w:rPr>
      <w:rFonts w:ascii="宋体" w:hAnsi="Times New Roman" w:eastAsia="宋体" w:cs="Times New Roman"/>
      <w:b/>
      <w:bCs/>
      <w:color w:val="3366FF"/>
      <w:sz w:val="52"/>
      <w:szCs w:val="52"/>
      <w:lang w:val="zh-CN"/>
    </w:rPr>
  </w:style>
  <w:style w:type="character" w:customStyle="1" w:styleId="157">
    <w:name w:val="HTML 预设格式 字符1"/>
    <w:autoRedefine/>
    <w:semiHidden/>
    <w:qFormat/>
    <w:uiPriority w:val="99"/>
    <w:rPr>
      <w:rFonts w:ascii="Courier New" w:hAnsi="Courier New" w:eastAsia="宋体" w:cs="Courier New"/>
      <w:kern w:val="0"/>
      <w:sz w:val="20"/>
      <w:szCs w:val="20"/>
    </w:rPr>
  </w:style>
  <w:style w:type="character" w:customStyle="1" w:styleId="158">
    <w:name w:val="彩色列表 - 强调文字颜色 1 Char"/>
    <w:link w:val="159"/>
    <w:autoRedefine/>
    <w:qFormat/>
    <w:uiPriority w:val="0"/>
    <w:rPr>
      <w:rFonts w:ascii="宋体"/>
      <w:sz w:val="24"/>
      <w:szCs w:val="24"/>
    </w:rPr>
  </w:style>
  <w:style w:type="paragraph" w:customStyle="1" w:styleId="159">
    <w:name w:val="彩色列表 - 强调文字颜色 11"/>
    <w:basedOn w:val="1"/>
    <w:link w:val="158"/>
    <w:autoRedefine/>
    <w:qFormat/>
    <w:uiPriority w:val="0"/>
    <w:pPr>
      <w:autoSpaceDE w:val="0"/>
      <w:autoSpaceDN w:val="0"/>
      <w:adjustRightInd w:val="0"/>
      <w:ind w:firstLine="420" w:firstLineChars="200"/>
      <w:jc w:val="left"/>
    </w:pPr>
    <w:rPr>
      <w:rFonts w:ascii="宋体"/>
      <w:sz w:val="24"/>
      <w:szCs w:val="24"/>
    </w:rPr>
  </w:style>
  <w:style w:type="character" w:customStyle="1" w:styleId="160">
    <w:name w:val="普通(网站) 字符"/>
    <w:autoRedefine/>
    <w:qFormat/>
    <w:locked/>
    <w:uiPriority w:val="99"/>
    <w:rPr>
      <w:rFonts w:ascii="宋体" w:hAnsi="宋体" w:eastAsia="宋体" w:cs="Times New Roman"/>
      <w:kern w:val="0"/>
      <w:sz w:val="15"/>
      <w:szCs w:val="15"/>
      <w:lang w:val="en-US" w:eastAsia="zh-CN"/>
    </w:rPr>
  </w:style>
  <w:style w:type="paragraph" w:customStyle="1" w:styleId="161">
    <w:name w:val="_Style 123"/>
    <w:basedOn w:val="1"/>
    <w:next w:val="129"/>
    <w:autoRedefine/>
    <w:qFormat/>
    <w:uiPriority w:val="34"/>
    <w:pPr>
      <w:spacing w:line="360" w:lineRule="auto"/>
      <w:ind w:firstLine="420" w:firstLineChars="200"/>
    </w:pPr>
    <w:rPr>
      <w:rFonts w:ascii="Calibri" w:hAnsi="Calibri" w:eastAsia="宋体" w:cs="Times New Roman"/>
    </w:rPr>
  </w:style>
  <w:style w:type="character" w:customStyle="1" w:styleId="162">
    <w:name w:val="纯文本 字符4"/>
    <w:basedOn w:val="40"/>
    <w:autoRedefine/>
    <w:semiHidden/>
    <w:qFormat/>
    <w:uiPriority w:val="99"/>
    <w:rPr>
      <w:rFonts w:hAnsi="Courier New" w:cs="Courier New" w:asciiTheme="minorEastAsia"/>
    </w:rPr>
  </w:style>
  <w:style w:type="character" w:customStyle="1" w:styleId="163">
    <w:name w:val="批注文字 字符4"/>
    <w:basedOn w:val="40"/>
    <w:link w:val="17"/>
    <w:autoRedefine/>
    <w:semiHidden/>
    <w:qFormat/>
    <w:uiPriority w:val="99"/>
  </w:style>
  <w:style w:type="character" w:customStyle="1" w:styleId="164">
    <w:name w:val="批注主题 字符2"/>
    <w:basedOn w:val="163"/>
    <w:autoRedefine/>
    <w:semiHidden/>
    <w:qFormat/>
    <w:uiPriority w:val="99"/>
    <w:rPr>
      <w:b/>
      <w:bCs/>
    </w:rPr>
  </w:style>
  <w:style w:type="character" w:customStyle="1" w:styleId="165">
    <w:name w:val="标题 字符3"/>
    <w:basedOn w:val="40"/>
    <w:autoRedefine/>
    <w:qFormat/>
    <w:uiPriority w:val="10"/>
    <w:rPr>
      <w:rFonts w:asciiTheme="majorHAnsi" w:hAnsiTheme="majorHAnsi" w:eastAsiaTheme="majorEastAsia" w:cstheme="majorBidi"/>
      <w:b/>
      <w:bCs/>
      <w:sz w:val="32"/>
      <w:szCs w:val="32"/>
    </w:rPr>
  </w:style>
  <w:style w:type="character" w:customStyle="1" w:styleId="166">
    <w:name w:val="正文文本缩进 字符3"/>
    <w:basedOn w:val="40"/>
    <w:autoRedefine/>
    <w:semiHidden/>
    <w:qFormat/>
    <w:uiPriority w:val="99"/>
  </w:style>
  <w:style w:type="character" w:customStyle="1" w:styleId="167">
    <w:name w:val="正文文本 字符4"/>
    <w:basedOn w:val="40"/>
    <w:autoRedefine/>
    <w:semiHidden/>
    <w:qFormat/>
    <w:uiPriority w:val="99"/>
  </w:style>
  <w:style w:type="character" w:customStyle="1" w:styleId="168">
    <w:name w:val="正文文本缩进 3 字符2"/>
    <w:basedOn w:val="40"/>
    <w:autoRedefine/>
    <w:semiHidden/>
    <w:qFormat/>
    <w:uiPriority w:val="99"/>
    <w:rPr>
      <w:sz w:val="16"/>
      <w:szCs w:val="16"/>
    </w:rPr>
  </w:style>
  <w:style w:type="character" w:customStyle="1" w:styleId="169">
    <w:name w:val="页眉 字符2"/>
    <w:basedOn w:val="40"/>
    <w:autoRedefine/>
    <w:semiHidden/>
    <w:qFormat/>
    <w:uiPriority w:val="99"/>
    <w:rPr>
      <w:sz w:val="18"/>
      <w:szCs w:val="18"/>
    </w:rPr>
  </w:style>
  <w:style w:type="character" w:customStyle="1" w:styleId="170">
    <w:name w:val="批注框文本 字符2"/>
    <w:basedOn w:val="40"/>
    <w:autoRedefine/>
    <w:semiHidden/>
    <w:qFormat/>
    <w:uiPriority w:val="99"/>
    <w:rPr>
      <w:sz w:val="18"/>
      <w:szCs w:val="18"/>
    </w:rPr>
  </w:style>
  <w:style w:type="character" w:customStyle="1" w:styleId="171">
    <w:name w:val="HTML 预设格式 字符2"/>
    <w:basedOn w:val="40"/>
    <w:autoRedefine/>
    <w:semiHidden/>
    <w:qFormat/>
    <w:uiPriority w:val="99"/>
    <w:rPr>
      <w:rFonts w:ascii="Courier New" w:hAnsi="Courier New" w:cs="Courier New"/>
      <w:sz w:val="20"/>
      <w:szCs w:val="20"/>
    </w:rPr>
  </w:style>
  <w:style w:type="character" w:customStyle="1" w:styleId="172">
    <w:name w:val="页脚 字符2"/>
    <w:basedOn w:val="40"/>
    <w:autoRedefine/>
    <w:semiHidden/>
    <w:qFormat/>
    <w:uiPriority w:val="99"/>
    <w:rPr>
      <w:sz w:val="18"/>
      <w:szCs w:val="18"/>
    </w:rPr>
  </w:style>
  <w:style w:type="character" w:customStyle="1" w:styleId="173">
    <w:name w:val="正文文本缩进 2 字符2"/>
    <w:basedOn w:val="40"/>
    <w:autoRedefine/>
    <w:semiHidden/>
    <w:qFormat/>
    <w:uiPriority w:val="99"/>
  </w:style>
  <w:style w:type="character" w:customStyle="1" w:styleId="174">
    <w:name w:val="正文文本 3 字符2"/>
    <w:basedOn w:val="40"/>
    <w:autoRedefine/>
    <w:semiHidden/>
    <w:qFormat/>
    <w:uiPriority w:val="99"/>
    <w:rPr>
      <w:sz w:val="16"/>
      <w:szCs w:val="16"/>
    </w:rPr>
  </w:style>
  <w:style w:type="character" w:customStyle="1" w:styleId="175">
    <w:name w:val="正文文本 2 字符2"/>
    <w:basedOn w:val="40"/>
    <w:autoRedefine/>
    <w:semiHidden/>
    <w:qFormat/>
    <w:uiPriority w:val="99"/>
  </w:style>
  <w:style w:type="paragraph" w:customStyle="1" w:styleId="176">
    <w:name w:val="WPSOffice手动目录 3"/>
    <w:autoRedefine/>
    <w:qFormat/>
    <w:uiPriority w:val="0"/>
    <w:pPr>
      <w:ind w:left="400" w:leftChars="400"/>
    </w:pPr>
    <w:rPr>
      <w:rFonts w:ascii="Calibri" w:hAnsi="Calibri" w:eastAsia="宋体" w:cs="Times New Roman"/>
      <w:lang w:val="en-US" w:eastAsia="zh-CN" w:bidi="ar-SA"/>
    </w:rPr>
  </w:style>
  <w:style w:type="paragraph" w:customStyle="1" w:styleId="177">
    <w:name w:val="列表段落1"/>
    <w:basedOn w:val="1"/>
    <w:autoRedefine/>
    <w:qFormat/>
    <w:uiPriority w:val="0"/>
    <w:pPr>
      <w:ind w:firstLine="420" w:firstLineChars="200"/>
    </w:pPr>
    <w:rPr>
      <w:rFonts w:ascii="Times New Roman" w:hAnsi="Times New Roman" w:eastAsia="宋体" w:cs="Times New Roman"/>
      <w:szCs w:val="20"/>
    </w:rPr>
  </w:style>
  <w:style w:type="character" w:customStyle="1" w:styleId="178">
    <w:name w:val="文档结构图 字符2"/>
    <w:basedOn w:val="40"/>
    <w:autoRedefine/>
    <w:semiHidden/>
    <w:qFormat/>
    <w:uiPriority w:val="99"/>
    <w:rPr>
      <w:rFonts w:ascii="Microsoft YaHei UI" w:eastAsia="Microsoft YaHei UI"/>
      <w:sz w:val="18"/>
      <w:szCs w:val="18"/>
    </w:rPr>
  </w:style>
  <w:style w:type="character" w:customStyle="1" w:styleId="179">
    <w:name w:val="日期 字符2"/>
    <w:basedOn w:val="40"/>
    <w:autoRedefine/>
    <w:semiHidden/>
    <w:qFormat/>
    <w:uiPriority w:val="99"/>
  </w:style>
  <w:style w:type="paragraph" w:customStyle="1" w:styleId="180">
    <w:name w:val="彩色底纹 - 强调文字颜色 11"/>
    <w:autoRedefine/>
    <w:semiHidden/>
    <w:qFormat/>
    <w:uiPriority w:val="99"/>
    <w:rPr>
      <w:rFonts w:ascii="宋体" w:hAnsi="Calibri" w:eastAsia="宋体" w:cs="Times New Roman"/>
      <w:sz w:val="24"/>
      <w:szCs w:val="24"/>
      <w:lang w:val="en-US" w:eastAsia="zh-CN" w:bidi="ar-SA"/>
    </w:rPr>
  </w:style>
  <w:style w:type="paragraph" w:customStyle="1" w:styleId="181">
    <w:name w:val="d"/>
    <w:basedOn w:val="1"/>
    <w:autoRedefine/>
    <w:qFormat/>
    <w:uiPriority w:val="0"/>
    <w:pPr>
      <w:overflowPunct w:val="0"/>
      <w:autoSpaceDE w:val="0"/>
      <w:autoSpaceDN w:val="0"/>
      <w:adjustRightInd w:val="0"/>
      <w:snapToGrid w:val="0"/>
      <w:spacing w:line="360" w:lineRule="auto"/>
      <w:ind w:firstLine="480" w:firstLineChars="200"/>
    </w:pPr>
    <w:rPr>
      <w:rFonts w:ascii="宋体" w:hAnsi="宋体" w:eastAsia="宋体" w:cs="Arial"/>
      <w:snapToGrid w:val="0"/>
      <w:kern w:val="0"/>
      <w:sz w:val="24"/>
      <w:szCs w:val="21"/>
    </w:rPr>
  </w:style>
  <w:style w:type="paragraph" w:customStyle="1" w:styleId="182">
    <w:name w:val="修订1"/>
    <w:autoRedefine/>
    <w:semiHidden/>
    <w:qFormat/>
    <w:uiPriority w:val="99"/>
    <w:rPr>
      <w:rFonts w:ascii="宋体" w:hAnsi="Calibri" w:eastAsia="宋体" w:cs="Times New Roman"/>
      <w:sz w:val="24"/>
      <w:szCs w:val="24"/>
      <w:lang w:val="en-US" w:eastAsia="zh-CN" w:bidi="ar-SA"/>
    </w:rPr>
  </w:style>
  <w:style w:type="paragraph" w:customStyle="1" w:styleId="183">
    <w:name w:val="图/图注"/>
    <w:basedOn w:val="9"/>
    <w:autoRedefine/>
    <w:qFormat/>
    <w:uiPriority w:val="0"/>
    <w:pPr>
      <w:wordWrap/>
      <w:autoSpaceDE/>
      <w:autoSpaceDN/>
      <w:adjustRightInd/>
      <w:spacing w:before="50"/>
      <w:ind w:firstLine="0" w:firstLineChars="0"/>
      <w:jc w:val="center"/>
    </w:pPr>
    <w:rPr>
      <w:rFonts w:ascii="Times New Roman" w:eastAsia="黑体"/>
      <w:b/>
      <w:sz w:val="21"/>
      <w:szCs w:val="22"/>
    </w:rPr>
  </w:style>
  <w:style w:type="paragraph" w:customStyle="1" w:styleId="184">
    <w:name w:val="Default"/>
    <w:autoRedefine/>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185">
    <w:name w:val="A."/>
    <w:basedOn w:val="1"/>
    <w:autoRedefine/>
    <w:qFormat/>
    <w:uiPriority w:val="0"/>
    <w:pPr>
      <w:widowControl/>
      <w:tabs>
        <w:tab w:val="left" w:pos="859"/>
        <w:tab w:val="left" w:pos="1200"/>
      </w:tabs>
      <w:spacing w:before="240" w:line="240" w:lineRule="atLeast"/>
      <w:ind w:left="859" w:hanging="453"/>
    </w:pPr>
    <w:rPr>
      <w:rFonts w:ascii="Times New Roman" w:hAnsi="Times New Roman" w:eastAsia="宋体" w:cs="Times New Roman"/>
      <w:sz w:val="24"/>
      <w:szCs w:val="24"/>
    </w:rPr>
  </w:style>
  <w:style w:type="paragraph" w:customStyle="1" w:styleId="186">
    <w:name w:val="Pa8"/>
    <w:basedOn w:val="1"/>
    <w:next w:val="1"/>
    <w:autoRedefine/>
    <w:qFormat/>
    <w:uiPriority w:val="99"/>
    <w:pPr>
      <w:autoSpaceDE w:val="0"/>
      <w:autoSpaceDN w:val="0"/>
      <w:adjustRightInd w:val="0"/>
      <w:spacing w:line="181" w:lineRule="atLeast"/>
      <w:jc w:val="left"/>
    </w:pPr>
    <w:rPr>
      <w:rFonts w:ascii="FrutigerNext LT Light" w:hAnsi="Calibri" w:eastAsia="FrutigerNext LT Light" w:cs="Times New Roman"/>
      <w:kern w:val="0"/>
      <w:sz w:val="24"/>
      <w:szCs w:val="24"/>
    </w:rPr>
  </w:style>
  <w:style w:type="paragraph" w:customStyle="1" w:styleId="187">
    <w:name w:val="p0"/>
    <w:basedOn w:val="1"/>
    <w:autoRedefine/>
    <w:qFormat/>
    <w:uiPriority w:val="0"/>
    <w:pPr>
      <w:widowControl/>
    </w:pPr>
    <w:rPr>
      <w:rFonts w:ascii="Times New Roman" w:hAnsi="Calibri" w:eastAsia="宋体" w:cs="Times New Roman"/>
      <w:kern w:val="0"/>
      <w:szCs w:val="20"/>
    </w:rPr>
  </w:style>
  <w:style w:type="paragraph" w:customStyle="1" w:styleId="188">
    <w:name w:val="Char Char Char Char Char Char"/>
    <w:basedOn w:val="1"/>
    <w:autoRedefine/>
    <w:qFormat/>
    <w:uiPriority w:val="0"/>
    <w:pPr>
      <w:widowControl/>
      <w:spacing w:after="160" w:line="240" w:lineRule="exact"/>
      <w:jc w:val="left"/>
    </w:pPr>
    <w:rPr>
      <w:rFonts w:ascii="Times New Roman" w:hAnsi="Times New Roman" w:eastAsia="宋体" w:cs="Times New Roman"/>
      <w:szCs w:val="24"/>
    </w:rPr>
  </w:style>
  <w:style w:type="paragraph" w:customStyle="1" w:styleId="189">
    <w:name w:val="Char"/>
    <w:basedOn w:val="1"/>
    <w:autoRedefine/>
    <w:qFormat/>
    <w:uiPriority w:val="0"/>
    <w:pPr>
      <w:widowControl/>
      <w:spacing w:after="160" w:line="240" w:lineRule="exact"/>
      <w:jc w:val="center"/>
    </w:pPr>
    <w:rPr>
      <w:rFonts w:ascii="Times New Roman" w:hAnsi="Times New Roman" w:eastAsia="宋体" w:cs="Times New Roman"/>
      <w:szCs w:val="24"/>
    </w:rPr>
  </w:style>
  <w:style w:type="paragraph" w:customStyle="1" w:styleId="190">
    <w:name w:val="网格表 32"/>
    <w:basedOn w:val="3"/>
    <w:next w:val="1"/>
    <w:autoRedefine/>
    <w:qFormat/>
    <w:uiPriority w:val="39"/>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191">
    <w:name w:val="WPSOffice手动目录 1"/>
    <w:autoRedefine/>
    <w:qFormat/>
    <w:uiPriority w:val="0"/>
    <w:rPr>
      <w:rFonts w:ascii="Calibri" w:hAnsi="Calibri" w:eastAsia="宋体" w:cs="Times New Roman"/>
      <w:lang w:val="en-US" w:eastAsia="zh-CN" w:bidi="ar-SA"/>
    </w:rPr>
  </w:style>
  <w:style w:type="paragraph" w:customStyle="1" w:styleId="192">
    <w:name w:val="_Style 69"/>
    <w:basedOn w:val="1"/>
    <w:next w:val="129"/>
    <w:autoRedefine/>
    <w:qFormat/>
    <w:uiPriority w:val="34"/>
    <w:pPr>
      <w:spacing w:line="360" w:lineRule="auto"/>
      <w:ind w:firstLine="420" w:firstLineChars="200"/>
    </w:pPr>
    <w:rPr>
      <w:rFonts w:ascii="Calibri" w:hAnsi="Calibri" w:eastAsia="宋体" w:cs="Times New Roman"/>
    </w:rPr>
  </w:style>
  <w:style w:type="paragraph" w:customStyle="1" w:styleId="193">
    <w:name w:val="中等深浅网格 21"/>
    <w:autoRedefine/>
    <w:qFormat/>
    <w:uiPriority w:val="1"/>
    <w:pPr>
      <w:widowControl w:val="0"/>
      <w:jc w:val="both"/>
    </w:pPr>
    <w:rPr>
      <w:rFonts w:ascii="Calibri" w:hAnsi="Calibri" w:eastAsia="宋体" w:cs="Times New Roman"/>
      <w:kern w:val="2"/>
      <w:sz w:val="21"/>
      <w:szCs w:val="22"/>
      <w:lang w:val="en-US" w:eastAsia="zh-CN" w:bidi="ar-SA"/>
    </w:rPr>
  </w:style>
  <w:style w:type="paragraph" w:customStyle="1" w:styleId="194">
    <w:name w:val="保留正文"/>
    <w:basedOn w:val="19"/>
    <w:autoRedefine/>
    <w:qFormat/>
    <w:uiPriority w:val="0"/>
    <w:pPr>
      <w:keepNext/>
      <w:autoSpaceDE/>
      <w:autoSpaceDN/>
      <w:adjustRightInd/>
      <w:spacing w:after="160"/>
      <w:ind w:right="0"/>
      <w:jc w:val="both"/>
    </w:pPr>
    <w:rPr>
      <w:rFonts w:ascii="Times New Roman"/>
      <w:b w:val="0"/>
      <w:bCs w:val="0"/>
      <w:sz w:val="21"/>
      <w:szCs w:val="24"/>
      <w:lang w:val="en-US"/>
    </w:rPr>
  </w:style>
  <w:style w:type="paragraph" w:customStyle="1" w:styleId="195">
    <w:name w:val="彩色底纹 - 着色 11"/>
    <w:autoRedefine/>
    <w:semiHidden/>
    <w:qFormat/>
    <w:uiPriority w:val="99"/>
    <w:rPr>
      <w:rFonts w:ascii="宋体" w:hAnsi="Calibri" w:eastAsia="宋体" w:cs="Times New Roman"/>
      <w:sz w:val="24"/>
      <w:szCs w:val="24"/>
      <w:lang w:val="en-US" w:eastAsia="zh-CN" w:bidi="ar-SA"/>
    </w:rPr>
  </w:style>
  <w:style w:type="paragraph" w:customStyle="1" w:styleId="196">
    <w:name w:val="WPSOffice手动目录 2"/>
    <w:autoRedefine/>
    <w:qFormat/>
    <w:uiPriority w:val="0"/>
    <w:pPr>
      <w:ind w:left="200" w:leftChars="200"/>
    </w:pPr>
    <w:rPr>
      <w:rFonts w:ascii="Calibri" w:hAnsi="Calibri" w:eastAsia="宋体" w:cs="Times New Roman"/>
      <w:lang w:val="en-US" w:eastAsia="zh-CN" w:bidi="ar-SA"/>
    </w:rPr>
  </w:style>
  <w:style w:type="paragraph" w:customStyle="1" w:styleId="197">
    <w:name w:val="网格表 31"/>
    <w:basedOn w:val="3"/>
    <w:next w:val="1"/>
    <w:autoRedefine/>
    <w:unhideWhenUsed/>
    <w:qFormat/>
    <w:uiPriority w:val="39"/>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198">
    <w:name w:val="表格文字居中"/>
    <w:basedOn w:val="122"/>
    <w:autoRedefine/>
    <w:qFormat/>
    <w:uiPriority w:val="0"/>
    <w:pPr>
      <w:jc w:val="center"/>
    </w:pPr>
    <w:rPr>
      <w:rFonts w:cs="宋体"/>
      <w:szCs w:val="20"/>
    </w:rPr>
  </w:style>
  <w:style w:type="paragraph" w:customStyle="1" w:styleId="199">
    <w:name w:val="正文缩进4格"/>
    <w:basedOn w:val="63"/>
    <w:autoRedefine/>
    <w:qFormat/>
    <w:uiPriority w:val="0"/>
    <w:pPr>
      <w:spacing w:line="360" w:lineRule="auto"/>
      <w:ind w:left="964" w:leftChars="314" w:hanging="210" w:hangingChars="100"/>
    </w:pPr>
    <w:rPr>
      <w:rFonts w:ascii="宋体" w:eastAsia="宋体"/>
      <w:sz w:val="21"/>
      <w:szCs w:val="21"/>
      <w:lang w:val="zh-CN"/>
    </w:rPr>
  </w:style>
  <w:style w:type="paragraph" w:customStyle="1" w:styleId="200">
    <w:name w:val="版本说明标题"/>
    <w:basedOn w:val="1"/>
    <w:autoRedefine/>
    <w:qFormat/>
    <w:uiPriority w:val="0"/>
    <w:pPr>
      <w:adjustRightInd w:val="0"/>
      <w:snapToGrid w:val="0"/>
      <w:spacing w:beforeLines="50" w:afterLines="50"/>
      <w:ind w:firstLine="560"/>
      <w:jc w:val="center"/>
      <w:textAlignment w:val="baseline"/>
    </w:pPr>
    <w:rPr>
      <w:rFonts w:ascii="Times New Roman" w:hAnsi="Calibri" w:eastAsia="仿宋_GB2312" w:cs="Times New Roman"/>
      <w:b/>
      <w:color w:val="000000"/>
      <w:sz w:val="28"/>
      <w:szCs w:val="28"/>
    </w:rPr>
  </w:style>
  <w:style w:type="character" w:customStyle="1" w:styleId="201">
    <w:name w:val="正文文本首行缩进 字符"/>
    <w:basedOn w:val="118"/>
    <w:link w:val="20"/>
    <w:autoRedefine/>
    <w:semiHidden/>
    <w:qFormat/>
    <w:uiPriority w:val="99"/>
    <w:rPr>
      <w:rFonts w:ascii="宋体" w:eastAsia="宋体"/>
      <w:b w:val="0"/>
      <w:bCs w:val="0"/>
      <w:sz w:val="84"/>
      <w:szCs w:val="84"/>
      <w:lang w:val="zh-CN"/>
    </w:rPr>
  </w:style>
  <w:style w:type="paragraph" w:customStyle="1" w:styleId="202">
    <w:name w:val="修订2"/>
    <w:autoRedefine/>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4901</Words>
  <Characters>4982</Characters>
  <Lines>561</Lines>
  <Paragraphs>157</Paragraphs>
  <TotalTime>44</TotalTime>
  <ScaleCrop>false</ScaleCrop>
  <LinksUpToDate>false</LinksUpToDate>
  <CharactersWithSpaces>4989</CharactersWithSpaces>
  <Application>WPS Office_12.1.0.18608_F1E327BC-269C-435d-A152-05C5408002CA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2024-01-03T07:55:00Z</dcterms:created>
  <dc:creator>HS</dc:creator>
  <cp:lastModifiedBy>李翔宇</cp:lastModifiedBy>
  <cp:lastPrinted>2025-05-21T01:02:00Z</cp:lastPrinted>
  <dcterms:modified xsi:type="dcterms:W3CDTF">2025-10-17T10:18:35Z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34EEB2B4F4B646E29829D9E3B2F2E7E9_13</vt:lpwstr>
  </property>
  <property fmtid="{D5CDD505-2E9C-101B-9397-08002B2CF9AE}" pid="4" name="KSOTemplateDocerSaveRecord">
    <vt:lpwstr>eyJoZGlkIjoiNTBkZjg0MTczYWI2OTU4ZWUxNjM1Y2EzMWZmZDZmNDUiLCJ1c2VySWQiOiIxNjAzNDQ0NzIxIn0=</vt:lpwstr>
  </property>
</Properties>
</file>